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625B3B">
      <w:pPr>
        <w:keepNext w:val="0"/>
        <w:keepLines w:val="0"/>
        <w:pageBreakBefore w:val="0"/>
        <w:widowControl w:val="0"/>
        <w:kinsoku/>
        <w:wordWrap/>
        <w:overflowPunct/>
        <w:topLinePunct w:val="0"/>
        <w:autoSpaceDE/>
        <w:autoSpaceDN/>
        <w:bidi w:val="0"/>
        <w:adjustRightInd/>
        <w:snapToGrid/>
        <w:spacing w:line="800" w:lineRule="exact"/>
        <w:ind w:firstLine="0" w:firstLineChars="0"/>
        <w:jc w:val="center"/>
        <w:textAlignment w:val="auto"/>
        <w:rPr>
          <w:rFonts w:hint="eastAsia" w:ascii="方正小标宋_GBK" w:hAnsi="方正小标宋_GBK" w:eastAsia="方正小标宋_GBK" w:cs="方正小标宋_GBK"/>
          <w:sz w:val="44"/>
          <w:szCs w:val="36"/>
          <w:lang w:val="en-US" w:eastAsia="zh-CN"/>
        </w:rPr>
      </w:pPr>
      <w:bookmarkStart w:id="0" w:name="OLE_LINK47"/>
      <w:bookmarkStart w:id="1" w:name="OLE_LINK9"/>
      <w:bookmarkStart w:id="2" w:name="OLE_LINK10"/>
      <w:bookmarkStart w:id="3" w:name="OLE_LINK1"/>
    </w:p>
    <w:p w14:paraId="1D1F47A5">
      <w:pPr>
        <w:keepNext w:val="0"/>
        <w:keepLines w:val="0"/>
        <w:pageBreakBefore w:val="0"/>
        <w:widowControl w:val="0"/>
        <w:kinsoku/>
        <w:wordWrap/>
        <w:overflowPunct/>
        <w:topLinePunct w:val="0"/>
        <w:autoSpaceDE/>
        <w:autoSpaceDN/>
        <w:bidi w:val="0"/>
        <w:adjustRightInd/>
        <w:snapToGrid/>
        <w:spacing w:line="800" w:lineRule="exact"/>
        <w:ind w:firstLine="0" w:firstLineChars="0"/>
        <w:jc w:val="center"/>
        <w:textAlignment w:val="auto"/>
        <w:rPr>
          <w:rFonts w:hint="eastAsia" w:ascii="方正小标宋_GBK" w:hAnsi="方正小标宋_GBK" w:eastAsia="方正小标宋_GBK" w:cs="方正小标宋_GBK"/>
          <w:sz w:val="44"/>
          <w:szCs w:val="36"/>
          <w:lang w:val="en-US" w:eastAsia="zh-CN"/>
        </w:rPr>
      </w:pPr>
    </w:p>
    <w:p w14:paraId="71A3ABC8">
      <w:pPr>
        <w:keepNext w:val="0"/>
        <w:keepLines w:val="0"/>
        <w:pageBreakBefore w:val="0"/>
        <w:widowControl w:val="0"/>
        <w:kinsoku/>
        <w:wordWrap/>
        <w:overflowPunct/>
        <w:topLinePunct w:val="0"/>
        <w:autoSpaceDE/>
        <w:autoSpaceDN/>
        <w:bidi w:val="0"/>
        <w:adjustRightInd/>
        <w:snapToGrid/>
        <w:spacing w:line="800" w:lineRule="exact"/>
        <w:ind w:firstLine="0" w:firstLineChars="0"/>
        <w:jc w:val="center"/>
        <w:textAlignment w:val="auto"/>
        <w:rPr>
          <w:rFonts w:hint="eastAsia" w:ascii="方正小标宋_GBK" w:hAnsi="方正小标宋_GBK" w:eastAsia="方正小标宋_GBK" w:cs="方正小标宋_GBK"/>
          <w:sz w:val="44"/>
          <w:szCs w:val="36"/>
          <w:lang w:val="en-US" w:eastAsia="zh-CN"/>
        </w:rPr>
      </w:pPr>
    </w:p>
    <w:p w14:paraId="7A6F1D65">
      <w:pPr>
        <w:keepNext w:val="0"/>
        <w:keepLines w:val="0"/>
        <w:pageBreakBefore w:val="0"/>
        <w:widowControl w:val="0"/>
        <w:kinsoku/>
        <w:wordWrap/>
        <w:overflowPunct/>
        <w:topLinePunct w:val="0"/>
        <w:autoSpaceDE/>
        <w:autoSpaceDN/>
        <w:bidi w:val="0"/>
        <w:adjustRightInd/>
        <w:snapToGrid/>
        <w:spacing w:line="800" w:lineRule="exact"/>
        <w:ind w:firstLine="0" w:firstLineChars="0"/>
        <w:jc w:val="center"/>
        <w:textAlignment w:val="auto"/>
        <w:rPr>
          <w:rFonts w:hint="eastAsia"/>
          <w:sz w:val="44"/>
          <w:szCs w:val="36"/>
          <w:lang w:val="en-US" w:eastAsia="zh-CN"/>
        </w:rPr>
      </w:pPr>
      <w:r>
        <w:rPr>
          <w:rFonts w:hint="eastAsia" w:ascii="方正小标宋_GBK" w:hAnsi="方正小标宋_GBK" w:eastAsia="方正小标宋_GBK" w:cs="方正小标宋_GBK"/>
          <w:sz w:val="44"/>
          <w:szCs w:val="36"/>
          <w:lang w:val="en-US" w:eastAsia="zh-CN"/>
        </w:rPr>
        <w:t>云南能源资产运营管理有限公司及所属公司投资性房地产资产价值评估服务</w:t>
      </w:r>
    </w:p>
    <w:p w14:paraId="71FD46C4">
      <w:pPr>
        <w:keepNext w:val="0"/>
        <w:keepLines w:val="0"/>
        <w:pageBreakBefore w:val="0"/>
        <w:widowControl w:val="0"/>
        <w:kinsoku/>
        <w:wordWrap/>
        <w:overflowPunct/>
        <w:topLinePunct w:val="0"/>
        <w:autoSpaceDE/>
        <w:autoSpaceDN/>
        <w:bidi w:val="0"/>
        <w:adjustRightInd/>
        <w:snapToGrid/>
        <w:spacing w:line="800" w:lineRule="exact"/>
        <w:ind w:firstLine="0" w:firstLineChars="0"/>
        <w:jc w:val="center"/>
        <w:textAlignment w:val="auto"/>
        <w:rPr>
          <w:rFonts w:hint="eastAsia"/>
          <w:sz w:val="44"/>
          <w:szCs w:val="36"/>
          <w:lang w:val="en-US" w:eastAsia="zh-CN"/>
        </w:rPr>
      </w:pPr>
    </w:p>
    <w:p w14:paraId="5C94CC81">
      <w:pPr>
        <w:pStyle w:val="17"/>
        <w:rPr>
          <w:rFonts w:hint="eastAsia"/>
          <w:lang w:val="en-US" w:eastAsia="zh-CN"/>
        </w:rPr>
      </w:pPr>
    </w:p>
    <w:p w14:paraId="1440D3C1">
      <w:pPr>
        <w:pStyle w:val="6"/>
        <w:rPr>
          <w:rFonts w:hint="eastAsia"/>
          <w:lang w:val="en-US" w:eastAsia="zh-CN"/>
        </w:rPr>
      </w:pPr>
    </w:p>
    <w:p w14:paraId="2350F28A">
      <w:pPr>
        <w:keepNext w:val="0"/>
        <w:keepLines w:val="0"/>
        <w:pageBreakBefore w:val="0"/>
        <w:widowControl w:val="0"/>
        <w:kinsoku/>
        <w:wordWrap/>
        <w:overflowPunct/>
        <w:topLinePunct w:val="0"/>
        <w:autoSpaceDE/>
        <w:autoSpaceDN/>
        <w:bidi w:val="0"/>
        <w:adjustRightInd/>
        <w:snapToGrid/>
        <w:spacing w:line="800" w:lineRule="exact"/>
        <w:ind w:firstLine="0" w:firstLineChars="0"/>
        <w:jc w:val="center"/>
        <w:textAlignment w:val="auto"/>
        <w:rPr>
          <w:rFonts w:hint="default" w:ascii="方正小标宋_GBK" w:hAnsi="方正小标宋_GBK" w:eastAsia="方正小标宋_GBK" w:cs="方正小标宋_GBK"/>
          <w:sz w:val="44"/>
          <w:szCs w:val="36"/>
          <w:lang w:val="en-US" w:eastAsia="zh-CN"/>
        </w:rPr>
      </w:pPr>
      <w:r>
        <w:rPr>
          <w:rFonts w:hint="eastAsia" w:ascii="方正小标宋_GBK" w:hAnsi="方正小标宋_GBK" w:eastAsia="方正小标宋_GBK" w:cs="方正小标宋_GBK"/>
          <w:sz w:val="52"/>
          <w:szCs w:val="44"/>
          <w:lang w:val="en-US" w:eastAsia="zh-CN"/>
        </w:rPr>
        <w:t>询比采购文件</w:t>
      </w:r>
    </w:p>
    <w:p w14:paraId="53E5478B">
      <w:pPr>
        <w:rPr>
          <w:rFonts w:hint="eastAsia"/>
          <w:lang w:val="en-US" w:eastAsia="zh-CN"/>
        </w:rPr>
      </w:pPr>
    </w:p>
    <w:p w14:paraId="729C69F9">
      <w:pPr>
        <w:rPr>
          <w:rFonts w:hint="eastAsia"/>
          <w:lang w:val="en-US" w:eastAsia="zh-CN"/>
        </w:rPr>
      </w:pPr>
    </w:p>
    <w:p w14:paraId="10074BCD">
      <w:pPr>
        <w:rPr>
          <w:rFonts w:hint="eastAsia"/>
          <w:lang w:val="en-US" w:eastAsia="zh-CN"/>
        </w:rPr>
      </w:pPr>
    </w:p>
    <w:p w14:paraId="094BCA1C">
      <w:pPr>
        <w:rPr>
          <w:rFonts w:hint="eastAsia"/>
          <w:lang w:val="en-US" w:eastAsia="zh-CN"/>
        </w:rPr>
      </w:pPr>
    </w:p>
    <w:p w14:paraId="42BF963C">
      <w:pPr>
        <w:rPr>
          <w:rFonts w:hint="eastAsia"/>
          <w:lang w:val="en-US" w:eastAsia="zh-CN"/>
        </w:rPr>
      </w:pPr>
    </w:p>
    <w:p w14:paraId="62087585">
      <w:pPr>
        <w:rPr>
          <w:rFonts w:hint="eastAsia"/>
          <w:lang w:val="en-US" w:eastAsia="zh-CN"/>
        </w:rPr>
      </w:pPr>
    </w:p>
    <w:p w14:paraId="2C2885C4">
      <w:pPr>
        <w:rPr>
          <w:rFonts w:hint="eastAsia"/>
          <w:lang w:val="en-US" w:eastAsia="zh-CN"/>
        </w:rPr>
      </w:pPr>
    </w:p>
    <w:p w14:paraId="6D6CC155">
      <w:pPr>
        <w:rPr>
          <w:rFonts w:hint="eastAsia"/>
          <w:lang w:val="en-US" w:eastAsia="zh-CN"/>
        </w:rPr>
      </w:pPr>
    </w:p>
    <w:p w14:paraId="071B913D">
      <w:pPr>
        <w:pStyle w:val="17"/>
        <w:rPr>
          <w:rFonts w:hint="eastAsia"/>
          <w:lang w:val="en-US" w:eastAsia="zh-CN"/>
        </w:rPr>
      </w:pPr>
    </w:p>
    <w:p w14:paraId="6B331C31">
      <w:pPr>
        <w:rPr>
          <w:rFonts w:hint="eastAsia"/>
          <w:lang w:val="en-US" w:eastAsia="zh-CN"/>
        </w:rPr>
      </w:pPr>
    </w:p>
    <w:p w14:paraId="2382C54B">
      <w:pPr>
        <w:rPr>
          <w:rFonts w:hint="eastAsia"/>
          <w:lang w:val="en-US" w:eastAsia="zh-CN"/>
        </w:rPr>
      </w:pPr>
    </w:p>
    <w:p w14:paraId="7624396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sz w:val="32"/>
          <w:szCs w:val="32"/>
          <w:lang w:val="en-US" w:eastAsia="zh-CN"/>
        </w:rPr>
      </w:pPr>
      <w:r>
        <w:rPr>
          <w:rFonts w:hint="eastAsia"/>
          <w:sz w:val="32"/>
          <w:szCs w:val="32"/>
          <w:lang w:val="en-US" w:eastAsia="zh-CN"/>
        </w:rPr>
        <w:t>采购人：云南能源资产运营管理有限公司</w:t>
      </w:r>
    </w:p>
    <w:p w14:paraId="04A5B2D8">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sz w:val="32"/>
          <w:szCs w:val="32"/>
          <w:highlight w:val="none"/>
          <w:lang w:val="en-US" w:eastAsia="zh-CN"/>
        </w:rPr>
      </w:pPr>
      <w:r>
        <w:rPr>
          <w:rFonts w:hint="eastAsia"/>
          <w:sz w:val="32"/>
          <w:szCs w:val="32"/>
          <w:highlight w:val="none"/>
          <w:lang w:val="en-US" w:eastAsia="zh-CN"/>
        </w:rPr>
        <w:t>日期：2026年10月</w:t>
      </w:r>
    </w:p>
    <w:p w14:paraId="44772FAA">
      <w:pPr>
        <w:rPr>
          <w:rFonts w:hint="eastAsia"/>
          <w:lang w:val="en-US" w:eastAsia="zh-CN"/>
        </w:rPr>
      </w:pPr>
    </w:p>
    <w:p w14:paraId="5F62059C">
      <w:pPr>
        <w:rPr>
          <w:rFonts w:hint="eastAsia"/>
          <w:lang w:val="en-US" w:eastAsia="zh-CN"/>
        </w:rPr>
        <w:sectPr>
          <w:pgSz w:w="11906" w:h="16838"/>
          <w:pgMar w:top="1440" w:right="1800" w:bottom="1440" w:left="1800" w:header="851" w:footer="992" w:gutter="0"/>
          <w:cols w:space="425" w:num="1"/>
          <w:docGrid w:type="lines" w:linePitch="312" w:charSpace="0"/>
        </w:sectPr>
      </w:pPr>
    </w:p>
    <w:bookmarkEnd w:id="0"/>
    <w:bookmarkEnd w:id="1"/>
    <w:bookmarkEnd w:id="2"/>
    <w:bookmarkEnd w:id="3"/>
    <w:sdt>
      <w:sdtPr>
        <w:rPr>
          <w:rFonts w:ascii="宋体" w:hAnsi="宋体" w:eastAsia="宋体" w:cstheme="minorBidi"/>
          <w:kern w:val="2"/>
          <w:sz w:val="21"/>
          <w:szCs w:val="24"/>
          <w:lang w:val="en-US" w:eastAsia="zh-CN" w:bidi="ar-SA"/>
        </w:rPr>
        <w:id w:val="147457582"/>
        <w15:color w:val="DBDBDB"/>
        <w:docPartObj>
          <w:docPartGallery w:val="Table of Contents"/>
          <w:docPartUnique/>
        </w:docPartObj>
      </w:sdtPr>
      <w:sdtEndPr>
        <w:rPr>
          <w:rFonts w:ascii="宋体" w:hAnsi="宋体" w:eastAsia="宋体" w:cstheme="minorBidi"/>
          <w:kern w:val="2"/>
          <w:sz w:val="21"/>
          <w:szCs w:val="24"/>
          <w:lang w:val="en-US" w:eastAsia="zh-CN" w:bidi="ar-SA"/>
        </w:rPr>
      </w:sdtEndPr>
      <w:sdtContent>
        <w:p w14:paraId="1BBD02B5">
          <w:pPr>
            <w:spacing w:before="0" w:beforeLines="0" w:after="0" w:afterLines="0" w:line="240" w:lineRule="auto"/>
            <w:ind w:left="0" w:leftChars="0" w:right="0" w:rightChars="0" w:firstLine="0" w:firstLineChars="0"/>
            <w:jc w:val="center"/>
          </w:pPr>
          <w:r>
            <w:rPr>
              <w:rFonts w:hint="eastAsia" w:ascii="方正小标宋_GBK" w:hAnsi="方正小标宋_GBK" w:eastAsia="方正小标宋_GBK" w:cs="方正小标宋_GBK"/>
              <w:sz w:val="40"/>
              <w:szCs w:val="48"/>
            </w:rPr>
            <w:t>目录</w:t>
          </w:r>
        </w:p>
        <w:p w14:paraId="1780368F">
          <w:pPr>
            <w:pStyle w:val="15"/>
            <w:tabs>
              <w:tab w:val="right" w:leader="dot" w:pos="8306"/>
            </w:tabs>
            <w:spacing w:line="520" w:lineRule="exact"/>
            <w:ind w:firstLine="0" w:firstLineChars="0"/>
            <w:rPr>
              <w:rFonts w:hint="default" w:eastAsia="方正黑体_GBK" w:cs="Times New Roman"/>
              <w:b w:val="0"/>
              <w:bCs w:val="0"/>
              <w:sz w:val="28"/>
              <w:szCs w:val="28"/>
            </w:rPr>
          </w:pPr>
          <w:r>
            <w:rPr>
              <w:rFonts w:hint="default" w:eastAsia="方正黑体_GBK" w:cs="Times New Roman"/>
            </w:rPr>
            <w:fldChar w:fldCharType="begin"/>
          </w:r>
          <w:r>
            <w:rPr>
              <w:rFonts w:hint="default" w:eastAsia="方正黑体_GBK" w:cs="Times New Roman"/>
            </w:rPr>
            <w:instrText xml:space="preserve">TOC \o "1-3" \h \u </w:instrText>
          </w:r>
          <w:r>
            <w:rPr>
              <w:rFonts w:hint="default" w:eastAsia="方正黑体_GBK" w:cs="Times New Roman"/>
            </w:rPr>
            <w:fldChar w:fldCharType="separate"/>
          </w:r>
          <w:r>
            <w:rPr>
              <w:rFonts w:hint="default" w:eastAsia="方正黑体_GBK" w:cs="Times New Roman"/>
              <w:b w:val="0"/>
              <w:bCs w:val="0"/>
              <w:sz w:val="28"/>
              <w:szCs w:val="28"/>
            </w:rPr>
            <w:fldChar w:fldCharType="begin"/>
          </w:r>
          <w:r>
            <w:rPr>
              <w:rFonts w:hint="default" w:eastAsia="方正黑体_GBK" w:cs="Times New Roman"/>
              <w:b w:val="0"/>
              <w:bCs w:val="0"/>
              <w:sz w:val="28"/>
              <w:szCs w:val="28"/>
            </w:rPr>
            <w:instrText xml:space="preserve"> HYPERLINK \l _Toc30359 </w:instrText>
          </w:r>
          <w:r>
            <w:rPr>
              <w:rFonts w:hint="default" w:eastAsia="方正黑体_GBK" w:cs="Times New Roman"/>
              <w:b w:val="0"/>
              <w:bCs w:val="0"/>
              <w:sz w:val="28"/>
              <w:szCs w:val="28"/>
            </w:rPr>
            <w:fldChar w:fldCharType="separate"/>
          </w:r>
          <w:r>
            <w:rPr>
              <w:rFonts w:hint="default" w:eastAsia="方正黑体_GBK" w:cs="Times New Roman"/>
              <w:b w:val="0"/>
              <w:bCs w:val="0"/>
              <w:sz w:val="28"/>
              <w:szCs w:val="28"/>
              <w:lang w:val="en-US" w:eastAsia="zh-CN"/>
            </w:rPr>
            <w:t xml:space="preserve">第一章 </w:t>
          </w:r>
          <w:r>
            <w:rPr>
              <w:rFonts w:hint="default" w:eastAsia="方正黑体_GBK" w:cs="Times New Roman"/>
              <w:b w:val="0"/>
              <w:bCs w:val="0"/>
              <w:sz w:val="28"/>
              <w:szCs w:val="28"/>
            </w:rPr>
            <w:t>询比</w:t>
          </w:r>
          <w:r>
            <w:rPr>
              <w:rFonts w:hint="default" w:eastAsia="方正黑体_GBK" w:cs="Times New Roman"/>
              <w:b w:val="0"/>
              <w:bCs w:val="0"/>
              <w:sz w:val="28"/>
              <w:szCs w:val="28"/>
              <w:lang w:val="en-US" w:eastAsia="zh-CN"/>
            </w:rPr>
            <w:t>采购</w:t>
          </w:r>
          <w:r>
            <w:rPr>
              <w:rFonts w:hint="default" w:eastAsia="方正黑体_GBK" w:cs="Times New Roman"/>
              <w:b w:val="0"/>
              <w:bCs w:val="0"/>
              <w:sz w:val="28"/>
              <w:szCs w:val="28"/>
            </w:rPr>
            <w:t>公告</w:t>
          </w:r>
          <w:r>
            <w:rPr>
              <w:rFonts w:hint="default" w:eastAsia="方正黑体_GBK" w:cs="Times New Roman"/>
              <w:b w:val="0"/>
              <w:bCs w:val="0"/>
              <w:sz w:val="28"/>
              <w:szCs w:val="28"/>
            </w:rPr>
            <w:tab/>
          </w:r>
          <w:r>
            <w:rPr>
              <w:rFonts w:hint="default" w:eastAsia="方正黑体_GBK" w:cs="Times New Roman"/>
              <w:b w:val="0"/>
              <w:bCs w:val="0"/>
              <w:sz w:val="28"/>
              <w:szCs w:val="28"/>
            </w:rPr>
            <w:fldChar w:fldCharType="begin"/>
          </w:r>
          <w:r>
            <w:rPr>
              <w:rFonts w:hint="default" w:eastAsia="方正黑体_GBK" w:cs="Times New Roman"/>
              <w:b w:val="0"/>
              <w:bCs w:val="0"/>
              <w:sz w:val="28"/>
              <w:szCs w:val="28"/>
            </w:rPr>
            <w:instrText xml:space="preserve"> PAGEREF _Toc30359 \h </w:instrText>
          </w:r>
          <w:r>
            <w:rPr>
              <w:rFonts w:hint="default" w:eastAsia="方正黑体_GBK" w:cs="Times New Roman"/>
              <w:b w:val="0"/>
              <w:bCs w:val="0"/>
              <w:sz w:val="28"/>
              <w:szCs w:val="28"/>
            </w:rPr>
            <w:fldChar w:fldCharType="separate"/>
          </w:r>
          <w:r>
            <w:rPr>
              <w:rFonts w:hint="default" w:eastAsia="方正黑体_GBK" w:cs="Times New Roman"/>
              <w:b w:val="0"/>
              <w:bCs w:val="0"/>
              <w:sz w:val="28"/>
              <w:szCs w:val="28"/>
            </w:rPr>
            <w:t>1</w:t>
          </w:r>
          <w:r>
            <w:rPr>
              <w:rFonts w:hint="default" w:eastAsia="方正黑体_GBK" w:cs="Times New Roman"/>
              <w:b w:val="0"/>
              <w:bCs w:val="0"/>
              <w:sz w:val="28"/>
              <w:szCs w:val="28"/>
            </w:rPr>
            <w:fldChar w:fldCharType="end"/>
          </w:r>
          <w:r>
            <w:rPr>
              <w:rFonts w:hint="default" w:eastAsia="方正黑体_GBK" w:cs="Times New Roman"/>
              <w:b w:val="0"/>
              <w:bCs w:val="0"/>
              <w:sz w:val="28"/>
              <w:szCs w:val="28"/>
            </w:rPr>
            <w:fldChar w:fldCharType="end"/>
          </w:r>
        </w:p>
        <w:p w14:paraId="4F1AA33C">
          <w:pPr>
            <w:pStyle w:val="15"/>
            <w:tabs>
              <w:tab w:val="right" w:leader="dot" w:pos="8306"/>
            </w:tabs>
            <w:spacing w:line="520" w:lineRule="exact"/>
            <w:ind w:firstLine="0" w:firstLineChars="0"/>
            <w:rPr>
              <w:rFonts w:hint="default" w:eastAsia="方正黑体_GBK" w:cs="Times New Roman"/>
              <w:b w:val="0"/>
              <w:bCs w:val="0"/>
              <w:sz w:val="28"/>
              <w:szCs w:val="28"/>
            </w:rPr>
          </w:pPr>
          <w:r>
            <w:rPr>
              <w:rFonts w:hint="default" w:eastAsia="方正黑体_GBK" w:cs="Times New Roman"/>
              <w:b w:val="0"/>
              <w:bCs w:val="0"/>
              <w:sz w:val="28"/>
              <w:szCs w:val="28"/>
            </w:rPr>
            <w:fldChar w:fldCharType="begin"/>
          </w:r>
          <w:r>
            <w:rPr>
              <w:rFonts w:hint="default" w:eastAsia="方正黑体_GBK" w:cs="Times New Roman"/>
              <w:b w:val="0"/>
              <w:bCs w:val="0"/>
              <w:sz w:val="28"/>
              <w:szCs w:val="28"/>
            </w:rPr>
            <w:instrText xml:space="preserve"> HYPERLINK \l _Toc27582 </w:instrText>
          </w:r>
          <w:r>
            <w:rPr>
              <w:rFonts w:hint="default" w:eastAsia="方正黑体_GBK" w:cs="Times New Roman"/>
              <w:b w:val="0"/>
              <w:bCs w:val="0"/>
              <w:sz w:val="28"/>
              <w:szCs w:val="28"/>
            </w:rPr>
            <w:fldChar w:fldCharType="separate"/>
          </w:r>
          <w:r>
            <w:rPr>
              <w:rFonts w:hint="default" w:eastAsia="方正黑体_GBK" w:cs="Times New Roman"/>
              <w:b w:val="0"/>
              <w:bCs w:val="0"/>
              <w:sz w:val="28"/>
              <w:szCs w:val="28"/>
            </w:rPr>
            <w:t xml:space="preserve">第二章 </w:t>
          </w:r>
          <w:r>
            <w:rPr>
              <w:rFonts w:hint="default" w:eastAsia="方正黑体_GBK" w:cs="Times New Roman"/>
              <w:b w:val="0"/>
              <w:bCs w:val="0"/>
              <w:sz w:val="28"/>
              <w:szCs w:val="28"/>
              <w:lang w:eastAsia="zh-CN"/>
            </w:rPr>
            <w:t>供应商</w:t>
          </w:r>
          <w:r>
            <w:rPr>
              <w:rFonts w:hint="default" w:eastAsia="方正黑体_GBK" w:cs="Times New Roman"/>
              <w:b w:val="0"/>
              <w:bCs w:val="0"/>
              <w:sz w:val="28"/>
              <w:szCs w:val="28"/>
            </w:rPr>
            <w:t>须知</w:t>
          </w:r>
          <w:r>
            <w:rPr>
              <w:rFonts w:hint="default" w:eastAsia="方正黑体_GBK" w:cs="Times New Roman"/>
              <w:b w:val="0"/>
              <w:bCs w:val="0"/>
              <w:sz w:val="28"/>
              <w:szCs w:val="28"/>
            </w:rPr>
            <w:tab/>
          </w:r>
          <w:r>
            <w:rPr>
              <w:rFonts w:hint="default" w:eastAsia="方正黑体_GBK" w:cs="Times New Roman"/>
              <w:b w:val="0"/>
              <w:bCs w:val="0"/>
              <w:sz w:val="28"/>
              <w:szCs w:val="28"/>
            </w:rPr>
            <w:fldChar w:fldCharType="begin"/>
          </w:r>
          <w:r>
            <w:rPr>
              <w:rFonts w:hint="default" w:eastAsia="方正黑体_GBK" w:cs="Times New Roman"/>
              <w:b w:val="0"/>
              <w:bCs w:val="0"/>
              <w:sz w:val="28"/>
              <w:szCs w:val="28"/>
            </w:rPr>
            <w:instrText xml:space="preserve"> PAGEREF _Toc27582 \h </w:instrText>
          </w:r>
          <w:r>
            <w:rPr>
              <w:rFonts w:hint="default" w:eastAsia="方正黑体_GBK" w:cs="Times New Roman"/>
              <w:b w:val="0"/>
              <w:bCs w:val="0"/>
              <w:sz w:val="28"/>
              <w:szCs w:val="28"/>
            </w:rPr>
            <w:fldChar w:fldCharType="separate"/>
          </w:r>
          <w:r>
            <w:rPr>
              <w:rFonts w:hint="default" w:eastAsia="方正黑体_GBK" w:cs="Times New Roman"/>
              <w:b w:val="0"/>
              <w:bCs w:val="0"/>
              <w:sz w:val="28"/>
              <w:szCs w:val="28"/>
            </w:rPr>
            <w:t>7</w:t>
          </w:r>
          <w:r>
            <w:rPr>
              <w:rFonts w:hint="default" w:eastAsia="方正黑体_GBK" w:cs="Times New Roman"/>
              <w:b w:val="0"/>
              <w:bCs w:val="0"/>
              <w:sz w:val="28"/>
              <w:szCs w:val="28"/>
            </w:rPr>
            <w:fldChar w:fldCharType="end"/>
          </w:r>
          <w:r>
            <w:rPr>
              <w:rFonts w:hint="default" w:eastAsia="方正黑体_GBK" w:cs="Times New Roman"/>
              <w:b w:val="0"/>
              <w:bCs w:val="0"/>
              <w:sz w:val="28"/>
              <w:szCs w:val="28"/>
            </w:rPr>
            <w:fldChar w:fldCharType="end"/>
          </w:r>
        </w:p>
        <w:p w14:paraId="1F5940C5">
          <w:pPr>
            <w:pStyle w:val="15"/>
            <w:tabs>
              <w:tab w:val="right" w:leader="dot" w:pos="8306"/>
            </w:tabs>
            <w:spacing w:line="520" w:lineRule="exact"/>
            <w:ind w:firstLine="0" w:firstLineChars="0"/>
            <w:rPr>
              <w:rFonts w:hint="default" w:eastAsia="方正黑体_GBK" w:cs="Times New Roman"/>
              <w:b w:val="0"/>
              <w:bCs w:val="0"/>
              <w:sz w:val="28"/>
              <w:szCs w:val="28"/>
            </w:rPr>
          </w:pPr>
          <w:r>
            <w:rPr>
              <w:rFonts w:hint="default" w:eastAsia="方正黑体_GBK" w:cs="Times New Roman"/>
              <w:b w:val="0"/>
              <w:bCs w:val="0"/>
              <w:sz w:val="28"/>
              <w:szCs w:val="28"/>
            </w:rPr>
            <w:fldChar w:fldCharType="begin"/>
          </w:r>
          <w:r>
            <w:rPr>
              <w:rFonts w:hint="default" w:eastAsia="方正黑体_GBK" w:cs="Times New Roman"/>
              <w:b w:val="0"/>
              <w:bCs w:val="0"/>
              <w:sz w:val="28"/>
              <w:szCs w:val="28"/>
            </w:rPr>
            <w:instrText xml:space="preserve"> HYPERLINK \l _Toc26684 </w:instrText>
          </w:r>
          <w:r>
            <w:rPr>
              <w:rFonts w:hint="default" w:eastAsia="方正黑体_GBK" w:cs="Times New Roman"/>
              <w:b w:val="0"/>
              <w:bCs w:val="0"/>
              <w:sz w:val="28"/>
              <w:szCs w:val="28"/>
            </w:rPr>
            <w:fldChar w:fldCharType="separate"/>
          </w:r>
          <w:r>
            <w:rPr>
              <w:rFonts w:hint="default" w:eastAsia="方正黑体_GBK" w:cs="Times New Roman"/>
              <w:b w:val="0"/>
              <w:bCs w:val="0"/>
              <w:sz w:val="28"/>
              <w:szCs w:val="28"/>
              <w:lang w:val="en-US" w:eastAsia="zh-CN"/>
            </w:rPr>
            <w:t>第三章 采购项目需求</w:t>
          </w:r>
          <w:r>
            <w:rPr>
              <w:rFonts w:hint="default" w:eastAsia="方正黑体_GBK" w:cs="Times New Roman"/>
              <w:b w:val="0"/>
              <w:bCs w:val="0"/>
              <w:sz w:val="28"/>
              <w:szCs w:val="28"/>
            </w:rPr>
            <w:tab/>
          </w:r>
          <w:r>
            <w:rPr>
              <w:rFonts w:hint="default" w:eastAsia="方正黑体_GBK" w:cs="Times New Roman"/>
              <w:b w:val="0"/>
              <w:bCs w:val="0"/>
              <w:sz w:val="28"/>
              <w:szCs w:val="28"/>
            </w:rPr>
            <w:fldChar w:fldCharType="begin"/>
          </w:r>
          <w:r>
            <w:rPr>
              <w:rFonts w:hint="default" w:eastAsia="方正黑体_GBK" w:cs="Times New Roman"/>
              <w:b w:val="0"/>
              <w:bCs w:val="0"/>
              <w:sz w:val="28"/>
              <w:szCs w:val="28"/>
            </w:rPr>
            <w:instrText xml:space="preserve"> PAGEREF _Toc26684 \h </w:instrText>
          </w:r>
          <w:r>
            <w:rPr>
              <w:rFonts w:hint="default" w:eastAsia="方正黑体_GBK" w:cs="Times New Roman"/>
              <w:b w:val="0"/>
              <w:bCs w:val="0"/>
              <w:sz w:val="28"/>
              <w:szCs w:val="28"/>
            </w:rPr>
            <w:fldChar w:fldCharType="separate"/>
          </w:r>
          <w:r>
            <w:rPr>
              <w:rFonts w:hint="default" w:eastAsia="方正黑体_GBK" w:cs="Times New Roman"/>
              <w:b w:val="0"/>
              <w:bCs w:val="0"/>
              <w:sz w:val="28"/>
              <w:szCs w:val="28"/>
            </w:rPr>
            <w:t>18</w:t>
          </w:r>
          <w:r>
            <w:rPr>
              <w:rFonts w:hint="default" w:eastAsia="方正黑体_GBK" w:cs="Times New Roman"/>
              <w:b w:val="0"/>
              <w:bCs w:val="0"/>
              <w:sz w:val="28"/>
              <w:szCs w:val="28"/>
            </w:rPr>
            <w:fldChar w:fldCharType="end"/>
          </w:r>
          <w:r>
            <w:rPr>
              <w:rFonts w:hint="default" w:eastAsia="方正黑体_GBK" w:cs="Times New Roman"/>
              <w:b w:val="0"/>
              <w:bCs w:val="0"/>
              <w:sz w:val="28"/>
              <w:szCs w:val="28"/>
            </w:rPr>
            <w:fldChar w:fldCharType="end"/>
          </w:r>
        </w:p>
        <w:p w14:paraId="0D837006">
          <w:pPr>
            <w:pStyle w:val="15"/>
            <w:tabs>
              <w:tab w:val="right" w:leader="dot" w:pos="8306"/>
            </w:tabs>
            <w:spacing w:line="520" w:lineRule="exact"/>
            <w:ind w:firstLine="0" w:firstLineChars="0"/>
            <w:rPr>
              <w:rFonts w:hint="default" w:eastAsia="方正黑体_GBK" w:cs="Times New Roman"/>
              <w:b w:val="0"/>
              <w:bCs w:val="0"/>
              <w:sz w:val="28"/>
              <w:szCs w:val="28"/>
            </w:rPr>
          </w:pPr>
          <w:r>
            <w:rPr>
              <w:rFonts w:hint="default" w:eastAsia="方正黑体_GBK" w:cs="Times New Roman"/>
              <w:b w:val="0"/>
              <w:bCs w:val="0"/>
              <w:sz w:val="28"/>
              <w:szCs w:val="28"/>
            </w:rPr>
            <w:fldChar w:fldCharType="begin"/>
          </w:r>
          <w:r>
            <w:rPr>
              <w:rFonts w:hint="default" w:eastAsia="方正黑体_GBK" w:cs="Times New Roman"/>
              <w:b w:val="0"/>
              <w:bCs w:val="0"/>
              <w:sz w:val="28"/>
              <w:szCs w:val="28"/>
            </w:rPr>
            <w:instrText xml:space="preserve"> HYPERLINK \l _Toc4203 </w:instrText>
          </w:r>
          <w:r>
            <w:rPr>
              <w:rFonts w:hint="default" w:eastAsia="方正黑体_GBK" w:cs="Times New Roman"/>
              <w:b w:val="0"/>
              <w:bCs w:val="0"/>
              <w:sz w:val="28"/>
              <w:szCs w:val="28"/>
            </w:rPr>
            <w:fldChar w:fldCharType="separate"/>
          </w:r>
          <w:r>
            <w:rPr>
              <w:rFonts w:hint="default" w:eastAsia="方正黑体_GBK" w:cs="Times New Roman"/>
              <w:b w:val="0"/>
              <w:bCs w:val="0"/>
              <w:sz w:val="28"/>
              <w:szCs w:val="28"/>
              <w:lang w:eastAsia="zh-CN"/>
            </w:rPr>
            <w:t>第</w:t>
          </w:r>
          <w:r>
            <w:rPr>
              <w:rFonts w:hint="default" w:eastAsia="方正黑体_GBK" w:cs="Times New Roman"/>
              <w:b w:val="0"/>
              <w:bCs w:val="0"/>
              <w:sz w:val="28"/>
              <w:szCs w:val="28"/>
              <w:lang w:val="en-US" w:eastAsia="zh-CN"/>
            </w:rPr>
            <w:t>四</w:t>
          </w:r>
          <w:r>
            <w:rPr>
              <w:rFonts w:hint="default" w:eastAsia="方正黑体_GBK" w:cs="Times New Roman"/>
              <w:b w:val="0"/>
              <w:bCs w:val="0"/>
              <w:sz w:val="28"/>
              <w:szCs w:val="28"/>
              <w:lang w:eastAsia="zh-CN"/>
            </w:rPr>
            <w:t>章</w:t>
          </w:r>
          <w:r>
            <w:rPr>
              <w:rFonts w:hint="default" w:eastAsia="方正黑体_GBK" w:cs="Times New Roman"/>
              <w:b w:val="0"/>
              <w:bCs w:val="0"/>
              <w:sz w:val="28"/>
              <w:szCs w:val="28"/>
              <w:lang w:val="en-US" w:eastAsia="zh-CN"/>
            </w:rPr>
            <w:t xml:space="preserve"> 评审程序及评审办法</w:t>
          </w:r>
          <w:r>
            <w:rPr>
              <w:rFonts w:hint="default" w:eastAsia="方正黑体_GBK" w:cs="Times New Roman"/>
              <w:b w:val="0"/>
              <w:bCs w:val="0"/>
              <w:sz w:val="28"/>
              <w:szCs w:val="28"/>
            </w:rPr>
            <w:tab/>
          </w:r>
          <w:r>
            <w:rPr>
              <w:rFonts w:hint="default" w:eastAsia="方正黑体_GBK" w:cs="Times New Roman"/>
              <w:b w:val="0"/>
              <w:bCs w:val="0"/>
              <w:sz w:val="28"/>
              <w:szCs w:val="28"/>
            </w:rPr>
            <w:fldChar w:fldCharType="begin"/>
          </w:r>
          <w:r>
            <w:rPr>
              <w:rFonts w:hint="default" w:eastAsia="方正黑体_GBK" w:cs="Times New Roman"/>
              <w:b w:val="0"/>
              <w:bCs w:val="0"/>
              <w:sz w:val="28"/>
              <w:szCs w:val="28"/>
            </w:rPr>
            <w:instrText xml:space="preserve"> PAGEREF _Toc4203 \h </w:instrText>
          </w:r>
          <w:r>
            <w:rPr>
              <w:rFonts w:hint="default" w:eastAsia="方正黑体_GBK" w:cs="Times New Roman"/>
              <w:b w:val="0"/>
              <w:bCs w:val="0"/>
              <w:sz w:val="28"/>
              <w:szCs w:val="28"/>
            </w:rPr>
            <w:fldChar w:fldCharType="separate"/>
          </w:r>
          <w:r>
            <w:rPr>
              <w:rFonts w:hint="default" w:eastAsia="方正黑体_GBK" w:cs="Times New Roman"/>
              <w:b w:val="0"/>
              <w:bCs w:val="0"/>
              <w:sz w:val="28"/>
              <w:szCs w:val="28"/>
            </w:rPr>
            <w:t>20</w:t>
          </w:r>
          <w:r>
            <w:rPr>
              <w:rFonts w:hint="default" w:eastAsia="方正黑体_GBK" w:cs="Times New Roman"/>
              <w:b w:val="0"/>
              <w:bCs w:val="0"/>
              <w:sz w:val="28"/>
              <w:szCs w:val="28"/>
            </w:rPr>
            <w:fldChar w:fldCharType="end"/>
          </w:r>
          <w:r>
            <w:rPr>
              <w:rFonts w:hint="default" w:eastAsia="方正黑体_GBK" w:cs="Times New Roman"/>
              <w:b w:val="0"/>
              <w:bCs w:val="0"/>
              <w:sz w:val="28"/>
              <w:szCs w:val="28"/>
            </w:rPr>
            <w:fldChar w:fldCharType="end"/>
          </w:r>
        </w:p>
        <w:p w14:paraId="75CEE1C8">
          <w:pPr>
            <w:pStyle w:val="15"/>
            <w:tabs>
              <w:tab w:val="right" w:leader="dot" w:pos="8306"/>
            </w:tabs>
            <w:spacing w:line="520" w:lineRule="exact"/>
            <w:ind w:firstLine="0" w:firstLineChars="0"/>
            <w:rPr>
              <w:rFonts w:hint="default" w:eastAsia="方正黑体_GBK" w:cs="Times New Roman"/>
              <w:b w:val="0"/>
              <w:bCs w:val="0"/>
              <w:sz w:val="28"/>
              <w:szCs w:val="28"/>
            </w:rPr>
          </w:pPr>
          <w:r>
            <w:rPr>
              <w:rFonts w:hint="default" w:eastAsia="方正黑体_GBK" w:cs="Times New Roman"/>
              <w:b w:val="0"/>
              <w:bCs w:val="0"/>
              <w:sz w:val="28"/>
              <w:szCs w:val="28"/>
            </w:rPr>
            <w:fldChar w:fldCharType="begin"/>
          </w:r>
          <w:r>
            <w:rPr>
              <w:rFonts w:hint="default" w:eastAsia="方正黑体_GBK" w:cs="Times New Roman"/>
              <w:b w:val="0"/>
              <w:bCs w:val="0"/>
              <w:sz w:val="28"/>
              <w:szCs w:val="28"/>
            </w:rPr>
            <w:instrText xml:space="preserve"> HYPERLINK \l _Toc689 </w:instrText>
          </w:r>
          <w:r>
            <w:rPr>
              <w:rFonts w:hint="default" w:eastAsia="方正黑体_GBK" w:cs="Times New Roman"/>
              <w:b w:val="0"/>
              <w:bCs w:val="0"/>
              <w:sz w:val="28"/>
              <w:szCs w:val="28"/>
            </w:rPr>
            <w:fldChar w:fldCharType="separate"/>
          </w:r>
          <w:r>
            <w:rPr>
              <w:rFonts w:hint="default" w:eastAsia="方正黑体_GBK" w:cs="Times New Roman"/>
              <w:b w:val="0"/>
              <w:bCs w:val="0"/>
              <w:sz w:val="28"/>
              <w:szCs w:val="28"/>
              <w:lang w:val="en-US" w:eastAsia="zh-CN"/>
            </w:rPr>
            <w:t>第五章 响应文件格式</w:t>
          </w:r>
          <w:r>
            <w:rPr>
              <w:rFonts w:hint="default" w:eastAsia="方正黑体_GBK" w:cs="Times New Roman"/>
              <w:b w:val="0"/>
              <w:bCs w:val="0"/>
              <w:sz w:val="28"/>
              <w:szCs w:val="28"/>
            </w:rPr>
            <w:tab/>
          </w:r>
          <w:r>
            <w:rPr>
              <w:rFonts w:hint="default" w:eastAsia="方正黑体_GBK" w:cs="Times New Roman"/>
              <w:b w:val="0"/>
              <w:bCs w:val="0"/>
              <w:sz w:val="28"/>
              <w:szCs w:val="28"/>
            </w:rPr>
            <w:fldChar w:fldCharType="begin"/>
          </w:r>
          <w:r>
            <w:rPr>
              <w:rFonts w:hint="default" w:eastAsia="方正黑体_GBK" w:cs="Times New Roman"/>
              <w:b w:val="0"/>
              <w:bCs w:val="0"/>
              <w:sz w:val="28"/>
              <w:szCs w:val="28"/>
            </w:rPr>
            <w:instrText xml:space="preserve"> PAGEREF _Toc689 \h </w:instrText>
          </w:r>
          <w:r>
            <w:rPr>
              <w:rFonts w:hint="default" w:eastAsia="方正黑体_GBK" w:cs="Times New Roman"/>
              <w:b w:val="0"/>
              <w:bCs w:val="0"/>
              <w:sz w:val="28"/>
              <w:szCs w:val="28"/>
            </w:rPr>
            <w:fldChar w:fldCharType="separate"/>
          </w:r>
          <w:r>
            <w:rPr>
              <w:rFonts w:hint="default" w:eastAsia="方正黑体_GBK" w:cs="Times New Roman"/>
              <w:b w:val="0"/>
              <w:bCs w:val="0"/>
              <w:sz w:val="28"/>
              <w:szCs w:val="28"/>
            </w:rPr>
            <w:t>25</w:t>
          </w:r>
          <w:r>
            <w:rPr>
              <w:rFonts w:hint="default" w:eastAsia="方正黑体_GBK" w:cs="Times New Roman"/>
              <w:b w:val="0"/>
              <w:bCs w:val="0"/>
              <w:sz w:val="28"/>
              <w:szCs w:val="28"/>
            </w:rPr>
            <w:fldChar w:fldCharType="end"/>
          </w:r>
          <w:r>
            <w:rPr>
              <w:rFonts w:hint="default" w:eastAsia="方正黑体_GBK" w:cs="Times New Roman"/>
              <w:b w:val="0"/>
              <w:bCs w:val="0"/>
              <w:sz w:val="28"/>
              <w:szCs w:val="28"/>
            </w:rPr>
            <w:fldChar w:fldCharType="end"/>
          </w:r>
        </w:p>
        <w:p w14:paraId="3708BBB4">
          <w:pPr>
            <w:pStyle w:val="15"/>
            <w:tabs>
              <w:tab w:val="right" w:leader="dot" w:pos="8306"/>
            </w:tabs>
            <w:spacing w:line="520" w:lineRule="exact"/>
            <w:ind w:firstLine="0" w:firstLineChars="0"/>
            <w:rPr>
              <w:rFonts w:hint="default" w:eastAsia="方正黑体_GBK" w:cs="Times New Roman"/>
            </w:rPr>
          </w:pPr>
          <w:r>
            <w:rPr>
              <w:rFonts w:hint="default" w:eastAsia="方正黑体_GBK" w:cs="Times New Roman"/>
              <w:b w:val="0"/>
              <w:bCs w:val="0"/>
              <w:sz w:val="28"/>
              <w:szCs w:val="28"/>
            </w:rPr>
            <w:fldChar w:fldCharType="begin"/>
          </w:r>
          <w:r>
            <w:rPr>
              <w:rFonts w:hint="default" w:eastAsia="方正黑体_GBK" w:cs="Times New Roman"/>
              <w:b w:val="0"/>
              <w:bCs w:val="0"/>
              <w:sz w:val="28"/>
              <w:szCs w:val="28"/>
            </w:rPr>
            <w:instrText xml:space="preserve"> HYPERLINK \l _Toc16339 </w:instrText>
          </w:r>
          <w:r>
            <w:rPr>
              <w:rFonts w:hint="default" w:eastAsia="方正黑体_GBK" w:cs="Times New Roman"/>
              <w:b w:val="0"/>
              <w:bCs w:val="0"/>
              <w:sz w:val="28"/>
              <w:szCs w:val="28"/>
            </w:rPr>
            <w:fldChar w:fldCharType="separate"/>
          </w:r>
          <w:r>
            <w:rPr>
              <w:rFonts w:hint="default" w:eastAsia="方正黑体_GBK" w:cs="Times New Roman"/>
              <w:b w:val="0"/>
              <w:bCs w:val="0"/>
              <w:sz w:val="28"/>
              <w:szCs w:val="28"/>
              <w:lang w:val="en-US" w:eastAsia="zh-CN"/>
            </w:rPr>
            <w:t>第六章 合同条款及格式</w:t>
          </w:r>
          <w:r>
            <w:rPr>
              <w:rFonts w:hint="default" w:eastAsia="方正黑体_GBK" w:cs="Times New Roman"/>
              <w:b w:val="0"/>
              <w:bCs w:val="0"/>
              <w:sz w:val="28"/>
              <w:szCs w:val="28"/>
            </w:rPr>
            <w:tab/>
          </w:r>
          <w:r>
            <w:rPr>
              <w:rFonts w:hint="default" w:eastAsia="方正黑体_GBK" w:cs="Times New Roman"/>
              <w:b w:val="0"/>
              <w:bCs w:val="0"/>
              <w:sz w:val="28"/>
              <w:szCs w:val="28"/>
            </w:rPr>
            <w:fldChar w:fldCharType="begin"/>
          </w:r>
          <w:r>
            <w:rPr>
              <w:rFonts w:hint="default" w:eastAsia="方正黑体_GBK" w:cs="Times New Roman"/>
              <w:b w:val="0"/>
              <w:bCs w:val="0"/>
              <w:sz w:val="28"/>
              <w:szCs w:val="28"/>
            </w:rPr>
            <w:instrText xml:space="preserve"> PAGEREF _Toc16339 \h </w:instrText>
          </w:r>
          <w:r>
            <w:rPr>
              <w:rFonts w:hint="default" w:eastAsia="方正黑体_GBK" w:cs="Times New Roman"/>
              <w:b w:val="0"/>
              <w:bCs w:val="0"/>
              <w:sz w:val="28"/>
              <w:szCs w:val="28"/>
            </w:rPr>
            <w:fldChar w:fldCharType="separate"/>
          </w:r>
          <w:r>
            <w:rPr>
              <w:rFonts w:hint="default" w:eastAsia="方正黑体_GBK" w:cs="Times New Roman"/>
              <w:b w:val="0"/>
              <w:bCs w:val="0"/>
              <w:sz w:val="28"/>
              <w:szCs w:val="28"/>
            </w:rPr>
            <w:t>39</w:t>
          </w:r>
          <w:r>
            <w:rPr>
              <w:rFonts w:hint="default" w:eastAsia="方正黑体_GBK" w:cs="Times New Roman"/>
              <w:b w:val="0"/>
              <w:bCs w:val="0"/>
              <w:sz w:val="28"/>
              <w:szCs w:val="28"/>
            </w:rPr>
            <w:fldChar w:fldCharType="end"/>
          </w:r>
          <w:r>
            <w:rPr>
              <w:rFonts w:hint="default" w:eastAsia="方正黑体_GBK" w:cs="Times New Roman"/>
              <w:b w:val="0"/>
              <w:bCs w:val="0"/>
              <w:sz w:val="28"/>
              <w:szCs w:val="28"/>
            </w:rPr>
            <w:fldChar w:fldCharType="end"/>
          </w:r>
        </w:p>
        <w:p w14:paraId="2D4B3524">
          <w:r>
            <w:rPr>
              <w:rFonts w:hint="default" w:eastAsia="方正黑体_GBK" w:cs="Times New Roman"/>
            </w:rPr>
            <w:fldChar w:fldCharType="end"/>
          </w:r>
        </w:p>
      </w:sdtContent>
    </w:sdt>
    <w:p w14:paraId="09EBE5F2"/>
    <w:p w14:paraId="669B389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Times New Roman" w:hAnsi="Times New Roman" w:eastAsia="方正仿宋_GBK" w:cstheme="minorBidi"/>
          <w:kern w:val="2"/>
          <w:sz w:val="24"/>
          <w:szCs w:val="24"/>
          <w:lang w:val="en-US" w:eastAsia="zh-CN" w:bidi="ar-SA"/>
        </w:rPr>
      </w:pPr>
    </w:p>
    <w:p w14:paraId="2E16529B">
      <w:pPr>
        <w:rPr>
          <w:rFonts w:hint="eastAsia"/>
          <w:lang w:val="en-US" w:eastAsia="zh-CN"/>
        </w:rPr>
      </w:pPr>
    </w:p>
    <w:p w14:paraId="597078E2">
      <w:pPr>
        <w:rPr>
          <w:rFonts w:hint="eastAsia"/>
          <w:lang w:val="en-US" w:eastAsia="zh-CN"/>
        </w:rPr>
        <w:sectPr>
          <w:headerReference r:id="rId5" w:type="default"/>
          <w:footerReference r:id="rId6" w:type="default"/>
          <w:pgSz w:w="11906" w:h="16838"/>
          <w:pgMar w:top="1440" w:right="1800" w:bottom="1440" w:left="1800" w:header="851" w:footer="992" w:gutter="0"/>
          <w:pgNumType w:start="1"/>
          <w:cols w:space="425" w:num="1"/>
          <w:docGrid w:type="lines" w:linePitch="312" w:charSpace="0"/>
        </w:sectPr>
      </w:pPr>
    </w:p>
    <w:p w14:paraId="115DFAFA">
      <w:pPr>
        <w:pStyle w:val="3"/>
        <w:bidi w:val="0"/>
      </w:pPr>
      <w:bookmarkStart w:id="4" w:name="_Toc30359"/>
      <w:bookmarkStart w:id="5" w:name="_Toc4575"/>
      <w:r>
        <w:rPr>
          <w:rFonts w:hint="eastAsia"/>
          <w:lang w:val="en-US" w:eastAsia="zh-CN"/>
        </w:rPr>
        <w:t xml:space="preserve">第一章 </w:t>
      </w:r>
      <w:r>
        <w:rPr>
          <w:rFonts w:hint="eastAsia"/>
        </w:rPr>
        <w:t>询比</w:t>
      </w:r>
      <w:r>
        <w:rPr>
          <w:rFonts w:hint="eastAsia"/>
          <w:lang w:val="en-US" w:eastAsia="zh-CN"/>
        </w:rPr>
        <w:t>采购</w:t>
      </w:r>
      <w:r>
        <w:rPr>
          <w:rFonts w:hint="eastAsia"/>
        </w:rPr>
        <w:t>公告</w:t>
      </w:r>
      <w:bookmarkEnd w:id="4"/>
      <w:bookmarkEnd w:id="5"/>
    </w:p>
    <w:p w14:paraId="47E86AA8">
      <w:pPr>
        <w:bidi w:val="0"/>
      </w:pPr>
      <w:r>
        <w:rPr>
          <w:rFonts w:hint="eastAsia"/>
        </w:rPr>
        <w:t>根据云南能源资产运营管理有限公司及所属公司投资性房地产价值评估项目工作开展需求，采用公开询比采购云南能源资产运营管理有限公司及所属公司投资性房地产价值评估服务项目，具体事项如下：</w:t>
      </w:r>
    </w:p>
    <w:p w14:paraId="23473FD1">
      <w:pPr>
        <w:pStyle w:val="4"/>
        <w:bidi w:val="0"/>
      </w:pPr>
      <w:bookmarkStart w:id="6" w:name="_Toc20562"/>
      <w:r>
        <w:t>一、</w:t>
      </w:r>
      <w:r>
        <w:rPr>
          <w:rFonts w:hint="eastAsia"/>
        </w:rPr>
        <w:t>采购</w:t>
      </w:r>
      <w:r>
        <w:rPr>
          <w:rFonts w:hint="eastAsia"/>
          <w:lang w:val="en-US" w:eastAsia="zh-CN"/>
        </w:rPr>
        <w:t>内容及要求</w:t>
      </w:r>
      <w:bookmarkEnd w:id="6"/>
    </w:p>
    <w:p w14:paraId="681B7C09">
      <w:pPr>
        <w:bidi w:val="0"/>
        <w:rPr>
          <w:rFonts w:hint="eastAsia"/>
          <w:lang w:val="en-US" w:eastAsia="zh-CN"/>
        </w:rPr>
      </w:pPr>
      <w:r>
        <w:rPr>
          <w:rFonts w:hint="eastAsia"/>
          <w:lang w:val="en-US" w:eastAsia="zh-CN"/>
        </w:rPr>
        <w:t>1.1项目名称</w:t>
      </w:r>
      <w:bookmarkStart w:id="7" w:name="OLE_LINK26"/>
      <w:bookmarkStart w:id="8" w:name="OLE_LINK25"/>
      <w:r>
        <w:rPr>
          <w:rFonts w:hint="eastAsia"/>
          <w:lang w:val="en-US" w:eastAsia="zh-CN"/>
        </w:rPr>
        <w:t>：云南能源资产运营管理有限公司及所属公司投资性房地产价值评估服务</w:t>
      </w:r>
    </w:p>
    <w:bookmarkEnd w:id="7"/>
    <w:bookmarkEnd w:id="8"/>
    <w:p w14:paraId="59542A4B">
      <w:pPr>
        <w:bidi w:val="0"/>
        <w:rPr>
          <w:rFonts w:hint="eastAsia"/>
          <w:lang w:val="en-US" w:eastAsia="zh-CN"/>
        </w:rPr>
      </w:pPr>
      <w:r>
        <w:rPr>
          <w:rFonts w:hint="eastAsia"/>
          <w:lang w:val="en-US" w:eastAsia="zh-CN"/>
        </w:rPr>
        <w:t>1.2项目概况及内容：</w:t>
      </w:r>
    </w:p>
    <w:p w14:paraId="03A6D447">
      <w:pPr>
        <w:bidi w:val="0"/>
        <w:rPr>
          <w:rFonts w:hint="default"/>
          <w:lang w:val="en-US" w:eastAsia="zh-CN"/>
        </w:rPr>
      </w:pPr>
      <w:r>
        <w:rPr>
          <w:rFonts w:hint="eastAsia"/>
          <w:lang w:val="en-US" w:eastAsia="zh-CN"/>
        </w:rPr>
        <w:t>1.2.1评估目的：对云南能源资产运营管理有限公司及所属公司投资性房地产价值评估服务项目。</w:t>
      </w:r>
    </w:p>
    <w:p w14:paraId="35F31F6C">
      <w:pPr>
        <w:bidi w:val="0"/>
        <w:rPr>
          <w:rFonts w:hint="eastAsia"/>
          <w:lang w:val="en-US" w:eastAsia="zh-CN"/>
        </w:rPr>
      </w:pPr>
      <w:r>
        <w:rPr>
          <w:rFonts w:hint="eastAsia"/>
          <w:lang w:val="en-US" w:eastAsia="zh-CN"/>
        </w:rPr>
        <w:t>1.2.2被评估对象基本情况</w:t>
      </w:r>
    </w:p>
    <w:p w14:paraId="0821595C">
      <w:pPr>
        <w:bidi w:val="0"/>
        <w:rPr>
          <w:rFonts w:hint="eastAsia"/>
        </w:rPr>
      </w:pPr>
      <w:r>
        <w:rPr>
          <w:rFonts w:hint="eastAsia"/>
        </w:rPr>
        <w:t>云南能源资产运营管理有限公司（以下简称“公司”）为能源集团全资子公司，公司前身为2006年8月9日注册成立的云南能投产业投资有限公司（以下简称“产业公司”），注册资本金13.6亿元，实缴出资额13.6亿元。2018年12月，产业公司更名为云南能投电力装配园区开发有限公司，2026年6月更名为云南能源资产运营管理有限公司，根据集团战略部署，公司定位转型为专业化资产运营管理公司，承接集团资产运营管理核心使命。</w:t>
      </w:r>
    </w:p>
    <w:p w14:paraId="253AEE03">
      <w:pPr>
        <w:bidi w:val="0"/>
        <w:rPr>
          <w:rFonts w:hint="eastAsia"/>
          <w:lang w:val="en-US" w:eastAsia="zh-CN"/>
        </w:rPr>
      </w:pPr>
      <w:r>
        <w:rPr>
          <w:rFonts w:hint="eastAsia"/>
          <w:lang w:val="en-US" w:eastAsia="zh-CN"/>
        </w:rPr>
        <w:t>资产运营公司目前负责运营云南能投电力装配工业园项目，工业园总投资超过10亿元。园区于2013年3月开工建设，2017年7月转入运营，占地面积200亩，总建筑面积16万平方米，包括地上综合办公楼3.97万平方米、15栋厂房9.33万平方米、地下仓储空间1.2万平方米、地下食堂及停车场1.2万平方米以及3000平方米智能化多功能会议中心，是我省2012年“三个一百”重点建设项目之一。</w:t>
      </w:r>
    </w:p>
    <w:p w14:paraId="24DF846F">
      <w:pPr>
        <w:bidi w:val="0"/>
        <w:rPr>
          <w:rFonts w:hint="eastAsia"/>
          <w:lang w:val="en-US" w:eastAsia="zh-CN"/>
        </w:rPr>
      </w:pPr>
      <w:r>
        <w:rPr>
          <w:rFonts w:hint="eastAsia"/>
          <w:lang w:val="en-US" w:eastAsia="zh-CN"/>
        </w:rPr>
        <w:t>1.3采购内容：</w:t>
      </w:r>
    </w:p>
    <w:tbl>
      <w:tblPr>
        <w:tblStyle w:val="18"/>
        <w:tblW w:w="842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98"/>
        <w:gridCol w:w="6551"/>
        <w:gridCol w:w="1180"/>
      </w:tblGrid>
      <w:tr w14:paraId="56357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98" w:type="dxa"/>
            <w:tcBorders>
              <w:top w:val="single" w:color="000000" w:sz="4" w:space="0"/>
              <w:left w:val="single" w:color="000000" w:sz="4" w:space="0"/>
              <w:bottom w:val="single" w:color="000000" w:sz="4" w:space="0"/>
              <w:right w:val="single" w:color="000000" w:sz="4" w:space="0"/>
            </w:tcBorders>
            <w:noWrap/>
            <w:vAlign w:val="center"/>
          </w:tcPr>
          <w:p w14:paraId="32CD446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ascii="方正楷体_GB2312" w:hAnsi="方正楷体_GB2312" w:eastAsia="方正楷体_GB2312" w:cs="方正楷体_GB2312"/>
                <w:b/>
                <w:bCs/>
                <w:i w:val="0"/>
                <w:iCs w:val="0"/>
                <w:color w:val="000000"/>
                <w:sz w:val="24"/>
                <w:szCs w:val="24"/>
                <w:u w:val="none"/>
              </w:rPr>
            </w:pPr>
            <w:r>
              <w:rPr>
                <w:rFonts w:hint="eastAsia" w:ascii="方正楷体_GB2312" w:hAnsi="方正楷体_GB2312" w:eastAsia="方正楷体_GB2312" w:cs="方正楷体_GB2312"/>
                <w:b/>
                <w:bCs/>
                <w:i w:val="0"/>
                <w:iCs w:val="0"/>
                <w:color w:val="000000"/>
                <w:kern w:val="0"/>
                <w:sz w:val="24"/>
                <w:szCs w:val="24"/>
                <w:u w:val="none"/>
                <w:lang w:val="en-US" w:eastAsia="zh-CN" w:bidi="ar"/>
              </w:rPr>
              <w:t>序号</w:t>
            </w:r>
          </w:p>
        </w:tc>
        <w:tc>
          <w:tcPr>
            <w:tcW w:w="6551" w:type="dxa"/>
            <w:tcBorders>
              <w:top w:val="single" w:color="000000" w:sz="4" w:space="0"/>
              <w:left w:val="single" w:color="000000" w:sz="4" w:space="0"/>
              <w:bottom w:val="single" w:color="000000" w:sz="4" w:space="0"/>
              <w:right w:val="single" w:color="000000" w:sz="4" w:space="0"/>
            </w:tcBorders>
            <w:noWrap w:val="0"/>
            <w:vAlign w:val="center"/>
          </w:tcPr>
          <w:p w14:paraId="3D4B44D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方正楷体_GB2312" w:hAnsi="方正楷体_GB2312" w:eastAsia="方正楷体_GB2312" w:cs="方正楷体_GB2312"/>
                <w:b/>
                <w:bCs/>
                <w:i w:val="0"/>
                <w:iCs w:val="0"/>
                <w:color w:val="000000"/>
                <w:sz w:val="24"/>
                <w:szCs w:val="24"/>
                <w:u w:val="none"/>
              </w:rPr>
            </w:pPr>
            <w:r>
              <w:rPr>
                <w:rFonts w:hint="eastAsia" w:ascii="方正楷体_GB2312" w:hAnsi="方正楷体_GB2312" w:eastAsia="方正楷体_GB2312" w:cs="方正楷体_GB2312"/>
                <w:b/>
                <w:bCs/>
                <w:i w:val="0"/>
                <w:iCs w:val="0"/>
                <w:color w:val="000000"/>
                <w:kern w:val="0"/>
                <w:sz w:val="24"/>
                <w:szCs w:val="24"/>
                <w:u w:val="none"/>
                <w:lang w:val="en-US" w:eastAsia="zh-CN" w:bidi="ar"/>
              </w:rPr>
              <w:t>评估标的物</w:t>
            </w:r>
          </w:p>
        </w:tc>
        <w:tc>
          <w:tcPr>
            <w:tcW w:w="1180" w:type="dxa"/>
            <w:tcBorders>
              <w:top w:val="single" w:color="000000" w:sz="4" w:space="0"/>
              <w:left w:val="single" w:color="000000" w:sz="4" w:space="0"/>
              <w:bottom w:val="single" w:color="000000" w:sz="4" w:space="0"/>
              <w:right w:val="single" w:color="000000" w:sz="4" w:space="0"/>
            </w:tcBorders>
            <w:noWrap/>
            <w:vAlign w:val="center"/>
          </w:tcPr>
          <w:p w14:paraId="56906D1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方正楷体_GB2312" w:hAnsi="方正楷体_GB2312" w:eastAsia="方正楷体_GB2312" w:cs="方正楷体_GB2312"/>
                <w:b/>
                <w:bCs/>
                <w:i w:val="0"/>
                <w:iCs w:val="0"/>
                <w:color w:val="000000"/>
                <w:sz w:val="24"/>
                <w:szCs w:val="24"/>
                <w:u w:val="none"/>
              </w:rPr>
            </w:pPr>
            <w:r>
              <w:rPr>
                <w:rFonts w:hint="eastAsia" w:ascii="方正楷体_GB2312" w:hAnsi="方正楷体_GB2312" w:eastAsia="方正楷体_GB2312" w:cs="方正楷体_GB2312"/>
                <w:b/>
                <w:bCs/>
                <w:i w:val="0"/>
                <w:iCs w:val="0"/>
                <w:color w:val="000000"/>
                <w:kern w:val="0"/>
                <w:sz w:val="24"/>
                <w:szCs w:val="24"/>
                <w:u w:val="none"/>
                <w:lang w:val="en-US" w:eastAsia="zh-CN" w:bidi="ar"/>
              </w:rPr>
              <w:t>评估目的</w:t>
            </w:r>
          </w:p>
        </w:tc>
      </w:tr>
      <w:tr w14:paraId="267C4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98" w:type="dxa"/>
            <w:tcBorders>
              <w:top w:val="single" w:color="000000" w:sz="4" w:space="0"/>
              <w:left w:val="single" w:color="000000" w:sz="4" w:space="0"/>
              <w:bottom w:val="single" w:color="000000" w:sz="4" w:space="0"/>
              <w:right w:val="single" w:color="000000" w:sz="4" w:space="0"/>
            </w:tcBorders>
            <w:noWrap/>
            <w:vAlign w:val="center"/>
          </w:tcPr>
          <w:p w14:paraId="55C2BDE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方正楷体_GB2312" w:hAnsi="方正楷体_GB2312" w:eastAsia="方正楷体_GB2312" w:cs="方正楷体_GB2312"/>
                <w:i w:val="0"/>
                <w:iCs w:val="0"/>
                <w:color w:val="000000"/>
                <w:sz w:val="20"/>
                <w:szCs w:val="20"/>
                <w:u w:val="none"/>
              </w:rPr>
            </w:pPr>
            <w:r>
              <w:rPr>
                <w:rFonts w:hint="eastAsia" w:ascii="方正楷体_GB2312" w:hAnsi="方正楷体_GB2312" w:eastAsia="方正楷体_GB2312" w:cs="方正楷体_GB2312"/>
                <w:i w:val="0"/>
                <w:iCs w:val="0"/>
                <w:color w:val="000000"/>
                <w:kern w:val="0"/>
                <w:sz w:val="20"/>
                <w:szCs w:val="20"/>
                <w:u w:val="none"/>
                <w:lang w:val="en-US" w:eastAsia="zh-CN" w:bidi="ar"/>
              </w:rPr>
              <w:t>1</w:t>
            </w:r>
          </w:p>
        </w:tc>
        <w:tc>
          <w:tcPr>
            <w:tcW w:w="6551" w:type="dxa"/>
            <w:tcBorders>
              <w:top w:val="single" w:color="000000" w:sz="4" w:space="0"/>
              <w:left w:val="single" w:color="000000" w:sz="4" w:space="0"/>
              <w:bottom w:val="single" w:color="000000" w:sz="4" w:space="0"/>
              <w:right w:val="single" w:color="000000" w:sz="4" w:space="0"/>
            </w:tcBorders>
            <w:noWrap w:val="0"/>
            <w:vAlign w:val="center"/>
          </w:tcPr>
          <w:p w14:paraId="51E5C2A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方正楷体_GB2312" w:hAnsi="方正楷体_GB2312" w:eastAsia="方正楷体_GB2312" w:cs="方正楷体_GB2312"/>
                <w:i w:val="0"/>
                <w:iCs w:val="0"/>
                <w:color w:val="000000"/>
                <w:sz w:val="20"/>
                <w:szCs w:val="20"/>
                <w:u w:val="none"/>
              </w:rPr>
            </w:pPr>
            <w:r>
              <w:rPr>
                <w:rFonts w:hint="eastAsia" w:ascii="方正楷体_GB2312" w:hAnsi="方正楷体_GB2312" w:eastAsia="方正楷体_GB2312" w:cs="方正楷体_GB2312"/>
                <w:i w:val="0"/>
                <w:iCs w:val="0"/>
                <w:color w:val="000000"/>
                <w:kern w:val="0"/>
                <w:sz w:val="20"/>
                <w:szCs w:val="20"/>
                <w:u w:val="none"/>
                <w:lang w:val="en-US" w:eastAsia="zh-CN" w:bidi="ar"/>
              </w:rPr>
              <w:t>云电投电力装配工业基地6#号地块综合办公楼、地下仓库及6-1#至6-16#厂房，共计18项，建筑面积153080.16平方米（云南能源资产运营管理有限公司）</w:t>
            </w:r>
          </w:p>
        </w:tc>
        <w:tc>
          <w:tcPr>
            <w:tcW w:w="1180" w:type="dxa"/>
            <w:tcBorders>
              <w:top w:val="single" w:color="000000" w:sz="4" w:space="0"/>
              <w:left w:val="single" w:color="000000" w:sz="4" w:space="0"/>
              <w:bottom w:val="single" w:color="000000" w:sz="4" w:space="0"/>
              <w:right w:val="single" w:color="000000" w:sz="4" w:space="0"/>
            </w:tcBorders>
            <w:noWrap/>
            <w:vAlign w:val="center"/>
          </w:tcPr>
          <w:p w14:paraId="5131E9C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方正楷体_GB2312" w:hAnsi="方正楷体_GB2312" w:eastAsia="方正楷体_GB2312" w:cs="方正楷体_GB2312"/>
                <w:i w:val="0"/>
                <w:iCs w:val="0"/>
                <w:color w:val="000000"/>
                <w:sz w:val="20"/>
                <w:szCs w:val="20"/>
                <w:u w:val="none"/>
              </w:rPr>
            </w:pPr>
            <w:r>
              <w:rPr>
                <w:rFonts w:hint="eastAsia" w:ascii="方正楷体_GB2312" w:hAnsi="方正楷体_GB2312" w:eastAsia="方正楷体_GB2312" w:cs="方正楷体_GB2312"/>
                <w:i w:val="0"/>
                <w:iCs w:val="0"/>
                <w:color w:val="000000"/>
                <w:kern w:val="0"/>
                <w:sz w:val="20"/>
                <w:szCs w:val="20"/>
                <w:u w:val="none"/>
                <w:lang w:val="en-US" w:eastAsia="zh-CN" w:bidi="ar"/>
              </w:rPr>
              <w:t>价值评估</w:t>
            </w:r>
          </w:p>
        </w:tc>
      </w:tr>
      <w:tr w14:paraId="1BCCD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98" w:type="dxa"/>
            <w:tcBorders>
              <w:top w:val="single" w:color="000000" w:sz="4" w:space="0"/>
              <w:left w:val="single" w:color="000000" w:sz="4" w:space="0"/>
              <w:bottom w:val="single" w:color="000000" w:sz="4" w:space="0"/>
              <w:right w:val="single" w:color="000000" w:sz="4" w:space="0"/>
            </w:tcBorders>
            <w:noWrap/>
            <w:vAlign w:val="center"/>
          </w:tcPr>
          <w:p w14:paraId="715F055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方正楷体_GB2312" w:hAnsi="方正楷体_GB2312" w:eastAsia="方正楷体_GB2312" w:cs="方正楷体_GB2312"/>
                <w:i w:val="0"/>
                <w:iCs w:val="0"/>
                <w:color w:val="000000"/>
                <w:sz w:val="20"/>
                <w:szCs w:val="20"/>
                <w:u w:val="none"/>
              </w:rPr>
            </w:pPr>
            <w:r>
              <w:rPr>
                <w:rFonts w:hint="eastAsia" w:ascii="方正楷体_GB2312" w:hAnsi="方正楷体_GB2312" w:eastAsia="方正楷体_GB2312" w:cs="方正楷体_GB2312"/>
                <w:i w:val="0"/>
                <w:iCs w:val="0"/>
                <w:color w:val="000000"/>
                <w:kern w:val="0"/>
                <w:sz w:val="20"/>
                <w:szCs w:val="20"/>
                <w:u w:val="none"/>
                <w:lang w:val="en-US" w:eastAsia="zh-CN" w:bidi="ar"/>
              </w:rPr>
              <w:t>2</w:t>
            </w:r>
          </w:p>
        </w:tc>
        <w:tc>
          <w:tcPr>
            <w:tcW w:w="6551" w:type="dxa"/>
            <w:tcBorders>
              <w:top w:val="single" w:color="000000" w:sz="4" w:space="0"/>
              <w:left w:val="single" w:color="000000" w:sz="4" w:space="0"/>
              <w:bottom w:val="single" w:color="000000" w:sz="4" w:space="0"/>
              <w:right w:val="single" w:color="000000" w:sz="4" w:space="0"/>
            </w:tcBorders>
            <w:noWrap w:val="0"/>
            <w:vAlign w:val="center"/>
          </w:tcPr>
          <w:p w14:paraId="084FC90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方正楷体_GB2312" w:hAnsi="方正楷体_GB2312" w:eastAsia="方正楷体_GB2312" w:cs="方正楷体_GB2312"/>
                <w:i w:val="0"/>
                <w:iCs w:val="0"/>
                <w:color w:val="000000"/>
                <w:sz w:val="20"/>
                <w:szCs w:val="20"/>
                <w:u w:val="none"/>
              </w:rPr>
            </w:pPr>
            <w:r>
              <w:rPr>
                <w:rFonts w:hint="eastAsia" w:ascii="方正楷体_GB2312" w:hAnsi="方正楷体_GB2312" w:eastAsia="方正楷体_GB2312" w:cs="方正楷体_GB2312"/>
                <w:i w:val="0"/>
                <w:iCs w:val="0"/>
                <w:color w:val="000000"/>
                <w:kern w:val="0"/>
                <w:sz w:val="20"/>
                <w:szCs w:val="20"/>
                <w:u w:val="none"/>
                <w:lang w:val="en-US" w:eastAsia="zh-CN" w:bidi="ar"/>
              </w:rPr>
              <w:t>云电投电力装配工业基地8#号地块二期1幢-4幢、配套5幢商业楼、配套6幢商业及写字楼、地下室1层-2层，社区用房、门卫室共计11项，建筑面积合计119,501.19平方米（云南能源资产运营管理有限公司）</w:t>
            </w:r>
          </w:p>
        </w:tc>
        <w:tc>
          <w:tcPr>
            <w:tcW w:w="1180" w:type="dxa"/>
            <w:tcBorders>
              <w:top w:val="single" w:color="000000" w:sz="4" w:space="0"/>
              <w:left w:val="single" w:color="000000" w:sz="4" w:space="0"/>
              <w:bottom w:val="single" w:color="000000" w:sz="4" w:space="0"/>
              <w:right w:val="single" w:color="000000" w:sz="4" w:space="0"/>
            </w:tcBorders>
            <w:noWrap/>
            <w:vAlign w:val="center"/>
          </w:tcPr>
          <w:p w14:paraId="1CE1153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方正楷体_GB2312" w:hAnsi="方正楷体_GB2312" w:eastAsia="方正楷体_GB2312" w:cs="方正楷体_GB2312"/>
                <w:i w:val="0"/>
                <w:iCs w:val="0"/>
                <w:color w:val="000000"/>
                <w:sz w:val="20"/>
                <w:szCs w:val="20"/>
                <w:u w:val="none"/>
              </w:rPr>
            </w:pPr>
            <w:r>
              <w:rPr>
                <w:rFonts w:hint="eastAsia" w:ascii="方正楷体_GB2312" w:hAnsi="方正楷体_GB2312" w:eastAsia="方正楷体_GB2312" w:cs="方正楷体_GB2312"/>
                <w:i w:val="0"/>
                <w:iCs w:val="0"/>
                <w:color w:val="000000"/>
                <w:kern w:val="0"/>
                <w:sz w:val="20"/>
                <w:szCs w:val="20"/>
                <w:u w:val="none"/>
                <w:lang w:val="en-US" w:eastAsia="zh-CN" w:bidi="ar"/>
              </w:rPr>
              <w:t>价值评估</w:t>
            </w:r>
          </w:p>
        </w:tc>
      </w:tr>
      <w:tr w14:paraId="1CD97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98" w:type="dxa"/>
            <w:tcBorders>
              <w:top w:val="single" w:color="000000" w:sz="4" w:space="0"/>
              <w:left w:val="single" w:color="000000" w:sz="4" w:space="0"/>
              <w:bottom w:val="single" w:color="000000" w:sz="4" w:space="0"/>
              <w:right w:val="single" w:color="000000" w:sz="4" w:space="0"/>
            </w:tcBorders>
            <w:noWrap/>
            <w:vAlign w:val="center"/>
          </w:tcPr>
          <w:p w14:paraId="739CD5A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方正楷体_GB2312" w:hAnsi="方正楷体_GB2312" w:eastAsia="方正楷体_GB2312" w:cs="方正楷体_GB2312"/>
                <w:i w:val="0"/>
                <w:iCs w:val="0"/>
                <w:color w:val="000000"/>
                <w:sz w:val="20"/>
                <w:szCs w:val="20"/>
                <w:u w:val="none"/>
              </w:rPr>
            </w:pPr>
            <w:r>
              <w:rPr>
                <w:rFonts w:hint="eastAsia" w:ascii="方正楷体_GB2312" w:hAnsi="方正楷体_GB2312" w:eastAsia="方正楷体_GB2312" w:cs="方正楷体_GB2312"/>
                <w:i w:val="0"/>
                <w:iCs w:val="0"/>
                <w:color w:val="000000"/>
                <w:kern w:val="0"/>
                <w:sz w:val="20"/>
                <w:szCs w:val="20"/>
                <w:u w:val="none"/>
                <w:lang w:val="en-US" w:eastAsia="zh-CN" w:bidi="ar"/>
              </w:rPr>
              <w:t>3</w:t>
            </w:r>
          </w:p>
        </w:tc>
        <w:tc>
          <w:tcPr>
            <w:tcW w:w="6551" w:type="dxa"/>
            <w:tcBorders>
              <w:top w:val="single" w:color="000000" w:sz="4" w:space="0"/>
              <w:left w:val="single" w:color="000000" w:sz="4" w:space="0"/>
              <w:bottom w:val="single" w:color="000000" w:sz="4" w:space="0"/>
              <w:right w:val="single" w:color="000000" w:sz="4" w:space="0"/>
            </w:tcBorders>
            <w:noWrap w:val="0"/>
            <w:vAlign w:val="center"/>
          </w:tcPr>
          <w:p w14:paraId="4AC34C6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方正楷体_GB2312" w:hAnsi="方正楷体_GB2312" w:eastAsia="方正楷体_GB2312" w:cs="方正楷体_GB2312"/>
                <w:i w:val="0"/>
                <w:iCs w:val="0"/>
                <w:color w:val="000000"/>
                <w:sz w:val="20"/>
                <w:szCs w:val="20"/>
                <w:u w:val="none"/>
              </w:rPr>
            </w:pPr>
            <w:r>
              <w:rPr>
                <w:rFonts w:hint="eastAsia" w:ascii="方正楷体_GB2312" w:hAnsi="方正楷体_GB2312" w:eastAsia="方正楷体_GB2312" w:cs="方正楷体_GB2312"/>
                <w:i w:val="0"/>
                <w:iCs w:val="0"/>
                <w:color w:val="000000"/>
                <w:kern w:val="0"/>
                <w:sz w:val="20"/>
                <w:szCs w:val="20"/>
                <w:u w:val="none"/>
                <w:lang w:val="en-US" w:eastAsia="zh-CN" w:bidi="ar"/>
              </w:rPr>
              <w:t>昆明市西山区日新路广福城A10地块，共计62项建筑面积27,686.01平方米（云南居正健康管理有限公司 ）</w:t>
            </w:r>
          </w:p>
        </w:tc>
        <w:tc>
          <w:tcPr>
            <w:tcW w:w="1180" w:type="dxa"/>
            <w:tcBorders>
              <w:top w:val="single" w:color="000000" w:sz="4" w:space="0"/>
              <w:left w:val="single" w:color="000000" w:sz="4" w:space="0"/>
              <w:bottom w:val="single" w:color="000000" w:sz="4" w:space="0"/>
              <w:right w:val="single" w:color="000000" w:sz="4" w:space="0"/>
            </w:tcBorders>
            <w:noWrap/>
            <w:vAlign w:val="center"/>
          </w:tcPr>
          <w:p w14:paraId="7AB5786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方正楷体_GB2312" w:hAnsi="方正楷体_GB2312" w:eastAsia="方正楷体_GB2312" w:cs="方正楷体_GB2312"/>
                <w:i w:val="0"/>
                <w:iCs w:val="0"/>
                <w:color w:val="000000"/>
                <w:sz w:val="20"/>
                <w:szCs w:val="20"/>
                <w:u w:val="none"/>
              </w:rPr>
            </w:pPr>
            <w:r>
              <w:rPr>
                <w:rFonts w:hint="eastAsia" w:ascii="方正楷体_GB2312" w:hAnsi="方正楷体_GB2312" w:eastAsia="方正楷体_GB2312" w:cs="方正楷体_GB2312"/>
                <w:i w:val="0"/>
                <w:iCs w:val="0"/>
                <w:color w:val="000000"/>
                <w:kern w:val="0"/>
                <w:sz w:val="20"/>
                <w:szCs w:val="20"/>
                <w:u w:val="none"/>
                <w:lang w:val="en-US" w:eastAsia="zh-CN" w:bidi="ar"/>
              </w:rPr>
              <w:t>价值评估</w:t>
            </w:r>
          </w:p>
        </w:tc>
      </w:tr>
      <w:tr w14:paraId="52ED4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98" w:type="dxa"/>
            <w:tcBorders>
              <w:top w:val="single" w:color="000000" w:sz="4" w:space="0"/>
              <w:left w:val="single" w:color="000000" w:sz="4" w:space="0"/>
              <w:bottom w:val="single" w:color="000000" w:sz="4" w:space="0"/>
              <w:right w:val="single" w:color="000000" w:sz="4" w:space="0"/>
            </w:tcBorders>
            <w:noWrap/>
            <w:vAlign w:val="center"/>
          </w:tcPr>
          <w:p w14:paraId="4C03635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方正楷体_GB2312" w:hAnsi="方正楷体_GB2312" w:eastAsia="方正楷体_GB2312" w:cs="方正楷体_GB2312"/>
                <w:i w:val="0"/>
                <w:iCs w:val="0"/>
                <w:color w:val="000000"/>
                <w:sz w:val="20"/>
                <w:szCs w:val="20"/>
                <w:u w:val="none"/>
              </w:rPr>
            </w:pPr>
            <w:r>
              <w:rPr>
                <w:rFonts w:hint="eastAsia" w:ascii="方正楷体_GB2312" w:hAnsi="方正楷体_GB2312" w:eastAsia="方正楷体_GB2312" w:cs="方正楷体_GB2312"/>
                <w:i w:val="0"/>
                <w:iCs w:val="0"/>
                <w:color w:val="000000"/>
                <w:kern w:val="0"/>
                <w:sz w:val="20"/>
                <w:szCs w:val="20"/>
                <w:u w:val="none"/>
                <w:lang w:val="en-US" w:eastAsia="zh-CN" w:bidi="ar"/>
              </w:rPr>
              <w:t>4</w:t>
            </w:r>
          </w:p>
        </w:tc>
        <w:tc>
          <w:tcPr>
            <w:tcW w:w="6551" w:type="dxa"/>
            <w:tcBorders>
              <w:top w:val="single" w:color="000000" w:sz="4" w:space="0"/>
              <w:left w:val="single" w:color="000000" w:sz="4" w:space="0"/>
              <w:bottom w:val="single" w:color="000000" w:sz="4" w:space="0"/>
              <w:right w:val="single" w:color="000000" w:sz="4" w:space="0"/>
            </w:tcBorders>
            <w:noWrap w:val="0"/>
            <w:vAlign w:val="center"/>
          </w:tcPr>
          <w:p w14:paraId="2DF564A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方正楷体_GB2312" w:hAnsi="方正楷体_GB2312" w:eastAsia="方正楷体_GB2312" w:cs="方正楷体_GB2312"/>
                <w:i w:val="0"/>
                <w:iCs w:val="0"/>
                <w:color w:val="000000"/>
                <w:sz w:val="20"/>
                <w:szCs w:val="20"/>
                <w:u w:val="none"/>
              </w:rPr>
            </w:pPr>
            <w:r>
              <w:rPr>
                <w:rFonts w:hint="eastAsia" w:ascii="方正楷体_GB2312" w:hAnsi="方正楷体_GB2312" w:eastAsia="方正楷体_GB2312" w:cs="方正楷体_GB2312"/>
                <w:i w:val="0"/>
                <w:iCs w:val="0"/>
                <w:color w:val="000000"/>
                <w:kern w:val="0"/>
                <w:sz w:val="20"/>
                <w:szCs w:val="20"/>
                <w:u w:val="none"/>
                <w:lang w:val="en-US" w:eastAsia="zh-CN" w:bidi="ar"/>
              </w:rPr>
              <w:t>蒙自市园区4号路东侧标准厂房北侧云南能投蒙自经开区产业园（一期）2幢-27幢，建筑面积87,977.97平方米（云南能投红河电力储能园区开发有限公司）</w:t>
            </w:r>
          </w:p>
        </w:tc>
        <w:tc>
          <w:tcPr>
            <w:tcW w:w="1180" w:type="dxa"/>
            <w:tcBorders>
              <w:top w:val="single" w:color="000000" w:sz="4" w:space="0"/>
              <w:left w:val="single" w:color="000000" w:sz="4" w:space="0"/>
              <w:bottom w:val="single" w:color="000000" w:sz="4" w:space="0"/>
              <w:right w:val="single" w:color="000000" w:sz="4" w:space="0"/>
            </w:tcBorders>
            <w:noWrap/>
            <w:vAlign w:val="center"/>
          </w:tcPr>
          <w:p w14:paraId="44464C8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方正楷体_GB2312" w:hAnsi="方正楷体_GB2312" w:eastAsia="方正楷体_GB2312" w:cs="方正楷体_GB2312"/>
                <w:i w:val="0"/>
                <w:iCs w:val="0"/>
                <w:color w:val="000000"/>
                <w:sz w:val="20"/>
                <w:szCs w:val="20"/>
                <w:u w:val="none"/>
              </w:rPr>
            </w:pPr>
            <w:r>
              <w:rPr>
                <w:rFonts w:hint="eastAsia" w:ascii="方正楷体_GB2312" w:hAnsi="方正楷体_GB2312" w:eastAsia="方正楷体_GB2312" w:cs="方正楷体_GB2312"/>
                <w:i w:val="0"/>
                <w:iCs w:val="0"/>
                <w:color w:val="000000"/>
                <w:kern w:val="0"/>
                <w:sz w:val="20"/>
                <w:szCs w:val="20"/>
                <w:u w:val="none"/>
                <w:lang w:val="en-US" w:eastAsia="zh-CN" w:bidi="ar"/>
              </w:rPr>
              <w:t>价值评估</w:t>
            </w:r>
          </w:p>
        </w:tc>
      </w:tr>
      <w:tr w14:paraId="5E148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98" w:type="dxa"/>
            <w:tcBorders>
              <w:top w:val="single" w:color="000000" w:sz="4" w:space="0"/>
              <w:left w:val="single" w:color="000000" w:sz="4" w:space="0"/>
              <w:bottom w:val="single" w:color="000000" w:sz="4" w:space="0"/>
              <w:right w:val="single" w:color="000000" w:sz="4" w:space="0"/>
            </w:tcBorders>
            <w:noWrap/>
            <w:vAlign w:val="center"/>
          </w:tcPr>
          <w:p w14:paraId="4EB23B9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方正楷体_GB2312" w:hAnsi="方正楷体_GB2312" w:eastAsia="方正楷体_GB2312" w:cs="方正楷体_GB2312"/>
                <w:i w:val="0"/>
                <w:iCs w:val="0"/>
                <w:color w:val="000000"/>
                <w:sz w:val="20"/>
                <w:szCs w:val="20"/>
                <w:u w:val="none"/>
              </w:rPr>
            </w:pPr>
            <w:r>
              <w:rPr>
                <w:rFonts w:hint="eastAsia" w:ascii="方正楷体_GB2312" w:hAnsi="方正楷体_GB2312" w:eastAsia="方正楷体_GB2312" w:cs="方正楷体_GB2312"/>
                <w:i w:val="0"/>
                <w:iCs w:val="0"/>
                <w:color w:val="000000"/>
                <w:kern w:val="0"/>
                <w:sz w:val="20"/>
                <w:szCs w:val="20"/>
                <w:u w:val="none"/>
                <w:lang w:val="en-US" w:eastAsia="zh-CN" w:bidi="ar"/>
              </w:rPr>
              <w:t>5</w:t>
            </w:r>
          </w:p>
        </w:tc>
        <w:tc>
          <w:tcPr>
            <w:tcW w:w="6551" w:type="dxa"/>
            <w:tcBorders>
              <w:top w:val="single" w:color="000000" w:sz="4" w:space="0"/>
              <w:left w:val="single" w:color="000000" w:sz="4" w:space="0"/>
              <w:bottom w:val="single" w:color="000000" w:sz="4" w:space="0"/>
              <w:right w:val="single" w:color="000000" w:sz="4" w:space="0"/>
            </w:tcBorders>
            <w:noWrap w:val="0"/>
            <w:vAlign w:val="center"/>
          </w:tcPr>
          <w:p w14:paraId="3572406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方正楷体_GB2312" w:hAnsi="方正楷体_GB2312" w:eastAsia="方正楷体_GB2312" w:cs="方正楷体_GB2312"/>
                <w:i w:val="0"/>
                <w:iCs w:val="0"/>
                <w:color w:val="000000"/>
                <w:sz w:val="20"/>
                <w:szCs w:val="20"/>
                <w:u w:val="none"/>
              </w:rPr>
            </w:pPr>
            <w:r>
              <w:rPr>
                <w:rFonts w:hint="eastAsia" w:ascii="方正楷体_GB2312" w:hAnsi="方正楷体_GB2312" w:eastAsia="方正楷体_GB2312" w:cs="方正楷体_GB2312"/>
                <w:i w:val="0"/>
                <w:iCs w:val="0"/>
                <w:color w:val="000000"/>
                <w:kern w:val="0"/>
                <w:sz w:val="20"/>
                <w:szCs w:val="20"/>
                <w:u w:val="none"/>
                <w:lang w:val="en-US" w:eastAsia="zh-CN" w:bidi="ar"/>
              </w:rPr>
              <w:t>蒙自市天马路延长线南侧综合保税区云南能投红河综保区产业园新建（一期）1幢4层-5层办公楼、2幢办公楼、3幢1层仓库、4幢、5幢1层-3层仓库、6幢1层-3层仓库、7幢1层-3层仓库、8幢1层-3层仓库、9幢1层-3层仓库、10幢1层-3层工业、11幢1层-3层工业、12幢-1层及1层-3层仓库，建筑面积154,234.58平方米（云南能投红河电力储能园区开发有限公司）</w:t>
            </w:r>
          </w:p>
        </w:tc>
        <w:tc>
          <w:tcPr>
            <w:tcW w:w="1180" w:type="dxa"/>
            <w:tcBorders>
              <w:top w:val="single" w:color="000000" w:sz="4" w:space="0"/>
              <w:left w:val="single" w:color="000000" w:sz="4" w:space="0"/>
              <w:bottom w:val="single" w:color="000000" w:sz="4" w:space="0"/>
              <w:right w:val="single" w:color="000000" w:sz="4" w:space="0"/>
            </w:tcBorders>
            <w:noWrap/>
            <w:vAlign w:val="center"/>
          </w:tcPr>
          <w:p w14:paraId="0C3ADCB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方正楷体_GB2312" w:hAnsi="方正楷体_GB2312" w:eastAsia="方正楷体_GB2312" w:cs="方正楷体_GB2312"/>
                <w:i w:val="0"/>
                <w:iCs w:val="0"/>
                <w:color w:val="000000"/>
                <w:sz w:val="20"/>
                <w:szCs w:val="20"/>
                <w:u w:val="none"/>
              </w:rPr>
            </w:pPr>
            <w:r>
              <w:rPr>
                <w:rFonts w:hint="eastAsia" w:ascii="方正楷体_GB2312" w:hAnsi="方正楷体_GB2312" w:eastAsia="方正楷体_GB2312" w:cs="方正楷体_GB2312"/>
                <w:i w:val="0"/>
                <w:iCs w:val="0"/>
                <w:color w:val="000000"/>
                <w:kern w:val="0"/>
                <w:sz w:val="20"/>
                <w:szCs w:val="20"/>
                <w:u w:val="none"/>
                <w:lang w:val="en-US" w:eastAsia="zh-CN" w:bidi="ar"/>
              </w:rPr>
              <w:t>价值评估</w:t>
            </w:r>
          </w:p>
        </w:tc>
      </w:tr>
      <w:tr w14:paraId="59118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98" w:type="dxa"/>
            <w:tcBorders>
              <w:top w:val="single" w:color="000000" w:sz="4" w:space="0"/>
              <w:left w:val="single" w:color="000000" w:sz="4" w:space="0"/>
              <w:bottom w:val="single" w:color="000000" w:sz="4" w:space="0"/>
              <w:right w:val="single" w:color="000000" w:sz="4" w:space="0"/>
            </w:tcBorders>
            <w:noWrap/>
            <w:vAlign w:val="center"/>
          </w:tcPr>
          <w:p w14:paraId="23A2D11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方正楷体_GB2312" w:hAnsi="方正楷体_GB2312" w:eastAsia="方正楷体_GB2312" w:cs="方正楷体_GB2312"/>
                <w:i w:val="0"/>
                <w:iCs w:val="0"/>
                <w:color w:val="000000"/>
                <w:sz w:val="20"/>
                <w:szCs w:val="20"/>
                <w:u w:val="none"/>
              </w:rPr>
            </w:pPr>
            <w:r>
              <w:rPr>
                <w:rFonts w:hint="eastAsia" w:ascii="方正楷体_GB2312" w:hAnsi="方正楷体_GB2312" w:eastAsia="方正楷体_GB2312" w:cs="方正楷体_GB2312"/>
                <w:i w:val="0"/>
                <w:iCs w:val="0"/>
                <w:color w:val="000000"/>
                <w:kern w:val="0"/>
                <w:sz w:val="20"/>
                <w:szCs w:val="20"/>
                <w:u w:val="none"/>
                <w:lang w:val="en-US" w:eastAsia="zh-CN" w:bidi="ar"/>
              </w:rPr>
              <w:t>6</w:t>
            </w:r>
          </w:p>
        </w:tc>
        <w:tc>
          <w:tcPr>
            <w:tcW w:w="6551" w:type="dxa"/>
            <w:tcBorders>
              <w:top w:val="single" w:color="000000" w:sz="4" w:space="0"/>
              <w:left w:val="single" w:color="000000" w:sz="4" w:space="0"/>
              <w:bottom w:val="single" w:color="000000" w:sz="4" w:space="0"/>
              <w:right w:val="single" w:color="000000" w:sz="4" w:space="0"/>
            </w:tcBorders>
            <w:noWrap w:val="0"/>
            <w:vAlign w:val="center"/>
          </w:tcPr>
          <w:p w14:paraId="6D9D3E3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方正楷体_GB2312" w:hAnsi="方正楷体_GB2312" w:eastAsia="方正楷体_GB2312" w:cs="方正楷体_GB2312"/>
                <w:i w:val="0"/>
                <w:iCs w:val="0"/>
                <w:color w:val="000000"/>
                <w:sz w:val="20"/>
                <w:szCs w:val="20"/>
                <w:u w:val="none"/>
              </w:rPr>
            </w:pPr>
            <w:r>
              <w:rPr>
                <w:rFonts w:hint="eastAsia" w:ascii="方正楷体_GB2312" w:hAnsi="方正楷体_GB2312" w:eastAsia="方正楷体_GB2312" w:cs="方正楷体_GB2312"/>
                <w:i w:val="0"/>
                <w:iCs w:val="0"/>
                <w:color w:val="000000"/>
                <w:kern w:val="0"/>
                <w:sz w:val="20"/>
                <w:szCs w:val="20"/>
                <w:u w:val="none"/>
                <w:lang w:val="en-US" w:eastAsia="zh-CN" w:bidi="ar"/>
              </w:rPr>
              <w:t>云电投电力装配工业基地(8号地块一期)办公室1-3层101号、双创示范中心1-3层101号、1号门房地下室-1层水泵房、1号门房1层101号、2号门房1层101号、双创示范园水泵房-1-1层101号、地下车库、室外附属工程、建筑面积30,111.47平方米（云南能源资产运营管理有限公司）</w:t>
            </w:r>
          </w:p>
        </w:tc>
        <w:tc>
          <w:tcPr>
            <w:tcW w:w="1180" w:type="dxa"/>
            <w:tcBorders>
              <w:top w:val="single" w:color="000000" w:sz="4" w:space="0"/>
              <w:left w:val="single" w:color="000000" w:sz="4" w:space="0"/>
              <w:bottom w:val="single" w:color="000000" w:sz="4" w:space="0"/>
              <w:right w:val="single" w:color="000000" w:sz="4" w:space="0"/>
            </w:tcBorders>
            <w:noWrap/>
            <w:vAlign w:val="center"/>
          </w:tcPr>
          <w:p w14:paraId="505D525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方正楷体_GB2312" w:hAnsi="方正楷体_GB2312" w:eastAsia="方正楷体_GB2312" w:cs="方正楷体_GB2312"/>
                <w:i w:val="0"/>
                <w:iCs w:val="0"/>
                <w:color w:val="000000"/>
                <w:sz w:val="20"/>
                <w:szCs w:val="20"/>
                <w:u w:val="none"/>
              </w:rPr>
            </w:pPr>
            <w:r>
              <w:rPr>
                <w:rFonts w:hint="eastAsia" w:ascii="方正楷体_GB2312" w:hAnsi="方正楷体_GB2312" w:eastAsia="方正楷体_GB2312" w:cs="方正楷体_GB2312"/>
                <w:i w:val="0"/>
                <w:iCs w:val="0"/>
                <w:color w:val="000000"/>
                <w:kern w:val="0"/>
                <w:sz w:val="20"/>
                <w:szCs w:val="20"/>
                <w:u w:val="none"/>
                <w:lang w:val="en-US" w:eastAsia="zh-CN" w:bidi="ar"/>
              </w:rPr>
              <w:t>价值评估</w:t>
            </w:r>
          </w:p>
        </w:tc>
      </w:tr>
    </w:tbl>
    <w:p w14:paraId="23B8C427">
      <w:pPr>
        <w:bidi w:val="0"/>
        <w:rPr>
          <w:rFonts w:hint="eastAsia"/>
          <w:lang w:val="en-US" w:eastAsia="zh-CN"/>
        </w:rPr>
      </w:pPr>
      <w:r>
        <w:rPr>
          <w:rFonts w:hint="eastAsia"/>
          <w:lang w:val="en-US" w:eastAsia="zh-CN"/>
        </w:rPr>
        <w:t>1.4项目实施地点：由采购人指定。</w:t>
      </w:r>
    </w:p>
    <w:p w14:paraId="3FFDB4B8">
      <w:pPr>
        <w:bidi w:val="0"/>
        <w:rPr>
          <w:rFonts w:hint="eastAsia"/>
          <w:lang w:val="en-US" w:eastAsia="zh-CN"/>
        </w:rPr>
      </w:pPr>
      <w:r>
        <w:rPr>
          <w:rFonts w:hint="eastAsia"/>
          <w:lang w:val="en-US" w:eastAsia="zh-CN"/>
        </w:rPr>
        <w:t>1.5相关要求</w:t>
      </w:r>
    </w:p>
    <w:p w14:paraId="1E2CD7E2">
      <w:pPr>
        <w:numPr>
          <w:ilvl w:val="0"/>
          <w:numId w:val="1"/>
        </w:numPr>
        <w:bidi w:val="0"/>
        <w:rPr>
          <w:rFonts w:hint="eastAsia"/>
          <w:lang w:val="en-US" w:eastAsia="zh-CN"/>
        </w:rPr>
      </w:pPr>
      <w:r>
        <w:rPr>
          <w:rFonts w:hint="eastAsia"/>
          <w:lang w:val="en-US" w:eastAsia="zh-CN"/>
        </w:rPr>
        <w:t>服务期：自服务协议签订之日起至提交正式《资产评估报告》并完成资产评估备案工作之日止。</w:t>
      </w:r>
    </w:p>
    <w:p w14:paraId="253DE3B8">
      <w:pPr>
        <w:numPr>
          <w:ilvl w:val="0"/>
          <w:numId w:val="1"/>
        </w:numPr>
        <w:bidi w:val="0"/>
        <w:rPr>
          <w:rFonts w:hint="eastAsia"/>
          <w:lang w:val="en-US" w:eastAsia="zh-CN"/>
        </w:rPr>
      </w:pPr>
      <w:r>
        <w:rPr>
          <w:rFonts w:hint="eastAsia"/>
          <w:lang w:val="en-US" w:eastAsia="zh-CN"/>
        </w:rPr>
        <w:t>评估方式：成本法、市场法、收益法。</w:t>
      </w:r>
    </w:p>
    <w:p w14:paraId="3D96B911">
      <w:pPr>
        <w:numPr>
          <w:ilvl w:val="0"/>
          <w:numId w:val="1"/>
        </w:numPr>
        <w:bidi w:val="0"/>
        <w:rPr>
          <w:rFonts w:hint="eastAsia"/>
          <w:lang w:val="en-US" w:eastAsia="zh-CN"/>
        </w:rPr>
      </w:pPr>
      <w:r>
        <w:rPr>
          <w:rFonts w:hint="eastAsia"/>
          <w:lang w:val="en-US" w:eastAsia="zh-CN"/>
        </w:rPr>
        <w:t>提交成果：《资产评估报告》征求意见稿、正式《资产评估报告》。《资产评估报告》包括评估报告书、评估说明、评估明细表及其电子文档及其主要引用的报告（包括土地估价报告、矿业权评估报告等）。询比供应商在满足评估工作条件后15个工作日内提交《资产评估报告》征求意见稿，后续根据外部专家意见修订后完成正式《资产评估报告》，采用中文文本，提供书面正式盖章文本一式陆份，电子稿一份。</w:t>
      </w:r>
    </w:p>
    <w:p w14:paraId="4486E790">
      <w:pPr>
        <w:bidi w:val="0"/>
        <w:rPr>
          <w:rFonts w:hint="eastAsia"/>
          <w:lang w:eastAsia="zh-CN"/>
        </w:rPr>
      </w:pPr>
      <w:r>
        <w:rPr>
          <w:rFonts w:hint="eastAsia"/>
          <w:lang w:val="en-US" w:eastAsia="zh-CN"/>
        </w:rPr>
        <w:t>（4）</w:t>
      </w:r>
      <w:r>
        <w:rPr>
          <w:rFonts w:hint="eastAsia"/>
          <w:lang w:eastAsia="zh-CN"/>
        </w:rPr>
        <w:t>质量</w:t>
      </w:r>
      <w:r>
        <w:rPr>
          <w:rFonts w:hint="eastAsia"/>
          <w:lang w:val="en-US" w:eastAsia="zh-CN"/>
        </w:rPr>
        <w:t>要求</w:t>
      </w:r>
      <w:r>
        <w:rPr>
          <w:rFonts w:hint="eastAsia"/>
          <w:lang w:eastAsia="zh-CN"/>
        </w:rPr>
        <w:t>：</w:t>
      </w:r>
      <w:r>
        <w:rPr>
          <w:rFonts w:hint="eastAsia"/>
          <w:lang w:val="en-US" w:eastAsia="zh-CN"/>
        </w:rPr>
        <w:t>满足采购人的服务要求，明确评估服务团队人员，所选聘团队人员须遵守职业道德，保证服务质量。</w:t>
      </w:r>
    </w:p>
    <w:p w14:paraId="1369728C">
      <w:pPr>
        <w:bidi w:val="0"/>
        <w:rPr>
          <w:rFonts w:hint="eastAsia"/>
          <w:lang w:val="en-US" w:eastAsia="zh-CN"/>
        </w:rPr>
      </w:pPr>
      <w:r>
        <w:rPr>
          <w:rFonts w:hint="eastAsia"/>
          <w:lang w:val="en-US" w:eastAsia="zh-CN"/>
        </w:rPr>
        <w:t>（5）</w:t>
      </w:r>
      <w:r>
        <w:rPr>
          <w:rFonts w:hint="eastAsia"/>
          <w:lang w:eastAsia="zh-CN"/>
        </w:rPr>
        <w:t>报价要求：总价包干，本项目采购预算价13.7万元，其中云南能投红河电力储能园区开发有限公司采购预算价不超过4.7万元，云南能源资产运营管理有限公司采购预算价不超过6万元，云南居正健康管理有限公司采购预算价不超过3万元，</w:t>
      </w:r>
      <w:r>
        <w:rPr>
          <w:rFonts w:hint="eastAsia"/>
          <w:highlight w:val="none"/>
          <w:lang w:eastAsia="zh-CN"/>
        </w:rPr>
        <w:t>超过采购预算价</w:t>
      </w:r>
      <w:r>
        <w:rPr>
          <w:rFonts w:hint="eastAsia"/>
          <w:highlight w:val="none"/>
          <w:lang w:val="en-US" w:eastAsia="zh-CN"/>
        </w:rPr>
        <w:t>总价及分项</w:t>
      </w:r>
      <w:r>
        <w:rPr>
          <w:rFonts w:hint="eastAsia"/>
          <w:highlight w:val="none"/>
          <w:lang w:eastAsia="zh-CN"/>
        </w:rPr>
        <w:t>的报价无效。</w:t>
      </w:r>
    </w:p>
    <w:p w14:paraId="5DA0040F">
      <w:pPr>
        <w:bidi w:val="0"/>
        <w:rPr>
          <w:rFonts w:hint="eastAsia"/>
          <w:lang w:eastAsia="zh-CN"/>
        </w:rPr>
      </w:pPr>
      <w:r>
        <w:rPr>
          <w:rFonts w:hint="eastAsia"/>
          <w:lang w:val="en-US" w:eastAsia="zh-CN"/>
        </w:rPr>
        <w:t>（6）</w:t>
      </w:r>
      <w:r>
        <w:rPr>
          <w:rFonts w:hint="eastAsia"/>
          <w:lang w:eastAsia="zh-CN"/>
        </w:rPr>
        <w:t>其他要求：本项目不划分标段；不接受联合体。</w:t>
      </w:r>
    </w:p>
    <w:p w14:paraId="256FB822">
      <w:pPr>
        <w:bidi w:val="0"/>
        <w:rPr>
          <w:rFonts w:hint="eastAsia"/>
          <w:lang w:val="en-US" w:eastAsia="zh-CN"/>
        </w:rPr>
      </w:pPr>
      <w:r>
        <w:rPr>
          <w:rFonts w:hint="eastAsia"/>
          <w:lang w:val="en-US" w:eastAsia="zh-CN"/>
        </w:rPr>
        <w:t>（7）本项目确定1名供应商成交。</w:t>
      </w:r>
    </w:p>
    <w:p w14:paraId="087D58FE">
      <w:pPr>
        <w:bidi w:val="0"/>
        <w:rPr>
          <w:rFonts w:hint="eastAsia"/>
          <w:lang w:eastAsia="zh-CN"/>
        </w:rPr>
      </w:pPr>
      <w:r>
        <w:rPr>
          <w:rFonts w:hint="eastAsia"/>
          <w:lang w:val="en-US" w:eastAsia="zh-CN"/>
        </w:rPr>
        <w:t>（8）</w:t>
      </w:r>
      <w:r>
        <w:rPr>
          <w:rFonts w:hint="eastAsia"/>
          <w:lang w:eastAsia="zh-CN"/>
        </w:rPr>
        <w:t>资格审查方式：资格后审。</w:t>
      </w:r>
    </w:p>
    <w:p w14:paraId="6948EBC0">
      <w:pPr>
        <w:pStyle w:val="4"/>
        <w:bidi w:val="0"/>
        <w:rPr>
          <w:rFonts w:hint="default"/>
          <w:highlight w:val="none"/>
          <w:lang w:val="en-US" w:eastAsia="zh-CN"/>
        </w:rPr>
      </w:pPr>
      <w:bookmarkStart w:id="9" w:name="_Toc6282"/>
      <w:r>
        <w:rPr>
          <w:rFonts w:hint="eastAsia"/>
          <w:highlight w:val="none"/>
          <w:lang w:val="en-US" w:eastAsia="zh-CN"/>
        </w:rPr>
        <w:t>二、供应商资格要求</w:t>
      </w:r>
      <w:bookmarkEnd w:id="9"/>
    </w:p>
    <w:p w14:paraId="778C7AA8">
      <w:pPr>
        <w:bidi w:val="0"/>
        <w:rPr>
          <w:rFonts w:hint="eastAsia"/>
          <w:lang w:val="en-US" w:eastAsia="zh-CN"/>
        </w:rPr>
      </w:pPr>
      <w:r>
        <w:rPr>
          <w:rFonts w:hint="eastAsia"/>
          <w:lang w:val="en-US" w:eastAsia="zh-CN"/>
        </w:rPr>
        <w:t>2.1营业执照：供应商应是国家工商行政管理部门登记注册的独立企业（事业）法人或其他组织，具有有效的营业执照或其他证照。</w:t>
      </w:r>
    </w:p>
    <w:p w14:paraId="081F0362">
      <w:pPr>
        <w:bidi w:val="0"/>
        <w:rPr>
          <w:rFonts w:hint="eastAsia"/>
          <w:lang w:val="en-US" w:eastAsia="zh-CN"/>
        </w:rPr>
      </w:pPr>
      <w:r>
        <w:rPr>
          <w:rFonts w:hint="eastAsia"/>
          <w:lang w:val="en-US" w:eastAsia="zh-CN"/>
        </w:rPr>
        <w:t>2.2资质要求</w:t>
      </w:r>
    </w:p>
    <w:p w14:paraId="7C718408">
      <w:pPr>
        <w:bidi w:val="0"/>
        <w:rPr>
          <w:rFonts w:hint="eastAsia"/>
          <w:highlight w:val="none"/>
          <w:lang w:val="en-US" w:eastAsia="zh-CN"/>
        </w:rPr>
      </w:pPr>
      <w:r>
        <w:rPr>
          <w:rFonts w:hint="eastAsia"/>
          <w:highlight w:val="none"/>
          <w:lang w:val="en-US" w:eastAsia="zh-CN"/>
        </w:rPr>
        <w:t>具备行业主管部门颁发的在有效期内的资产评估资质证书（或备案证明），且资产评估师超过5人。</w:t>
      </w:r>
    </w:p>
    <w:p w14:paraId="0C6EB90D">
      <w:pPr>
        <w:bidi w:val="0"/>
        <w:rPr>
          <w:rFonts w:hint="eastAsia"/>
          <w:highlight w:val="none"/>
          <w:lang w:val="en-US" w:eastAsia="zh-CN"/>
        </w:rPr>
      </w:pPr>
      <w:r>
        <w:rPr>
          <w:rFonts w:hint="eastAsia"/>
          <w:highlight w:val="none"/>
          <w:lang w:val="en-US" w:eastAsia="zh-CN"/>
        </w:rPr>
        <w:t>2.3项目负责人要求：须具有资产评估师资格，在近三年内（2023年至今）负责过2项及以上类似服务项目（类似服务项目业绩须提供证明材料，证明材料可以是合同、评估报告或业主证明等材料；</w:t>
      </w:r>
    </w:p>
    <w:p w14:paraId="31385546">
      <w:pPr>
        <w:bidi w:val="0"/>
        <w:rPr>
          <w:rFonts w:hint="eastAsia"/>
          <w:highlight w:val="none"/>
          <w:lang w:val="en-US" w:eastAsia="zh-CN"/>
        </w:rPr>
      </w:pPr>
      <w:r>
        <w:rPr>
          <w:rFonts w:hint="eastAsia"/>
          <w:highlight w:val="none"/>
          <w:lang w:val="en-US" w:eastAsia="zh-CN"/>
        </w:rPr>
        <w:t>2.4业绩要求：2023年1月1日至今（以合同签订时间为准）至少有2个类似项目业绩（提供合同复印件，所提供材料须包括签订的服务合同首页、服务内容页、签署页，能反映签订时间、工作范围或工作内容，否则评审小组有权不予认可）。</w:t>
      </w:r>
    </w:p>
    <w:p w14:paraId="3B161975">
      <w:pPr>
        <w:keepNext w:val="0"/>
        <w:keepLines w:val="0"/>
        <w:pageBreakBefore w:val="0"/>
        <w:widowControl w:val="0"/>
        <w:kinsoku/>
        <w:wordWrap w:val="0"/>
        <w:overflowPunct/>
        <w:topLinePunct w:val="0"/>
        <w:autoSpaceDE/>
        <w:autoSpaceDN/>
        <w:bidi w:val="0"/>
        <w:adjustRightInd/>
        <w:snapToGrid/>
        <w:textAlignment w:val="auto"/>
        <w:rPr>
          <w:rFonts w:hint="default"/>
          <w:lang w:val="en-US" w:eastAsia="zh-CN"/>
        </w:rPr>
      </w:pPr>
      <w:r>
        <w:rPr>
          <w:rFonts w:hint="eastAsia"/>
          <w:lang w:val="en-US" w:eastAsia="zh-CN"/>
        </w:rPr>
        <w:t>2.5信誉要求：企业信誉良好，未被列入“信用中国（http://www.creditchina.gov.cn/）”网站的“严重失信主体名单”；未被“中国执行信息公开网（http：//zxgk.court.gov.cn/）”纳入“失信被执行人名单”；存在严重失信行为的供应商不得参与本次询比，提供上述网站信用信息查询结果的网页截图或网页打印稿。</w:t>
      </w:r>
    </w:p>
    <w:p w14:paraId="7797330B">
      <w:pPr>
        <w:bidi w:val="0"/>
        <w:rPr>
          <w:rFonts w:hint="eastAsia"/>
          <w:lang w:val="en-US" w:eastAsia="zh-CN"/>
        </w:rPr>
      </w:pPr>
      <w:r>
        <w:rPr>
          <w:rFonts w:hint="eastAsia"/>
          <w:lang w:val="en-US" w:eastAsia="zh-CN"/>
        </w:rPr>
        <w:t>2.6财务要求</w:t>
      </w:r>
    </w:p>
    <w:p w14:paraId="0052F364">
      <w:pPr>
        <w:bidi w:val="0"/>
        <w:rPr>
          <w:rFonts w:hint="eastAsia"/>
          <w:lang w:val="en-US" w:eastAsia="zh-CN"/>
        </w:rPr>
      </w:pPr>
      <w:r>
        <w:rPr>
          <w:rFonts w:hint="eastAsia"/>
          <w:lang w:val="en-US" w:eastAsia="zh-CN"/>
        </w:rPr>
        <w:t>供应商应当具备健全完善的财务管理制度，财务状况良好。提供2025年度经第三方机构审计的财务审计报告及财务报表（财务报表仅提供资产负债表、利润表、现金流量表）；2025年后成立或者成立不满1年的，未达到财务审计要求的，可提供供应商自行编制的财务报表（包括资产负债表、利润表、现金流量表）并附财务情况说明。</w:t>
      </w:r>
    </w:p>
    <w:p w14:paraId="20CC68E4">
      <w:pPr>
        <w:bidi w:val="0"/>
        <w:rPr>
          <w:rFonts w:hint="eastAsia"/>
          <w:lang w:val="en-US" w:eastAsia="zh-CN"/>
        </w:rPr>
      </w:pPr>
      <w:r>
        <w:rPr>
          <w:rFonts w:hint="eastAsia"/>
          <w:lang w:val="en-US" w:eastAsia="zh-CN"/>
        </w:rPr>
        <w:t>2.7其他要求</w:t>
      </w:r>
    </w:p>
    <w:p w14:paraId="099314B1">
      <w:pPr>
        <w:bidi w:val="0"/>
        <w:rPr>
          <w:rFonts w:hint="eastAsia"/>
          <w:lang w:val="en-US" w:eastAsia="zh-CN"/>
        </w:rPr>
      </w:pPr>
      <w:r>
        <w:rPr>
          <w:rFonts w:hint="eastAsia"/>
          <w:lang w:val="en-US" w:eastAsia="zh-CN"/>
        </w:rPr>
        <w:t>（1）本项目不接受联合体。</w:t>
      </w:r>
    </w:p>
    <w:p w14:paraId="025FAB04">
      <w:pPr>
        <w:bidi w:val="0"/>
        <w:rPr>
          <w:rFonts w:hint="eastAsia"/>
          <w:lang w:val="en-US" w:eastAsia="zh-CN"/>
        </w:rPr>
      </w:pPr>
      <w:r>
        <w:rPr>
          <w:rFonts w:hint="eastAsia"/>
          <w:lang w:val="en-US" w:eastAsia="zh-CN"/>
        </w:rPr>
        <w:t>（2）与采购人存在利害关系可能影响询比公正性的法人、其他组织或者个人，不得参加本项目报价。单位负责人为同一人或存在控股、管理关系的不同单位，不得参加同一标段询比或者未划分标段的同一询比项目。</w:t>
      </w:r>
    </w:p>
    <w:p w14:paraId="2949E920">
      <w:pPr>
        <w:bidi w:val="0"/>
        <w:rPr>
          <w:rFonts w:hint="eastAsia"/>
          <w:lang w:val="en-US" w:eastAsia="zh-CN"/>
        </w:rPr>
      </w:pPr>
      <w:r>
        <w:rPr>
          <w:rFonts w:hint="eastAsia"/>
          <w:b/>
          <w:bCs/>
          <w:lang w:val="en-US" w:eastAsia="zh-CN"/>
        </w:rPr>
        <w:t>注意：只有完全具备以上条件的供应商，才可参与报价。如供应商为满足以上条件虚报材料，一经查实，该供应商的响应文件将被否决。</w:t>
      </w:r>
    </w:p>
    <w:p w14:paraId="39DD0588">
      <w:pPr>
        <w:pStyle w:val="4"/>
        <w:bidi w:val="0"/>
        <w:rPr>
          <w:rFonts w:hint="eastAsia"/>
          <w:lang w:val="en-US" w:eastAsia="zh-CN"/>
        </w:rPr>
      </w:pPr>
      <w:bookmarkStart w:id="10" w:name="_Toc3796"/>
      <w:r>
        <w:rPr>
          <w:rFonts w:hint="eastAsia"/>
          <w:lang w:val="en-US" w:eastAsia="zh-CN"/>
        </w:rPr>
        <w:t>三</w:t>
      </w:r>
      <w:r>
        <w:t>、报名</w:t>
      </w:r>
      <w:r>
        <w:rPr>
          <w:rFonts w:hint="eastAsia"/>
          <w:lang w:val="en-US" w:eastAsia="zh-CN"/>
        </w:rPr>
        <w:t>要求</w:t>
      </w:r>
      <w:bookmarkEnd w:id="10"/>
    </w:p>
    <w:p w14:paraId="1D32555D">
      <w:pPr>
        <w:rPr>
          <w:rFonts w:hint="eastAsia"/>
          <w:color w:val="auto"/>
          <w:highlight w:val="none"/>
          <w:lang w:val="en-US" w:eastAsia="zh-CN"/>
        </w:rPr>
      </w:pPr>
      <w:r>
        <w:rPr>
          <w:rFonts w:hint="eastAsia"/>
          <w:color w:val="auto"/>
          <w:highlight w:val="none"/>
        </w:rPr>
        <w:t>若有意参加本次</w:t>
      </w:r>
      <w:r>
        <w:rPr>
          <w:rFonts w:hint="eastAsia"/>
          <w:color w:val="auto"/>
          <w:highlight w:val="none"/>
          <w:lang w:val="en-US" w:eastAsia="zh-CN"/>
        </w:rPr>
        <w:t>询比</w:t>
      </w:r>
      <w:r>
        <w:rPr>
          <w:rFonts w:hint="eastAsia"/>
          <w:color w:val="auto"/>
          <w:highlight w:val="none"/>
        </w:rPr>
        <w:t>，请于2026年</w:t>
      </w:r>
      <w:r>
        <w:rPr>
          <w:rFonts w:hint="eastAsia"/>
          <w:color w:val="auto"/>
          <w:highlight w:val="none"/>
          <w:lang w:val="en-US" w:eastAsia="zh-CN"/>
        </w:rPr>
        <w:t>10</w:t>
      </w:r>
      <w:r>
        <w:rPr>
          <w:rFonts w:hint="eastAsia"/>
          <w:color w:val="auto"/>
          <w:highlight w:val="none"/>
        </w:rPr>
        <w:t>月</w:t>
      </w:r>
      <w:r>
        <w:rPr>
          <w:rFonts w:hint="eastAsia"/>
          <w:color w:val="auto"/>
          <w:highlight w:val="none"/>
          <w:lang w:val="en-US" w:eastAsia="zh-CN"/>
        </w:rPr>
        <w:t>26</w:t>
      </w:r>
      <w:r>
        <w:rPr>
          <w:rFonts w:hint="eastAsia"/>
          <w:color w:val="auto"/>
          <w:highlight w:val="none"/>
        </w:rPr>
        <w:t>日17时</w:t>
      </w:r>
      <w:r>
        <w:rPr>
          <w:rFonts w:hint="eastAsia"/>
          <w:color w:val="auto"/>
          <w:highlight w:val="none"/>
          <w:lang w:val="en-US" w:eastAsia="zh-CN"/>
        </w:rPr>
        <w:t>00</w:t>
      </w:r>
      <w:r>
        <w:rPr>
          <w:rFonts w:hint="eastAsia"/>
          <w:color w:val="auto"/>
          <w:highlight w:val="none"/>
        </w:rPr>
        <w:t>分前</w:t>
      </w:r>
      <w:r>
        <w:rPr>
          <w:rFonts w:hint="eastAsia"/>
          <w:highlight w:val="none"/>
          <w:lang w:val="en-US" w:eastAsia="zh-CN"/>
        </w:rPr>
        <w:t>（北京时间）</w:t>
      </w:r>
      <w:r>
        <w:rPr>
          <w:rFonts w:hint="eastAsia"/>
          <w:color w:val="auto"/>
          <w:highlight w:val="none"/>
        </w:rPr>
        <w:t>，将加盖单位公章的《询比参与确认函》扫描件发送至指定邮箱：</w:t>
      </w:r>
      <w:r>
        <w:rPr>
          <w:rFonts w:hint="eastAsia"/>
          <w:color w:val="auto"/>
          <w:highlight w:val="none"/>
          <w:lang w:val="en-US" w:eastAsia="zh-CN"/>
        </w:rPr>
        <w:t>287223772@qq.com</w:t>
      </w:r>
      <w:bookmarkStart w:id="74" w:name="_GoBack"/>
      <w:bookmarkEnd w:id="74"/>
      <w:r>
        <w:rPr>
          <w:rFonts w:hint="eastAsia"/>
          <w:color w:val="auto"/>
          <w:highlight w:val="none"/>
          <w:lang w:val="en-US" w:eastAsia="zh-CN"/>
        </w:rPr>
        <w:t>，邮件标题请统一命名为“【项目名称】-【供应商名称】-询比参与确认函”。</w:t>
      </w:r>
    </w:p>
    <w:p w14:paraId="64F08147">
      <w:pPr>
        <w:rPr>
          <w:rFonts w:hint="eastAsia"/>
          <w:b/>
          <w:bCs/>
          <w:color w:val="auto"/>
        </w:rPr>
      </w:pPr>
      <w:r>
        <w:rPr>
          <w:rFonts w:hint="eastAsia"/>
          <w:b/>
          <w:bCs/>
          <w:color w:val="auto"/>
        </w:rPr>
        <w:t>逾期未按上述要求发送确认函的，视为放弃参与本次</w:t>
      </w:r>
      <w:r>
        <w:rPr>
          <w:rFonts w:hint="eastAsia"/>
          <w:b/>
          <w:bCs/>
          <w:color w:val="auto"/>
          <w:lang w:val="en-US" w:eastAsia="zh-CN"/>
        </w:rPr>
        <w:t>询比</w:t>
      </w:r>
      <w:r>
        <w:rPr>
          <w:rFonts w:hint="eastAsia"/>
          <w:b/>
          <w:bCs/>
          <w:color w:val="auto"/>
        </w:rPr>
        <w:t>，不得递交</w:t>
      </w:r>
      <w:r>
        <w:rPr>
          <w:rFonts w:hint="eastAsia"/>
          <w:b/>
          <w:bCs/>
          <w:color w:val="auto"/>
          <w:lang w:eastAsia="zh-CN"/>
        </w:rPr>
        <w:t>响应文件</w:t>
      </w:r>
      <w:r>
        <w:rPr>
          <w:rFonts w:hint="eastAsia"/>
          <w:b/>
          <w:bCs/>
          <w:color w:val="auto"/>
        </w:rPr>
        <w:t>。</w:t>
      </w:r>
    </w:p>
    <w:p w14:paraId="7E685605">
      <w:pPr>
        <w:pStyle w:val="4"/>
        <w:bidi w:val="0"/>
        <w:rPr>
          <w:rFonts w:hint="eastAsia"/>
          <w:lang w:val="en-US" w:eastAsia="zh-CN"/>
        </w:rPr>
      </w:pPr>
      <w:bookmarkStart w:id="11" w:name="_Toc4497"/>
      <w:r>
        <w:rPr>
          <w:rFonts w:hint="eastAsia"/>
          <w:lang w:val="en-US" w:eastAsia="zh-CN"/>
        </w:rPr>
        <w:t>四、询比采购文件的获取</w:t>
      </w:r>
      <w:bookmarkEnd w:id="11"/>
    </w:p>
    <w:p w14:paraId="533846D8">
      <w:pPr>
        <w:keepNext w:val="0"/>
        <w:keepLines w:val="0"/>
        <w:pageBreakBefore w:val="0"/>
        <w:widowControl w:val="0"/>
        <w:kinsoku/>
        <w:wordWrap w:val="0"/>
        <w:overflowPunct/>
        <w:topLinePunct w:val="0"/>
        <w:autoSpaceDE/>
        <w:autoSpaceDN/>
        <w:bidi w:val="0"/>
        <w:adjustRightInd/>
        <w:snapToGrid/>
        <w:textAlignment w:val="auto"/>
        <w:rPr>
          <w:rFonts w:hint="default"/>
          <w:highlight w:val="none"/>
          <w:lang w:val="en-US" w:eastAsia="zh-CN"/>
        </w:rPr>
      </w:pPr>
      <w:r>
        <w:rPr>
          <w:rFonts w:hint="default"/>
          <w:highlight w:val="none"/>
          <w:lang w:val="en-US" w:eastAsia="zh-CN"/>
        </w:rPr>
        <w:t>本项目</w:t>
      </w:r>
      <w:r>
        <w:rPr>
          <w:rFonts w:hint="eastAsia"/>
          <w:highlight w:val="none"/>
          <w:lang w:val="en-US" w:eastAsia="zh-CN"/>
        </w:rPr>
        <w:t>询比采购文件请自行</w:t>
      </w:r>
      <w:r>
        <w:rPr>
          <w:rFonts w:hint="default"/>
          <w:highlight w:val="none"/>
          <w:lang w:val="en-US" w:eastAsia="zh-CN"/>
        </w:rPr>
        <w:t>在云南能源集团招采发布平台（https://zcfb.cnyeig.cn/sjhz/）上</w:t>
      </w:r>
      <w:r>
        <w:rPr>
          <w:rFonts w:hint="eastAsia"/>
          <w:highlight w:val="none"/>
          <w:lang w:val="en-US" w:eastAsia="zh-CN"/>
        </w:rPr>
        <w:t>获取</w:t>
      </w:r>
      <w:r>
        <w:rPr>
          <w:rFonts w:hint="default"/>
          <w:highlight w:val="none"/>
          <w:lang w:val="en-US" w:eastAsia="zh-CN"/>
        </w:rPr>
        <w:t>。询比采购文件获取时间为2026年</w:t>
      </w:r>
      <w:r>
        <w:rPr>
          <w:rFonts w:hint="eastAsia"/>
          <w:highlight w:val="none"/>
          <w:lang w:val="en-US" w:eastAsia="zh-CN"/>
        </w:rPr>
        <w:t>10</w:t>
      </w:r>
      <w:r>
        <w:rPr>
          <w:rFonts w:hint="default"/>
          <w:highlight w:val="none"/>
          <w:lang w:val="en-US" w:eastAsia="zh-CN"/>
        </w:rPr>
        <w:t>月</w:t>
      </w:r>
      <w:r>
        <w:rPr>
          <w:rFonts w:hint="eastAsia"/>
          <w:highlight w:val="none"/>
          <w:lang w:val="en-US" w:eastAsia="zh-CN"/>
        </w:rPr>
        <w:t>22</w:t>
      </w:r>
      <w:r>
        <w:rPr>
          <w:rFonts w:hint="default"/>
          <w:highlight w:val="none"/>
          <w:lang w:val="en-US" w:eastAsia="zh-CN"/>
        </w:rPr>
        <w:t>日至2026年</w:t>
      </w:r>
      <w:r>
        <w:rPr>
          <w:rFonts w:hint="eastAsia"/>
          <w:highlight w:val="none"/>
          <w:lang w:val="en-US" w:eastAsia="zh-CN"/>
        </w:rPr>
        <w:t>10</w:t>
      </w:r>
      <w:r>
        <w:rPr>
          <w:rFonts w:hint="default"/>
          <w:highlight w:val="none"/>
          <w:lang w:val="en-US" w:eastAsia="zh-CN"/>
        </w:rPr>
        <w:t>月</w:t>
      </w:r>
      <w:r>
        <w:rPr>
          <w:rFonts w:hint="eastAsia"/>
          <w:highlight w:val="none"/>
          <w:lang w:val="en-US" w:eastAsia="zh-CN"/>
        </w:rPr>
        <w:t>28</w:t>
      </w:r>
      <w:r>
        <w:rPr>
          <w:rFonts w:hint="default"/>
          <w:highlight w:val="none"/>
          <w:lang w:val="en-US" w:eastAsia="zh-CN"/>
        </w:rPr>
        <w:t>日</w:t>
      </w:r>
      <w:r>
        <w:rPr>
          <w:rFonts w:hint="eastAsia"/>
          <w:color w:val="auto"/>
          <w:highlight w:val="none"/>
          <w:lang w:val="en-US" w:eastAsia="zh-CN"/>
        </w:rPr>
        <w:t>10</w:t>
      </w:r>
      <w:r>
        <w:rPr>
          <w:rFonts w:hint="eastAsia"/>
          <w:color w:val="auto"/>
          <w:highlight w:val="none"/>
        </w:rPr>
        <w:t>时</w:t>
      </w:r>
      <w:r>
        <w:rPr>
          <w:rFonts w:hint="eastAsia"/>
          <w:color w:val="auto"/>
          <w:highlight w:val="none"/>
          <w:lang w:val="en-US" w:eastAsia="zh-CN"/>
        </w:rPr>
        <w:t>00</w:t>
      </w:r>
      <w:r>
        <w:rPr>
          <w:rFonts w:hint="eastAsia"/>
          <w:color w:val="auto"/>
          <w:highlight w:val="none"/>
        </w:rPr>
        <w:t>分</w:t>
      </w:r>
      <w:r>
        <w:rPr>
          <w:rFonts w:hint="default"/>
          <w:highlight w:val="none"/>
          <w:lang w:val="en-US" w:eastAsia="zh-CN"/>
        </w:rPr>
        <w:t>（即公告发布之日起至</w:t>
      </w:r>
      <w:r>
        <w:rPr>
          <w:rFonts w:hint="default"/>
          <w:highlight w:val="none"/>
          <w:lang w:eastAsia="zh-CN"/>
          <w:woUserID w:val="1"/>
        </w:rPr>
        <w:t>响应文件递交</w:t>
      </w:r>
      <w:r>
        <w:rPr>
          <w:rFonts w:hint="default"/>
          <w:highlight w:val="none"/>
          <w:lang w:val="en-US" w:eastAsia="zh-CN"/>
        </w:rPr>
        <w:t>截止时间止）。</w:t>
      </w:r>
    </w:p>
    <w:p w14:paraId="5B9D2D2E">
      <w:pPr>
        <w:pStyle w:val="4"/>
        <w:bidi w:val="0"/>
        <w:rPr>
          <w:rFonts w:hint="default"/>
          <w:lang w:val="en-US" w:eastAsia="zh-CN"/>
        </w:rPr>
      </w:pPr>
      <w:bookmarkStart w:id="12" w:name="_Toc8508"/>
      <w:r>
        <w:rPr>
          <w:rFonts w:hint="eastAsia"/>
          <w:lang w:val="en-US" w:eastAsia="zh-CN"/>
        </w:rPr>
        <w:t>五、响应文件的递交</w:t>
      </w:r>
      <w:bookmarkEnd w:id="12"/>
    </w:p>
    <w:p w14:paraId="65C510A1">
      <w:pPr>
        <w:bidi w:val="0"/>
        <w:rPr>
          <w:rFonts w:hint="eastAsia"/>
          <w:highlight w:val="none"/>
          <w:lang w:val="en-US" w:eastAsia="zh-CN"/>
        </w:rPr>
      </w:pPr>
      <w:r>
        <w:rPr>
          <w:rFonts w:hint="eastAsia"/>
          <w:highlight w:val="none"/>
          <w:lang w:val="en-US" w:eastAsia="zh-CN"/>
        </w:rPr>
        <w:t>5.1响应文件递交截止时间：2026年10月28日10时00分（北京时间）；</w:t>
      </w:r>
    </w:p>
    <w:p w14:paraId="1736396E">
      <w:pPr>
        <w:bidi w:val="0"/>
        <w:rPr>
          <w:rFonts w:hint="eastAsia"/>
          <w:lang w:val="en-US" w:eastAsia="zh-CN"/>
        </w:rPr>
      </w:pPr>
      <w:r>
        <w:rPr>
          <w:rFonts w:hint="eastAsia"/>
          <w:highlight w:val="none"/>
          <w:lang w:val="en-US" w:eastAsia="zh-CN"/>
        </w:rPr>
        <w:t>5.2递交响应文件地点：云南省昆明市西山区日新中路397号云能大厦2号</w:t>
      </w:r>
      <w:r>
        <w:rPr>
          <w:rFonts w:hint="eastAsia"/>
          <w:lang w:val="en-US" w:eastAsia="zh-CN"/>
        </w:rPr>
        <w:t>楼F12层。</w:t>
      </w:r>
    </w:p>
    <w:p w14:paraId="2220C55D">
      <w:pPr>
        <w:bidi w:val="0"/>
        <w:rPr>
          <w:rFonts w:hint="eastAsia"/>
          <w:highlight w:val="none"/>
          <w:lang w:val="en-US" w:eastAsia="zh-CN"/>
        </w:rPr>
      </w:pPr>
      <w:r>
        <w:rPr>
          <w:rFonts w:hint="eastAsia"/>
          <w:highlight w:val="none"/>
          <w:lang w:val="en-US" w:eastAsia="zh-CN"/>
        </w:rPr>
        <w:t>5.3响应文件递交方式：现场递交，供应商须在响应文件递交截止时间前，到达响应文件递交地点完成递交，本项目不接受邮寄响应文件。</w:t>
      </w:r>
    </w:p>
    <w:p w14:paraId="3C45B336">
      <w:pPr>
        <w:bidi w:val="0"/>
        <w:rPr>
          <w:highlight w:val="none"/>
        </w:rPr>
      </w:pPr>
      <w:r>
        <w:rPr>
          <w:rFonts w:hint="eastAsia"/>
          <w:highlight w:val="none"/>
          <w:lang w:val="en-US" w:eastAsia="zh-CN"/>
        </w:rPr>
        <w:t>逾期送达或者未送达指定地点的，采购人不予受理。</w:t>
      </w:r>
    </w:p>
    <w:p w14:paraId="40C45075">
      <w:pPr>
        <w:pStyle w:val="4"/>
        <w:bidi w:val="0"/>
      </w:pPr>
      <w:bookmarkStart w:id="13" w:name="_Toc4233"/>
      <w:r>
        <w:rPr>
          <w:rFonts w:hint="eastAsia"/>
          <w:lang w:val="en-US" w:eastAsia="zh-CN"/>
        </w:rPr>
        <w:t>六</w:t>
      </w:r>
      <w:r>
        <w:t>、</w:t>
      </w:r>
      <w:r>
        <w:rPr>
          <w:rFonts w:hint="eastAsia"/>
          <w:lang w:eastAsia="zh-CN"/>
        </w:rPr>
        <w:t>发布</w:t>
      </w:r>
      <w:r>
        <w:rPr>
          <w:rFonts w:hint="eastAsia"/>
          <w:lang w:val="en-US" w:eastAsia="zh-CN"/>
        </w:rPr>
        <w:t>询比</w:t>
      </w:r>
      <w:r>
        <w:rPr>
          <w:rFonts w:hint="eastAsia"/>
          <w:lang w:eastAsia="zh-CN"/>
        </w:rPr>
        <w:t>公告的媒介</w:t>
      </w:r>
      <w:bookmarkEnd w:id="13"/>
    </w:p>
    <w:p w14:paraId="5B42233A">
      <w:pPr>
        <w:rPr>
          <w:rFonts w:hint="default"/>
          <w:color w:val="auto"/>
          <w:lang w:val="en-US" w:eastAsia="zh-CN"/>
        </w:rPr>
      </w:pPr>
      <w:r>
        <w:rPr>
          <w:rFonts w:hint="eastAsia"/>
          <w:color w:val="auto"/>
        </w:rPr>
        <w:t>本项目公告在云南能源集团招采发布平台（https://zcfb.cnyeig.cn/sjhz/）上发布。我公司对其他网站或媒体转载的公告及公告内容不承担任何责任</w:t>
      </w:r>
      <w:r>
        <w:rPr>
          <w:rFonts w:hint="default"/>
          <w:color w:val="auto"/>
          <w:lang w:val="en-US" w:eastAsia="zh-CN"/>
        </w:rPr>
        <w:t>。</w:t>
      </w:r>
    </w:p>
    <w:p w14:paraId="78937837">
      <w:pPr>
        <w:pStyle w:val="4"/>
        <w:bidi w:val="0"/>
        <w:rPr>
          <w:rFonts w:hint="default"/>
          <w:lang w:val="en-US" w:eastAsia="zh-CN"/>
        </w:rPr>
      </w:pPr>
      <w:bookmarkStart w:id="14" w:name="_Toc30183"/>
      <w:r>
        <w:rPr>
          <w:rFonts w:hint="eastAsia"/>
          <w:lang w:val="en-US" w:eastAsia="zh-CN"/>
        </w:rPr>
        <w:t>七、联系方式</w:t>
      </w:r>
      <w:bookmarkEnd w:id="14"/>
    </w:p>
    <w:p w14:paraId="0611A29F">
      <w:pPr>
        <w:rPr>
          <w:rFonts w:hint="eastAsia"/>
          <w:color w:val="auto"/>
        </w:rPr>
      </w:pPr>
      <w:r>
        <w:rPr>
          <w:rFonts w:hint="eastAsia"/>
          <w:color w:val="auto"/>
        </w:rPr>
        <w:t>采购人：云南能源资产运营管理有限公司</w:t>
      </w:r>
    </w:p>
    <w:p w14:paraId="6F3EF94E">
      <w:pPr>
        <w:rPr>
          <w:rFonts w:hint="eastAsia"/>
          <w:color w:val="auto"/>
        </w:rPr>
      </w:pPr>
      <w:r>
        <w:rPr>
          <w:rFonts w:hint="eastAsia"/>
          <w:color w:val="auto"/>
        </w:rPr>
        <w:t>地址：云南省昆明市西山区日新中路397号云能大厦2号楼F12层</w:t>
      </w:r>
    </w:p>
    <w:p w14:paraId="6EC79F9E">
      <w:pPr>
        <w:rPr>
          <w:rFonts w:hint="default" w:eastAsia="方正仿宋_GBK"/>
          <w:color w:val="auto"/>
          <w:highlight w:val="none"/>
          <w:lang w:val="en-US" w:eastAsia="zh-CN"/>
        </w:rPr>
      </w:pPr>
      <w:r>
        <w:rPr>
          <w:rFonts w:hint="eastAsia"/>
          <w:color w:val="auto"/>
          <w:highlight w:val="none"/>
        </w:rPr>
        <w:t>联系人：</w:t>
      </w:r>
      <w:r>
        <w:rPr>
          <w:rFonts w:hint="eastAsia"/>
          <w:color w:val="auto"/>
          <w:highlight w:val="none"/>
          <w:lang w:val="en-US" w:eastAsia="zh-CN"/>
        </w:rPr>
        <w:t>洪老师</w:t>
      </w:r>
    </w:p>
    <w:p w14:paraId="31BABAC2">
      <w:pPr>
        <w:rPr>
          <w:rFonts w:hint="default" w:eastAsia="方正仿宋_GBK"/>
          <w:color w:val="auto"/>
          <w:highlight w:val="none"/>
          <w:lang w:val="en-US" w:eastAsia="zh-CN"/>
        </w:rPr>
      </w:pPr>
      <w:r>
        <w:rPr>
          <w:rFonts w:hint="eastAsia"/>
          <w:color w:val="auto"/>
          <w:highlight w:val="none"/>
        </w:rPr>
        <w:t xml:space="preserve">电 </w:t>
      </w:r>
      <w:r>
        <w:rPr>
          <w:rFonts w:hint="eastAsia"/>
          <w:color w:val="auto"/>
          <w:highlight w:val="none"/>
          <w:lang w:val="en-US" w:eastAsia="zh-CN"/>
        </w:rPr>
        <w:t xml:space="preserve"> </w:t>
      </w:r>
      <w:r>
        <w:rPr>
          <w:rFonts w:hint="eastAsia"/>
          <w:color w:val="auto"/>
          <w:highlight w:val="none"/>
        </w:rPr>
        <w:t>话：</w:t>
      </w:r>
      <w:r>
        <w:rPr>
          <w:rFonts w:hint="eastAsia"/>
          <w:color w:val="auto"/>
          <w:highlight w:val="none"/>
          <w:lang w:val="en-US" w:eastAsia="zh-CN"/>
        </w:rPr>
        <w:t>15388843702</w:t>
      </w:r>
    </w:p>
    <w:p w14:paraId="216DBD5B">
      <w:pPr>
        <w:pStyle w:val="17"/>
        <w:rPr>
          <w:rFonts w:hint="eastAsia"/>
          <w:color w:val="auto"/>
        </w:rPr>
      </w:pPr>
    </w:p>
    <w:p w14:paraId="31EE0A5F">
      <w:pPr>
        <w:pStyle w:val="6"/>
      </w:pPr>
    </w:p>
    <w:p w14:paraId="0E238780">
      <w:pPr>
        <w:rPr>
          <w:color w:val="auto"/>
        </w:rPr>
      </w:pPr>
      <w:r>
        <w:rPr>
          <w:rFonts w:hint="eastAsia"/>
          <w:color w:val="auto"/>
        </w:rPr>
        <w:t>附件：</w:t>
      </w:r>
      <w:bookmarkStart w:id="15" w:name="OLE_LINK43"/>
      <w:bookmarkStart w:id="16" w:name="OLE_LINK44"/>
      <w:r>
        <w:rPr>
          <w:rFonts w:hint="eastAsia"/>
          <w:color w:val="auto"/>
        </w:rPr>
        <w:t>询比参与确认函</w:t>
      </w:r>
      <w:bookmarkEnd w:id="15"/>
      <w:bookmarkEnd w:id="16"/>
    </w:p>
    <w:p w14:paraId="420021D3">
      <w:pPr>
        <w:ind w:firstLine="1200" w:firstLineChars="500"/>
        <w:rPr>
          <w:color w:val="auto"/>
        </w:rPr>
      </w:pPr>
    </w:p>
    <w:p w14:paraId="2792F844">
      <w:pPr>
        <w:rPr>
          <w:color w:val="auto"/>
        </w:rPr>
      </w:pPr>
    </w:p>
    <w:p w14:paraId="146B29DF">
      <w:pPr>
        <w:jc w:val="right"/>
        <w:rPr>
          <w:color w:val="auto"/>
        </w:rPr>
      </w:pPr>
      <w:r>
        <w:rPr>
          <w:rFonts w:hint="eastAsia"/>
          <w:color w:val="auto"/>
        </w:rPr>
        <w:t>云南能源资产运营管理有限公司</w:t>
      </w:r>
    </w:p>
    <w:p w14:paraId="36B11C9B">
      <w:pPr>
        <w:wordWrap w:val="0"/>
        <w:jc w:val="center"/>
        <w:rPr>
          <w:color w:val="auto"/>
          <w:highlight w:val="none"/>
        </w:rPr>
      </w:pPr>
      <w:r>
        <w:rPr>
          <w:rFonts w:hint="eastAsia"/>
          <w:color w:val="auto"/>
          <w:highlight w:val="none"/>
          <w:lang w:val="en-US" w:eastAsia="zh-CN"/>
        </w:rPr>
        <w:t xml:space="preserve">                                      </w:t>
      </w:r>
      <w:r>
        <w:rPr>
          <w:color w:val="auto"/>
          <w:highlight w:val="none"/>
        </w:rPr>
        <w:t>2026年</w:t>
      </w:r>
      <w:r>
        <w:rPr>
          <w:rFonts w:hint="eastAsia"/>
          <w:color w:val="auto"/>
          <w:highlight w:val="none"/>
          <w:lang w:val="en-US" w:eastAsia="zh-CN"/>
        </w:rPr>
        <w:t>10</w:t>
      </w:r>
      <w:r>
        <w:rPr>
          <w:color w:val="auto"/>
          <w:highlight w:val="none"/>
        </w:rPr>
        <w:t>月</w:t>
      </w:r>
      <w:r>
        <w:rPr>
          <w:rFonts w:hint="eastAsia"/>
          <w:color w:val="auto"/>
          <w:highlight w:val="none"/>
          <w:lang w:val="en-US" w:eastAsia="zh-CN"/>
        </w:rPr>
        <w:t>22</w:t>
      </w:r>
      <w:r>
        <w:rPr>
          <w:color w:val="auto"/>
          <w:highlight w:val="none"/>
        </w:rPr>
        <w:t xml:space="preserve">日   </w:t>
      </w:r>
    </w:p>
    <w:p w14:paraId="6521E0E1">
      <w:pPr>
        <w:wordWrap w:val="0"/>
        <w:jc w:val="center"/>
        <w:rPr>
          <w:color w:val="auto"/>
          <w:highlight w:val="none"/>
        </w:rPr>
      </w:pPr>
    </w:p>
    <w:p w14:paraId="1B0EF1B2">
      <w:pPr>
        <w:wordWrap w:val="0"/>
        <w:jc w:val="center"/>
        <w:rPr>
          <w:color w:val="auto"/>
          <w:highlight w:val="none"/>
        </w:rPr>
        <w:sectPr>
          <w:headerReference r:id="rId7" w:type="default"/>
          <w:footerReference r:id="rId8" w:type="default"/>
          <w:pgSz w:w="11906" w:h="16838"/>
          <w:pgMar w:top="1440" w:right="1800" w:bottom="1440" w:left="1800" w:header="851" w:footer="992" w:gutter="0"/>
          <w:pgNumType w:start="1"/>
          <w:cols w:space="425" w:num="1"/>
          <w:docGrid w:type="lines" w:linePitch="312" w:charSpace="0"/>
        </w:sectPr>
      </w:pPr>
    </w:p>
    <w:p w14:paraId="4F2DF1E4">
      <w:pPr>
        <w:ind w:firstLine="0" w:firstLineChars="0"/>
      </w:pPr>
      <w:r>
        <w:rPr>
          <w:rFonts w:hint="eastAsia"/>
        </w:rPr>
        <w:t>附件：</w:t>
      </w:r>
    </w:p>
    <w:p w14:paraId="75825C10">
      <w:pPr>
        <w:pStyle w:val="16"/>
        <w:keepNext w:val="0"/>
        <w:keepLines w:val="0"/>
        <w:pageBreakBefore w:val="0"/>
        <w:widowControl w:val="0"/>
        <w:kinsoku/>
        <w:wordWrap/>
        <w:overflowPunct/>
        <w:topLinePunct w:val="0"/>
        <w:autoSpaceDE/>
        <w:autoSpaceDN/>
        <w:bidi w:val="0"/>
        <w:adjustRightInd/>
        <w:snapToGrid/>
        <w:spacing w:before="100" w:beforeAutospacing="1" w:after="100" w:afterAutospacing="1" w:line="240" w:lineRule="auto"/>
        <w:ind w:firstLine="0" w:firstLineChars="0"/>
        <w:textAlignment w:val="auto"/>
      </w:pPr>
      <w:bookmarkStart w:id="17" w:name="_Toc16745"/>
      <w:bookmarkStart w:id="18" w:name="_Toc26264"/>
      <w:r>
        <w:t>询</w:t>
      </w:r>
      <w:r>
        <w:rPr>
          <w:rFonts w:hint="eastAsia"/>
        </w:rPr>
        <w:t>比</w:t>
      </w:r>
      <w:r>
        <w:t>参与确认函</w:t>
      </w:r>
      <w:bookmarkEnd w:id="17"/>
      <w:bookmarkEnd w:id="18"/>
    </w:p>
    <w:p w14:paraId="30FD1172">
      <w:pPr>
        <w:ind w:firstLine="0" w:firstLineChars="0"/>
      </w:pPr>
      <w:r>
        <w:rPr>
          <w:rFonts w:hint="eastAsia"/>
        </w:rPr>
        <w:t>云南能源资产运营管理有限公司：</w:t>
      </w:r>
    </w:p>
    <w:p w14:paraId="29E4072A">
      <w:r>
        <w:t>我单位对</w:t>
      </w:r>
      <w:r>
        <w:rPr>
          <w:rFonts w:hint="eastAsia"/>
        </w:rPr>
        <w:t>《</w:t>
      </w:r>
      <w:r>
        <w:rPr>
          <w:rFonts w:hint="eastAsia"/>
          <w:highlight w:val="none"/>
          <w:lang w:val="en-US" w:eastAsia="zh-CN"/>
        </w:rPr>
        <w:t>云南能源资产运营管理有限公司及所属公司投资性房地产价值评估服务</w:t>
      </w:r>
      <w:r>
        <w:rPr>
          <w:rFonts w:hint="eastAsia"/>
          <w:highlight w:val="none"/>
        </w:rPr>
        <w:t>项目询比</w:t>
      </w:r>
      <w:r>
        <w:rPr>
          <w:rFonts w:hint="eastAsia"/>
          <w:highlight w:val="none"/>
          <w:lang w:val="en-US" w:eastAsia="zh-CN"/>
        </w:rPr>
        <w:t>采购</w:t>
      </w:r>
      <w:r>
        <w:rPr>
          <w:highlight w:val="none"/>
        </w:rPr>
        <w:t>公告</w:t>
      </w:r>
      <w:r>
        <w:t>》已知悉，将按公告要求</w:t>
      </w:r>
      <w:r>
        <w:rPr>
          <w:rFonts w:hint="eastAsia"/>
        </w:rPr>
        <w:t>参与</w:t>
      </w:r>
      <w:r>
        <w:t>报价，现作出以下承诺：</w:t>
      </w:r>
    </w:p>
    <w:p w14:paraId="3A5165C5">
      <w:r>
        <w:rPr>
          <w:rFonts w:hint="eastAsia"/>
        </w:rPr>
        <w:t>1.我单位不属于与采购人存在利害关系可能影响采购公正性的法人、其他组织或者个人。</w:t>
      </w:r>
    </w:p>
    <w:p w14:paraId="40A72C25">
      <w:r>
        <w:rPr>
          <w:rFonts w:hint="eastAsia"/>
        </w:rPr>
        <w:t>2.我单位郑重声明，完全理解并接受本次询比的规则和程序，自愿参与并承诺按照询比公告的要求和程序进行报价、询比及后续可能涉及的合同签订与履行，本单位承诺具有履行合同所需的资质、技术和财务</w:t>
      </w:r>
      <w:r>
        <w:rPr>
          <w:rFonts w:hint="eastAsia"/>
          <w:lang w:val="en-US" w:eastAsia="zh-CN"/>
        </w:rPr>
        <w:t>等</w:t>
      </w:r>
      <w:r>
        <w:rPr>
          <w:rFonts w:hint="eastAsia"/>
        </w:rPr>
        <w:t>能力，并保证能够按时、保质、保量完成本项目。</w:t>
      </w:r>
    </w:p>
    <w:p w14:paraId="70E983D2">
      <w:r>
        <w:rPr>
          <w:rFonts w:hint="eastAsia"/>
        </w:rPr>
        <w:t>3.我单位提供的相关服务不会构成对任何第三方的专利、版权、商标权、商业秘密等知识产权或其他财产权利的侵犯；我单位对服务期间知悉的涉及采购人发展战略、经营决策、企业管理、商业机密等内容进行严格保密；如有上述情况发生，责任由我单位承担。</w:t>
      </w:r>
    </w:p>
    <w:p w14:paraId="5CED5F02"/>
    <w:p w14:paraId="7E4A731C"/>
    <w:p w14:paraId="7B8F79D4">
      <w:pPr>
        <w:ind w:firstLine="0" w:firstLineChars="0"/>
        <w:jc w:val="right"/>
        <w:rPr>
          <w:highlight w:val="none"/>
        </w:rPr>
      </w:pPr>
      <w:r>
        <w:rPr>
          <w:highlight w:val="none"/>
        </w:rPr>
        <w:t>XX</w:t>
      </w:r>
      <w:r>
        <w:rPr>
          <w:rFonts w:hint="eastAsia"/>
          <w:highlight w:val="none"/>
        </w:rPr>
        <w:t>公司</w:t>
      </w:r>
      <w:r>
        <w:rPr>
          <w:highlight w:val="none"/>
        </w:rPr>
        <w:t>（单位盖章）</w:t>
      </w:r>
    </w:p>
    <w:p w14:paraId="6061F22C">
      <w:pPr>
        <w:wordWrap w:val="0"/>
        <w:jc w:val="center"/>
        <w:rPr>
          <w:highlight w:val="none"/>
        </w:rPr>
      </w:pPr>
      <w:r>
        <w:rPr>
          <w:rFonts w:hint="eastAsia"/>
          <w:highlight w:val="none"/>
          <w:lang w:val="en-US" w:eastAsia="zh-CN"/>
        </w:rPr>
        <w:t xml:space="preserve">                                            </w:t>
      </w:r>
      <w:r>
        <w:rPr>
          <w:highlight w:val="none"/>
        </w:rPr>
        <w:t>2026年</w:t>
      </w:r>
      <w:r>
        <w:rPr>
          <w:rFonts w:hint="eastAsia"/>
          <w:highlight w:val="none"/>
          <w:lang w:val="en-US" w:eastAsia="zh-CN"/>
        </w:rPr>
        <w:t>10</w:t>
      </w:r>
      <w:r>
        <w:rPr>
          <w:highlight w:val="none"/>
        </w:rPr>
        <w:t>月X日</w:t>
      </w:r>
    </w:p>
    <w:p w14:paraId="7565E91E">
      <w:pPr>
        <w:wordWrap w:val="0"/>
        <w:jc w:val="center"/>
      </w:pPr>
    </w:p>
    <w:p w14:paraId="68656A7D">
      <w:pPr>
        <w:wordWrap w:val="0"/>
        <w:jc w:val="center"/>
        <w:sectPr>
          <w:pgSz w:w="11906" w:h="16838"/>
          <w:pgMar w:top="1440" w:right="1800" w:bottom="1440" w:left="1800" w:header="851" w:footer="992" w:gutter="0"/>
          <w:cols w:space="425" w:num="1"/>
          <w:docGrid w:type="lines" w:linePitch="312" w:charSpace="0"/>
        </w:sectPr>
      </w:pPr>
    </w:p>
    <w:p w14:paraId="0D44243A">
      <w:pPr>
        <w:pStyle w:val="3"/>
        <w:bidi w:val="0"/>
        <w:rPr>
          <w:rFonts w:hint="eastAsia"/>
        </w:rPr>
      </w:pPr>
      <w:bookmarkStart w:id="19" w:name="_Toc27582"/>
      <w:bookmarkStart w:id="20" w:name="_Toc18834"/>
      <w:r>
        <w:rPr>
          <w:rFonts w:hint="eastAsia"/>
        </w:rPr>
        <w:t xml:space="preserve">第二章 </w:t>
      </w:r>
      <w:r>
        <w:rPr>
          <w:rFonts w:hint="eastAsia"/>
          <w:lang w:eastAsia="zh-CN"/>
        </w:rPr>
        <w:t>供应商</w:t>
      </w:r>
      <w:r>
        <w:rPr>
          <w:rFonts w:hint="eastAsia"/>
        </w:rPr>
        <w:t>须知</w:t>
      </w:r>
      <w:bookmarkEnd w:id="19"/>
      <w:bookmarkEnd w:id="20"/>
    </w:p>
    <w:p w14:paraId="012283DB">
      <w:pPr>
        <w:keepNext w:val="0"/>
        <w:keepLines w:val="0"/>
        <w:pageBreakBefore w:val="0"/>
        <w:widowControl w:val="0"/>
        <w:kinsoku/>
        <w:wordWrap/>
        <w:overflowPunct/>
        <w:topLinePunct w:val="0"/>
        <w:autoSpaceDE/>
        <w:autoSpaceDN/>
        <w:bidi w:val="0"/>
        <w:adjustRightInd/>
        <w:snapToGrid/>
        <w:spacing w:after="312" w:afterLines="100"/>
        <w:ind w:firstLine="0" w:firstLineChars="0"/>
        <w:jc w:val="center"/>
        <w:textAlignment w:val="auto"/>
        <w:outlineLvl w:val="0"/>
        <w:rPr>
          <w:rFonts w:hint="eastAsia"/>
          <w:b/>
          <w:bCs/>
          <w:sz w:val="36"/>
          <w:szCs w:val="36"/>
        </w:rPr>
      </w:pPr>
      <w:bookmarkStart w:id="21" w:name="_Toc23461"/>
      <w:bookmarkStart w:id="22" w:name="_Toc1821"/>
      <w:r>
        <w:rPr>
          <w:rFonts w:hint="eastAsia"/>
          <w:b/>
          <w:bCs/>
          <w:sz w:val="36"/>
          <w:szCs w:val="36"/>
          <w:lang w:eastAsia="zh-CN"/>
        </w:rPr>
        <w:t>供应商</w:t>
      </w:r>
      <w:r>
        <w:rPr>
          <w:rFonts w:hint="eastAsia"/>
          <w:b/>
          <w:bCs/>
          <w:sz w:val="36"/>
          <w:szCs w:val="36"/>
        </w:rPr>
        <w:t>须知前附表</w:t>
      </w:r>
      <w:bookmarkEnd w:id="21"/>
      <w:bookmarkEnd w:id="22"/>
    </w:p>
    <w:tbl>
      <w:tblPr>
        <w:tblStyle w:val="19"/>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
        <w:gridCol w:w="2041"/>
        <w:gridCol w:w="5515"/>
      </w:tblGrid>
      <w:tr w14:paraId="7341D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963" w:type="dxa"/>
            <w:vAlign w:val="center"/>
          </w:tcPr>
          <w:p w14:paraId="683BC7C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eastAsia="方正仿宋_GBK"/>
                <w:b/>
                <w:bCs/>
                <w:sz w:val="24"/>
                <w:szCs w:val="24"/>
                <w:vertAlign w:val="baseline"/>
                <w:lang w:val="en-US" w:eastAsia="zh-CN"/>
              </w:rPr>
            </w:pPr>
            <w:r>
              <w:rPr>
                <w:rFonts w:hint="eastAsia"/>
                <w:b/>
                <w:bCs/>
                <w:sz w:val="24"/>
                <w:szCs w:val="24"/>
                <w:vertAlign w:val="baseline"/>
                <w:lang w:val="en-US" w:eastAsia="zh-CN"/>
              </w:rPr>
              <w:t>条款号</w:t>
            </w:r>
          </w:p>
        </w:tc>
        <w:tc>
          <w:tcPr>
            <w:tcW w:w="2041" w:type="dxa"/>
            <w:vAlign w:val="center"/>
          </w:tcPr>
          <w:p w14:paraId="58194BA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eastAsia="方正仿宋_GBK"/>
                <w:b/>
                <w:bCs/>
                <w:sz w:val="24"/>
                <w:szCs w:val="24"/>
                <w:vertAlign w:val="baseline"/>
                <w:lang w:val="en-US" w:eastAsia="zh-CN"/>
              </w:rPr>
            </w:pPr>
            <w:r>
              <w:rPr>
                <w:rFonts w:hint="eastAsia"/>
                <w:b/>
                <w:bCs/>
                <w:sz w:val="24"/>
                <w:szCs w:val="24"/>
                <w:vertAlign w:val="baseline"/>
                <w:lang w:val="en-US" w:eastAsia="zh-CN"/>
              </w:rPr>
              <w:t>条款名称</w:t>
            </w:r>
          </w:p>
        </w:tc>
        <w:tc>
          <w:tcPr>
            <w:tcW w:w="5515" w:type="dxa"/>
            <w:vAlign w:val="center"/>
          </w:tcPr>
          <w:p w14:paraId="09B0B50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eastAsia="方正仿宋_GBK"/>
                <w:b/>
                <w:bCs/>
                <w:sz w:val="24"/>
                <w:szCs w:val="24"/>
                <w:vertAlign w:val="baseline"/>
                <w:lang w:val="en-US" w:eastAsia="zh-CN"/>
              </w:rPr>
            </w:pPr>
            <w:r>
              <w:rPr>
                <w:rFonts w:hint="eastAsia"/>
                <w:b/>
                <w:bCs/>
                <w:sz w:val="24"/>
                <w:szCs w:val="24"/>
                <w:vertAlign w:val="baseline"/>
                <w:lang w:val="en-US" w:eastAsia="zh-CN"/>
              </w:rPr>
              <w:t>编列内容</w:t>
            </w:r>
          </w:p>
        </w:tc>
      </w:tr>
      <w:tr w14:paraId="10E27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3" w:type="dxa"/>
            <w:vAlign w:val="center"/>
          </w:tcPr>
          <w:p w14:paraId="006E451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eastAsia="方正仿宋_GBK"/>
                <w:b w:val="0"/>
                <w:bCs w:val="0"/>
                <w:sz w:val="24"/>
                <w:szCs w:val="24"/>
                <w:vertAlign w:val="baseline"/>
                <w:lang w:val="en-US" w:eastAsia="zh-CN"/>
              </w:rPr>
            </w:pPr>
            <w:r>
              <w:rPr>
                <w:rFonts w:hint="eastAsia"/>
                <w:b w:val="0"/>
                <w:bCs w:val="0"/>
                <w:sz w:val="24"/>
                <w:szCs w:val="24"/>
                <w:vertAlign w:val="baseline"/>
                <w:lang w:val="en-US" w:eastAsia="zh-CN"/>
              </w:rPr>
              <w:t>1</w:t>
            </w:r>
          </w:p>
        </w:tc>
        <w:tc>
          <w:tcPr>
            <w:tcW w:w="2041" w:type="dxa"/>
            <w:vAlign w:val="center"/>
          </w:tcPr>
          <w:p w14:paraId="26232B6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eastAsia="方正仿宋_GBK"/>
                <w:b w:val="0"/>
                <w:bCs w:val="0"/>
                <w:sz w:val="24"/>
                <w:szCs w:val="24"/>
                <w:vertAlign w:val="baseline"/>
                <w:lang w:val="en-US" w:eastAsia="zh-CN"/>
              </w:rPr>
            </w:pPr>
            <w:r>
              <w:rPr>
                <w:rFonts w:hint="eastAsia"/>
                <w:b w:val="0"/>
                <w:bCs w:val="0"/>
                <w:sz w:val="24"/>
                <w:szCs w:val="24"/>
                <w:vertAlign w:val="baseline"/>
                <w:lang w:val="en-US" w:eastAsia="zh-CN"/>
              </w:rPr>
              <w:t>采购人</w:t>
            </w:r>
          </w:p>
        </w:tc>
        <w:tc>
          <w:tcPr>
            <w:tcW w:w="5515" w:type="dxa"/>
            <w:vAlign w:val="center"/>
          </w:tcPr>
          <w:p w14:paraId="46D11F1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eastAsia"/>
                <w:b w:val="0"/>
                <w:bCs w:val="0"/>
                <w:sz w:val="24"/>
                <w:szCs w:val="24"/>
                <w:vertAlign w:val="baseline"/>
              </w:rPr>
            </w:pPr>
            <w:r>
              <w:rPr>
                <w:rFonts w:hint="eastAsia"/>
                <w:b w:val="0"/>
                <w:bCs w:val="0"/>
                <w:sz w:val="24"/>
                <w:szCs w:val="24"/>
                <w:vertAlign w:val="baseline"/>
                <w:lang w:val="en-US" w:eastAsia="zh-CN"/>
              </w:rPr>
              <w:t>采购人：</w:t>
            </w:r>
            <w:r>
              <w:rPr>
                <w:rFonts w:hint="eastAsia"/>
                <w:b w:val="0"/>
                <w:bCs w:val="0"/>
                <w:sz w:val="24"/>
                <w:szCs w:val="24"/>
                <w:vertAlign w:val="baseline"/>
              </w:rPr>
              <w:t>云南能源资产运营管理有限公司</w:t>
            </w:r>
          </w:p>
          <w:p w14:paraId="1EB7E1E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eastAsia"/>
                <w:b w:val="0"/>
                <w:bCs w:val="0"/>
                <w:sz w:val="24"/>
                <w:szCs w:val="24"/>
                <w:vertAlign w:val="baseline"/>
                <w:lang w:val="en-US" w:eastAsia="zh-CN"/>
              </w:rPr>
            </w:pPr>
            <w:r>
              <w:rPr>
                <w:rFonts w:hint="eastAsia"/>
                <w:b w:val="0"/>
                <w:bCs w:val="0"/>
                <w:sz w:val="24"/>
                <w:szCs w:val="24"/>
                <w:vertAlign w:val="baseline"/>
                <w:lang w:val="en-US" w:eastAsia="zh-CN"/>
              </w:rPr>
              <w:t>地址：云南省昆明市西山区日新中路397号云能大厦2号楼F12层</w:t>
            </w:r>
          </w:p>
          <w:p w14:paraId="1958EDC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eastAsia"/>
                <w:b w:val="0"/>
                <w:bCs w:val="0"/>
                <w:sz w:val="24"/>
                <w:szCs w:val="24"/>
                <w:vertAlign w:val="baseline"/>
                <w:lang w:val="en-US" w:eastAsia="zh-CN"/>
              </w:rPr>
            </w:pPr>
            <w:r>
              <w:rPr>
                <w:rFonts w:hint="eastAsia"/>
                <w:b w:val="0"/>
                <w:bCs w:val="0"/>
                <w:sz w:val="24"/>
                <w:szCs w:val="24"/>
                <w:vertAlign w:val="baseline"/>
                <w:lang w:val="en-US" w:eastAsia="zh-CN"/>
              </w:rPr>
              <w:t>联系人：洪老师</w:t>
            </w:r>
          </w:p>
          <w:p w14:paraId="5AD2310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default"/>
                <w:b w:val="0"/>
                <w:bCs w:val="0"/>
                <w:sz w:val="24"/>
                <w:szCs w:val="24"/>
                <w:vertAlign w:val="baseline"/>
                <w:lang w:val="en-US" w:eastAsia="zh-CN"/>
              </w:rPr>
            </w:pPr>
            <w:r>
              <w:rPr>
                <w:rFonts w:hint="eastAsia"/>
                <w:b w:val="0"/>
                <w:bCs w:val="0"/>
                <w:sz w:val="24"/>
                <w:szCs w:val="24"/>
                <w:vertAlign w:val="baseline"/>
                <w:lang w:val="en-US" w:eastAsia="zh-CN"/>
              </w:rPr>
              <w:t>电话：15388843702</w:t>
            </w:r>
          </w:p>
        </w:tc>
      </w:tr>
      <w:tr w14:paraId="21871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3" w:type="dxa"/>
            <w:vAlign w:val="center"/>
          </w:tcPr>
          <w:p w14:paraId="494EFFF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eastAsia="方正仿宋_GBK"/>
                <w:b w:val="0"/>
                <w:bCs w:val="0"/>
                <w:sz w:val="24"/>
                <w:szCs w:val="24"/>
                <w:vertAlign w:val="baseline"/>
                <w:lang w:val="en-US" w:eastAsia="zh-CN"/>
              </w:rPr>
            </w:pPr>
            <w:r>
              <w:rPr>
                <w:rFonts w:hint="eastAsia"/>
                <w:b w:val="0"/>
                <w:bCs w:val="0"/>
                <w:sz w:val="24"/>
                <w:szCs w:val="24"/>
                <w:vertAlign w:val="baseline"/>
                <w:lang w:val="en-US" w:eastAsia="zh-CN"/>
              </w:rPr>
              <w:t>2</w:t>
            </w:r>
          </w:p>
        </w:tc>
        <w:tc>
          <w:tcPr>
            <w:tcW w:w="2041" w:type="dxa"/>
            <w:vAlign w:val="center"/>
          </w:tcPr>
          <w:p w14:paraId="448CFB0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eastAsia="方正仿宋_GBK"/>
                <w:b w:val="0"/>
                <w:bCs w:val="0"/>
                <w:sz w:val="24"/>
                <w:szCs w:val="24"/>
                <w:vertAlign w:val="baseline"/>
                <w:lang w:val="en-US" w:eastAsia="zh-CN"/>
              </w:rPr>
            </w:pPr>
            <w:r>
              <w:rPr>
                <w:rFonts w:hint="eastAsia"/>
                <w:b w:val="0"/>
                <w:bCs w:val="0"/>
                <w:sz w:val="24"/>
                <w:szCs w:val="24"/>
                <w:vertAlign w:val="baseline"/>
                <w:lang w:val="en-US" w:eastAsia="zh-CN"/>
              </w:rPr>
              <w:t>项目名称</w:t>
            </w:r>
          </w:p>
        </w:tc>
        <w:tc>
          <w:tcPr>
            <w:tcW w:w="5515" w:type="dxa"/>
            <w:vAlign w:val="center"/>
          </w:tcPr>
          <w:p w14:paraId="551189C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eastAsia"/>
                <w:b w:val="0"/>
                <w:bCs w:val="0"/>
                <w:sz w:val="24"/>
                <w:szCs w:val="24"/>
                <w:vertAlign w:val="baseline"/>
              </w:rPr>
            </w:pPr>
            <w:r>
              <w:rPr>
                <w:rFonts w:hint="eastAsia"/>
                <w:b w:val="0"/>
                <w:bCs w:val="0"/>
                <w:sz w:val="24"/>
                <w:szCs w:val="24"/>
                <w:vertAlign w:val="baseline"/>
              </w:rPr>
              <w:t>云南能源资产运营管理有限公司及所属公司投资性房地产价值评估服务</w:t>
            </w:r>
          </w:p>
        </w:tc>
      </w:tr>
      <w:tr w14:paraId="23355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3" w:type="dxa"/>
            <w:vAlign w:val="center"/>
          </w:tcPr>
          <w:p w14:paraId="5C546B1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eastAsia="方正仿宋_GBK"/>
                <w:b w:val="0"/>
                <w:bCs w:val="0"/>
                <w:sz w:val="24"/>
                <w:szCs w:val="24"/>
                <w:vertAlign w:val="baseline"/>
                <w:lang w:val="en-US" w:eastAsia="zh-CN"/>
              </w:rPr>
            </w:pPr>
            <w:r>
              <w:rPr>
                <w:rFonts w:hint="eastAsia"/>
                <w:b w:val="0"/>
                <w:bCs w:val="0"/>
                <w:sz w:val="24"/>
                <w:szCs w:val="24"/>
                <w:vertAlign w:val="baseline"/>
                <w:lang w:val="en-US" w:eastAsia="zh-CN"/>
              </w:rPr>
              <w:t>3</w:t>
            </w:r>
          </w:p>
        </w:tc>
        <w:tc>
          <w:tcPr>
            <w:tcW w:w="2041" w:type="dxa"/>
            <w:vAlign w:val="center"/>
          </w:tcPr>
          <w:p w14:paraId="16FDDCE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eastAsia="方正仿宋_GBK"/>
                <w:b w:val="0"/>
                <w:bCs w:val="0"/>
                <w:sz w:val="24"/>
                <w:szCs w:val="24"/>
                <w:vertAlign w:val="baseline"/>
                <w:lang w:val="en-US" w:eastAsia="zh-CN"/>
              </w:rPr>
            </w:pPr>
            <w:r>
              <w:rPr>
                <w:rFonts w:hint="eastAsia"/>
                <w:b w:val="0"/>
                <w:bCs w:val="0"/>
                <w:sz w:val="24"/>
                <w:szCs w:val="24"/>
                <w:vertAlign w:val="baseline"/>
                <w:lang w:val="en-US" w:eastAsia="zh-CN"/>
              </w:rPr>
              <w:t>项目实施地点</w:t>
            </w:r>
          </w:p>
        </w:tc>
        <w:tc>
          <w:tcPr>
            <w:tcW w:w="5515" w:type="dxa"/>
            <w:vAlign w:val="center"/>
          </w:tcPr>
          <w:p w14:paraId="3C64F51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default" w:eastAsia="方正仿宋_GBK"/>
                <w:b w:val="0"/>
                <w:bCs w:val="0"/>
                <w:sz w:val="24"/>
                <w:szCs w:val="24"/>
                <w:vertAlign w:val="baseline"/>
                <w:lang w:val="en-US" w:eastAsia="zh-CN"/>
              </w:rPr>
            </w:pPr>
            <w:r>
              <w:rPr>
                <w:rFonts w:hint="eastAsia"/>
                <w:b w:val="0"/>
                <w:bCs w:val="0"/>
                <w:sz w:val="24"/>
                <w:szCs w:val="24"/>
                <w:vertAlign w:val="baseline"/>
                <w:lang w:val="en-US" w:eastAsia="zh-CN"/>
              </w:rPr>
              <w:t>详见第一章询比采购公告</w:t>
            </w:r>
          </w:p>
        </w:tc>
      </w:tr>
      <w:tr w14:paraId="49469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3" w:type="dxa"/>
            <w:vAlign w:val="center"/>
          </w:tcPr>
          <w:p w14:paraId="5291022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eastAsia="方正仿宋_GBK"/>
                <w:b w:val="0"/>
                <w:bCs w:val="0"/>
                <w:sz w:val="24"/>
                <w:szCs w:val="24"/>
                <w:vertAlign w:val="baseline"/>
                <w:lang w:val="en-US" w:eastAsia="zh-CN"/>
              </w:rPr>
            </w:pPr>
            <w:r>
              <w:rPr>
                <w:rFonts w:hint="eastAsia"/>
                <w:b w:val="0"/>
                <w:bCs w:val="0"/>
                <w:sz w:val="24"/>
                <w:szCs w:val="24"/>
                <w:vertAlign w:val="baseline"/>
                <w:lang w:val="en-US" w:eastAsia="zh-CN"/>
              </w:rPr>
              <w:t>4</w:t>
            </w:r>
          </w:p>
        </w:tc>
        <w:tc>
          <w:tcPr>
            <w:tcW w:w="2041" w:type="dxa"/>
            <w:vAlign w:val="center"/>
          </w:tcPr>
          <w:p w14:paraId="51C1DB1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eastAsia="方正仿宋_GBK"/>
                <w:b w:val="0"/>
                <w:bCs w:val="0"/>
                <w:sz w:val="24"/>
                <w:szCs w:val="24"/>
                <w:vertAlign w:val="baseline"/>
                <w:lang w:val="en-US" w:eastAsia="zh-CN"/>
              </w:rPr>
            </w:pPr>
            <w:r>
              <w:rPr>
                <w:rFonts w:hint="eastAsia"/>
                <w:b w:val="0"/>
                <w:bCs w:val="0"/>
                <w:sz w:val="24"/>
                <w:szCs w:val="24"/>
                <w:vertAlign w:val="baseline"/>
                <w:lang w:val="en-US" w:eastAsia="zh-CN"/>
              </w:rPr>
              <w:t>采购内容及相关要求</w:t>
            </w:r>
          </w:p>
        </w:tc>
        <w:tc>
          <w:tcPr>
            <w:tcW w:w="5515" w:type="dxa"/>
            <w:vAlign w:val="center"/>
          </w:tcPr>
          <w:p w14:paraId="541B1F5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eastAsia"/>
                <w:b w:val="0"/>
                <w:bCs w:val="0"/>
                <w:sz w:val="24"/>
                <w:szCs w:val="24"/>
                <w:vertAlign w:val="baseline"/>
              </w:rPr>
            </w:pPr>
            <w:r>
              <w:rPr>
                <w:rFonts w:hint="eastAsia"/>
                <w:b w:val="0"/>
                <w:bCs w:val="0"/>
                <w:sz w:val="24"/>
                <w:szCs w:val="24"/>
                <w:vertAlign w:val="baseline"/>
                <w:lang w:val="en-US" w:eastAsia="zh-CN"/>
              </w:rPr>
              <w:t>详见第一章询比采购公告</w:t>
            </w:r>
          </w:p>
        </w:tc>
      </w:tr>
      <w:tr w14:paraId="4DD88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3" w:type="dxa"/>
            <w:vAlign w:val="center"/>
          </w:tcPr>
          <w:p w14:paraId="52BBEB0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eastAsia="方正仿宋_GBK"/>
                <w:b w:val="0"/>
                <w:bCs w:val="0"/>
                <w:sz w:val="24"/>
                <w:szCs w:val="24"/>
                <w:vertAlign w:val="baseline"/>
                <w:lang w:val="en-US" w:eastAsia="zh-CN"/>
              </w:rPr>
            </w:pPr>
            <w:r>
              <w:rPr>
                <w:rFonts w:hint="eastAsia"/>
                <w:b w:val="0"/>
                <w:bCs w:val="0"/>
                <w:sz w:val="24"/>
                <w:szCs w:val="24"/>
                <w:vertAlign w:val="baseline"/>
                <w:lang w:val="en-US" w:eastAsia="zh-CN"/>
              </w:rPr>
              <w:t>5</w:t>
            </w:r>
          </w:p>
        </w:tc>
        <w:tc>
          <w:tcPr>
            <w:tcW w:w="2041" w:type="dxa"/>
            <w:vAlign w:val="center"/>
          </w:tcPr>
          <w:p w14:paraId="05EE4C6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eastAsia="方正仿宋_GBK"/>
                <w:b w:val="0"/>
                <w:bCs w:val="0"/>
                <w:sz w:val="24"/>
                <w:szCs w:val="24"/>
                <w:vertAlign w:val="baseline"/>
                <w:lang w:val="en-US" w:eastAsia="zh-CN"/>
              </w:rPr>
            </w:pPr>
            <w:r>
              <w:rPr>
                <w:rFonts w:hint="eastAsia"/>
                <w:b w:val="0"/>
                <w:bCs w:val="0"/>
                <w:sz w:val="24"/>
                <w:szCs w:val="24"/>
                <w:vertAlign w:val="baseline"/>
                <w:lang w:val="en-US" w:eastAsia="zh-CN"/>
              </w:rPr>
              <w:t>服务期</w:t>
            </w:r>
          </w:p>
        </w:tc>
        <w:tc>
          <w:tcPr>
            <w:tcW w:w="5515" w:type="dxa"/>
            <w:vAlign w:val="center"/>
          </w:tcPr>
          <w:p w14:paraId="31FE1F1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eastAsia"/>
                <w:b w:val="0"/>
                <w:bCs w:val="0"/>
                <w:sz w:val="24"/>
                <w:szCs w:val="24"/>
                <w:vertAlign w:val="baseline"/>
              </w:rPr>
            </w:pPr>
            <w:r>
              <w:rPr>
                <w:rFonts w:hint="eastAsia"/>
                <w:b w:val="0"/>
                <w:bCs w:val="0"/>
                <w:sz w:val="24"/>
                <w:szCs w:val="24"/>
                <w:vertAlign w:val="baseline"/>
                <w:lang w:val="en-US" w:eastAsia="zh-CN"/>
              </w:rPr>
              <w:t>详见第一章询比采购公告</w:t>
            </w:r>
          </w:p>
        </w:tc>
      </w:tr>
      <w:tr w14:paraId="69A3A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3" w:type="dxa"/>
            <w:vAlign w:val="center"/>
          </w:tcPr>
          <w:p w14:paraId="73E49E4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eastAsia="方正仿宋_GBK"/>
                <w:b w:val="0"/>
                <w:bCs w:val="0"/>
                <w:sz w:val="24"/>
                <w:szCs w:val="24"/>
                <w:vertAlign w:val="baseline"/>
                <w:lang w:val="en-US" w:eastAsia="zh-CN"/>
              </w:rPr>
            </w:pPr>
            <w:r>
              <w:rPr>
                <w:rFonts w:hint="eastAsia"/>
                <w:b w:val="0"/>
                <w:bCs w:val="0"/>
                <w:sz w:val="24"/>
                <w:szCs w:val="24"/>
                <w:vertAlign w:val="baseline"/>
                <w:lang w:val="en-US" w:eastAsia="zh-CN"/>
              </w:rPr>
              <w:t>6</w:t>
            </w:r>
          </w:p>
        </w:tc>
        <w:tc>
          <w:tcPr>
            <w:tcW w:w="2041" w:type="dxa"/>
            <w:vAlign w:val="center"/>
          </w:tcPr>
          <w:p w14:paraId="27E398A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eastAsia="方正仿宋_GBK"/>
                <w:b w:val="0"/>
                <w:bCs w:val="0"/>
                <w:sz w:val="24"/>
                <w:szCs w:val="24"/>
                <w:vertAlign w:val="baseline"/>
                <w:lang w:val="en-US" w:eastAsia="zh-CN"/>
              </w:rPr>
            </w:pPr>
            <w:r>
              <w:rPr>
                <w:rFonts w:hint="eastAsia"/>
                <w:b w:val="0"/>
                <w:bCs w:val="0"/>
                <w:sz w:val="24"/>
                <w:szCs w:val="24"/>
                <w:vertAlign w:val="baseline"/>
                <w:lang w:val="en-US" w:eastAsia="zh-CN"/>
              </w:rPr>
              <w:t>服务质量要求</w:t>
            </w:r>
          </w:p>
        </w:tc>
        <w:tc>
          <w:tcPr>
            <w:tcW w:w="5515" w:type="dxa"/>
            <w:vAlign w:val="center"/>
          </w:tcPr>
          <w:p w14:paraId="001D5C8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eastAsia"/>
                <w:b w:val="0"/>
                <w:bCs w:val="0"/>
                <w:sz w:val="24"/>
                <w:szCs w:val="24"/>
                <w:vertAlign w:val="baseline"/>
              </w:rPr>
            </w:pPr>
            <w:r>
              <w:rPr>
                <w:rFonts w:hint="eastAsia"/>
                <w:b w:val="0"/>
                <w:bCs w:val="0"/>
                <w:sz w:val="24"/>
                <w:szCs w:val="24"/>
                <w:vertAlign w:val="baseline"/>
                <w:lang w:val="en-US" w:eastAsia="zh-CN"/>
              </w:rPr>
              <w:t>详见第一章询比采购公告</w:t>
            </w:r>
          </w:p>
        </w:tc>
      </w:tr>
      <w:tr w14:paraId="2A520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3" w:type="dxa"/>
            <w:vAlign w:val="center"/>
          </w:tcPr>
          <w:p w14:paraId="4EF5038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b w:val="0"/>
                <w:bCs w:val="0"/>
                <w:sz w:val="24"/>
                <w:szCs w:val="24"/>
                <w:vertAlign w:val="baseline"/>
                <w:lang w:val="en-US" w:eastAsia="zh-CN"/>
              </w:rPr>
            </w:pPr>
            <w:r>
              <w:rPr>
                <w:rFonts w:hint="eastAsia"/>
                <w:b w:val="0"/>
                <w:bCs w:val="0"/>
                <w:sz w:val="24"/>
                <w:szCs w:val="24"/>
                <w:vertAlign w:val="baseline"/>
                <w:lang w:val="en-US" w:eastAsia="zh-CN"/>
              </w:rPr>
              <w:t>7</w:t>
            </w:r>
          </w:p>
        </w:tc>
        <w:tc>
          <w:tcPr>
            <w:tcW w:w="2041" w:type="dxa"/>
            <w:vAlign w:val="center"/>
          </w:tcPr>
          <w:p w14:paraId="559B256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b w:val="0"/>
                <w:bCs w:val="0"/>
                <w:sz w:val="24"/>
                <w:szCs w:val="24"/>
                <w:vertAlign w:val="baseline"/>
                <w:lang w:val="en-US" w:eastAsia="zh-CN"/>
              </w:rPr>
            </w:pPr>
            <w:r>
              <w:rPr>
                <w:rFonts w:hint="eastAsia"/>
                <w:b w:val="0"/>
                <w:bCs w:val="0"/>
                <w:sz w:val="24"/>
                <w:szCs w:val="24"/>
                <w:vertAlign w:val="baseline"/>
                <w:lang w:val="en-US" w:eastAsia="zh-CN"/>
              </w:rPr>
              <w:t>供应商资格要求</w:t>
            </w:r>
          </w:p>
        </w:tc>
        <w:tc>
          <w:tcPr>
            <w:tcW w:w="5515" w:type="dxa"/>
            <w:vAlign w:val="center"/>
          </w:tcPr>
          <w:p w14:paraId="55D4C23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eastAsia"/>
                <w:b w:val="0"/>
                <w:bCs w:val="0"/>
                <w:sz w:val="24"/>
                <w:szCs w:val="24"/>
                <w:vertAlign w:val="baseline"/>
                <w:lang w:val="en-US" w:eastAsia="zh-CN"/>
              </w:rPr>
            </w:pPr>
            <w:r>
              <w:rPr>
                <w:rFonts w:hint="eastAsia"/>
                <w:b w:val="0"/>
                <w:bCs w:val="0"/>
                <w:sz w:val="24"/>
                <w:szCs w:val="24"/>
                <w:vertAlign w:val="baseline"/>
                <w:lang w:val="en-US" w:eastAsia="zh-CN"/>
              </w:rPr>
              <w:t>详见第一章询比采购公告</w:t>
            </w:r>
          </w:p>
        </w:tc>
      </w:tr>
      <w:tr w14:paraId="6F4A3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3" w:type="dxa"/>
            <w:vAlign w:val="center"/>
          </w:tcPr>
          <w:p w14:paraId="3253479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b w:val="0"/>
                <w:bCs w:val="0"/>
                <w:sz w:val="24"/>
                <w:szCs w:val="24"/>
                <w:vertAlign w:val="baseline"/>
                <w:lang w:val="en-US" w:eastAsia="zh-CN"/>
              </w:rPr>
            </w:pPr>
            <w:r>
              <w:rPr>
                <w:rFonts w:hint="eastAsia"/>
                <w:b w:val="0"/>
                <w:bCs w:val="0"/>
                <w:sz w:val="24"/>
                <w:szCs w:val="24"/>
                <w:vertAlign w:val="baseline"/>
                <w:lang w:val="en-US" w:eastAsia="zh-CN"/>
              </w:rPr>
              <w:t>8</w:t>
            </w:r>
          </w:p>
        </w:tc>
        <w:tc>
          <w:tcPr>
            <w:tcW w:w="2041" w:type="dxa"/>
            <w:vAlign w:val="center"/>
          </w:tcPr>
          <w:p w14:paraId="636A324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b w:val="0"/>
                <w:bCs w:val="0"/>
                <w:sz w:val="24"/>
                <w:szCs w:val="24"/>
                <w:vertAlign w:val="baseline"/>
                <w:lang w:val="en-US" w:eastAsia="zh-CN"/>
              </w:rPr>
            </w:pPr>
            <w:r>
              <w:rPr>
                <w:rFonts w:hint="eastAsia"/>
                <w:b w:val="0"/>
                <w:bCs w:val="0"/>
                <w:sz w:val="24"/>
                <w:szCs w:val="24"/>
                <w:vertAlign w:val="baseline"/>
                <w:lang w:val="en-US" w:eastAsia="zh-CN"/>
              </w:rPr>
              <w:t>成交人数量</w:t>
            </w:r>
          </w:p>
        </w:tc>
        <w:tc>
          <w:tcPr>
            <w:tcW w:w="5515" w:type="dxa"/>
            <w:vAlign w:val="center"/>
          </w:tcPr>
          <w:p w14:paraId="23751BE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eastAsia"/>
                <w:b w:val="0"/>
                <w:bCs w:val="0"/>
                <w:sz w:val="24"/>
                <w:szCs w:val="24"/>
                <w:vertAlign w:val="baseline"/>
                <w:lang w:val="en-US" w:eastAsia="zh-CN"/>
              </w:rPr>
            </w:pPr>
            <w:r>
              <w:rPr>
                <w:rFonts w:hint="eastAsia"/>
                <w:b w:val="0"/>
                <w:bCs w:val="0"/>
                <w:sz w:val="24"/>
                <w:szCs w:val="24"/>
                <w:vertAlign w:val="baseline"/>
                <w:lang w:val="en-US" w:eastAsia="zh-CN"/>
              </w:rPr>
              <w:t>本项目确定1名成交人。评审小组推荐成交候选人1~3名并排序。</w:t>
            </w:r>
          </w:p>
        </w:tc>
      </w:tr>
      <w:tr w14:paraId="7177B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3" w:type="dxa"/>
            <w:vAlign w:val="center"/>
          </w:tcPr>
          <w:p w14:paraId="52156F2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b w:val="0"/>
                <w:bCs w:val="0"/>
                <w:sz w:val="24"/>
                <w:szCs w:val="24"/>
                <w:vertAlign w:val="baseline"/>
                <w:lang w:val="en-US" w:eastAsia="zh-CN"/>
              </w:rPr>
            </w:pPr>
            <w:r>
              <w:rPr>
                <w:rFonts w:hint="eastAsia"/>
                <w:b w:val="0"/>
                <w:bCs w:val="0"/>
                <w:sz w:val="24"/>
                <w:szCs w:val="24"/>
                <w:vertAlign w:val="baseline"/>
                <w:lang w:val="en-US" w:eastAsia="zh-CN"/>
              </w:rPr>
              <w:t>9</w:t>
            </w:r>
          </w:p>
        </w:tc>
        <w:tc>
          <w:tcPr>
            <w:tcW w:w="2041" w:type="dxa"/>
            <w:vAlign w:val="center"/>
          </w:tcPr>
          <w:p w14:paraId="3073354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b w:val="0"/>
                <w:bCs w:val="0"/>
                <w:sz w:val="24"/>
                <w:szCs w:val="24"/>
                <w:vertAlign w:val="baseline"/>
                <w:lang w:val="en-US" w:eastAsia="zh-CN"/>
              </w:rPr>
            </w:pPr>
            <w:r>
              <w:rPr>
                <w:rFonts w:hint="eastAsia"/>
                <w:b w:val="0"/>
                <w:bCs w:val="0"/>
                <w:sz w:val="24"/>
                <w:szCs w:val="24"/>
                <w:vertAlign w:val="baseline"/>
                <w:lang w:val="en-US" w:eastAsia="zh-CN"/>
              </w:rPr>
              <w:t>评审办法</w:t>
            </w:r>
          </w:p>
        </w:tc>
        <w:tc>
          <w:tcPr>
            <w:tcW w:w="5515" w:type="dxa"/>
            <w:vAlign w:val="center"/>
          </w:tcPr>
          <w:p w14:paraId="6860AA5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eastAsia"/>
                <w:b w:val="0"/>
                <w:bCs w:val="0"/>
                <w:sz w:val="24"/>
                <w:szCs w:val="24"/>
                <w:vertAlign w:val="baseline"/>
                <w:lang w:val="en-US" w:eastAsia="zh-CN"/>
              </w:rPr>
            </w:pPr>
            <w:r>
              <w:rPr>
                <w:rFonts w:hint="default" w:ascii="Times New Roman" w:hAnsi="Times New Roman"/>
                <w:b w:val="0"/>
                <w:bCs w:val="0"/>
                <w:sz w:val="24"/>
                <w:szCs w:val="24"/>
                <w:vertAlign w:val="baseline"/>
                <w:lang w:val="en-US" w:eastAsia="zh-CN"/>
              </w:rPr>
              <w:t>综合评估法</w:t>
            </w:r>
          </w:p>
        </w:tc>
      </w:tr>
      <w:tr w14:paraId="2374D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3" w:type="dxa"/>
            <w:vAlign w:val="center"/>
          </w:tcPr>
          <w:p w14:paraId="6F51E06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b w:val="0"/>
                <w:bCs w:val="0"/>
                <w:sz w:val="24"/>
                <w:szCs w:val="24"/>
                <w:vertAlign w:val="baseline"/>
                <w:lang w:val="en-US" w:eastAsia="zh-CN"/>
              </w:rPr>
            </w:pPr>
            <w:r>
              <w:rPr>
                <w:rFonts w:hint="eastAsia"/>
                <w:b w:val="0"/>
                <w:bCs w:val="0"/>
                <w:sz w:val="24"/>
                <w:szCs w:val="24"/>
                <w:vertAlign w:val="baseline"/>
                <w:lang w:val="en-US" w:eastAsia="zh-CN"/>
              </w:rPr>
              <w:t>10</w:t>
            </w:r>
          </w:p>
        </w:tc>
        <w:tc>
          <w:tcPr>
            <w:tcW w:w="2041" w:type="dxa"/>
            <w:shd w:val="clear" w:color="auto" w:fill="auto"/>
            <w:vAlign w:val="center"/>
          </w:tcPr>
          <w:p w14:paraId="67B289B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Times New Roman" w:hAnsi="Times New Roman" w:eastAsia="方正仿宋_GBK" w:cs="Times New Roman"/>
                <w:color w:val="auto"/>
                <w:kern w:val="2"/>
                <w:sz w:val="24"/>
                <w:szCs w:val="24"/>
                <w:highlight w:val="none"/>
                <w:lang w:val="en-US" w:eastAsia="zh-CN" w:bidi="ar-SA"/>
              </w:rPr>
            </w:pPr>
            <w:r>
              <w:rPr>
                <w:rFonts w:hint="eastAsia" w:cs="Times New Roman"/>
                <w:color w:val="auto"/>
                <w:sz w:val="24"/>
                <w:highlight w:val="none"/>
                <w:lang w:val="en-US" w:eastAsia="zh-CN"/>
              </w:rPr>
              <w:t>响应文件</w:t>
            </w:r>
            <w:r>
              <w:rPr>
                <w:rFonts w:hint="default" w:ascii="Times New Roman" w:hAnsi="Times New Roman" w:cs="Times New Roman"/>
                <w:color w:val="auto"/>
                <w:sz w:val="24"/>
                <w:highlight w:val="none"/>
              </w:rPr>
              <w:t>有效期</w:t>
            </w:r>
          </w:p>
        </w:tc>
        <w:tc>
          <w:tcPr>
            <w:tcW w:w="5515" w:type="dxa"/>
            <w:shd w:val="clear" w:color="auto" w:fill="auto"/>
            <w:vAlign w:val="center"/>
          </w:tcPr>
          <w:p w14:paraId="4834B40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cs="Times New Roman"/>
                <w:color w:val="auto"/>
                <w:sz w:val="24"/>
                <w:highlight w:val="none"/>
              </w:rPr>
              <w:t>90日（从提交</w:t>
            </w:r>
            <w:r>
              <w:rPr>
                <w:rFonts w:hint="eastAsia" w:cs="Times New Roman"/>
                <w:color w:val="auto"/>
                <w:sz w:val="24"/>
                <w:highlight w:val="none"/>
                <w:lang w:val="en-US" w:eastAsia="zh-CN"/>
              </w:rPr>
              <w:t>响应文件</w:t>
            </w:r>
            <w:r>
              <w:rPr>
                <w:rFonts w:hint="default" w:ascii="Times New Roman" w:hAnsi="Times New Roman" w:cs="Times New Roman"/>
                <w:color w:val="auto"/>
                <w:sz w:val="24"/>
                <w:highlight w:val="none"/>
              </w:rPr>
              <w:t>截止之日算起）</w:t>
            </w:r>
          </w:p>
        </w:tc>
      </w:tr>
      <w:tr w14:paraId="2CA5A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3" w:type="dxa"/>
            <w:vAlign w:val="center"/>
          </w:tcPr>
          <w:p w14:paraId="7B3251F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b w:val="0"/>
                <w:bCs w:val="0"/>
                <w:sz w:val="24"/>
                <w:szCs w:val="24"/>
                <w:vertAlign w:val="baseline"/>
                <w:lang w:val="en-US" w:eastAsia="zh-CN"/>
              </w:rPr>
            </w:pPr>
            <w:r>
              <w:rPr>
                <w:rFonts w:hint="eastAsia"/>
                <w:b w:val="0"/>
                <w:bCs w:val="0"/>
                <w:sz w:val="24"/>
                <w:szCs w:val="24"/>
                <w:vertAlign w:val="baseline"/>
                <w:lang w:val="en-US" w:eastAsia="zh-CN"/>
              </w:rPr>
              <w:t>11</w:t>
            </w:r>
          </w:p>
        </w:tc>
        <w:tc>
          <w:tcPr>
            <w:tcW w:w="2041" w:type="dxa"/>
            <w:vAlign w:val="center"/>
          </w:tcPr>
          <w:p w14:paraId="4EAFCB8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b w:val="0"/>
                <w:bCs w:val="0"/>
                <w:sz w:val="24"/>
                <w:szCs w:val="24"/>
                <w:vertAlign w:val="baseline"/>
                <w:lang w:val="en-US" w:eastAsia="zh-CN"/>
              </w:rPr>
            </w:pPr>
            <w:r>
              <w:rPr>
                <w:rFonts w:hint="eastAsia" w:cs="Times New Roman"/>
                <w:color w:val="auto"/>
                <w:sz w:val="24"/>
                <w:highlight w:val="none"/>
                <w:lang w:val="en-US" w:eastAsia="zh-CN"/>
              </w:rPr>
              <w:t>响应文件</w:t>
            </w:r>
            <w:r>
              <w:rPr>
                <w:rFonts w:hint="default" w:ascii="Times New Roman" w:hAnsi="Times New Roman" w:cs="Times New Roman"/>
                <w:color w:val="auto"/>
                <w:sz w:val="24"/>
                <w:highlight w:val="none"/>
              </w:rPr>
              <w:t>份数</w:t>
            </w:r>
          </w:p>
        </w:tc>
        <w:tc>
          <w:tcPr>
            <w:tcW w:w="5515" w:type="dxa"/>
            <w:vAlign w:val="center"/>
          </w:tcPr>
          <w:p w14:paraId="7C7E4D2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eastAsia"/>
                <w:b w:val="0"/>
                <w:bCs w:val="0"/>
                <w:sz w:val="24"/>
                <w:szCs w:val="24"/>
                <w:vertAlign w:val="baseline"/>
                <w:lang w:val="en-US" w:eastAsia="zh-CN"/>
              </w:rPr>
            </w:pPr>
            <w:r>
              <w:rPr>
                <w:rFonts w:hint="default" w:ascii="Times New Roman" w:hAnsi="Times New Roman" w:cs="Times New Roman"/>
                <w:color w:val="auto"/>
                <w:sz w:val="24"/>
                <w:highlight w:val="none"/>
              </w:rPr>
              <w:t>纸质版</w:t>
            </w:r>
            <w:r>
              <w:rPr>
                <w:rFonts w:hint="eastAsia" w:cs="Times New Roman"/>
                <w:color w:val="auto"/>
                <w:sz w:val="24"/>
                <w:highlight w:val="none"/>
                <w:lang w:val="en-US" w:eastAsia="zh-CN"/>
              </w:rPr>
              <w:t>响应文件</w:t>
            </w:r>
            <w:r>
              <w:rPr>
                <w:rFonts w:hint="default" w:ascii="Times New Roman" w:hAnsi="Times New Roman" w:cs="Times New Roman"/>
                <w:color w:val="auto"/>
                <w:sz w:val="24"/>
                <w:highlight w:val="none"/>
              </w:rPr>
              <w:t>正本1份、副本</w:t>
            </w:r>
            <w:r>
              <w:rPr>
                <w:rFonts w:hint="eastAsia" w:ascii="Times New Roman" w:hAnsi="Times New Roman" w:cs="Times New Roman"/>
                <w:color w:val="auto"/>
                <w:sz w:val="24"/>
                <w:highlight w:val="none"/>
                <w:lang w:val="en-US" w:eastAsia="zh-CN"/>
              </w:rPr>
              <w:t>1</w:t>
            </w:r>
            <w:r>
              <w:rPr>
                <w:rFonts w:hint="default" w:ascii="Times New Roman" w:hAnsi="Times New Roman" w:cs="Times New Roman"/>
                <w:color w:val="auto"/>
                <w:sz w:val="24"/>
                <w:highlight w:val="none"/>
              </w:rPr>
              <w:t>份；电子版</w:t>
            </w:r>
            <w:r>
              <w:rPr>
                <w:rFonts w:hint="eastAsia" w:cs="Times New Roman"/>
                <w:color w:val="auto"/>
                <w:sz w:val="24"/>
                <w:highlight w:val="none"/>
                <w:lang w:val="en-US" w:eastAsia="zh-CN"/>
              </w:rPr>
              <w:t>响应文件</w:t>
            </w:r>
            <w:r>
              <w:rPr>
                <w:rFonts w:hint="default" w:ascii="Times New Roman" w:hAnsi="Times New Roman" w:cs="Times New Roman"/>
                <w:color w:val="auto"/>
                <w:sz w:val="24"/>
                <w:highlight w:val="none"/>
              </w:rPr>
              <w:t>1份（U盘），U盘里包含1份Word版格式和1份</w:t>
            </w:r>
            <w:r>
              <w:rPr>
                <w:rFonts w:hint="eastAsia" w:cs="Times New Roman"/>
                <w:color w:val="auto"/>
                <w:sz w:val="24"/>
                <w:highlight w:val="none"/>
                <w:lang w:val="en-US" w:eastAsia="zh-CN"/>
              </w:rPr>
              <w:t>响应文件</w:t>
            </w:r>
            <w:r>
              <w:rPr>
                <w:rFonts w:hint="default" w:ascii="Times New Roman" w:hAnsi="Times New Roman" w:cs="Times New Roman"/>
                <w:color w:val="auto"/>
                <w:sz w:val="24"/>
                <w:highlight w:val="none"/>
              </w:rPr>
              <w:t>正本PDF（扫描件）版格式。</w:t>
            </w:r>
          </w:p>
        </w:tc>
      </w:tr>
      <w:tr w14:paraId="10C89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3" w:type="dxa"/>
            <w:vAlign w:val="center"/>
          </w:tcPr>
          <w:p w14:paraId="67CD395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b w:val="0"/>
                <w:bCs w:val="0"/>
                <w:sz w:val="24"/>
                <w:szCs w:val="24"/>
                <w:vertAlign w:val="baseline"/>
                <w:lang w:val="en-US" w:eastAsia="zh-CN"/>
              </w:rPr>
            </w:pPr>
            <w:r>
              <w:rPr>
                <w:rFonts w:hint="eastAsia"/>
                <w:b w:val="0"/>
                <w:bCs w:val="0"/>
                <w:sz w:val="24"/>
                <w:szCs w:val="24"/>
                <w:vertAlign w:val="baseline"/>
                <w:lang w:val="en-US" w:eastAsia="zh-CN"/>
              </w:rPr>
              <w:t>12</w:t>
            </w:r>
          </w:p>
        </w:tc>
        <w:tc>
          <w:tcPr>
            <w:tcW w:w="2041" w:type="dxa"/>
            <w:vAlign w:val="center"/>
          </w:tcPr>
          <w:p w14:paraId="21163D1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b w:val="0"/>
                <w:bCs w:val="0"/>
                <w:sz w:val="24"/>
                <w:szCs w:val="24"/>
                <w:vertAlign w:val="baseline"/>
                <w:lang w:val="en-US" w:eastAsia="zh-CN"/>
              </w:rPr>
            </w:pPr>
            <w:r>
              <w:rPr>
                <w:rFonts w:hint="eastAsia" w:cs="Times New Roman"/>
                <w:color w:val="auto"/>
                <w:sz w:val="24"/>
                <w:highlight w:val="none"/>
                <w:lang w:val="en-US" w:eastAsia="zh-CN"/>
              </w:rPr>
              <w:t>响应文件</w:t>
            </w:r>
            <w:r>
              <w:rPr>
                <w:rFonts w:hint="default" w:ascii="Times New Roman" w:hAnsi="Times New Roman" w:cs="Times New Roman"/>
                <w:color w:val="auto"/>
                <w:sz w:val="24"/>
                <w:highlight w:val="none"/>
              </w:rPr>
              <w:t>的装订</w:t>
            </w:r>
          </w:p>
        </w:tc>
        <w:tc>
          <w:tcPr>
            <w:tcW w:w="5515" w:type="dxa"/>
            <w:vAlign w:val="center"/>
          </w:tcPr>
          <w:p w14:paraId="5D9147C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eastAsia"/>
                <w:b w:val="0"/>
                <w:bCs w:val="0"/>
                <w:sz w:val="24"/>
                <w:szCs w:val="24"/>
                <w:vertAlign w:val="baseline"/>
                <w:lang w:val="en-US" w:eastAsia="zh-CN"/>
              </w:rPr>
            </w:pPr>
            <w:r>
              <w:rPr>
                <w:rFonts w:hint="eastAsia"/>
                <w:b w:val="0"/>
                <w:bCs w:val="0"/>
                <w:sz w:val="24"/>
                <w:szCs w:val="24"/>
                <w:vertAlign w:val="baseline"/>
                <w:lang w:val="en-US" w:eastAsia="zh-CN"/>
              </w:rPr>
              <w:t>响应文件正本和副本必须胶装分别装订成册并编制目录和逐页编码。正、副本分别装订；响应文件装订应牢固，否则，采购人对于响应文件装订松散而造成的丢失或其他后果不承担任何责任。</w:t>
            </w:r>
          </w:p>
        </w:tc>
      </w:tr>
      <w:tr w14:paraId="32CF4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3" w:type="dxa"/>
            <w:vAlign w:val="center"/>
          </w:tcPr>
          <w:p w14:paraId="700933E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b w:val="0"/>
                <w:bCs w:val="0"/>
                <w:sz w:val="24"/>
                <w:szCs w:val="24"/>
                <w:vertAlign w:val="baseline"/>
                <w:lang w:val="en-US" w:eastAsia="zh-CN"/>
              </w:rPr>
            </w:pPr>
            <w:r>
              <w:rPr>
                <w:rFonts w:hint="eastAsia"/>
                <w:b w:val="0"/>
                <w:bCs w:val="0"/>
                <w:sz w:val="24"/>
                <w:szCs w:val="24"/>
                <w:vertAlign w:val="baseline"/>
                <w:lang w:val="en-US" w:eastAsia="zh-CN"/>
              </w:rPr>
              <w:t>13</w:t>
            </w:r>
          </w:p>
        </w:tc>
        <w:tc>
          <w:tcPr>
            <w:tcW w:w="2041" w:type="dxa"/>
            <w:shd w:val="clear" w:color="auto" w:fill="auto"/>
            <w:vAlign w:val="center"/>
          </w:tcPr>
          <w:p w14:paraId="0482295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cs="Times New Roman"/>
                <w:color w:val="auto"/>
                <w:sz w:val="24"/>
                <w:highlight w:val="none"/>
              </w:rPr>
              <w:t>签字盖章</w:t>
            </w:r>
          </w:p>
        </w:tc>
        <w:tc>
          <w:tcPr>
            <w:tcW w:w="5515" w:type="dxa"/>
            <w:shd w:val="clear" w:color="auto" w:fill="auto"/>
            <w:vAlign w:val="center"/>
          </w:tcPr>
          <w:p w14:paraId="26DF675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eastAsia" w:ascii="Times New Roman" w:hAnsi="Times New Roman" w:eastAsia="方正仿宋_GBK" w:cstheme="minorBidi"/>
                <w:b w:val="0"/>
                <w:bCs w:val="0"/>
                <w:kern w:val="2"/>
                <w:sz w:val="24"/>
                <w:szCs w:val="24"/>
                <w:vertAlign w:val="baseline"/>
                <w:lang w:val="en-US" w:eastAsia="zh-CN" w:bidi="ar-SA"/>
              </w:rPr>
            </w:pPr>
            <w:r>
              <w:rPr>
                <w:rFonts w:hint="eastAsia"/>
                <w:b w:val="0"/>
                <w:bCs w:val="0"/>
                <w:sz w:val="24"/>
                <w:szCs w:val="24"/>
                <w:vertAlign w:val="baseline"/>
                <w:lang w:val="en-US" w:eastAsia="zh-CN"/>
              </w:rPr>
              <w:t>供应商</w:t>
            </w:r>
            <w:r>
              <w:rPr>
                <w:rFonts w:hint="default" w:ascii="Times New Roman" w:hAnsi="Times New Roman"/>
                <w:b w:val="0"/>
                <w:bCs w:val="0"/>
                <w:sz w:val="24"/>
                <w:szCs w:val="24"/>
                <w:vertAlign w:val="baseline"/>
                <w:lang w:val="en-US" w:eastAsia="zh-CN"/>
              </w:rPr>
              <w:t>必须按照</w:t>
            </w:r>
            <w:r>
              <w:rPr>
                <w:rFonts w:hint="eastAsia"/>
                <w:b w:val="0"/>
                <w:bCs w:val="0"/>
                <w:sz w:val="24"/>
                <w:szCs w:val="24"/>
                <w:vertAlign w:val="baseline"/>
                <w:lang w:val="en-US" w:eastAsia="zh-CN"/>
              </w:rPr>
              <w:t>询比采购</w:t>
            </w:r>
            <w:r>
              <w:rPr>
                <w:rFonts w:hint="default" w:ascii="Times New Roman" w:hAnsi="Times New Roman"/>
                <w:b w:val="0"/>
                <w:bCs w:val="0"/>
                <w:sz w:val="24"/>
                <w:szCs w:val="24"/>
                <w:vertAlign w:val="baseline"/>
                <w:lang w:val="en-US" w:eastAsia="zh-CN"/>
              </w:rPr>
              <w:t>文件的规定和要求签字、盖章。</w:t>
            </w:r>
          </w:p>
        </w:tc>
      </w:tr>
      <w:tr w14:paraId="1D676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3" w:type="dxa"/>
            <w:vAlign w:val="center"/>
          </w:tcPr>
          <w:p w14:paraId="55E2C1B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b w:val="0"/>
                <w:bCs w:val="0"/>
                <w:sz w:val="24"/>
                <w:szCs w:val="24"/>
                <w:vertAlign w:val="baseline"/>
                <w:lang w:val="en-US" w:eastAsia="zh-CN"/>
              </w:rPr>
            </w:pPr>
            <w:r>
              <w:rPr>
                <w:rFonts w:hint="eastAsia"/>
                <w:b w:val="0"/>
                <w:bCs w:val="0"/>
                <w:sz w:val="24"/>
                <w:szCs w:val="24"/>
                <w:vertAlign w:val="baseline"/>
                <w:lang w:val="en-US" w:eastAsia="zh-CN"/>
              </w:rPr>
              <w:t>14</w:t>
            </w:r>
          </w:p>
        </w:tc>
        <w:tc>
          <w:tcPr>
            <w:tcW w:w="2041" w:type="dxa"/>
            <w:shd w:val="clear" w:color="auto" w:fill="auto"/>
            <w:vAlign w:val="center"/>
          </w:tcPr>
          <w:p w14:paraId="3C98094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Times New Roman" w:hAnsi="Times New Roman" w:eastAsia="方正仿宋_GBK" w:cs="Times New Roman"/>
                <w:color w:val="auto"/>
                <w:kern w:val="2"/>
                <w:sz w:val="24"/>
                <w:szCs w:val="24"/>
                <w:highlight w:val="none"/>
                <w:lang w:val="en-US" w:eastAsia="zh-CN" w:bidi="ar-SA"/>
              </w:rPr>
            </w:pPr>
            <w:r>
              <w:rPr>
                <w:rFonts w:hint="eastAsia"/>
                <w:spacing w:val="-1"/>
                <w:sz w:val="24"/>
                <w:szCs w:val="24"/>
                <w:highlight w:val="none"/>
                <w:lang w:val="en-US" w:eastAsia="zh-CN"/>
              </w:rPr>
              <w:t>响应文件封面的标注</w:t>
            </w:r>
          </w:p>
        </w:tc>
        <w:tc>
          <w:tcPr>
            <w:tcW w:w="5515" w:type="dxa"/>
            <w:shd w:val="clear" w:color="auto" w:fill="auto"/>
            <w:vAlign w:val="center"/>
          </w:tcPr>
          <w:p w14:paraId="6DF7453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eastAsia" w:ascii="Times New Roman" w:hAnsi="Times New Roman" w:eastAsia="方正仿宋_GBK" w:cstheme="minorBidi"/>
                <w:b w:val="0"/>
                <w:bCs w:val="0"/>
                <w:kern w:val="2"/>
                <w:sz w:val="24"/>
                <w:szCs w:val="24"/>
                <w:highlight w:val="none"/>
                <w:vertAlign w:val="baseline"/>
                <w:lang w:val="en-US" w:eastAsia="zh-CN" w:bidi="ar-SA"/>
              </w:rPr>
            </w:pPr>
            <w:r>
              <w:rPr>
                <w:rFonts w:hint="eastAsia"/>
                <w:sz w:val="24"/>
                <w:szCs w:val="24"/>
                <w:highlight w:val="none"/>
                <w:lang w:val="en-US" w:eastAsia="zh-CN"/>
              </w:rPr>
              <w:t>响应文件</w:t>
            </w:r>
            <w:r>
              <w:rPr>
                <w:rFonts w:hint="eastAsia"/>
                <w:sz w:val="24"/>
                <w:szCs w:val="24"/>
                <w:highlight w:val="none"/>
              </w:rPr>
              <w:t>正本和副本的封面上均应标明：项目名称、</w:t>
            </w:r>
            <w:r>
              <w:rPr>
                <w:rFonts w:hint="eastAsia"/>
                <w:sz w:val="24"/>
                <w:szCs w:val="24"/>
                <w:highlight w:val="none"/>
                <w:lang w:val="en-US" w:eastAsia="zh-CN"/>
              </w:rPr>
              <w:t>供应商</w:t>
            </w:r>
            <w:r>
              <w:rPr>
                <w:rFonts w:hint="eastAsia"/>
                <w:sz w:val="24"/>
                <w:szCs w:val="24"/>
                <w:highlight w:val="none"/>
              </w:rPr>
              <w:t>名称、递交时间（   年  月  日）；并分别在右上角标明“正本”或“副本”字样（详见</w:t>
            </w:r>
            <w:r>
              <w:rPr>
                <w:rFonts w:hint="eastAsia"/>
                <w:sz w:val="24"/>
                <w:szCs w:val="24"/>
                <w:highlight w:val="none"/>
                <w:lang w:val="en-US" w:eastAsia="zh-CN"/>
              </w:rPr>
              <w:t>响应文件</w:t>
            </w:r>
            <w:r>
              <w:rPr>
                <w:rFonts w:hint="eastAsia"/>
                <w:sz w:val="24"/>
                <w:szCs w:val="24"/>
                <w:highlight w:val="none"/>
              </w:rPr>
              <w:t>第五章提供的格式）。</w:t>
            </w:r>
          </w:p>
        </w:tc>
      </w:tr>
      <w:tr w14:paraId="4606B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3" w:type="dxa"/>
            <w:vAlign w:val="center"/>
          </w:tcPr>
          <w:p w14:paraId="3ED6382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b w:val="0"/>
                <w:bCs w:val="0"/>
                <w:sz w:val="24"/>
                <w:szCs w:val="24"/>
                <w:vertAlign w:val="baseline"/>
                <w:lang w:val="en-US" w:eastAsia="zh-CN"/>
              </w:rPr>
            </w:pPr>
            <w:r>
              <w:rPr>
                <w:rFonts w:hint="eastAsia"/>
                <w:b w:val="0"/>
                <w:bCs w:val="0"/>
                <w:sz w:val="24"/>
                <w:szCs w:val="24"/>
                <w:vertAlign w:val="baseline"/>
                <w:lang w:val="en-US" w:eastAsia="zh-CN"/>
              </w:rPr>
              <w:t>15</w:t>
            </w:r>
          </w:p>
        </w:tc>
        <w:tc>
          <w:tcPr>
            <w:tcW w:w="2041" w:type="dxa"/>
            <w:shd w:val="clear" w:color="auto" w:fill="auto"/>
            <w:vAlign w:val="center"/>
          </w:tcPr>
          <w:p w14:paraId="37747A4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Times New Roman" w:hAnsi="Times New Roman" w:eastAsia="方正仿宋_GBK" w:cs="Times New Roman"/>
                <w:color w:val="auto"/>
                <w:kern w:val="2"/>
                <w:sz w:val="24"/>
                <w:szCs w:val="24"/>
                <w:highlight w:val="none"/>
                <w:lang w:val="en-US" w:eastAsia="zh-CN" w:bidi="ar-SA"/>
              </w:rPr>
            </w:pPr>
            <w:r>
              <w:rPr>
                <w:rFonts w:hint="eastAsia" w:cs="Times New Roman"/>
                <w:color w:val="auto"/>
                <w:kern w:val="0"/>
                <w:sz w:val="24"/>
                <w:highlight w:val="none"/>
                <w:lang w:val="en-US" w:eastAsia="zh-CN"/>
              </w:rPr>
              <w:t>响应文件</w:t>
            </w:r>
            <w:r>
              <w:rPr>
                <w:rFonts w:hint="default" w:ascii="Times New Roman" w:hAnsi="Times New Roman" w:cs="Times New Roman"/>
                <w:color w:val="auto"/>
                <w:kern w:val="0"/>
                <w:sz w:val="24"/>
                <w:highlight w:val="none"/>
              </w:rPr>
              <w:t>密封袋的标注</w:t>
            </w:r>
          </w:p>
        </w:tc>
        <w:tc>
          <w:tcPr>
            <w:tcW w:w="5515" w:type="dxa"/>
            <w:shd w:val="clear" w:color="auto" w:fill="auto"/>
            <w:vAlign w:val="center"/>
          </w:tcPr>
          <w:p w14:paraId="1151A99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eastAsia"/>
                <w:b w:val="0"/>
                <w:bCs w:val="0"/>
                <w:sz w:val="24"/>
                <w:szCs w:val="24"/>
                <w:vertAlign w:val="baseline"/>
                <w:lang w:val="en-US" w:eastAsia="zh-CN"/>
              </w:rPr>
            </w:pPr>
            <w:r>
              <w:rPr>
                <w:rFonts w:hint="eastAsia"/>
                <w:b w:val="0"/>
                <w:bCs w:val="0"/>
                <w:sz w:val="24"/>
                <w:szCs w:val="24"/>
                <w:vertAlign w:val="baseline"/>
                <w:lang w:val="en-US" w:eastAsia="zh-CN"/>
              </w:rPr>
              <w:t>响应文件密封要求：</w:t>
            </w:r>
            <w:r>
              <w:rPr>
                <w:rFonts w:hint="eastAsia"/>
                <w:b/>
                <w:bCs/>
                <w:sz w:val="24"/>
                <w:szCs w:val="24"/>
                <w:u w:val="single"/>
                <w:vertAlign w:val="baseline"/>
                <w:lang w:val="en-US" w:eastAsia="zh-CN"/>
              </w:rPr>
              <w:t>正本、副本、电子版本一起密封在一个封套中，封套上加盖公章或密封章</w:t>
            </w:r>
          </w:p>
          <w:p w14:paraId="279756F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eastAsia"/>
                <w:b w:val="0"/>
                <w:bCs w:val="0"/>
                <w:sz w:val="24"/>
                <w:szCs w:val="24"/>
                <w:vertAlign w:val="baseline"/>
                <w:lang w:val="en-US" w:eastAsia="zh-CN"/>
              </w:rPr>
            </w:pPr>
            <w:r>
              <w:rPr>
                <w:rFonts w:hint="eastAsia"/>
                <w:b w:val="0"/>
                <w:bCs w:val="0"/>
                <w:sz w:val="24"/>
                <w:szCs w:val="24"/>
                <w:vertAlign w:val="baseline"/>
                <w:lang w:val="en-US" w:eastAsia="zh-CN"/>
              </w:rPr>
              <w:t>封套上应载明的信息：</w:t>
            </w:r>
          </w:p>
          <w:p w14:paraId="7650A39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eastAsia"/>
                <w:b w:val="0"/>
                <w:bCs w:val="0"/>
                <w:sz w:val="24"/>
                <w:szCs w:val="24"/>
                <w:vertAlign w:val="baseline"/>
                <w:lang w:val="en-US" w:eastAsia="zh-CN"/>
              </w:rPr>
            </w:pPr>
            <w:r>
              <w:rPr>
                <w:rFonts w:hint="eastAsia"/>
                <w:b w:val="0"/>
                <w:bCs w:val="0"/>
                <w:sz w:val="24"/>
                <w:szCs w:val="24"/>
                <w:vertAlign w:val="baseline"/>
                <w:lang w:val="en-US" w:eastAsia="zh-CN"/>
              </w:rPr>
              <w:t>供应商名称：</w:t>
            </w:r>
            <w:r>
              <w:rPr>
                <w:rFonts w:hint="eastAsia"/>
                <w:b w:val="0"/>
                <w:bCs w:val="0"/>
                <w:sz w:val="24"/>
                <w:szCs w:val="24"/>
                <w:u w:val="single"/>
                <w:vertAlign w:val="baseline"/>
                <w:lang w:val="en-US" w:eastAsia="zh-CN"/>
              </w:rPr>
              <w:t xml:space="preserve">           </w:t>
            </w:r>
          </w:p>
          <w:p w14:paraId="102B993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eastAsia"/>
                <w:b w:val="0"/>
                <w:bCs w:val="0"/>
                <w:sz w:val="24"/>
                <w:szCs w:val="24"/>
                <w:vertAlign w:val="baseline"/>
                <w:lang w:val="en-US" w:eastAsia="zh-CN"/>
              </w:rPr>
            </w:pPr>
            <w:r>
              <w:rPr>
                <w:rFonts w:hint="eastAsia"/>
                <w:b w:val="0"/>
                <w:bCs w:val="0"/>
                <w:sz w:val="24"/>
                <w:szCs w:val="24"/>
                <w:u w:val="single"/>
                <w:vertAlign w:val="baseline"/>
                <w:lang w:val="en-US" w:eastAsia="zh-CN"/>
              </w:rPr>
              <w:t xml:space="preserve">           </w:t>
            </w:r>
            <w:r>
              <w:rPr>
                <w:rFonts w:hint="eastAsia"/>
                <w:b w:val="0"/>
                <w:bCs w:val="0"/>
                <w:sz w:val="24"/>
                <w:szCs w:val="24"/>
                <w:vertAlign w:val="baseline"/>
                <w:lang w:val="en-US" w:eastAsia="zh-CN"/>
              </w:rPr>
              <w:t>（项目名称）响应文件</w:t>
            </w:r>
          </w:p>
          <w:p w14:paraId="4052777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eastAsia" w:ascii="Times New Roman" w:hAnsi="Times New Roman" w:eastAsia="方正仿宋_GBK" w:cstheme="minorBidi"/>
                <w:b w:val="0"/>
                <w:bCs w:val="0"/>
                <w:kern w:val="2"/>
                <w:sz w:val="24"/>
                <w:szCs w:val="24"/>
                <w:vertAlign w:val="baseline"/>
                <w:lang w:val="en-US" w:eastAsia="zh-CN" w:bidi="ar-SA"/>
              </w:rPr>
            </w:pPr>
            <w:r>
              <w:rPr>
                <w:rFonts w:hint="eastAsia"/>
                <w:b w:val="0"/>
                <w:bCs w:val="0"/>
                <w:sz w:val="24"/>
                <w:szCs w:val="24"/>
                <w:vertAlign w:val="baseline"/>
                <w:lang w:val="en-US" w:eastAsia="zh-CN"/>
              </w:rPr>
              <w:t>在</w:t>
            </w:r>
            <w:r>
              <w:rPr>
                <w:rFonts w:hint="eastAsia" w:ascii="Times New Roman" w:hAnsi="Times New Roman"/>
                <w:b w:val="0"/>
                <w:bCs w:val="0"/>
                <w:sz w:val="24"/>
                <w:szCs w:val="24"/>
                <w:u w:val="single"/>
                <w:vertAlign w:val="baseline"/>
                <w:lang w:val="en-US" w:eastAsia="zh-CN"/>
              </w:rPr>
              <w:t xml:space="preserve">      </w:t>
            </w:r>
            <w:r>
              <w:rPr>
                <w:rFonts w:hint="eastAsia"/>
                <w:b w:val="0"/>
                <w:bCs w:val="0"/>
                <w:sz w:val="24"/>
                <w:szCs w:val="24"/>
                <w:vertAlign w:val="baseline"/>
                <w:lang w:val="en-US" w:eastAsia="zh-CN"/>
              </w:rPr>
              <w:t>年</w:t>
            </w:r>
            <w:r>
              <w:rPr>
                <w:rFonts w:hint="eastAsia" w:ascii="Times New Roman" w:hAnsi="Times New Roman"/>
                <w:b w:val="0"/>
                <w:bCs w:val="0"/>
                <w:sz w:val="24"/>
                <w:szCs w:val="24"/>
                <w:u w:val="single"/>
                <w:vertAlign w:val="baseline"/>
                <w:lang w:val="en-US" w:eastAsia="zh-CN"/>
              </w:rPr>
              <w:t xml:space="preserve">   </w:t>
            </w:r>
            <w:r>
              <w:rPr>
                <w:rFonts w:hint="eastAsia"/>
                <w:b w:val="0"/>
                <w:bCs w:val="0"/>
                <w:sz w:val="24"/>
                <w:szCs w:val="24"/>
                <w:vertAlign w:val="baseline"/>
                <w:lang w:val="en-US" w:eastAsia="zh-CN"/>
              </w:rPr>
              <w:t>月</w:t>
            </w:r>
            <w:r>
              <w:rPr>
                <w:rFonts w:hint="eastAsia" w:ascii="Times New Roman" w:hAnsi="Times New Roman"/>
                <w:b w:val="0"/>
                <w:bCs w:val="0"/>
                <w:sz w:val="24"/>
                <w:szCs w:val="24"/>
                <w:u w:val="single"/>
                <w:vertAlign w:val="baseline"/>
                <w:lang w:val="en-US" w:eastAsia="zh-CN"/>
              </w:rPr>
              <w:t xml:space="preserve">   </w:t>
            </w:r>
            <w:r>
              <w:rPr>
                <w:rFonts w:hint="eastAsia"/>
                <w:b w:val="0"/>
                <w:bCs w:val="0"/>
                <w:sz w:val="24"/>
                <w:szCs w:val="24"/>
                <w:vertAlign w:val="baseline"/>
                <w:lang w:val="en-US" w:eastAsia="zh-CN"/>
              </w:rPr>
              <w:t>日</w:t>
            </w:r>
            <w:r>
              <w:rPr>
                <w:rFonts w:hint="eastAsia" w:ascii="Times New Roman" w:hAnsi="Times New Roman"/>
                <w:b w:val="0"/>
                <w:bCs w:val="0"/>
                <w:sz w:val="24"/>
                <w:szCs w:val="24"/>
                <w:u w:val="single"/>
                <w:vertAlign w:val="baseline"/>
                <w:lang w:val="en-US" w:eastAsia="zh-CN"/>
              </w:rPr>
              <w:t xml:space="preserve">   </w:t>
            </w:r>
            <w:r>
              <w:rPr>
                <w:rFonts w:hint="eastAsia"/>
                <w:b w:val="0"/>
                <w:bCs w:val="0"/>
                <w:sz w:val="24"/>
                <w:szCs w:val="24"/>
                <w:vertAlign w:val="baseline"/>
                <w:lang w:val="en-US" w:eastAsia="zh-CN"/>
              </w:rPr>
              <w:t>时</w:t>
            </w:r>
            <w:r>
              <w:rPr>
                <w:rFonts w:hint="eastAsia" w:ascii="Times New Roman" w:hAnsi="Times New Roman"/>
                <w:b w:val="0"/>
                <w:bCs w:val="0"/>
                <w:sz w:val="24"/>
                <w:szCs w:val="24"/>
                <w:u w:val="single"/>
                <w:vertAlign w:val="baseline"/>
                <w:lang w:val="en-US" w:eastAsia="zh-CN"/>
              </w:rPr>
              <w:t xml:space="preserve">   </w:t>
            </w:r>
            <w:r>
              <w:rPr>
                <w:rFonts w:hint="eastAsia"/>
                <w:b w:val="0"/>
                <w:bCs w:val="0"/>
                <w:sz w:val="24"/>
                <w:szCs w:val="24"/>
                <w:vertAlign w:val="baseline"/>
                <w:lang w:val="en-US" w:eastAsia="zh-CN"/>
              </w:rPr>
              <w:t>分前不得开启。</w:t>
            </w:r>
          </w:p>
        </w:tc>
      </w:tr>
      <w:tr w14:paraId="60248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3" w:type="dxa"/>
            <w:vAlign w:val="center"/>
          </w:tcPr>
          <w:p w14:paraId="4133B52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b w:val="0"/>
                <w:bCs w:val="0"/>
                <w:sz w:val="24"/>
                <w:szCs w:val="24"/>
                <w:vertAlign w:val="baseline"/>
                <w:lang w:val="en-US" w:eastAsia="zh-CN"/>
              </w:rPr>
            </w:pPr>
            <w:r>
              <w:rPr>
                <w:rFonts w:hint="eastAsia"/>
                <w:b w:val="0"/>
                <w:bCs w:val="0"/>
                <w:sz w:val="24"/>
                <w:szCs w:val="24"/>
                <w:vertAlign w:val="baseline"/>
                <w:lang w:val="en-US" w:eastAsia="zh-CN"/>
              </w:rPr>
              <w:t>16</w:t>
            </w:r>
          </w:p>
        </w:tc>
        <w:tc>
          <w:tcPr>
            <w:tcW w:w="2041" w:type="dxa"/>
            <w:vAlign w:val="center"/>
          </w:tcPr>
          <w:p w14:paraId="3DAA35D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cs="Times New Roman"/>
                <w:color w:val="auto"/>
                <w:sz w:val="24"/>
                <w:highlight w:val="none"/>
                <w:lang w:val="en-US" w:eastAsia="zh-CN"/>
              </w:rPr>
            </w:pPr>
            <w:r>
              <w:rPr>
                <w:rFonts w:hint="eastAsia" w:cs="Times New Roman"/>
                <w:color w:val="auto"/>
                <w:sz w:val="24"/>
                <w:highlight w:val="none"/>
                <w:lang w:val="en-US" w:eastAsia="zh-CN"/>
              </w:rPr>
              <w:t>报价要求</w:t>
            </w:r>
          </w:p>
        </w:tc>
        <w:tc>
          <w:tcPr>
            <w:tcW w:w="5515" w:type="dxa"/>
            <w:vAlign w:val="center"/>
          </w:tcPr>
          <w:p w14:paraId="678258A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eastAsia"/>
                <w:b w:val="0"/>
                <w:bCs w:val="0"/>
                <w:sz w:val="24"/>
                <w:szCs w:val="24"/>
                <w:vertAlign w:val="baseline"/>
                <w:lang w:val="en-US" w:eastAsia="zh-CN"/>
              </w:rPr>
            </w:pPr>
            <w:r>
              <w:rPr>
                <w:rFonts w:hint="eastAsia"/>
                <w:b w:val="0"/>
                <w:bCs w:val="0"/>
                <w:sz w:val="24"/>
                <w:szCs w:val="24"/>
                <w:vertAlign w:val="baseline"/>
                <w:lang w:val="en-US" w:eastAsia="zh-CN"/>
              </w:rPr>
              <w:t>1.本次报价为包干总价；</w:t>
            </w:r>
          </w:p>
          <w:p w14:paraId="069D2A0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eastAsia"/>
                <w:b w:val="0"/>
                <w:bCs w:val="0"/>
                <w:sz w:val="24"/>
                <w:szCs w:val="24"/>
                <w:vertAlign w:val="baseline"/>
                <w:lang w:val="en-US" w:eastAsia="zh-CN"/>
              </w:rPr>
            </w:pPr>
            <w:r>
              <w:rPr>
                <w:rFonts w:hint="eastAsia"/>
                <w:b w:val="0"/>
                <w:bCs w:val="0"/>
                <w:sz w:val="24"/>
                <w:szCs w:val="24"/>
                <w:vertAlign w:val="baseline"/>
                <w:lang w:val="en-US" w:eastAsia="zh-CN"/>
              </w:rPr>
              <w:t>2.本次报价均包含供应商可能发生的各种资源的投入及人工费、管理费、措施费、合理利润、税费等，结算时不因市场变化作任何调整，报价漏项视作优惠；</w:t>
            </w:r>
          </w:p>
          <w:p w14:paraId="46BD5D3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eastAsia"/>
                <w:b w:val="0"/>
                <w:bCs w:val="0"/>
                <w:sz w:val="24"/>
                <w:szCs w:val="24"/>
                <w:highlight w:val="none"/>
                <w:vertAlign w:val="baseline"/>
                <w:lang w:val="en-US" w:eastAsia="zh-CN"/>
              </w:rPr>
            </w:pPr>
            <w:r>
              <w:rPr>
                <w:rFonts w:hint="eastAsia"/>
                <w:b w:val="0"/>
                <w:bCs w:val="0"/>
                <w:sz w:val="24"/>
                <w:szCs w:val="24"/>
                <w:highlight w:val="none"/>
                <w:vertAlign w:val="baseline"/>
                <w:lang w:val="en-US" w:eastAsia="zh-CN"/>
              </w:rPr>
              <w:t>3.最高限价：人民币13.7万元（大写：壹拾叁万柒仟元整），</w:t>
            </w:r>
            <w:r>
              <w:rPr>
                <w:rFonts w:hint="eastAsia"/>
                <w:highlight w:val="none"/>
                <w:lang w:eastAsia="zh-CN"/>
              </w:rPr>
              <w:t>超过采购预算价</w:t>
            </w:r>
            <w:r>
              <w:rPr>
                <w:rFonts w:hint="eastAsia"/>
                <w:highlight w:val="none"/>
                <w:lang w:val="en-US" w:eastAsia="zh-CN"/>
              </w:rPr>
              <w:t>总价及分项</w:t>
            </w:r>
            <w:r>
              <w:rPr>
                <w:rFonts w:hint="eastAsia"/>
                <w:highlight w:val="none"/>
                <w:lang w:eastAsia="zh-CN"/>
              </w:rPr>
              <w:t>的报价无效。</w:t>
            </w:r>
            <w:r>
              <w:rPr>
                <w:rFonts w:hint="default" w:ascii="Times New Roman" w:hAnsi="Times New Roman"/>
                <w:b w:val="0"/>
                <w:bCs w:val="0"/>
                <w:sz w:val="24"/>
                <w:szCs w:val="24"/>
                <w:highlight w:val="none"/>
                <w:vertAlign w:val="baseline"/>
                <w:lang w:val="en-US" w:eastAsia="zh-CN"/>
              </w:rPr>
              <w:t>（费用由各项目按实际工作量分摊）。</w:t>
            </w:r>
          </w:p>
          <w:p w14:paraId="6FF89D5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eastAsia"/>
                <w:b w:val="0"/>
                <w:bCs w:val="0"/>
                <w:sz w:val="24"/>
                <w:szCs w:val="24"/>
                <w:vertAlign w:val="baseline"/>
                <w:lang w:val="en-US" w:eastAsia="zh-CN"/>
              </w:rPr>
            </w:pPr>
            <w:r>
              <w:rPr>
                <w:rFonts w:hint="eastAsia"/>
                <w:b w:val="0"/>
                <w:bCs w:val="0"/>
                <w:sz w:val="24"/>
                <w:szCs w:val="24"/>
                <w:vertAlign w:val="baseline"/>
                <w:lang w:val="en-US" w:eastAsia="zh-CN"/>
              </w:rPr>
              <w:t>4.若最终未确认为本项目供应商，采购人将不给予补偿。</w:t>
            </w:r>
          </w:p>
          <w:p w14:paraId="21D74B5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eastAsia"/>
                <w:b w:val="0"/>
                <w:bCs w:val="0"/>
                <w:sz w:val="24"/>
                <w:szCs w:val="24"/>
                <w:vertAlign w:val="baseline"/>
                <w:lang w:val="en-US" w:eastAsia="zh-CN"/>
              </w:rPr>
            </w:pPr>
            <w:r>
              <w:rPr>
                <w:rFonts w:hint="eastAsia"/>
                <w:b w:val="0"/>
                <w:bCs w:val="0"/>
                <w:sz w:val="24"/>
                <w:szCs w:val="24"/>
                <w:vertAlign w:val="baseline"/>
                <w:lang w:val="en-US" w:eastAsia="zh-CN"/>
              </w:rPr>
              <w:t>5.报价必须提供含税价、不含税价、增值税税率及相关说明（主要说明开具发票类型，如：差额发票或全额发票等）</w:t>
            </w:r>
          </w:p>
        </w:tc>
      </w:tr>
      <w:tr w14:paraId="6D671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3" w:type="dxa"/>
            <w:vAlign w:val="center"/>
          </w:tcPr>
          <w:p w14:paraId="6FE81E9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b w:val="0"/>
                <w:bCs w:val="0"/>
                <w:sz w:val="24"/>
                <w:szCs w:val="24"/>
                <w:vertAlign w:val="baseline"/>
                <w:lang w:val="en-US" w:eastAsia="zh-CN"/>
              </w:rPr>
            </w:pPr>
            <w:r>
              <w:rPr>
                <w:rFonts w:hint="eastAsia"/>
                <w:b w:val="0"/>
                <w:bCs w:val="0"/>
                <w:sz w:val="24"/>
                <w:szCs w:val="24"/>
                <w:vertAlign w:val="baseline"/>
                <w:lang w:val="en-US" w:eastAsia="zh-CN"/>
              </w:rPr>
              <w:t>17</w:t>
            </w:r>
          </w:p>
        </w:tc>
        <w:tc>
          <w:tcPr>
            <w:tcW w:w="2041" w:type="dxa"/>
            <w:vAlign w:val="center"/>
          </w:tcPr>
          <w:p w14:paraId="08C29A6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Times New Roman" w:hAnsi="Times New Roman" w:cs="Times New Roman"/>
                <w:color w:val="auto"/>
                <w:sz w:val="24"/>
                <w:highlight w:val="none"/>
                <w:lang w:val="en-US" w:eastAsia="zh-CN"/>
              </w:rPr>
            </w:pPr>
            <w:r>
              <w:rPr>
                <w:rFonts w:hint="eastAsia" w:cs="Times New Roman"/>
                <w:color w:val="auto"/>
                <w:kern w:val="0"/>
                <w:sz w:val="24"/>
                <w:highlight w:val="none"/>
                <w:lang w:val="en-US" w:eastAsia="zh-CN"/>
              </w:rPr>
              <w:t>响应文件</w:t>
            </w:r>
            <w:r>
              <w:rPr>
                <w:rFonts w:hint="default" w:ascii="Times New Roman" w:hAnsi="Times New Roman" w:cs="Times New Roman"/>
                <w:color w:val="auto"/>
                <w:kern w:val="0"/>
                <w:sz w:val="24"/>
                <w:highlight w:val="none"/>
              </w:rPr>
              <w:t>的递交</w:t>
            </w:r>
          </w:p>
        </w:tc>
        <w:tc>
          <w:tcPr>
            <w:tcW w:w="5515" w:type="dxa"/>
            <w:vAlign w:val="center"/>
          </w:tcPr>
          <w:p w14:paraId="71AA648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eastAsia"/>
                <w:b w:val="0"/>
                <w:bCs w:val="0"/>
                <w:sz w:val="24"/>
                <w:szCs w:val="24"/>
                <w:vertAlign w:val="baseline"/>
                <w:lang w:val="en-US" w:eastAsia="zh-CN"/>
              </w:rPr>
            </w:pPr>
            <w:r>
              <w:rPr>
                <w:rFonts w:hint="eastAsia"/>
                <w:b w:val="0"/>
                <w:bCs w:val="0"/>
                <w:sz w:val="24"/>
                <w:szCs w:val="24"/>
                <w:vertAlign w:val="baseline"/>
                <w:lang w:val="en-US" w:eastAsia="zh-CN"/>
              </w:rPr>
              <w:t>详见第一章询比采购公告。</w:t>
            </w:r>
          </w:p>
        </w:tc>
      </w:tr>
      <w:tr w14:paraId="01A83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3" w:type="dxa"/>
            <w:vAlign w:val="center"/>
          </w:tcPr>
          <w:p w14:paraId="257CA6F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b w:val="0"/>
                <w:bCs w:val="0"/>
                <w:sz w:val="24"/>
                <w:szCs w:val="24"/>
                <w:vertAlign w:val="baseline"/>
                <w:lang w:val="en-US" w:eastAsia="zh-CN"/>
              </w:rPr>
            </w:pPr>
            <w:r>
              <w:rPr>
                <w:rFonts w:hint="eastAsia"/>
                <w:b w:val="0"/>
                <w:bCs w:val="0"/>
                <w:sz w:val="24"/>
                <w:szCs w:val="24"/>
                <w:vertAlign w:val="baseline"/>
                <w:lang w:val="en-US" w:eastAsia="zh-CN"/>
              </w:rPr>
              <w:t>18</w:t>
            </w:r>
          </w:p>
        </w:tc>
        <w:tc>
          <w:tcPr>
            <w:tcW w:w="2041" w:type="dxa"/>
            <w:vAlign w:val="center"/>
          </w:tcPr>
          <w:p w14:paraId="4CFA018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eastAsia="zh-CN"/>
              </w:rPr>
              <w:t>评审小组</w:t>
            </w:r>
            <w:r>
              <w:rPr>
                <w:rFonts w:hint="default" w:ascii="Times New Roman" w:hAnsi="Times New Roman" w:cs="Times New Roman"/>
                <w:color w:val="auto"/>
                <w:sz w:val="24"/>
                <w:highlight w:val="none"/>
              </w:rPr>
              <w:t>的组建</w:t>
            </w:r>
          </w:p>
        </w:tc>
        <w:tc>
          <w:tcPr>
            <w:tcW w:w="5515" w:type="dxa"/>
            <w:vAlign w:val="center"/>
          </w:tcPr>
          <w:p w14:paraId="5410C4E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eastAsia" w:eastAsia="方正仿宋_GBK"/>
                <w:b w:val="0"/>
                <w:bCs w:val="0"/>
                <w:sz w:val="24"/>
                <w:szCs w:val="24"/>
                <w:vertAlign w:val="baseline"/>
                <w:lang w:val="en-US" w:eastAsia="zh-CN"/>
              </w:rPr>
            </w:pPr>
            <w:r>
              <w:rPr>
                <w:rFonts w:hint="default" w:ascii="Times New Roman" w:hAnsi="Times New Roman" w:cs="Times New Roman"/>
                <w:color w:val="auto"/>
                <w:kern w:val="0"/>
                <w:sz w:val="24"/>
                <w:highlight w:val="none"/>
              </w:rPr>
              <w:t>评审小组由3人</w:t>
            </w:r>
            <w:r>
              <w:rPr>
                <w:rFonts w:hint="eastAsia" w:cs="Times New Roman"/>
                <w:color w:val="auto"/>
                <w:kern w:val="0"/>
                <w:sz w:val="24"/>
                <w:highlight w:val="none"/>
                <w:lang w:val="en-US" w:eastAsia="zh-CN"/>
              </w:rPr>
              <w:t>及以上单数组成</w:t>
            </w:r>
            <w:r>
              <w:rPr>
                <w:rFonts w:hint="eastAsia" w:cs="Times New Roman"/>
                <w:color w:val="auto"/>
                <w:kern w:val="0"/>
                <w:sz w:val="24"/>
                <w:highlight w:val="none"/>
                <w:lang w:eastAsia="zh-CN"/>
              </w:rPr>
              <w:t>。</w:t>
            </w:r>
          </w:p>
        </w:tc>
      </w:tr>
      <w:tr w14:paraId="77380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3" w:type="dxa"/>
            <w:vAlign w:val="center"/>
          </w:tcPr>
          <w:p w14:paraId="61032CA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b w:val="0"/>
                <w:bCs w:val="0"/>
                <w:sz w:val="24"/>
                <w:szCs w:val="24"/>
                <w:vertAlign w:val="baseline"/>
                <w:lang w:val="en-US" w:eastAsia="zh-CN"/>
              </w:rPr>
            </w:pPr>
            <w:r>
              <w:rPr>
                <w:rFonts w:hint="eastAsia"/>
                <w:b w:val="0"/>
                <w:bCs w:val="0"/>
                <w:sz w:val="24"/>
                <w:szCs w:val="24"/>
                <w:vertAlign w:val="baseline"/>
                <w:lang w:val="en-US" w:eastAsia="zh-CN"/>
              </w:rPr>
              <w:t>19</w:t>
            </w:r>
          </w:p>
        </w:tc>
        <w:tc>
          <w:tcPr>
            <w:tcW w:w="2041" w:type="dxa"/>
            <w:vAlign w:val="center"/>
          </w:tcPr>
          <w:p w14:paraId="3FE13C4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Times New Roman" w:hAnsi="Times New Roman" w:cs="Times New Roman"/>
                <w:color w:val="auto"/>
                <w:sz w:val="24"/>
                <w:highlight w:val="none"/>
                <w:lang w:val="en-US" w:eastAsia="zh-CN"/>
              </w:rPr>
            </w:pPr>
            <w:r>
              <w:rPr>
                <w:rFonts w:hint="default" w:ascii="Times New Roman" w:hAnsi="Times New Roman" w:cs="Times New Roman"/>
                <w:color w:val="auto"/>
                <w:kern w:val="0"/>
                <w:sz w:val="24"/>
                <w:highlight w:val="none"/>
              </w:rPr>
              <w:t>解释</w:t>
            </w:r>
          </w:p>
        </w:tc>
        <w:tc>
          <w:tcPr>
            <w:tcW w:w="5515" w:type="dxa"/>
            <w:vAlign w:val="center"/>
          </w:tcPr>
          <w:p w14:paraId="5A4008D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default" w:ascii="Times New Roman" w:hAnsi="Times New Roman"/>
                <w:b w:val="0"/>
                <w:bCs w:val="0"/>
                <w:sz w:val="24"/>
                <w:szCs w:val="24"/>
                <w:vertAlign w:val="baseline"/>
                <w:lang w:val="en-US" w:eastAsia="zh-CN"/>
              </w:rPr>
            </w:pPr>
            <w:r>
              <w:rPr>
                <w:rFonts w:hint="default" w:ascii="Times New Roman" w:hAnsi="Times New Roman"/>
                <w:b w:val="0"/>
                <w:bCs w:val="0"/>
                <w:sz w:val="24"/>
                <w:szCs w:val="24"/>
                <w:vertAlign w:val="baseline"/>
                <w:lang w:val="en-US" w:eastAsia="zh-CN"/>
              </w:rPr>
              <w:t>1.本</w:t>
            </w:r>
            <w:r>
              <w:rPr>
                <w:rFonts w:hint="eastAsia"/>
                <w:b w:val="0"/>
                <w:bCs w:val="0"/>
                <w:sz w:val="24"/>
                <w:szCs w:val="24"/>
                <w:vertAlign w:val="baseline"/>
                <w:lang w:val="en-US" w:eastAsia="zh-CN"/>
              </w:rPr>
              <w:t>询比采购</w:t>
            </w:r>
            <w:r>
              <w:rPr>
                <w:rFonts w:hint="default" w:ascii="Times New Roman" w:hAnsi="Times New Roman"/>
                <w:b w:val="0"/>
                <w:bCs w:val="0"/>
                <w:sz w:val="24"/>
                <w:szCs w:val="24"/>
                <w:vertAlign w:val="baseline"/>
                <w:lang w:val="en-US" w:eastAsia="zh-CN"/>
              </w:rPr>
              <w:t>文件是参照相关法律法规编制，解释权属采购人。</w:t>
            </w:r>
          </w:p>
          <w:p w14:paraId="5AF5C6D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eastAsia"/>
                <w:b w:val="0"/>
                <w:bCs w:val="0"/>
                <w:sz w:val="24"/>
                <w:szCs w:val="24"/>
                <w:vertAlign w:val="baseline"/>
                <w:lang w:val="en-US" w:eastAsia="zh-CN"/>
              </w:rPr>
            </w:pPr>
            <w:r>
              <w:rPr>
                <w:rFonts w:hint="default" w:ascii="Times New Roman" w:hAnsi="Times New Roman"/>
                <w:b w:val="0"/>
                <w:bCs w:val="0"/>
                <w:sz w:val="24"/>
                <w:szCs w:val="24"/>
                <w:vertAlign w:val="baseline"/>
                <w:lang w:val="en-US" w:eastAsia="zh-CN"/>
              </w:rPr>
              <w:t>2.除有特别规定外，当</w:t>
            </w:r>
            <w:r>
              <w:rPr>
                <w:rFonts w:hint="eastAsia"/>
                <w:b w:val="0"/>
                <w:bCs w:val="0"/>
                <w:sz w:val="24"/>
                <w:szCs w:val="24"/>
                <w:vertAlign w:val="baseline"/>
                <w:lang w:val="en-US" w:eastAsia="zh-CN"/>
              </w:rPr>
              <w:t>询比</w:t>
            </w:r>
            <w:r>
              <w:rPr>
                <w:rFonts w:hint="eastAsia" w:ascii="Times New Roman" w:hAnsi="Times New Roman"/>
                <w:b w:val="0"/>
                <w:bCs w:val="0"/>
                <w:sz w:val="24"/>
                <w:szCs w:val="24"/>
                <w:vertAlign w:val="baseline"/>
                <w:lang w:val="en-US" w:eastAsia="zh-CN"/>
              </w:rPr>
              <w:t>采购</w:t>
            </w:r>
            <w:r>
              <w:rPr>
                <w:rFonts w:hint="default" w:ascii="Times New Roman" w:hAnsi="Times New Roman"/>
                <w:b w:val="0"/>
                <w:bCs w:val="0"/>
                <w:sz w:val="24"/>
                <w:szCs w:val="24"/>
                <w:vertAlign w:val="baseline"/>
                <w:lang w:val="en-US" w:eastAsia="zh-CN"/>
              </w:rPr>
              <w:t>文件、</w:t>
            </w:r>
            <w:r>
              <w:rPr>
                <w:rFonts w:hint="eastAsia"/>
                <w:b w:val="0"/>
                <w:bCs w:val="0"/>
                <w:sz w:val="24"/>
                <w:szCs w:val="24"/>
                <w:vertAlign w:val="baseline"/>
                <w:lang w:val="en-US" w:eastAsia="zh-CN"/>
              </w:rPr>
              <w:t>询比</w:t>
            </w:r>
            <w:r>
              <w:rPr>
                <w:rFonts w:hint="eastAsia" w:ascii="Times New Roman" w:hAnsi="Times New Roman"/>
                <w:b w:val="0"/>
                <w:bCs w:val="0"/>
                <w:sz w:val="24"/>
                <w:szCs w:val="24"/>
                <w:vertAlign w:val="baseline"/>
                <w:lang w:val="en-US" w:eastAsia="zh-CN"/>
              </w:rPr>
              <w:t>采购</w:t>
            </w:r>
            <w:r>
              <w:rPr>
                <w:rFonts w:hint="default" w:ascii="Times New Roman" w:hAnsi="Times New Roman"/>
                <w:b w:val="0"/>
                <w:bCs w:val="0"/>
                <w:sz w:val="24"/>
                <w:szCs w:val="24"/>
                <w:vertAlign w:val="baseline"/>
                <w:lang w:val="en-US" w:eastAsia="zh-CN"/>
              </w:rPr>
              <w:t>文件的澄清、修改、补充等在同一内容的表述上不一致时，以最后发出的书面文件为准。</w:t>
            </w:r>
          </w:p>
        </w:tc>
      </w:tr>
      <w:tr w14:paraId="00730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3" w:type="dxa"/>
            <w:vAlign w:val="center"/>
          </w:tcPr>
          <w:p w14:paraId="19D97E9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b w:val="0"/>
                <w:bCs w:val="0"/>
                <w:sz w:val="24"/>
                <w:szCs w:val="24"/>
                <w:vertAlign w:val="baseline"/>
                <w:lang w:val="en-US" w:eastAsia="zh-CN"/>
              </w:rPr>
            </w:pPr>
            <w:r>
              <w:rPr>
                <w:rFonts w:hint="eastAsia"/>
                <w:b w:val="0"/>
                <w:bCs w:val="0"/>
                <w:sz w:val="24"/>
                <w:szCs w:val="24"/>
                <w:vertAlign w:val="baseline"/>
                <w:lang w:val="en-US" w:eastAsia="zh-CN"/>
              </w:rPr>
              <w:t>20</w:t>
            </w:r>
          </w:p>
        </w:tc>
        <w:tc>
          <w:tcPr>
            <w:tcW w:w="2041" w:type="dxa"/>
            <w:vAlign w:val="center"/>
          </w:tcPr>
          <w:p w14:paraId="08606E5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Times New Roman" w:hAnsi="Times New Roman" w:cs="Times New Roman"/>
                <w:color w:val="auto"/>
                <w:sz w:val="24"/>
                <w:highlight w:val="none"/>
                <w:lang w:val="en-US" w:eastAsia="zh-CN"/>
              </w:rPr>
            </w:pPr>
            <w:r>
              <w:rPr>
                <w:rFonts w:hint="default" w:ascii="Times New Roman" w:hAnsi="Times New Roman" w:cs="Times New Roman"/>
                <w:color w:val="auto"/>
                <w:kern w:val="0"/>
                <w:sz w:val="24"/>
                <w:highlight w:val="none"/>
              </w:rPr>
              <w:t>否决条件</w:t>
            </w:r>
          </w:p>
        </w:tc>
        <w:tc>
          <w:tcPr>
            <w:tcW w:w="5515" w:type="dxa"/>
            <w:vAlign w:val="center"/>
          </w:tcPr>
          <w:p w14:paraId="6D84740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default" w:ascii="Times New Roman" w:hAnsi="Times New Roman"/>
                <w:b w:val="0"/>
                <w:bCs w:val="0"/>
                <w:sz w:val="24"/>
                <w:szCs w:val="24"/>
                <w:vertAlign w:val="baseline"/>
                <w:lang w:val="en-US" w:eastAsia="zh-CN"/>
              </w:rPr>
            </w:pPr>
            <w:r>
              <w:rPr>
                <w:rFonts w:hint="default" w:ascii="Times New Roman" w:hAnsi="Times New Roman"/>
                <w:b w:val="0"/>
                <w:bCs w:val="0"/>
                <w:sz w:val="24"/>
                <w:szCs w:val="24"/>
                <w:vertAlign w:val="baseline"/>
                <w:lang w:val="en-US" w:eastAsia="zh-CN"/>
              </w:rPr>
              <w:t>否决条件：</w:t>
            </w:r>
            <w:r>
              <w:rPr>
                <w:rFonts w:hint="eastAsia"/>
                <w:b w:val="0"/>
                <w:bCs w:val="0"/>
                <w:sz w:val="24"/>
                <w:szCs w:val="24"/>
                <w:vertAlign w:val="baseline"/>
                <w:lang w:val="en-US" w:eastAsia="zh-CN"/>
              </w:rPr>
              <w:t>供应商</w:t>
            </w:r>
            <w:r>
              <w:rPr>
                <w:rFonts w:hint="default" w:ascii="Times New Roman" w:hAnsi="Times New Roman"/>
                <w:b w:val="0"/>
                <w:bCs w:val="0"/>
                <w:sz w:val="24"/>
                <w:szCs w:val="24"/>
                <w:vertAlign w:val="baseline"/>
                <w:lang w:val="en-US" w:eastAsia="zh-CN"/>
              </w:rPr>
              <w:t>或</w:t>
            </w:r>
            <w:r>
              <w:rPr>
                <w:rFonts w:hint="eastAsia"/>
                <w:b w:val="0"/>
                <w:bCs w:val="0"/>
                <w:sz w:val="24"/>
                <w:szCs w:val="24"/>
                <w:vertAlign w:val="baseline"/>
                <w:lang w:val="en-US" w:eastAsia="zh-CN"/>
              </w:rPr>
              <w:t>响应文件</w:t>
            </w:r>
            <w:r>
              <w:rPr>
                <w:rFonts w:hint="default" w:ascii="Times New Roman" w:hAnsi="Times New Roman"/>
                <w:b w:val="0"/>
                <w:bCs w:val="0"/>
                <w:sz w:val="24"/>
                <w:szCs w:val="24"/>
                <w:vertAlign w:val="baseline"/>
                <w:lang w:val="en-US" w:eastAsia="zh-CN"/>
              </w:rPr>
              <w:t>中有下列情形之一的，其</w:t>
            </w:r>
            <w:r>
              <w:rPr>
                <w:rFonts w:hint="eastAsia"/>
                <w:b w:val="0"/>
                <w:bCs w:val="0"/>
                <w:sz w:val="24"/>
                <w:szCs w:val="24"/>
                <w:vertAlign w:val="baseline"/>
                <w:lang w:val="en-US" w:eastAsia="zh-CN"/>
              </w:rPr>
              <w:t>响应文件</w:t>
            </w:r>
            <w:r>
              <w:rPr>
                <w:rFonts w:hint="default" w:ascii="Times New Roman" w:hAnsi="Times New Roman"/>
                <w:b w:val="0"/>
                <w:bCs w:val="0"/>
                <w:sz w:val="24"/>
                <w:szCs w:val="24"/>
                <w:vertAlign w:val="baseline"/>
                <w:lang w:val="en-US" w:eastAsia="zh-CN"/>
              </w:rPr>
              <w:t>作否决处理：</w:t>
            </w:r>
          </w:p>
          <w:p w14:paraId="7A78C93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default" w:ascii="Times New Roman" w:hAnsi="Times New Roman"/>
                <w:b w:val="0"/>
                <w:bCs w:val="0"/>
                <w:sz w:val="24"/>
                <w:szCs w:val="24"/>
                <w:vertAlign w:val="baseline"/>
                <w:lang w:val="en-US" w:eastAsia="zh-CN"/>
              </w:rPr>
            </w:pPr>
            <w:r>
              <w:rPr>
                <w:rFonts w:hint="eastAsia"/>
                <w:b w:val="0"/>
                <w:bCs w:val="0"/>
                <w:sz w:val="24"/>
                <w:szCs w:val="24"/>
                <w:vertAlign w:val="baseline"/>
                <w:lang w:val="en-US" w:eastAsia="zh-CN"/>
              </w:rPr>
              <w:t>1.</w:t>
            </w:r>
            <w:r>
              <w:rPr>
                <w:rFonts w:hint="default" w:ascii="Times New Roman" w:hAnsi="Times New Roman"/>
                <w:b w:val="0"/>
                <w:bCs w:val="0"/>
                <w:sz w:val="24"/>
                <w:szCs w:val="24"/>
                <w:vertAlign w:val="baseline"/>
                <w:lang w:val="en-US" w:eastAsia="zh-CN"/>
              </w:rPr>
              <w:t>存在恶意串通或视为串通的情形，或提供虚假材料谋取成交、捏造事实进行虚假响应的；</w:t>
            </w:r>
          </w:p>
          <w:p w14:paraId="5296B99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default" w:ascii="Times New Roman" w:hAnsi="Times New Roman"/>
                <w:b w:val="0"/>
                <w:bCs w:val="0"/>
                <w:sz w:val="24"/>
                <w:szCs w:val="24"/>
                <w:vertAlign w:val="baseline"/>
                <w:lang w:val="en-US" w:eastAsia="zh-CN"/>
              </w:rPr>
            </w:pPr>
            <w:r>
              <w:rPr>
                <w:rFonts w:hint="eastAsia"/>
                <w:b w:val="0"/>
                <w:bCs w:val="0"/>
                <w:sz w:val="24"/>
                <w:szCs w:val="24"/>
                <w:vertAlign w:val="baseline"/>
                <w:lang w:val="en-US" w:eastAsia="zh-CN"/>
              </w:rPr>
              <w:t>2.</w:t>
            </w:r>
            <w:r>
              <w:rPr>
                <w:rFonts w:hint="default" w:ascii="Times New Roman" w:hAnsi="Times New Roman"/>
                <w:b w:val="0"/>
                <w:bCs w:val="0"/>
                <w:sz w:val="24"/>
                <w:szCs w:val="24"/>
                <w:vertAlign w:val="baseline"/>
                <w:lang w:val="en-US" w:eastAsia="zh-CN"/>
              </w:rPr>
              <w:t>未按评审小组书面要求在规定时间内作出澄清、说明或补正的；</w:t>
            </w:r>
          </w:p>
          <w:p w14:paraId="26E21A1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default" w:ascii="Times New Roman" w:hAnsi="Times New Roman"/>
                <w:b w:val="0"/>
                <w:bCs w:val="0"/>
                <w:sz w:val="24"/>
                <w:szCs w:val="24"/>
                <w:vertAlign w:val="baseline"/>
                <w:lang w:val="en-US" w:eastAsia="zh-CN"/>
              </w:rPr>
            </w:pPr>
            <w:r>
              <w:rPr>
                <w:rFonts w:hint="eastAsia"/>
                <w:b w:val="0"/>
                <w:bCs w:val="0"/>
                <w:sz w:val="24"/>
                <w:szCs w:val="24"/>
                <w:vertAlign w:val="baseline"/>
                <w:lang w:val="en-US" w:eastAsia="zh-CN"/>
              </w:rPr>
              <w:t>3.</w:t>
            </w:r>
            <w:r>
              <w:rPr>
                <w:rFonts w:hint="default" w:ascii="Times New Roman" w:hAnsi="Times New Roman"/>
                <w:b w:val="0"/>
                <w:bCs w:val="0"/>
                <w:sz w:val="24"/>
                <w:szCs w:val="24"/>
                <w:vertAlign w:val="baseline"/>
                <w:lang w:val="en-US" w:eastAsia="zh-CN"/>
              </w:rPr>
              <w:t>未通过资格性审查或符合性审查，即任一项审查标准不满足的；</w:t>
            </w:r>
          </w:p>
          <w:p w14:paraId="293CF1C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eastAsia" w:ascii="Times New Roman" w:hAnsi="Times New Roman"/>
                <w:b w:val="0"/>
                <w:bCs w:val="0"/>
                <w:sz w:val="24"/>
                <w:szCs w:val="24"/>
                <w:vertAlign w:val="baseline"/>
                <w:lang w:val="en-US" w:eastAsia="zh-CN"/>
              </w:rPr>
            </w:pPr>
            <w:r>
              <w:rPr>
                <w:rFonts w:hint="eastAsia"/>
                <w:b w:val="0"/>
                <w:bCs w:val="0"/>
                <w:sz w:val="24"/>
                <w:szCs w:val="24"/>
                <w:vertAlign w:val="baseline"/>
                <w:lang w:val="en-US" w:eastAsia="zh-CN"/>
              </w:rPr>
              <w:t>4.</w:t>
            </w:r>
            <w:r>
              <w:rPr>
                <w:rFonts w:hint="default" w:ascii="Times New Roman" w:hAnsi="Times New Roman"/>
                <w:b w:val="0"/>
                <w:bCs w:val="0"/>
                <w:sz w:val="24"/>
                <w:szCs w:val="24"/>
                <w:vertAlign w:val="baseline"/>
                <w:lang w:val="en-US" w:eastAsia="zh-CN"/>
              </w:rPr>
              <w:t>报价明显低于其他有效报价或成本价，供应商不能在评审小组规定时间内书面说明并提供相关证明材料，经评审小组认定可能影响合同履行的。</w:t>
            </w:r>
          </w:p>
        </w:tc>
      </w:tr>
      <w:tr w14:paraId="0BBE3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3" w:type="dxa"/>
            <w:vAlign w:val="center"/>
          </w:tcPr>
          <w:p w14:paraId="2333506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b w:val="0"/>
                <w:bCs w:val="0"/>
                <w:sz w:val="24"/>
                <w:szCs w:val="24"/>
                <w:vertAlign w:val="baseline"/>
                <w:lang w:val="en-US" w:eastAsia="zh-CN"/>
              </w:rPr>
            </w:pPr>
            <w:r>
              <w:rPr>
                <w:rFonts w:hint="eastAsia"/>
                <w:b w:val="0"/>
                <w:bCs w:val="0"/>
                <w:sz w:val="24"/>
                <w:szCs w:val="24"/>
                <w:vertAlign w:val="baseline"/>
                <w:lang w:val="en-US" w:eastAsia="zh-CN"/>
              </w:rPr>
              <w:t>22</w:t>
            </w:r>
          </w:p>
        </w:tc>
        <w:tc>
          <w:tcPr>
            <w:tcW w:w="2041" w:type="dxa"/>
            <w:vAlign w:val="center"/>
          </w:tcPr>
          <w:p w14:paraId="1B42F93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Times New Roman" w:hAnsi="Times New Roman" w:cs="Times New Roman"/>
                <w:color w:val="auto"/>
                <w:sz w:val="24"/>
                <w:highlight w:val="none"/>
                <w:lang w:val="en-US" w:eastAsia="zh-CN"/>
              </w:rPr>
            </w:pPr>
            <w:r>
              <w:rPr>
                <w:rFonts w:hint="default" w:ascii="Times New Roman" w:hAnsi="Times New Roman" w:cs="Times New Roman"/>
                <w:color w:val="auto"/>
                <w:kern w:val="0"/>
                <w:sz w:val="24"/>
                <w:highlight w:val="none"/>
              </w:rPr>
              <w:t>重新采购的条件</w:t>
            </w:r>
          </w:p>
        </w:tc>
        <w:tc>
          <w:tcPr>
            <w:tcW w:w="5515" w:type="dxa"/>
            <w:vAlign w:val="center"/>
          </w:tcPr>
          <w:p w14:paraId="59AC656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default" w:ascii="Times New Roman" w:hAnsi="Times New Roman"/>
                <w:b w:val="0"/>
                <w:bCs w:val="0"/>
                <w:sz w:val="24"/>
                <w:szCs w:val="24"/>
                <w:vertAlign w:val="baseline"/>
                <w:lang w:val="en-US" w:eastAsia="zh-CN"/>
              </w:rPr>
            </w:pPr>
            <w:r>
              <w:rPr>
                <w:rFonts w:hint="default" w:ascii="Times New Roman" w:hAnsi="Times New Roman"/>
                <w:b w:val="0"/>
                <w:bCs w:val="0"/>
                <w:sz w:val="24"/>
                <w:szCs w:val="24"/>
                <w:vertAlign w:val="baseline"/>
                <w:lang w:val="en-US" w:eastAsia="zh-CN"/>
              </w:rPr>
              <w:t>有下列情形之一的，采购人将重新采购：</w:t>
            </w:r>
          </w:p>
          <w:p w14:paraId="5719540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default" w:ascii="Times New Roman" w:hAnsi="Times New Roman"/>
                <w:b w:val="0"/>
                <w:bCs w:val="0"/>
                <w:sz w:val="24"/>
                <w:szCs w:val="24"/>
                <w:vertAlign w:val="baseline"/>
                <w:lang w:val="en-US" w:eastAsia="zh-CN"/>
              </w:rPr>
            </w:pPr>
            <w:r>
              <w:rPr>
                <w:rFonts w:hint="default" w:ascii="Times New Roman" w:hAnsi="Times New Roman"/>
                <w:b w:val="0"/>
                <w:bCs w:val="0"/>
                <w:sz w:val="24"/>
                <w:szCs w:val="24"/>
                <w:vertAlign w:val="baseline"/>
                <w:lang w:val="en-US" w:eastAsia="zh-CN"/>
              </w:rPr>
              <w:t>1.至</w:t>
            </w:r>
            <w:r>
              <w:rPr>
                <w:rFonts w:hint="eastAsia"/>
                <w:b w:val="0"/>
                <w:bCs w:val="0"/>
                <w:sz w:val="24"/>
                <w:szCs w:val="24"/>
                <w:vertAlign w:val="baseline"/>
                <w:lang w:val="en-US" w:eastAsia="zh-CN"/>
              </w:rPr>
              <w:t>报名</w:t>
            </w:r>
            <w:r>
              <w:rPr>
                <w:rFonts w:hint="default" w:ascii="Times New Roman" w:hAnsi="Times New Roman"/>
                <w:b w:val="0"/>
                <w:bCs w:val="0"/>
                <w:sz w:val="24"/>
                <w:szCs w:val="24"/>
                <w:vertAlign w:val="baseline"/>
                <w:lang w:val="en-US" w:eastAsia="zh-CN"/>
              </w:rPr>
              <w:t>截止时间止，</w:t>
            </w:r>
            <w:r>
              <w:rPr>
                <w:rFonts w:hint="eastAsia"/>
                <w:b w:val="0"/>
                <w:bCs w:val="0"/>
                <w:sz w:val="24"/>
                <w:szCs w:val="24"/>
                <w:vertAlign w:val="baseline"/>
                <w:lang w:val="en-US" w:eastAsia="zh-CN"/>
              </w:rPr>
              <w:t>供应商</w:t>
            </w:r>
            <w:r>
              <w:rPr>
                <w:rFonts w:hint="default" w:ascii="Times New Roman" w:hAnsi="Times New Roman"/>
                <w:b w:val="0"/>
                <w:bCs w:val="0"/>
                <w:sz w:val="24"/>
                <w:szCs w:val="24"/>
                <w:vertAlign w:val="baseline"/>
                <w:lang w:val="en-US" w:eastAsia="zh-CN"/>
              </w:rPr>
              <w:t>少于</w:t>
            </w:r>
            <w:r>
              <w:rPr>
                <w:rFonts w:hint="eastAsia" w:ascii="Times New Roman" w:hAnsi="Times New Roman"/>
                <w:b w:val="0"/>
                <w:bCs w:val="0"/>
                <w:sz w:val="24"/>
                <w:szCs w:val="24"/>
                <w:vertAlign w:val="baseline"/>
                <w:lang w:val="en-US" w:eastAsia="zh-CN"/>
              </w:rPr>
              <w:t>3</w:t>
            </w:r>
            <w:r>
              <w:rPr>
                <w:rFonts w:hint="default" w:ascii="Times New Roman" w:hAnsi="Times New Roman"/>
                <w:b w:val="0"/>
                <w:bCs w:val="0"/>
                <w:sz w:val="24"/>
                <w:szCs w:val="24"/>
                <w:vertAlign w:val="baseline"/>
                <w:lang w:val="en-US" w:eastAsia="zh-CN"/>
              </w:rPr>
              <w:t>个的；</w:t>
            </w:r>
          </w:p>
          <w:p w14:paraId="390E39C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default" w:ascii="Times New Roman" w:hAnsi="Times New Roman"/>
                <w:b w:val="0"/>
                <w:bCs w:val="0"/>
                <w:sz w:val="24"/>
                <w:szCs w:val="24"/>
                <w:vertAlign w:val="baseline"/>
                <w:lang w:val="en-US" w:eastAsia="zh-CN"/>
              </w:rPr>
            </w:pPr>
            <w:r>
              <w:rPr>
                <w:rFonts w:hint="default" w:ascii="Times New Roman" w:hAnsi="Times New Roman"/>
                <w:b w:val="0"/>
                <w:bCs w:val="0"/>
                <w:sz w:val="24"/>
                <w:szCs w:val="24"/>
                <w:vertAlign w:val="baseline"/>
                <w:lang w:val="en-US" w:eastAsia="zh-CN"/>
              </w:rPr>
              <w:t>2.经</w:t>
            </w:r>
            <w:r>
              <w:rPr>
                <w:rFonts w:hint="eastAsia" w:ascii="Times New Roman" w:hAnsi="Times New Roman"/>
                <w:b w:val="0"/>
                <w:bCs w:val="0"/>
                <w:sz w:val="24"/>
                <w:szCs w:val="24"/>
                <w:vertAlign w:val="baseline"/>
                <w:lang w:val="en-US" w:eastAsia="zh-CN"/>
              </w:rPr>
              <w:t>评审小组</w:t>
            </w:r>
            <w:r>
              <w:rPr>
                <w:rFonts w:hint="default" w:ascii="Times New Roman" w:hAnsi="Times New Roman"/>
                <w:b w:val="0"/>
                <w:bCs w:val="0"/>
                <w:sz w:val="24"/>
                <w:szCs w:val="24"/>
                <w:vertAlign w:val="baseline"/>
                <w:lang w:val="en-US" w:eastAsia="zh-CN"/>
              </w:rPr>
              <w:t>评审后否决所有</w:t>
            </w:r>
            <w:r>
              <w:rPr>
                <w:rFonts w:hint="eastAsia"/>
                <w:b w:val="0"/>
                <w:bCs w:val="0"/>
                <w:sz w:val="24"/>
                <w:szCs w:val="24"/>
                <w:vertAlign w:val="baseline"/>
                <w:lang w:val="en-US" w:eastAsia="zh-CN"/>
              </w:rPr>
              <w:t>响应文件</w:t>
            </w:r>
            <w:r>
              <w:rPr>
                <w:rFonts w:hint="default" w:ascii="Times New Roman" w:hAnsi="Times New Roman"/>
                <w:b w:val="0"/>
                <w:bCs w:val="0"/>
                <w:sz w:val="24"/>
                <w:szCs w:val="24"/>
                <w:vertAlign w:val="baseline"/>
                <w:lang w:val="en-US" w:eastAsia="zh-CN"/>
              </w:rPr>
              <w:t>的；</w:t>
            </w:r>
          </w:p>
          <w:p w14:paraId="158E4C0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default" w:ascii="Times New Roman" w:hAnsi="Times New Roman"/>
                <w:b w:val="0"/>
                <w:bCs w:val="0"/>
                <w:sz w:val="24"/>
                <w:szCs w:val="24"/>
                <w:vertAlign w:val="baseline"/>
                <w:lang w:val="en-US" w:eastAsia="zh-CN"/>
              </w:rPr>
            </w:pPr>
            <w:r>
              <w:rPr>
                <w:rFonts w:hint="default" w:ascii="Times New Roman" w:hAnsi="Times New Roman"/>
                <w:b w:val="0"/>
                <w:bCs w:val="0"/>
                <w:sz w:val="24"/>
                <w:szCs w:val="24"/>
                <w:vertAlign w:val="baseline"/>
                <w:lang w:val="en-US" w:eastAsia="zh-CN"/>
              </w:rPr>
              <w:t>3.成交候选人均未与采购人签订合同的；</w:t>
            </w:r>
          </w:p>
          <w:p w14:paraId="3E0B78C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eastAsia"/>
                <w:b w:val="0"/>
                <w:bCs w:val="0"/>
                <w:sz w:val="24"/>
                <w:szCs w:val="24"/>
                <w:vertAlign w:val="baseline"/>
                <w:lang w:val="en-US" w:eastAsia="zh-CN"/>
              </w:rPr>
            </w:pPr>
            <w:r>
              <w:rPr>
                <w:rFonts w:hint="default" w:ascii="Times New Roman" w:hAnsi="Times New Roman"/>
                <w:b w:val="0"/>
                <w:bCs w:val="0"/>
                <w:sz w:val="24"/>
                <w:szCs w:val="24"/>
                <w:vertAlign w:val="baseline"/>
                <w:lang w:val="en-US" w:eastAsia="zh-CN"/>
              </w:rPr>
              <w:t>4.如</w:t>
            </w:r>
            <w:r>
              <w:rPr>
                <w:rFonts w:hint="eastAsia" w:ascii="Times New Roman" w:hAnsi="Times New Roman"/>
                <w:b w:val="0"/>
                <w:bCs w:val="0"/>
                <w:sz w:val="24"/>
                <w:szCs w:val="24"/>
                <w:vertAlign w:val="baseline"/>
                <w:lang w:val="en-US" w:eastAsia="zh-CN"/>
              </w:rPr>
              <w:t>评审小组</w:t>
            </w:r>
            <w:r>
              <w:rPr>
                <w:rFonts w:hint="default" w:ascii="Times New Roman" w:hAnsi="Times New Roman"/>
                <w:b w:val="0"/>
                <w:bCs w:val="0"/>
                <w:sz w:val="24"/>
                <w:szCs w:val="24"/>
                <w:vertAlign w:val="baseline"/>
                <w:lang w:val="en-US" w:eastAsia="zh-CN"/>
              </w:rPr>
              <w:t>根据相关规定作无效</w:t>
            </w:r>
            <w:r>
              <w:rPr>
                <w:rFonts w:hint="eastAsia"/>
                <w:b w:val="0"/>
                <w:bCs w:val="0"/>
                <w:sz w:val="24"/>
                <w:szCs w:val="24"/>
                <w:vertAlign w:val="baseline"/>
                <w:lang w:val="en-US" w:eastAsia="zh-CN"/>
              </w:rPr>
              <w:t>响应</w:t>
            </w:r>
            <w:r>
              <w:rPr>
                <w:rFonts w:hint="default" w:ascii="Times New Roman" w:hAnsi="Times New Roman"/>
                <w:b w:val="0"/>
                <w:bCs w:val="0"/>
                <w:sz w:val="24"/>
                <w:szCs w:val="24"/>
                <w:vertAlign w:val="baseline"/>
                <w:lang w:val="en-US" w:eastAsia="zh-CN"/>
              </w:rPr>
              <w:t>后，如因有效</w:t>
            </w:r>
            <w:r>
              <w:rPr>
                <w:rFonts w:hint="eastAsia"/>
                <w:b w:val="0"/>
                <w:bCs w:val="0"/>
                <w:sz w:val="24"/>
                <w:szCs w:val="24"/>
                <w:vertAlign w:val="baseline"/>
                <w:lang w:val="en-US" w:eastAsia="zh-CN"/>
              </w:rPr>
              <w:t>供应商</w:t>
            </w:r>
            <w:r>
              <w:rPr>
                <w:rFonts w:hint="default" w:ascii="Times New Roman" w:hAnsi="Times New Roman"/>
                <w:b w:val="0"/>
                <w:bCs w:val="0"/>
                <w:sz w:val="24"/>
                <w:szCs w:val="24"/>
                <w:vertAlign w:val="baseline"/>
                <w:lang w:val="en-US" w:eastAsia="zh-CN"/>
              </w:rPr>
              <w:t>不足</w:t>
            </w:r>
            <w:r>
              <w:rPr>
                <w:rFonts w:hint="eastAsia" w:ascii="Times New Roman" w:hAnsi="Times New Roman"/>
                <w:b w:val="0"/>
                <w:bCs w:val="0"/>
                <w:sz w:val="24"/>
                <w:szCs w:val="24"/>
                <w:vertAlign w:val="baseline"/>
                <w:lang w:val="en-US" w:eastAsia="zh-CN"/>
              </w:rPr>
              <w:t>3</w:t>
            </w:r>
            <w:r>
              <w:rPr>
                <w:rFonts w:hint="default" w:ascii="Times New Roman" w:hAnsi="Times New Roman"/>
                <w:b w:val="0"/>
                <w:bCs w:val="0"/>
                <w:sz w:val="24"/>
                <w:szCs w:val="24"/>
                <w:vertAlign w:val="baseline"/>
                <w:lang w:val="en-US" w:eastAsia="zh-CN"/>
              </w:rPr>
              <w:t>个使得</w:t>
            </w:r>
            <w:r>
              <w:rPr>
                <w:rFonts w:hint="eastAsia"/>
                <w:b w:val="0"/>
                <w:bCs w:val="0"/>
                <w:sz w:val="24"/>
                <w:szCs w:val="24"/>
                <w:vertAlign w:val="baseline"/>
                <w:lang w:val="en-US" w:eastAsia="zh-CN"/>
              </w:rPr>
              <w:t>询比</w:t>
            </w:r>
            <w:r>
              <w:rPr>
                <w:rFonts w:hint="default" w:ascii="Times New Roman" w:hAnsi="Times New Roman"/>
                <w:b w:val="0"/>
                <w:bCs w:val="0"/>
                <w:sz w:val="24"/>
                <w:szCs w:val="24"/>
                <w:vertAlign w:val="baseline"/>
                <w:lang w:val="en-US" w:eastAsia="zh-CN"/>
              </w:rPr>
              <w:t>明显缺乏竞争的，</w:t>
            </w:r>
            <w:r>
              <w:rPr>
                <w:rFonts w:hint="eastAsia" w:ascii="Times New Roman" w:hAnsi="Times New Roman"/>
                <w:b w:val="0"/>
                <w:bCs w:val="0"/>
                <w:sz w:val="24"/>
                <w:szCs w:val="24"/>
                <w:vertAlign w:val="baseline"/>
                <w:lang w:val="en-US" w:eastAsia="zh-CN"/>
              </w:rPr>
              <w:t>评审小组</w:t>
            </w:r>
            <w:r>
              <w:rPr>
                <w:rFonts w:hint="default" w:ascii="Times New Roman" w:hAnsi="Times New Roman"/>
                <w:b w:val="0"/>
                <w:bCs w:val="0"/>
                <w:sz w:val="24"/>
                <w:szCs w:val="24"/>
                <w:vertAlign w:val="baseline"/>
                <w:lang w:val="en-US" w:eastAsia="zh-CN"/>
              </w:rPr>
              <w:t>可以建议采购人重新</w:t>
            </w:r>
            <w:r>
              <w:rPr>
                <w:rFonts w:hint="eastAsia" w:ascii="Times New Roman" w:hAnsi="Times New Roman"/>
                <w:b w:val="0"/>
                <w:bCs w:val="0"/>
                <w:sz w:val="24"/>
                <w:szCs w:val="24"/>
                <w:vertAlign w:val="baseline"/>
                <w:lang w:val="en-US" w:eastAsia="zh-CN"/>
              </w:rPr>
              <w:t>采购</w:t>
            </w:r>
            <w:r>
              <w:rPr>
                <w:rFonts w:hint="default" w:ascii="Times New Roman" w:hAnsi="Times New Roman"/>
                <w:b w:val="0"/>
                <w:bCs w:val="0"/>
                <w:sz w:val="24"/>
                <w:szCs w:val="24"/>
                <w:vertAlign w:val="baseline"/>
                <w:lang w:val="en-US" w:eastAsia="zh-CN"/>
              </w:rPr>
              <w:t>。</w:t>
            </w:r>
          </w:p>
        </w:tc>
      </w:tr>
      <w:tr w14:paraId="509C9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3" w:type="dxa"/>
            <w:vAlign w:val="center"/>
          </w:tcPr>
          <w:p w14:paraId="70C37F1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b w:val="0"/>
                <w:bCs w:val="0"/>
                <w:sz w:val="24"/>
                <w:szCs w:val="24"/>
                <w:vertAlign w:val="baseline"/>
                <w:lang w:val="en-US" w:eastAsia="zh-CN"/>
              </w:rPr>
            </w:pPr>
            <w:r>
              <w:rPr>
                <w:rFonts w:hint="eastAsia"/>
                <w:b w:val="0"/>
                <w:bCs w:val="0"/>
                <w:sz w:val="24"/>
                <w:szCs w:val="24"/>
                <w:vertAlign w:val="baseline"/>
                <w:lang w:val="en-US" w:eastAsia="zh-CN"/>
              </w:rPr>
              <w:t>23</w:t>
            </w:r>
          </w:p>
        </w:tc>
        <w:tc>
          <w:tcPr>
            <w:tcW w:w="2041" w:type="dxa"/>
            <w:vAlign w:val="center"/>
          </w:tcPr>
          <w:p w14:paraId="2821FCF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cs="Times New Roman"/>
                <w:color w:val="auto"/>
                <w:sz w:val="24"/>
                <w:highlight w:val="none"/>
                <w:lang w:val="en-US" w:eastAsia="zh-CN"/>
              </w:rPr>
            </w:pPr>
            <w:r>
              <w:rPr>
                <w:rFonts w:hint="eastAsia" w:cs="Times New Roman"/>
                <w:color w:val="auto"/>
                <w:sz w:val="24"/>
                <w:highlight w:val="none"/>
                <w:lang w:val="en-US" w:eastAsia="zh-CN"/>
              </w:rPr>
              <w:t>其他</w:t>
            </w:r>
          </w:p>
        </w:tc>
        <w:tc>
          <w:tcPr>
            <w:tcW w:w="5515" w:type="dxa"/>
            <w:vAlign w:val="center"/>
          </w:tcPr>
          <w:p w14:paraId="2AA2D2F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eastAsia"/>
                <w:b w:val="0"/>
                <w:bCs w:val="0"/>
                <w:sz w:val="24"/>
                <w:szCs w:val="24"/>
                <w:vertAlign w:val="baseline"/>
                <w:lang w:val="en-US" w:eastAsia="zh-CN"/>
              </w:rPr>
            </w:pPr>
            <w:r>
              <w:rPr>
                <w:rFonts w:hint="eastAsia"/>
                <w:b w:val="0"/>
                <w:bCs w:val="0"/>
                <w:sz w:val="24"/>
                <w:szCs w:val="24"/>
                <w:vertAlign w:val="baseline"/>
                <w:lang w:val="en-US" w:eastAsia="zh-CN"/>
              </w:rPr>
              <w:t>纪律和监督：</w:t>
            </w:r>
          </w:p>
          <w:p w14:paraId="417F91C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eastAsia"/>
                <w:b w:val="0"/>
                <w:bCs w:val="0"/>
                <w:sz w:val="24"/>
                <w:szCs w:val="24"/>
                <w:vertAlign w:val="baseline"/>
                <w:lang w:val="en-US" w:eastAsia="zh-CN"/>
              </w:rPr>
            </w:pPr>
            <w:r>
              <w:rPr>
                <w:rFonts w:hint="eastAsia"/>
                <w:b w:val="0"/>
                <w:bCs w:val="0"/>
                <w:sz w:val="24"/>
                <w:szCs w:val="24"/>
                <w:vertAlign w:val="baseline"/>
                <w:lang w:val="en-US" w:eastAsia="zh-CN"/>
              </w:rPr>
              <w:t>1.对采购人的纪律要求，采购人不得泄露询比活动中应当保密的情况和资料，不得与供应商串通损害国家利益、社会公共利益或者他人合法权益。</w:t>
            </w:r>
          </w:p>
          <w:p w14:paraId="7E5E559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eastAsia"/>
                <w:b w:val="0"/>
                <w:bCs w:val="0"/>
                <w:sz w:val="24"/>
                <w:szCs w:val="24"/>
                <w:vertAlign w:val="baseline"/>
                <w:lang w:val="en-US" w:eastAsia="zh-CN"/>
              </w:rPr>
            </w:pPr>
            <w:r>
              <w:rPr>
                <w:rFonts w:hint="eastAsia"/>
                <w:b w:val="0"/>
                <w:bCs w:val="0"/>
                <w:sz w:val="24"/>
                <w:szCs w:val="24"/>
                <w:vertAlign w:val="baseline"/>
                <w:lang w:val="en-US" w:eastAsia="zh-CN"/>
              </w:rPr>
              <w:t>2.对供应商的纪律要求，供应商不得相互串通报价或者与采购人串通报价，不得向采购人或者评审小组成员行贿谋取成交，不得以他人名义报价或者以其他方式弄虚作假骗取成交；供应商不得以任何方式干扰、影响询比工作。</w:t>
            </w:r>
          </w:p>
          <w:p w14:paraId="27D0B7F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eastAsia"/>
                <w:b w:val="0"/>
                <w:bCs w:val="0"/>
                <w:sz w:val="24"/>
                <w:szCs w:val="24"/>
                <w:vertAlign w:val="baseline"/>
                <w:lang w:val="en-US" w:eastAsia="zh-CN"/>
              </w:rPr>
            </w:pPr>
            <w:r>
              <w:rPr>
                <w:rFonts w:hint="eastAsia"/>
                <w:b w:val="0"/>
                <w:bCs w:val="0"/>
                <w:sz w:val="24"/>
                <w:szCs w:val="24"/>
                <w:vertAlign w:val="baseline"/>
                <w:lang w:val="en-US" w:eastAsia="zh-CN"/>
              </w:rPr>
              <w:t>3.对评审小组成员及与询比活动有关的工作人员的纪律要求，评审小组成员及与询比活动有关的工作人员不得收受他人的财物或者其他好处，不得向他人透漏对响应文件的评审和比较、成交供应商的推荐情况以及询比有关的其他情况。在询比活动中，评审小组成员及与询比活动有关的工作人员不得擅离职守，影响询比程序正常进行。</w:t>
            </w:r>
          </w:p>
          <w:p w14:paraId="6A4FC2D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both"/>
              <w:textAlignment w:val="auto"/>
              <w:rPr>
                <w:rFonts w:hint="eastAsia"/>
                <w:b w:val="0"/>
                <w:bCs w:val="0"/>
                <w:sz w:val="24"/>
                <w:szCs w:val="24"/>
                <w:vertAlign w:val="baseline"/>
                <w:lang w:val="en-US" w:eastAsia="zh-CN"/>
              </w:rPr>
            </w:pPr>
            <w:r>
              <w:rPr>
                <w:rFonts w:hint="eastAsia"/>
                <w:b w:val="0"/>
                <w:bCs w:val="0"/>
                <w:sz w:val="24"/>
                <w:szCs w:val="24"/>
                <w:vertAlign w:val="baseline"/>
                <w:lang w:val="en-US" w:eastAsia="zh-CN"/>
              </w:rPr>
              <w:t>4.对发现在本次采购过程中存在的任何违规、违纪情况可以向</w:t>
            </w:r>
            <w:r>
              <w:rPr>
                <w:rFonts w:hint="eastAsia"/>
                <w:b w:val="0"/>
                <w:bCs w:val="0"/>
                <w:sz w:val="24"/>
                <w:szCs w:val="24"/>
                <w:vertAlign w:val="baseline"/>
              </w:rPr>
              <w:t>云南能源资产运营管理有限公司</w:t>
            </w:r>
            <w:r>
              <w:rPr>
                <w:rFonts w:hint="eastAsia"/>
                <w:b w:val="0"/>
                <w:bCs w:val="0"/>
                <w:sz w:val="24"/>
                <w:szCs w:val="24"/>
                <w:vertAlign w:val="baseline"/>
                <w:lang w:val="en-US" w:eastAsia="zh-CN"/>
              </w:rPr>
              <w:t>纪委办公室举报，联系电话0871-68232279。</w:t>
            </w:r>
          </w:p>
        </w:tc>
      </w:tr>
    </w:tbl>
    <w:p w14:paraId="4D475230">
      <w:pPr>
        <w:rPr>
          <w:rFonts w:hint="eastAsia"/>
          <w:b/>
          <w:bCs/>
          <w:sz w:val="36"/>
          <w:szCs w:val="36"/>
        </w:rPr>
      </w:pPr>
      <w:r>
        <w:rPr>
          <w:rFonts w:hint="eastAsia"/>
          <w:b/>
          <w:bCs/>
          <w:sz w:val="36"/>
          <w:szCs w:val="36"/>
        </w:rPr>
        <w:br w:type="page"/>
      </w:r>
    </w:p>
    <w:p w14:paraId="0C5F97A9">
      <w:pPr>
        <w:pStyle w:val="4"/>
        <w:numPr>
          <w:ilvl w:val="0"/>
          <w:numId w:val="2"/>
        </w:numPr>
        <w:bidi w:val="0"/>
        <w:rPr>
          <w:rFonts w:hint="eastAsia"/>
          <w:lang w:val="en-US" w:eastAsia="zh-CN"/>
        </w:rPr>
      </w:pPr>
      <w:bookmarkStart w:id="23" w:name="_Toc25369"/>
      <w:r>
        <w:rPr>
          <w:rFonts w:hint="eastAsia"/>
          <w:lang w:val="en-US" w:eastAsia="zh-CN"/>
        </w:rPr>
        <w:t>总则</w:t>
      </w:r>
      <w:bookmarkEnd w:id="23"/>
    </w:p>
    <w:p w14:paraId="6A1094EB">
      <w:pPr>
        <w:bidi w:val="0"/>
        <w:rPr>
          <w:rFonts w:hint="eastAsia"/>
          <w:b/>
          <w:bCs/>
          <w:lang w:val="en-US" w:eastAsia="zh-CN"/>
        </w:rPr>
      </w:pPr>
      <w:r>
        <w:rPr>
          <w:rFonts w:hint="eastAsia"/>
          <w:b/>
          <w:bCs/>
          <w:lang w:val="en-US" w:eastAsia="zh-CN"/>
        </w:rPr>
        <w:t>1.项目概况</w:t>
      </w:r>
    </w:p>
    <w:p w14:paraId="1DB137B8">
      <w:pPr>
        <w:bidi w:val="0"/>
        <w:rPr>
          <w:rFonts w:hint="eastAsia"/>
          <w:lang w:val="en-US" w:eastAsia="zh-CN"/>
        </w:rPr>
      </w:pPr>
      <w:r>
        <w:rPr>
          <w:rFonts w:hint="eastAsia"/>
          <w:lang w:val="en-US" w:eastAsia="zh-CN"/>
        </w:rPr>
        <w:t>1.1本采购项目按照有关法律、行政法规、地方性法规和部门规章，通过询比方式选定合格供应商。</w:t>
      </w:r>
    </w:p>
    <w:p w14:paraId="4ED5361D">
      <w:pPr>
        <w:bidi w:val="0"/>
        <w:rPr>
          <w:rFonts w:hint="eastAsia"/>
          <w:lang w:val="en-US" w:eastAsia="zh-CN"/>
        </w:rPr>
      </w:pPr>
      <w:r>
        <w:rPr>
          <w:rFonts w:hint="eastAsia"/>
          <w:lang w:val="en-US" w:eastAsia="zh-CN"/>
        </w:rPr>
        <w:t>1.2采购人：详见供应商须知前附表。</w:t>
      </w:r>
    </w:p>
    <w:p w14:paraId="4F1906FF">
      <w:pPr>
        <w:bidi w:val="0"/>
        <w:rPr>
          <w:rFonts w:hint="eastAsia"/>
          <w:lang w:val="en-US" w:eastAsia="zh-CN"/>
        </w:rPr>
      </w:pPr>
      <w:r>
        <w:rPr>
          <w:rFonts w:hint="eastAsia"/>
          <w:lang w:val="en-US" w:eastAsia="zh-CN"/>
        </w:rPr>
        <w:t>1.3项目名称：详见供应商须知前附表。</w:t>
      </w:r>
    </w:p>
    <w:p w14:paraId="36F50116">
      <w:pPr>
        <w:bidi w:val="0"/>
        <w:rPr>
          <w:rFonts w:hint="default"/>
          <w:lang w:val="en-US" w:eastAsia="zh-CN"/>
        </w:rPr>
      </w:pPr>
      <w:r>
        <w:rPr>
          <w:rFonts w:hint="eastAsia"/>
          <w:lang w:val="en-US" w:eastAsia="zh-CN"/>
        </w:rPr>
        <w:t>1.4采购方式：询比采购。</w:t>
      </w:r>
    </w:p>
    <w:p w14:paraId="48994176">
      <w:pPr>
        <w:bidi w:val="0"/>
        <w:rPr>
          <w:rFonts w:hint="eastAsia"/>
          <w:lang w:val="en-US" w:eastAsia="zh-CN"/>
        </w:rPr>
      </w:pPr>
      <w:r>
        <w:rPr>
          <w:rFonts w:hint="eastAsia"/>
          <w:lang w:val="en-US" w:eastAsia="zh-CN"/>
        </w:rPr>
        <w:t>1.5项目实施地点：详见供应商须知前附表。</w:t>
      </w:r>
    </w:p>
    <w:p w14:paraId="67368FF1">
      <w:pPr>
        <w:bidi w:val="0"/>
        <w:rPr>
          <w:rFonts w:hint="eastAsia"/>
          <w:b/>
          <w:bCs/>
          <w:lang w:val="en-US" w:eastAsia="zh-CN"/>
        </w:rPr>
      </w:pPr>
      <w:r>
        <w:rPr>
          <w:rFonts w:hint="eastAsia"/>
          <w:b/>
          <w:bCs/>
          <w:lang w:val="en-US" w:eastAsia="zh-CN"/>
        </w:rPr>
        <w:t>2.采购内容、服务质量要求及服务期</w:t>
      </w:r>
    </w:p>
    <w:p w14:paraId="126565BC">
      <w:pPr>
        <w:bidi w:val="0"/>
        <w:rPr>
          <w:rFonts w:hint="eastAsia"/>
          <w:lang w:val="en-US" w:eastAsia="zh-CN"/>
        </w:rPr>
      </w:pPr>
      <w:r>
        <w:rPr>
          <w:rFonts w:hint="eastAsia"/>
          <w:lang w:val="en-US" w:eastAsia="zh-CN"/>
        </w:rPr>
        <w:t>2.1本项目采购内容：详见供应商须知前附表。</w:t>
      </w:r>
    </w:p>
    <w:p w14:paraId="202CFF63">
      <w:pPr>
        <w:bidi w:val="0"/>
        <w:rPr>
          <w:rFonts w:hint="eastAsia"/>
          <w:lang w:val="en-US" w:eastAsia="zh-CN"/>
        </w:rPr>
      </w:pPr>
      <w:r>
        <w:rPr>
          <w:rFonts w:hint="eastAsia"/>
          <w:lang w:val="en-US" w:eastAsia="zh-CN"/>
        </w:rPr>
        <w:t>2.2服务质量要求：详见供应商须知前附表。</w:t>
      </w:r>
    </w:p>
    <w:p w14:paraId="0DB8E65C">
      <w:pPr>
        <w:bidi w:val="0"/>
        <w:rPr>
          <w:rFonts w:hint="eastAsia"/>
          <w:lang w:val="en-US" w:eastAsia="zh-CN"/>
        </w:rPr>
      </w:pPr>
      <w:r>
        <w:rPr>
          <w:rFonts w:hint="eastAsia"/>
          <w:lang w:val="en-US" w:eastAsia="zh-CN"/>
        </w:rPr>
        <w:t>2.3服务期：详见供应商须知前附表。</w:t>
      </w:r>
    </w:p>
    <w:p w14:paraId="62377F73">
      <w:pPr>
        <w:bidi w:val="0"/>
        <w:rPr>
          <w:rFonts w:hint="eastAsia"/>
          <w:b/>
          <w:bCs/>
          <w:lang w:val="en-US" w:eastAsia="zh-CN"/>
        </w:rPr>
      </w:pPr>
      <w:r>
        <w:rPr>
          <w:rFonts w:hint="eastAsia"/>
          <w:b/>
          <w:bCs/>
          <w:lang w:val="en-US" w:eastAsia="zh-CN"/>
        </w:rPr>
        <w:t>3.合格的供应商</w:t>
      </w:r>
    </w:p>
    <w:p w14:paraId="630FA3C2">
      <w:pPr>
        <w:bidi w:val="0"/>
        <w:rPr>
          <w:rFonts w:hint="eastAsia"/>
          <w:lang w:val="en-US" w:eastAsia="zh-CN"/>
        </w:rPr>
      </w:pPr>
      <w:r>
        <w:rPr>
          <w:rFonts w:hint="eastAsia"/>
          <w:lang w:val="en-US" w:eastAsia="zh-CN"/>
        </w:rPr>
        <w:t>供应商资格要求：详见供应商须知前附表。</w:t>
      </w:r>
    </w:p>
    <w:p w14:paraId="40F12639">
      <w:pPr>
        <w:bidi w:val="0"/>
        <w:rPr>
          <w:rFonts w:hint="eastAsia"/>
          <w:b/>
          <w:bCs/>
          <w:lang w:val="en-US" w:eastAsia="zh-CN"/>
        </w:rPr>
      </w:pPr>
      <w:r>
        <w:rPr>
          <w:rFonts w:hint="eastAsia"/>
          <w:b/>
          <w:bCs/>
          <w:lang w:val="en-US" w:eastAsia="zh-CN"/>
        </w:rPr>
        <w:t>4.费用</w:t>
      </w:r>
    </w:p>
    <w:p w14:paraId="29BDF759">
      <w:pPr>
        <w:bidi w:val="0"/>
        <w:rPr>
          <w:rFonts w:hint="eastAsia"/>
          <w:lang w:val="en-US" w:eastAsia="zh-CN"/>
        </w:rPr>
      </w:pPr>
      <w:r>
        <w:rPr>
          <w:rFonts w:hint="eastAsia"/>
          <w:lang w:val="en-US" w:eastAsia="zh-CN"/>
        </w:rPr>
        <w:t>供应商应承担其参加本询比活动所发生的一切费用，递交后的响应文件恕不退还。</w:t>
      </w:r>
    </w:p>
    <w:p w14:paraId="40AAF0D0">
      <w:pPr>
        <w:pStyle w:val="4"/>
        <w:numPr>
          <w:ilvl w:val="0"/>
          <w:numId w:val="2"/>
        </w:numPr>
        <w:bidi w:val="0"/>
        <w:rPr>
          <w:rFonts w:hint="eastAsia"/>
          <w:lang w:val="en-US" w:eastAsia="zh-CN"/>
        </w:rPr>
      </w:pPr>
      <w:bookmarkStart w:id="24" w:name="_Toc3407"/>
      <w:r>
        <w:rPr>
          <w:rFonts w:hint="eastAsia"/>
          <w:lang w:val="en-US" w:eastAsia="zh-CN"/>
        </w:rPr>
        <w:t>询比采购文件</w:t>
      </w:r>
      <w:bookmarkEnd w:id="24"/>
    </w:p>
    <w:p w14:paraId="28746847">
      <w:pPr>
        <w:bidi w:val="0"/>
        <w:rPr>
          <w:rFonts w:hint="default"/>
          <w:b/>
          <w:bCs/>
          <w:lang w:val="en-US" w:eastAsia="zh-CN"/>
        </w:rPr>
      </w:pPr>
      <w:r>
        <w:rPr>
          <w:rFonts w:hint="default"/>
          <w:b/>
          <w:bCs/>
          <w:lang w:val="en-US" w:eastAsia="zh-CN"/>
        </w:rPr>
        <w:t>5.询比采购文件的组成</w:t>
      </w:r>
    </w:p>
    <w:p w14:paraId="3FEE3F62">
      <w:pPr>
        <w:bidi w:val="0"/>
        <w:rPr>
          <w:rFonts w:hint="default"/>
          <w:lang w:val="en-US" w:eastAsia="zh-CN"/>
        </w:rPr>
      </w:pPr>
      <w:r>
        <w:rPr>
          <w:rFonts w:hint="default"/>
          <w:lang w:val="en-US" w:eastAsia="zh-CN"/>
        </w:rPr>
        <w:t>5.1询比采购文件包括下列内容：</w:t>
      </w:r>
    </w:p>
    <w:p w14:paraId="53624DC4">
      <w:pPr>
        <w:bidi w:val="0"/>
        <w:rPr>
          <w:rFonts w:hint="default"/>
          <w:lang w:val="en-US" w:eastAsia="zh-CN"/>
        </w:rPr>
      </w:pPr>
      <w:r>
        <w:rPr>
          <w:rFonts w:hint="default"/>
          <w:lang w:val="en-US" w:eastAsia="zh-CN"/>
        </w:rPr>
        <w:t>（1）</w:t>
      </w:r>
      <w:r>
        <w:rPr>
          <w:rFonts w:hint="eastAsia"/>
          <w:lang w:val="en-US" w:eastAsia="zh-CN"/>
        </w:rPr>
        <w:t>询比采购</w:t>
      </w:r>
      <w:r>
        <w:rPr>
          <w:rFonts w:hint="default"/>
          <w:lang w:val="en-US" w:eastAsia="zh-CN"/>
        </w:rPr>
        <w:t>公告；</w:t>
      </w:r>
    </w:p>
    <w:p w14:paraId="6FD3C01E">
      <w:pPr>
        <w:bidi w:val="0"/>
        <w:rPr>
          <w:rFonts w:hint="default"/>
          <w:lang w:val="en-US" w:eastAsia="zh-CN"/>
        </w:rPr>
      </w:pPr>
      <w:r>
        <w:rPr>
          <w:rFonts w:hint="default"/>
          <w:lang w:val="en-US" w:eastAsia="zh-CN"/>
        </w:rPr>
        <w:t>（2）</w:t>
      </w:r>
      <w:r>
        <w:rPr>
          <w:rFonts w:hint="eastAsia"/>
          <w:lang w:val="en-US" w:eastAsia="zh-CN"/>
        </w:rPr>
        <w:t>供应商</w:t>
      </w:r>
      <w:r>
        <w:rPr>
          <w:rFonts w:hint="default"/>
          <w:lang w:val="en-US" w:eastAsia="zh-CN"/>
        </w:rPr>
        <w:t>须</w:t>
      </w:r>
      <w:r>
        <w:rPr>
          <w:rFonts w:hint="eastAsia"/>
          <w:lang w:val="en-US" w:eastAsia="zh-CN"/>
        </w:rPr>
        <w:t>知</w:t>
      </w:r>
      <w:r>
        <w:rPr>
          <w:rFonts w:hint="default"/>
          <w:lang w:val="en-US" w:eastAsia="zh-CN"/>
        </w:rPr>
        <w:t>；</w:t>
      </w:r>
    </w:p>
    <w:p w14:paraId="0BB81776">
      <w:pPr>
        <w:bidi w:val="0"/>
        <w:rPr>
          <w:rFonts w:hint="default"/>
          <w:lang w:val="en-US" w:eastAsia="zh-CN"/>
        </w:rPr>
      </w:pPr>
      <w:r>
        <w:rPr>
          <w:rFonts w:hint="default"/>
          <w:lang w:val="en-US" w:eastAsia="zh-CN"/>
        </w:rPr>
        <w:t>（3）采购项目需求；</w:t>
      </w:r>
    </w:p>
    <w:p w14:paraId="4B626381">
      <w:pPr>
        <w:bidi w:val="0"/>
        <w:rPr>
          <w:rFonts w:hint="default"/>
          <w:lang w:val="en-US" w:eastAsia="zh-CN"/>
        </w:rPr>
      </w:pPr>
      <w:r>
        <w:rPr>
          <w:rFonts w:hint="default"/>
          <w:lang w:val="en-US" w:eastAsia="zh-CN"/>
        </w:rPr>
        <w:t>（4）评审程序及评审办法；</w:t>
      </w:r>
    </w:p>
    <w:p w14:paraId="506EA43A">
      <w:pPr>
        <w:bidi w:val="0"/>
        <w:rPr>
          <w:rFonts w:hint="default"/>
          <w:lang w:val="en-US" w:eastAsia="zh-CN"/>
        </w:rPr>
      </w:pPr>
      <w:r>
        <w:rPr>
          <w:rFonts w:hint="default"/>
          <w:lang w:val="en-US" w:eastAsia="zh-CN"/>
        </w:rPr>
        <w:t>（5）</w:t>
      </w:r>
      <w:r>
        <w:rPr>
          <w:rFonts w:hint="eastAsia"/>
          <w:lang w:val="en-US" w:eastAsia="zh-CN"/>
        </w:rPr>
        <w:t>响应文件</w:t>
      </w:r>
      <w:r>
        <w:rPr>
          <w:rFonts w:hint="default"/>
          <w:lang w:val="en-US" w:eastAsia="zh-CN"/>
        </w:rPr>
        <w:t>格式；</w:t>
      </w:r>
    </w:p>
    <w:p w14:paraId="73E3B19E">
      <w:pPr>
        <w:bidi w:val="0"/>
        <w:rPr>
          <w:rFonts w:hint="default"/>
          <w:lang w:val="en-US" w:eastAsia="zh-CN"/>
        </w:rPr>
      </w:pPr>
      <w:r>
        <w:rPr>
          <w:rFonts w:hint="eastAsia"/>
          <w:lang w:val="en-US" w:eastAsia="zh-CN"/>
        </w:rPr>
        <w:t>（6）服务协议范本。</w:t>
      </w:r>
    </w:p>
    <w:p w14:paraId="6D444ACF">
      <w:pPr>
        <w:bidi w:val="0"/>
        <w:rPr>
          <w:rFonts w:hint="default"/>
          <w:lang w:val="en-US" w:eastAsia="zh-CN"/>
        </w:rPr>
      </w:pPr>
      <w:r>
        <w:rPr>
          <w:rFonts w:hint="default"/>
          <w:lang w:val="en-US" w:eastAsia="zh-CN"/>
        </w:rPr>
        <w:t>5.2除5.1内容外，采购人在提交</w:t>
      </w:r>
      <w:r>
        <w:rPr>
          <w:rFonts w:hint="eastAsia"/>
          <w:lang w:val="en-US" w:eastAsia="zh-CN"/>
        </w:rPr>
        <w:t>响应文件</w:t>
      </w:r>
      <w:r>
        <w:rPr>
          <w:rFonts w:hint="default"/>
          <w:lang w:val="en-US" w:eastAsia="zh-CN"/>
        </w:rPr>
        <w:t>截止时间前，以书面形式发出的对</w:t>
      </w:r>
      <w:r>
        <w:rPr>
          <w:rFonts w:hint="eastAsia"/>
          <w:lang w:val="en-US" w:eastAsia="zh-CN"/>
        </w:rPr>
        <w:t>询比采购</w:t>
      </w:r>
      <w:r>
        <w:rPr>
          <w:rFonts w:hint="default"/>
          <w:lang w:val="en-US" w:eastAsia="zh-CN"/>
        </w:rPr>
        <w:t>文件的澄清或修改内容，均为</w:t>
      </w:r>
      <w:r>
        <w:rPr>
          <w:rFonts w:hint="eastAsia"/>
          <w:lang w:val="en-US" w:eastAsia="zh-CN"/>
        </w:rPr>
        <w:t>询比采购</w:t>
      </w:r>
      <w:r>
        <w:rPr>
          <w:rFonts w:hint="default"/>
          <w:lang w:val="en-US" w:eastAsia="zh-CN"/>
        </w:rPr>
        <w:t>文件的组成部分，对采购人和</w:t>
      </w:r>
      <w:r>
        <w:rPr>
          <w:rFonts w:hint="eastAsia"/>
          <w:lang w:val="en-US" w:eastAsia="zh-CN"/>
        </w:rPr>
        <w:t>供应商</w:t>
      </w:r>
      <w:r>
        <w:rPr>
          <w:rFonts w:hint="default"/>
          <w:lang w:val="en-US" w:eastAsia="zh-CN"/>
        </w:rPr>
        <w:t>均起约束作用。</w:t>
      </w:r>
    </w:p>
    <w:p w14:paraId="61A49FA8">
      <w:pPr>
        <w:bidi w:val="0"/>
        <w:rPr>
          <w:rFonts w:hint="default"/>
          <w:lang w:val="en-US" w:eastAsia="zh-CN"/>
        </w:rPr>
      </w:pPr>
      <w:r>
        <w:rPr>
          <w:rFonts w:hint="default"/>
          <w:lang w:val="en-US" w:eastAsia="zh-CN"/>
        </w:rPr>
        <w:t>5.3</w:t>
      </w:r>
      <w:r>
        <w:rPr>
          <w:rFonts w:hint="eastAsia"/>
          <w:lang w:val="en-US" w:eastAsia="zh-CN"/>
        </w:rPr>
        <w:t>供应商</w:t>
      </w:r>
      <w:r>
        <w:rPr>
          <w:rFonts w:hint="default"/>
          <w:lang w:val="en-US" w:eastAsia="zh-CN"/>
        </w:rPr>
        <w:t>获取</w:t>
      </w:r>
      <w:r>
        <w:rPr>
          <w:rFonts w:hint="eastAsia"/>
          <w:lang w:val="en-US" w:eastAsia="zh-CN"/>
        </w:rPr>
        <w:t>询比采购</w:t>
      </w:r>
      <w:r>
        <w:rPr>
          <w:rFonts w:hint="default"/>
          <w:lang w:val="en-US" w:eastAsia="zh-CN"/>
        </w:rPr>
        <w:t>文件后，应仔细检查</w:t>
      </w:r>
      <w:r>
        <w:rPr>
          <w:rFonts w:hint="eastAsia"/>
          <w:lang w:val="en-US" w:eastAsia="zh-CN"/>
        </w:rPr>
        <w:t>询比采购</w:t>
      </w:r>
      <w:r>
        <w:rPr>
          <w:rFonts w:hint="default"/>
          <w:lang w:val="en-US" w:eastAsia="zh-CN"/>
        </w:rPr>
        <w:t>文件的所有内容，对份（页）数等方面认真核对，如有残缺等问题应在获取</w:t>
      </w:r>
      <w:r>
        <w:rPr>
          <w:rFonts w:hint="eastAsia"/>
          <w:lang w:val="en-US" w:eastAsia="zh-CN"/>
        </w:rPr>
        <w:t>询比采购</w:t>
      </w:r>
      <w:r>
        <w:rPr>
          <w:rFonts w:hint="default"/>
          <w:lang w:val="en-US" w:eastAsia="zh-CN"/>
        </w:rPr>
        <w:t>文件后24小时内向采购人提出。否则，由此引起的损失由</w:t>
      </w:r>
      <w:r>
        <w:rPr>
          <w:rFonts w:hint="eastAsia"/>
          <w:lang w:val="en-US" w:eastAsia="zh-CN"/>
        </w:rPr>
        <w:t>供应商</w:t>
      </w:r>
      <w:r>
        <w:rPr>
          <w:rFonts w:hint="default"/>
          <w:lang w:val="en-US" w:eastAsia="zh-CN"/>
        </w:rPr>
        <w:t>自己承担。</w:t>
      </w:r>
      <w:r>
        <w:rPr>
          <w:rFonts w:hint="eastAsia"/>
          <w:lang w:val="en-US" w:eastAsia="zh-CN"/>
        </w:rPr>
        <w:t>供应商</w:t>
      </w:r>
      <w:r>
        <w:rPr>
          <w:rFonts w:hint="default"/>
          <w:lang w:val="en-US" w:eastAsia="zh-CN"/>
        </w:rPr>
        <w:t>同时应认真审阅</w:t>
      </w:r>
      <w:r>
        <w:rPr>
          <w:rFonts w:hint="eastAsia"/>
          <w:lang w:val="en-US" w:eastAsia="zh-CN"/>
        </w:rPr>
        <w:t>询比采购</w:t>
      </w:r>
      <w:r>
        <w:rPr>
          <w:rFonts w:hint="default"/>
          <w:lang w:val="en-US" w:eastAsia="zh-CN"/>
        </w:rPr>
        <w:t>文件中所有的事项、格式、条款和规范要求等，若</w:t>
      </w:r>
      <w:r>
        <w:rPr>
          <w:rFonts w:hint="eastAsia"/>
          <w:lang w:val="en-US" w:eastAsia="zh-CN"/>
        </w:rPr>
        <w:t>供应商</w:t>
      </w:r>
      <w:r>
        <w:rPr>
          <w:rFonts w:hint="default"/>
          <w:lang w:val="en-US" w:eastAsia="zh-CN"/>
        </w:rPr>
        <w:t>的</w:t>
      </w:r>
      <w:r>
        <w:rPr>
          <w:rFonts w:hint="eastAsia"/>
          <w:lang w:val="en-US" w:eastAsia="zh-CN"/>
        </w:rPr>
        <w:t>响应文件</w:t>
      </w:r>
      <w:r>
        <w:rPr>
          <w:rFonts w:hint="default"/>
          <w:lang w:val="en-US" w:eastAsia="zh-CN"/>
        </w:rPr>
        <w:t>没有按</w:t>
      </w:r>
      <w:r>
        <w:rPr>
          <w:rFonts w:hint="eastAsia"/>
          <w:lang w:val="en-US" w:eastAsia="zh-CN"/>
        </w:rPr>
        <w:t>询比采购</w:t>
      </w:r>
      <w:r>
        <w:rPr>
          <w:rFonts w:hint="default"/>
          <w:lang w:val="en-US" w:eastAsia="zh-CN"/>
        </w:rPr>
        <w:t>文件要求提交全部资料，或者</w:t>
      </w:r>
      <w:r>
        <w:rPr>
          <w:rFonts w:hint="eastAsia"/>
          <w:lang w:val="en-US" w:eastAsia="zh-CN"/>
        </w:rPr>
        <w:t>响应文件</w:t>
      </w:r>
      <w:r>
        <w:rPr>
          <w:rFonts w:hint="default"/>
          <w:lang w:val="en-US" w:eastAsia="zh-CN"/>
        </w:rPr>
        <w:t>没有对</w:t>
      </w:r>
      <w:r>
        <w:rPr>
          <w:rFonts w:hint="eastAsia"/>
          <w:lang w:val="en-US" w:eastAsia="zh-CN"/>
        </w:rPr>
        <w:t>询比采购</w:t>
      </w:r>
      <w:r>
        <w:rPr>
          <w:rFonts w:hint="default"/>
          <w:lang w:val="en-US" w:eastAsia="zh-CN"/>
        </w:rPr>
        <w:t>文件做出实质性响应，其风险由</w:t>
      </w:r>
      <w:r>
        <w:rPr>
          <w:rFonts w:hint="eastAsia"/>
          <w:lang w:val="en-US" w:eastAsia="zh-CN"/>
        </w:rPr>
        <w:t>供应商</w:t>
      </w:r>
      <w:r>
        <w:rPr>
          <w:rFonts w:hint="default"/>
          <w:lang w:val="en-US" w:eastAsia="zh-CN"/>
        </w:rPr>
        <w:t>自行承担，并根据有关条款规定，该</w:t>
      </w:r>
      <w:r>
        <w:rPr>
          <w:rFonts w:hint="eastAsia"/>
          <w:lang w:val="en-US" w:eastAsia="zh-CN"/>
        </w:rPr>
        <w:t>响应文件</w:t>
      </w:r>
      <w:r>
        <w:rPr>
          <w:rFonts w:hint="default"/>
          <w:lang w:val="en-US" w:eastAsia="zh-CN"/>
        </w:rPr>
        <w:t>将可能被拒绝。</w:t>
      </w:r>
    </w:p>
    <w:p w14:paraId="6B9174D9">
      <w:pPr>
        <w:bidi w:val="0"/>
        <w:rPr>
          <w:rFonts w:hint="eastAsia"/>
          <w:b/>
          <w:bCs/>
          <w:lang w:val="en-US" w:eastAsia="zh-CN"/>
        </w:rPr>
      </w:pPr>
      <w:r>
        <w:rPr>
          <w:rFonts w:hint="eastAsia"/>
          <w:b/>
          <w:bCs/>
          <w:lang w:val="en-US" w:eastAsia="zh-CN"/>
        </w:rPr>
        <w:t>6.询比采购文件的澄清与修改</w:t>
      </w:r>
    </w:p>
    <w:p w14:paraId="69341085">
      <w:pPr>
        <w:bidi w:val="0"/>
        <w:rPr>
          <w:rFonts w:hint="eastAsia"/>
          <w:lang w:val="en-US" w:eastAsia="zh-CN"/>
        </w:rPr>
      </w:pPr>
      <w:r>
        <w:rPr>
          <w:rFonts w:hint="eastAsia"/>
          <w:lang w:val="en-US" w:eastAsia="zh-CN"/>
        </w:rPr>
        <w:t>6.1供应商若对询比采购文件有任何疑问，应于响应文件递交截止时间1个工作日前，以书面形式（加盖供应商公章）向采购人提出，逾期提出的疑问采购人可不予受理。</w:t>
      </w:r>
    </w:p>
    <w:p w14:paraId="3A31A616">
      <w:pPr>
        <w:bidi w:val="0"/>
        <w:rPr>
          <w:rFonts w:hint="eastAsia"/>
          <w:lang w:val="en-US" w:eastAsia="zh-CN"/>
        </w:rPr>
      </w:pPr>
      <w:r>
        <w:rPr>
          <w:rFonts w:hint="eastAsia"/>
          <w:lang w:val="en-US" w:eastAsia="zh-CN"/>
        </w:rPr>
        <w:t>6.2采购人对询比采购文件的澄清或修改，将于响应文件递交截止时间1个工作日前以书面形式向所有获取询比采购文件的供应商发出。</w:t>
      </w:r>
    </w:p>
    <w:p w14:paraId="4E243980">
      <w:pPr>
        <w:bidi w:val="0"/>
        <w:rPr>
          <w:rFonts w:hint="eastAsia"/>
          <w:lang w:val="en-US" w:eastAsia="zh-CN"/>
        </w:rPr>
      </w:pPr>
      <w:r>
        <w:rPr>
          <w:rFonts w:hint="eastAsia"/>
          <w:lang w:val="en-US" w:eastAsia="zh-CN"/>
        </w:rPr>
        <w:t>6.3澄清或修改的内容可能影响响应文件编制的，采购人将顺延递交截止时间。</w:t>
      </w:r>
    </w:p>
    <w:p w14:paraId="1B345394">
      <w:pPr>
        <w:bidi w:val="0"/>
        <w:rPr>
          <w:rFonts w:hint="eastAsia"/>
          <w:lang w:val="en-US" w:eastAsia="zh-CN"/>
        </w:rPr>
      </w:pPr>
      <w:r>
        <w:rPr>
          <w:rFonts w:hint="eastAsia"/>
          <w:lang w:val="en-US" w:eastAsia="zh-CN"/>
        </w:rPr>
        <w:t>6.4澄清或修改的内容为询比采购文件的组成部分，对采购人和供应商均具有约束力；与原询比采购文件表述不一致时，以最后发出的书面文件为准。</w:t>
      </w:r>
    </w:p>
    <w:p w14:paraId="228629A2">
      <w:pPr>
        <w:pStyle w:val="4"/>
        <w:numPr>
          <w:ilvl w:val="0"/>
          <w:numId w:val="2"/>
        </w:numPr>
        <w:bidi w:val="0"/>
        <w:rPr>
          <w:rFonts w:hint="default"/>
          <w:lang w:val="en-US" w:eastAsia="zh-CN"/>
        </w:rPr>
      </w:pPr>
      <w:bookmarkStart w:id="25" w:name="_Toc15070"/>
      <w:r>
        <w:rPr>
          <w:rFonts w:hint="eastAsia"/>
          <w:lang w:val="en-US" w:eastAsia="zh-CN"/>
        </w:rPr>
        <w:t>响应文件</w:t>
      </w:r>
      <w:bookmarkEnd w:id="25"/>
    </w:p>
    <w:p w14:paraId="288E50EC">
      <w:pPr>
        <w:bidi w:val="0"/>
        <w:rPr>
          <w:rFonts w:hint="default"/>
          <w:b/>
          <w:bCs/>
          <w:lang w:val="en-US" w:eastAsia="zh-CN"/>
        </w:rPr>
      </w:pPr>
      <w:r>
        <w:rPr>
          <w:rFonts w:hint="eastAsia"/>
          <w:b/>
          <w:bCs/>
          <w:lang w:val="en-US" w:eastAsia="zh-CN"/>
        </w:rPr>
        <w:t>7</w:t>
      </w:r>
      <w:r>
        <w:rPr>
          <w:rFonts w:hint="default"/>
          <w:b/>
          <w:bCs/>
          <w:lang w:val="en-US" w:eastAsia="zh-CN"/>
        </w:rPr>
        <w:t>.语言</w:t>
      </w:r>
    </w:p>
    <w:p w14:paraId="6BC82E2E">
      <w:pPr>
        <w:bidi w:val="0"/>
        <w:rPr>
          <w:rFonts w:hint="default"/>
          <w:lang w:val="en-US" w:eastAsia="zh-CN"/>
        </w:rPr>
      </w:pPr>
      <w:r>
        <w:rPr>
          <w:rFonts w:hint="eastAsia"/>
          <w:lang w:val="en-US" w:eastAsia="zh-CN"/>
        </w:rPr>
        <w:t>供应商</w:t>
      </w:r>
      <w:r>
        <w:rPr>
          <w:rFonts w:hint="default"/>
          <w:lang w:val="en-US" w:eastAsia="zh-CN"/>
        </w:rPr>
        <w:t>提交的</w:t>
      </w:r>
      <w:r>
        <w:rPr>
          <w:rFonts w:hint="eastAsia"/>
          <w:lang w:val="en-US" w:eastAsia="zh-CN"/>
        </w:rPr>
        <w:t>响应文件</w:t>
      </w:r>
      <w:r>
        <w:rPr>
          <w:rFonts w:hint="default"/>
          <w:lang w:val="en-US" w:eastAsia="zh-CN"/>
        </w:rPr>
        <w:t>以及</w:t>
      </w:r>
      <w:r>
        <w:rPr>
          <w:rFonts w:hint="eastAsia"/>
          <w:lang w:val="en-US" w:eastAsia="zh-CN"/>
        </w:rPr>
        <w:t>供应商</w:t>
      </w:r>
      <w:r>
        <w:rPr>
          <w:rFonts w:hint="default"/>
          <w:lang w:val="en-US" w:eastAsia="zh-CN"/>
        </w:rPr>
        <w:t>与采购人就有关</w:t>
      </w:r>
      <w:r>
        <w:rPr>
          <w:rFonts w:hint="eastAsia"/>
          <w:lang w:val="en-US" w:eastAsia="zh-CN"/>
        </w:rPr>
        <w:t>询比</w:t>
      </w:r>
      <w:r>
        <w:rPr>
          <w:rFonts w:hint="default"/>
          <w:lang w:val="en-US" w:eastAsia="zh-CN"/>
        </w:rPr>
        <w:t>的所有来往书面文件均须使用中文。</w:t>
      </w:r>
      <w:r>
        <w:rPr>
          <w:rFonts w:hint="eastAsia"/>
          <w:lang w:val="en-US" w:eastAsia="zh-CN"/>
        </w:rPr>
        <w:t>响应文件</w:t>
      </w:r>
      <w:r>
        <w:rPr>
          <w:rFonts w:hint="default"/>
          <w:lang w:val="en-US" w:eastAsia="zh-CN"/>
        </w:rPr>
        <w:t>中如附有外文资料，必须逐一对应翻译成中文并加盖</w:t>
      </w:r>
      <w:r>
        <w:rPr>
          <w:rFonts w:hint="eastAsia"/>
          <w:lang w:val="en-US" w:eastAsia="zh-CN"/>
        </w:rPr>
        <w:t>供应商</w:t>
      </w:r>
      <w:r>
        <w:rPr>
          <w:rFonts w:hint="default"/>
          <w:lang w:val="en-US" w:eastAsia="zh-CN"/>
        </w:rPr>
        <w:t>公章后附在相关外文资料后面。</w:t>
      </w:r>
    </w:p>
    <w:p w14:paraId="6EAB902C">
      <w:pPr>
        <w:bidi w:val="0"/>
        <w:rPr>
          <w:rFonts w:hint="default"/>
          <w:b/>
          <w:bCs/>
          <w:lang w:val="en-US" w:eastAsia="zh-CN"/>
        </w:rPr>
      </w:pPr>
      <w:r>
        <w:rPr>
          <w:rFonts w:hint="eastAsia"/>
          <w:b/>
          <w:bCs/>
          <w:lang w:val="en-US" w:eastAsia="zh-CN"/>
        </w:rPr>
        <w:t>8</w:t>
      </w:r>
      <w:r>
        <w:rPr>
          <w:rFonts w:hint="default"/>
          <w:b/>
          <w:bCs/>
          <w:lang w:val="en-US" w:eastAsia="zh-CN"/>
        </w:rPr>
        <w:t>.计量单位</w:t>
      </w:r>
    </w:p>
    <w:p w14:paraId="1A7CDF4A">
      <w:pPr>
        <w:bidi w:val="0"/>
        <w:rPr>
          <w:rFonts w:hint="default"/>
          <w:lang w:val="en-US" w:eastAsia="zh-CN"/>
        </w:rPr>
      </w:pPr>
      <w:r>
        <w:rPr>
          <w:rFonts w:hint="default"/>
          <w:lang w:val="en-US" w:eastAsia="zh-CN"/>
        </w:rPr>
        <w:t>除技术规格及要求中另有规定外，本采购项目均采用国家法定的计量单位。</w:t>
      </w:r>
    </w:p>
    <w:p w14:paraId="7F40B240">
      <w:pPr>
        <w:bidi w:val="0"/>
        <w:rPr>
          <w:rFonts w:hint="default"/>
          <w:b/>
          <w:bCs/>
          <w:lang w:val="en-US" w:eastAsia="zh-CN"/>
        </w:rPr>
      </w:pPr>
      <w:r>
        <w:rPr>
          <w:rFonts w:hint="eastAsia"/>
          <w:b/>
          <w:bCs/>
          <w:lang w:val="en-US" w:eastAsia="zh-CN"/>
        </w:rPr>
        <w:t>9</w:t>
      </w:r>
      <w:r>
        <w:rPr>
          <w:rFonts w:hint="default"/>
          <w:b/>
          <w:bCs/>
          <w:lang w:val="en-US" w:eastAsia="zh-CN"/>
        </w:rPr>
        <w:t>.报价货币</w:t>
      </w:r>
    </w:p>
    <w:p w14:paraId="144C06DF">
      <w:pPr>
        <w:bidi w:val="0"/>
        <w:rPr>
          <w:rFonts w:hint="default"/>
          <w:lang w:val="en-US" w:eastAsia="zh-CN"/>
        </w:rPr>
      </w:pPr>
      <w:r>
        <w:rPr>
          <w:rFonts w:hint="eastAsia"/>
          <w:lang w:val="en-US" w:eastAsia="zh-CN"/>
        </w:rPr>
        <w:t>9</w:t>
      </w:r>
      <w:r>
        <w:rPr>
          <w:rFonts w:hint="default"/>
          <w:lang w:val="en-US" w:eastAsia="zh-CN"/>
        </w:rPr>
        <w:t>.1本次采购项目</w:t>
      </w:r>
      <w:r>
        <w:rPr>
          <w:rFonts w:hint="eastAsia"/>
          <w:lang w:val="en-US" w:eastAsia="zh-CN"/>
        </w:rPr>
        <w:t>询比</w:t>
      </w:r>
      <w:r>
        <w:rPr>
          <w:rFonts w:hint="default"/>
          <w:lang w:val="en-US" w:eastAsia="zh-CN"/>
        </w:rPr>
        <w:t>均以人民币报价，且报价应为含增值税价格。</w:t>
      </w:r>
    </w:p>
    <w:p w14:paraId="64F0A3A8">
      <w:pPr>
        <w:bidi w:val="0"/>
        <w:rPr>
          <w:rFonts w:hint="default"/>
          <w:lang w:val="en-US" w:eastAsia="zh-CN"/>
        </w:rPr>
      </w:pPr>
      <w:r>
        <w:rPr>
          <w:rFonts w:hint="eastAsia"/>
          <w:lang w:val="en-US" w:eastAsia="zh-CN"/>
        </w:rPr>
        <w:t>9</w:t>
      </w:r>
      <w:r>
        <w:rPr>
          <w:rFonts w:hint="default"/>
          <w:lang w:val="en-US" w:eastAsia="zh-CN"/>
        </w:rPr>
        <w:t>.2</w:t>
      </w:r>
      <w:r>
        <w:rPr>
          <w:rFonts w:hint="eastAsia"/>
          <w:lang w:val="en-US" w:eastAsia="zh-CN"/>
        </w:rPr>
        <w:t>供应商</w:t>
      </w:r>
      <w:r>
        <w:rPr>
          <w:rFonts w:hint="default"/>
          <w:lang w:val="en-US" w:eastAsia="zh-CN"/>
        </w:rPr>
        <w:t>应就本次</w:t>
      </w:r>
      <w:r>
        <w:rPr>
          <w:rFonts w:hint="eastAsia"/>
          <w:lang w:val="en-US" w:eastAsia="zh-CN"/>
        </w:rPr>
        <w:t>询比</w:t>
      </w:r>
      <w:r>
        <w:rPr>
          <w:rFonts w:hint="default"/>
          <w:lang w:val="en-US" w:eastAsia="zh-CN"/>
        </w:rPr>
        <w:t>采购项目作完整唯一报价。</w:t>
      </w:r>
    </w:p>
    <w:p w14:paraId="08431E6B">
      <w:pPr>
        <w:bidi w:val="0"/>
        <w:rPr>
          <w:rFonts w:hint="default"/>
          <w:lang w:val="en-US" w:eastAsia="zh-CN"/>
        </w:rPr>
      </w:pPr>
      <w:r>
        <w:rPr>
          <w:rFonts w:hint="eastAsia"/>
          <w:lang w:val="en-US" w:eastAsia="zh-CN"/>
        </w:rPr>
        <w:t>9</w:t>
      </w:r>
      <w:r>
        <w:rPr>
          <w:rFonts w:hint="default"/>
          <w:lang w:val="en-US" w:eastAsia="zh-CN"/>
        </w:rPr>
        <w:t>.3</w:t>
      </w:r>
      <w:r>
        <w:rPr>
          <w:rFonts w:hint="eastAsia"/>
          <w:lang w:val="en-US" w:eastAsia="zh-CN"/>
        </w:rPr>
        <w:t>供应商</w:t>
      </w:r>
      <w:r>
        <w:rPr>
          <w:rFonts w:hint="default"/>
          <w:lang w:val="en-US" w:eastAsia="zh-CN"/>
        </w:rPr>
        <w:t>应依据</w:t>
      </w:r>
      <w:r>
        <w:rPr>
          <w:rFonts w:hint="eastAsia"/>
          <w:lang w:val="en-US" w:eastAsia="zh-CN"/>
        </w:rPr>
        <w:t>询比采购文件</w:t>
      </w:r>
      <w:r>
        <w:rPr>
          <w:rFonts w:hint="default"/>
          <w:lang w:val="en-US" w:eastAsia="zh-CN"/>
        </w:rPr>
        <w:t>的要求及有关资料，按国家或行业现行技术经济标准、规范，结合云南省当地市场行情自行测算出满足项目要求的具有竞争力的报价。</w:t>
      </w:r>
      <w:r>
        <w:rPr>
          <w:rFonts w:hint="default"/>
          <w:highlight w:val="none"/>
          <w:lang w:val="en-US" w:eastAsia="zh-CN"/>
        </w:rPr>
        <w:t>报价应为包干价格，</w:t>
      </w:r>
      <w:r>
        <w:rPr>
          <w:rFonts w:hint="default"/>
          <w:lang w:val="en-US" w:eastAsia="zh-CN"/>
        </w:rPr>
        <w:t>包括但不仅限于人工费、材料费、技术咨询费、乙方管理费及合理利润、乙方提供的服务及工作成果的对价、乙方提供的服务及工作成果的知识产权的对价、保险费、税费、差旅交通费、食宿费及其它相关服务等乙方为履行本合同所发生的一切相关费用。</w:t>
      </w:r>
    </w:p>
    <w:p w14:paraId="64ECC89E">
      <w:pPr>
        <w:bidi w:val="0"/>
        <w:rPr>
          <w:rFonts w:hint="default"/>
          <w:lang w:val="en-US" w:eastAsia="zh-CN"/>
        </w:rPr>
      </w:pPr>
      <w:r>
        <w:rPr>
          <w:rFonts w:hint="eastAsia"/>
          <w:lang w:val="en-US" w:eastAsia="zh-CN"/>
        </w:rPr>
        <w:t>9</w:t>
      </w:r>
      <w:r>
        <w:rPr>
          <w:rFonts w:hint="default"/>
          <w:lang w:val="en-US" w:eastAsia="zh-CN"/>
        </w:rPr>
        <w:t>.4本项目</w:t>
      </w:r>
      <w:r>
        <w:rPr>
          <w:rFonts w:hint="eastAsia"/>
          <w:lang w:val="en-US" w:eastAsia="zh-CN"/>
        </w:rPr>
        <w:t>不</w:t>
      </w:r>
      <w:r>
        <w:rPr>
          <w:rFonts w:hint="default"/>
          <w:lang w:val="en-US" w:eastAsia="zh-CN"/>
        </w:rPr>
        <w:t>允许二次报价。</w:t>
      </w:r>
    </w:p>
    <w:p w14:paraId="0A71A446">
      <w:pPr>
        <w:bidi w:val="0"/>
        <w:rPr>
          <w:rFonts w:hint="default"/>
          <w:b/>
          <w:bCs/>
          <w:lang w:val="en-US" w:eastAsia="zh-CN"/>
        </w:rPr>
      </w:pPr>
      <w:r>
        <w:rPr>
          <w:rFonts w:hint="default"/>
          <w:b/>
          <w:bCs/>
          <w:lang w:val="en-US" w:eastAsia="zh-CN"/>
        </w:rPr>
        <w:t>10.知识产权</w:t>
      </w:r>
    </w:p>
    <w:p w14:paraId="3BC7652A">
      <w:pPr>
        <w:bidi w:val="0"/>
        <w:rPr>
          <w:rFonts w:hint="default"/>
          <w:lang w:val="en-US" w:eastAsia="zh-CN"/>
        </w:rPr>
      </w:pPr>
      <w:r>
        <w:rPr>
          <w:rFonts w:hint="default"/>
          <w:lang w:val="en-US" w:eastAsia="zh-CN"/>
        </w:rPr>
        <w:t>10.1</w:t>
      </w:r>
      <w:r>
        <w:rPr>
          <w:rFonts w:hint="eastAsia"/>
          <w:lang w:val="en-US" w:eastAsia="zh-CN"/>
        </w:rPr>
        <w:t>供应商</w:t>
      </w:r>
      <w:r>
        <w:rPr>
          <w:rFonts w:hint="default"/>
          <w:lang w:val="en-US" w:eastAsia="zh-CN"/>
        </w:rPr>
        <w:t>应保证在本项目使用的任何产品和服务（包括部分使用）时，不会产生因第三方提出侵犯其专利权、商标权或其它知识产权而引起的法律和经济纠纷，如因专利权、商标权或其它知识产权而引起法律和经济纠纷，由</w:t>
      </w:r>
      <w:r>
        <w:rPr>
          <w:rFonts w:hint="eastAsia"/>
          <w:lang w:val="en-US" w:eastAsia="zh-CN"/>
        </w:rPr>
        <w:t>供应商</w:t>
      </w:r>
      <w:r>
        <w:rPr>
          <w:rFonts w:hint="default"/>
          <w:lang w:val="en-US" w:eastAsia="zh-CN"/>
        </w:rPr>
        <w:t>承担所有相关责任。</w:t>
      </w:r>
    </w:p>
    <w:p w14:paraId="7F7E6CCA">
      <w:pPr>
        <w:bidi w:val="0"/>
        <w:rPr>
          <w:rFonts w:hint="default"/>
          <w:lang w:val="en-US" w:eastAsia="zh-CN"/>
        </w:rPr>
      </w:pPr>
      <w:r>
        <w:rPr>
          <w:rFonts w:hint="default"/>
          <w:lang w:val="en-US" w:eastAsia="zh-CN"/>
        </w:rPr>
        <w:t>10.2采购人享有本项目实施过程中产生的知识成果及知识产权。</w:t>
      </w:r>
    </w:p>
    <w:p w14:paraId="15915156">
      <w:pPr>
        <w:bidi w:val="0"/>
        <w:rPr>
          <w:rFonts w:hint="default"/>
          <w:lang w:val="en-US" w:eastAsia="zh-CN"/>
        </w:rPr>
      </w:pPr>
      <w:r>
        <w:rPr>
          <w:rFonts w:hint="default"/>
          <w:lang w:val="en-US" w:eastAsia="zh-CN"/>
        </w:rPr>
        <w:t>10.3</w:t>
      </w:r>
      <w:r>
        <w:rPr>
          <w:rFonts w:hint="eastAsia"/>
          <w:lang w:val="en-US" w:eastAsia="zh-CN"/>
        </w:rPr>
        <w:t>供应商</w:t>
      </w:r>
      <w:r>
        <w:rPr>
          <w:rFonts w:hint="default"/>
          <w:lang w:val="en-US" w:eastAsia="zh-CN"/>
        </w:rPr>
        <w:t>如欲在项目实施过程中采用自有知识成果，需在</w:t>
      </w:r>
      <w:r>
        <w:rPr>
          <w:rFonts w:hint="eastAsia"/>
          <w:lang w:val="en-US" w:eastAsia="zh-CN"/>
        </w:rPr>
        <w:t>响应文件</w:t>
      </w:r>
      <w:r>
        <w:rPr>
          <w:rFonts w:hint="default"/>
          <w:lang w:val="en-US" w:eastAsia="zh-CN"/>
        </w:rPr>
        <w:t>中声明，并提供相关知识产权证明文件。使用该知识成果后，</w:t>
      </w:r>
      <w:r>
        <w:rPr>
          <w:rFonts w:hint="eastAsia"/>
          <w:lang w:val="en-US" w:eastAsia="zh-CN"/>
        </w:rPr>
        <w:t>供应商</w:t>
      </w:r>
      <w:r>
        <w:rPr>
          <w:rFonts w:hint="default"/>
          <w:lang w:val="en-US" w:eastAsia="zh-CN"/>
        </w:rPr>
        <w:t>需提供开发接口和开发手册等技术文档，并承诺提供无限期技术支持，采购人享有永久使用权。</w:t>
      </w:r>
    </w:p>
    <w:p w14:paraId="2314B64B">
      <w:pPr>
        <w:bidi w:val="0"/>
        <w:rPr>
          <w:rFonts w:hint="default"/>
          <w:lang w:val="en-US" w:eastAsia="zh-CN"/>
        </w:rPr>
      </w:pPr>
      <w:r>
        <w:rPr>
          <w:rFonts w:hint="default"/>
          <w:lang w:val="en-US" w:eastAsia="zh-CN"/>
        </w:rPr>
        <w:t>10.4如采用</w:t>
      </w:r>
      <w:r>
        <w:rPr>
          <w:rFonts w:hint="eastAsia"/>
          <w:lang w:val="en-US" w:eastAsia="zh-CN"/>
        </w:rPr>
        <w:t>供应商</w:t>
      </w:r>
      <w:r>
        <w:rPr>
          <w:rFonts w:hint="default"/>
          <w:lang w:val="en-US" w:eastAsia="zh-CN"/>
        </w:rPr>
        <w:t>所不拥有的知识产权，则在报价中必须包括合法获取该知识产权的相关费用。</w:t>
      </w:r>
    </w:p>
    <w:p w14:paraId="6018F18A">
      <w:pPr>
        <w:bidi w:val="0"/>
        <w:rPr>
          <w:rFonts w:hint="eastAsia"/>
          <w:b/>
          <w:bCs/>
          <w:lang w:val="en-US" w:eastAsia="zh-CN"/>
        </w:rPr>
      </w:pPr>
      <w:r>
        <w:rPr>
          <w:rFonts w:hint="eastAsia"/>
          <w:b/>
          <w:bCs/>
          <w:lang w:val="en-US" w:eastAsia="zh-CN"/>
        </w:rPr>
        <w:t>11.响应文件的组成</w:t>
      </w:r>
    </w:p>
    <w:p w14:paraId="5F1509D3">
      <w:pPr>
        <w:bidi w:val="0"/>
        <w:rPr>
          <w:rFonts w:hint="eastAsia"/>
          <w:lang w:val="en-US" w:eastAsia="zh-CN"/>
        </w:rPr>
      </w:pPr>
      <w:r>
        <w:rPr>
          <w:rFonts w:hint="eastAsia"/>
          <w:lang w:val="en-US" w:eastAsia="zh-CN"/>
        </w:rPr>
        <w:t>供应商应按照询比采购文件的规定和要求编制响应文件。供应商拟在成交后将成交项目的非主体、非关键性工作交由他人完成的，应当在响应文件中载明。供应商编写的响应文件须包括下列部分：</w:t>
      </w:r>
    </w:p>
    <w:p w14:paraId="7CAB1874">
      <w:pPr>
        <w:bidi w:val="0"/>
        <w:rPr>
          <w:rFonts w:hint="eastAsia"/>
          <w:lang w:val="en-US" w:eastAsia="zh-CN"/>
        </w:rPr>
      </w:pPr>
      <w:r>
        <w:rPr>
          <w:rFonts w:hint="eastAsia"/>
          <w:lang w:val="en-US" w:eastAsia="zh-CN"/>
        </w:rPr>
        <w:t>11.1报价一览表；</w:t>
      </w:r>
    </w:p>
    <w:p w14:paraId="333FCECB">
      <w:pPr>
        <w:bidi w:val="0"/>
        <w:rPr>
          <w:rFonts w:hint="eastAsia"/>
          <w:lang w:val="en-US" w:eastAsia="zh-CN"/>
        </w:rPr>
      </w:pPr>
      <w:r>
        <w:rPr>
          <w:rFonts w:hint="eastAsia"/>
          <w:lang w:val="en-US" w:eastAsia="zh-CN"/>
        </w:rPr>
        <w:t>11.2报价函；</w:t>
      </w:r>
    </w:p>
    <w:p w14:paraId="0A8DFFB9">
      <w:pPr>
        <w:bidi w:val="0"/>
        <w:rPr>
          <w:rFonts w:hint="eastAsia"/>
          <w:lang w:val="en-US" w:eastAsia="zh-CN"/>
        </w:rPr>
      </w:pPr>
      <w:r>
        <w:rPr>
          <w:rFonts w:hint="eastAsia"/>
          <w:lang w:val="en-US" w:eastAsia="zh-CN"/>
        </w:rPr>
        <w:t>11.3法定代表人（负责人）身份证明或法定代表人（负责人）授权委托书；</w:t>
      </w:r>
    </w:p>
    <w:p w14:paraId="2E77C263">
      <w:pPr>
        <w:bidi w:val="0"/>
        <w:rPr>
          <w:rFonts w:hint="eastAsia"/>
          <w:lang w:val="en-US" w:eastAsia="zh-CN"/>
        </w:rPr>
      </w:pPr>
      <w:r>
        <w:rPr>
          <w:rFonts w:hint="eastAsia"/>
          <w:lang w:val="en-US" w:eastAsia="zh-CN"/>
        </w:rPr>
        <w:t>11.4供应商基本情况表；</w:t>
      </w:r>
    </w:p>
    <w:p w14:paraId="27255893">
      <w:pPr>
        <w:bidi w:val="0"/>
        <w:rPr>
          <w:rFonts w:hint="eastAsia"/>
          <w:lang w:val="en-US" w:eastAsia="zh-CN"/>
        </w:rPr>
      </w:pPr>
      <w:r>
        <w:rPr>
          <w:rFonts w:hint="eastAsia"/>
          <w:lang w:val="en-US" w:eastAsia="zh-CN"/>
        </w:rPr>
        <w:t>11.5商务文件；</w:t>
      </w:r>
    </w:p>
    <w:p w14:paraId="4A5A0274">
      <w:pPr>
        <w:bidi w:val="0"/>
        <w:rPr>
          <w:rFonts w:hint="eastAsia"/>
          <w:lang w:val="en-US" w:eastAsia="zh-CN"/>
        </w:rPr>
      </w:pPr>
      <w:r>
        <w:rPr>
          <w:rFonts w:hint="eastAsia"/>
          <w:lang w:val="en-US" w:eastAsia="zh-CN"/>
        </w:rPr>
        <w:t>11.6技术文件；</w:t>
      </w:r>
    </w:p>
    <w:p w14:paraId="05AE25B9">
      <w:pPr>
        <w:bidi w:val="0"/>
        <w:rPr>
          <w:rFonts w:hint="eastAsia"/>
          <w:lang w:val="en-US" w:eastAsia="zh-CN"/>
        </w:rPr>
      </w:pPr>
      <w:r>
        <w:rPr>
          <w:rFonts w:hint="eastAsia"/>
          <w:lang w:val="en-US" w:eastAsia="zh-CN"/>
        </w:rPr>
        <w:t>11.7供应商应提供的其他资料。</w:t>
      </w:r>
    </w:p>
    <w:p w14:paraId="38934F13">
      <w:pPr>
        <w:bidi w:val="0"/>
        <w:rPr>
          <w:rFonts w:hint="eastAsia"/>
          <w:b/>
          <w:bCs/>
          <w:lang w:val="en-US" w:eastAsia="zh-CN"/>
        </w:rPr>
      </w:pPr>
      <w:r>
        <w:rPr>
          <w:rFonts w:hint="eastAsia"/>
          <w:b/>
          <w:bCs/>
          <w:lang w:val="en-US" w:eastAsia="zh-CN"/>
        </w:rPr>
        <w:t>12.响应文件格式</w:t>
      </w:r>
    </w:p>
    <w:p w14:paraId="3E694B04">
      <w:pPr>
        <w:bidi w:val="0"/>
        <w:rPr>
          <w:rFonts w:hint="eastAsia"/>
          <w:lang w:val="en-US" w:eastAsia="zh-CN"/>
        </w:rPr>
      </w:pPr>
      <w:r>
        <w:rPr>
          <w:rFonts w:hint="eastAsia"/>
          <w:lang w:val="en-US" w:eastAsia="zh-CN"/>
        </w:rPr>
        <w:t>12.1供应商应严格按照询比采购文件第五章中提供的“响应文件格式”填写相关内容。除明确允许供应商可以自行编写的外，供应商不得对“响应文件格式”规定内容进行删改，否则对响应文件按无效处理。</w:t>
      </w:r>
    </w:p>
    <w:p w14:paraId="44C8CE9C">
      <w:pPr>
        <w:bidi w:val="0"/>
        <w:rPr>
          <w:rFonts w:hint="eastAsia"/>
          <w:lang w:val="en-US" w:eastAsia="zh-CN"/>
        </w:rPr>
      </w:pPr>
      <w:r>
        <w:rPr>
          <w:rFonts w:hint="eastAsia"/>
          <w:lang w:val="en-US" w:eastAsia="zh-CN"/>
        </w:rPr>
        <w:t>12.2对于没有格式要求的响应文件中的内容由供应商自行编写。</w:t>
      </w:r>
    </w:p>
    <w:p w14:paraId="20EDC02D">
      <w:pPr>
        <w:bidi w:val="0"/>
        <w:rPr>
          <w:rFonts w:hint="eastAsia"/>
          <w:b/>
          <w:bCs/>
          <w:lang w:val="en-US" w:eastAsia="zh-CN"/>
        </w:rPr>
      </w:pPr>
      <w:r>
        <w:rPr>
          <w:rFonts w:hint="eastAsia"/>
          <w:b/>
          <w:bCs/>
          <w:lang w:val="en-US" w:eastAsia="zh-CN"/>
        </w:rPr>
        <w:t>13.响应文件的有效期</w:t>
      </w:r>
    </w:p>
    <w:p w14:paraId="4E06E415">
      <w:pPr>
        <w:bidi w:val="0"/>
        <w:rPr>
          <w:rFonts w:hint="eastAsia"/>
          <w:lang w:val="en-US" w:eastAsia="zh-CN"/>
        </w:rPr>
      </w:pPr>
      <w:r>
        <w:rPr>
          <w:rFonts w:hint="eastAsia"/>
          <w:lang w:val="en-US" w:eastAsia="zh-CN"/>
        </w:rPr>
        <w:t>13.1</w:t>
      </w:r>
      <w:r>
        <w:rPr>
          <w:rFonts w:hint="eastAsia"/>
          <w:b w:val="0"/>
          <w:bCs w:val="0"/>
          <w:lang w:val="en-US" w:eastAsia="zh-CN"/>
        </w:rPr>
        <w:t>响应文件</w:t>
      </w:r>
      <w:r>
        <w:rPr>
          <w:rFonts w:hint="eastAsia"/>
          <w:lang w:val="en-US" w:eastAsia="zh-CN"/>
        </w:rPr>
        <w:t>的有效期见供应商须知前附表。有效期短于此规定期限的将被拒绝。</w:t>
      </w:r>
    </w:p>
    <w:p w14:paraId="03471289">
      <w:pPr>
        <w:bidi w:val="0"/>
        <w:rPr>
          <w:rFonts w:hint="eastAsia"/>
          <w:lang w:val="en-US" w:eastAsia="zh-CN"/>
        </w:rPr>
      </w:pPr>
      <w:r>
        <w:rPr>
          <w:rFonts w:hint="eastAsia"/>
          <w:lang w:val="en-US" w:eastAsia="zh-CN"/>
        </w:rPr>
        <w:t>13.2特殊情况下，采购人可于响应文件有效期满之前要求供应商同意延长有效期，要求与答复均应为书面形式，供应商同意延长的，其报价保证金（如有）同步顺延，如供应商不同意延长的，也退回响应文件并同步退还其报价保证金（如有）。</w:t>
      </w:r>
    </w:p>
    <w:p w14:paraId="65365DD4">
      <w:pPr>
        <w:bidi w:val="0"/>
        <w:rPr>
          <w:rFonts w:hint="eastAsia"/>
          <w:b/>
          <w:bCs/>
          <w:lang w:val="en-US" w:eastAsia="zh-CN"/>
        </w:rPr>
      </w:pPr>
      <w:r>
        <w:rPr>
          <w:rFonts w:hint="eastAsia"/>
          <w:b/>
          <w:bCs/>
          <w:lang w:val="en-US" w:eastAsia="zh-CN"/>
        </w:rPr>
        <w:t>14.响应文件的编制和签署</w:t>
      </w:r>
    </w:p>
    <w:p w14:paraId="25D6D570">
      <w:pPr>
        <w:bidi w:val="0"/>
        <w:rPr>
          <w:rFonts w:hint="eastAsia"/>
          <w:lang w:val="en-US" w:eastAsia="zh-CN"/>
        </w:rPr>
      </w:pPr>
      <w:r>
        <w:rPr>
          <w:rFonts w:hint="eastAsia"/>
          <w:lang w:val="en-US" w:eastAsia="zh-CN"/>
        </w:rPr>
        <w:t>14.1供应商应按“供应商须知前附表”要求的数量提交响应文件正本、副本；电子版。</w:t>
      </w:r>
    </w:p>
    <w:p w14:paraId="63EDE289">
      <w:pPr>
        <w:bidi w:val="0"/>
        <w:rPr>
          <w:rFonts w:hint="eastAsia"/>
          <w:lang w:val="en-US" w:eastAsia="zh-CN"/>
        </w:rPr>
      </w:pPr>
      <w:r>
        <w:rPr>
          <w:rFonts w:hint="eastAsia"/>
          <w:lang w:val="en-US" w:eastAsia="zh-CN"/>
        </w:rPr>
        <w:t>14.2响应文件的正本和副本均需打印或用不褪色、不变质的墨水书写，并由供应商的法定代表人（负责人）或其授权代理人在规定签章处签字并加盖单位公章。响应文件副本可采用正本的复印件。</w:t>
      </w:r>
    </w:p>
    <w:p w14:paraId="4AC7E49A">
      <w:pPr>
        <w:bidi w:val="0"/>
        <w:rPr>
          <w:rFonts w:hint="eastAsia"/>
          <w:lang w:val="en-US" w:eastAsia="zh-CN"/>
        </w:rPr>
      </w:pPr>
      <w:r>
        <w:rPr>
          <w:rFonts w:hint="eastAsia"/>
          <w:lang w:val="en-US" w:eastAsia="zh-CN"/>
        </w:rPr>
        <w:t>14.3响应文件的打印和书写应清楚工整，任何行间插字、涂改或增删，必须由供应商的法定代表人（负责人）或其授权代理人签字。字迹潦草、表达不清或可能导致非唯一理解的响应文件可视为无效。</w:t>
      </w:r>
    </w:p>
    <w:p w14:paraId="79A87FF0">
      <w:pPr>
        <w:bidi w:val="0"/>
        <w:rPr>
          <w:rFonts w:hint="eastAsia"/>
          <w:lang w:val="en-US" w:eastAsia="zh-CN"/>
        </w:rPr>
      </w:pPr>
      <w:r>
        <w:rPr>
          <w:rFonts w:hint="eastAsia"/>
          <w:lang w:val="en-US" w:eastAsia="zh-CN"/>
        </w:rPr>
        <w:t>14.4响应文件正本和副本必须胶装成册并编制目录和逐页编码。</w:t>
      </w:r>
    </w:p>
    <w:p w14:paraId="38765796">
      <w:pPr>
        <w:bidi w:val="0"/>
        <w:rPr>
          <w:rFonts w:hint="eastAsia"/>
          <w:lang w:val="en-US" w:eastAsia="zh-CN"/>
        </w:rPr>
      </w:pPr>
      <w:r>
        <w:rPr>
          <w:rFonts w:hint="eastAsia"/>
          <w:lang w:val="en-US" w:eastAsia="zh-CN"/>
        </w:rPr>
        <w:t>14.5响应文件应根据询比采购文件的要求制作，签署、盖章，内容应完整。</w:t>
      </w:r>
    </w:p>
    <w:p w14:paraId="36FE15D9">
      <w:pPr>
        <w:bidi w:val="0"/>
        <w:rPr>
          <w:rFonts w:hint="eastAsia"/>
          <w:lang w:val="en-US" w:eastAsia="zh-CN"/>
        </w:rPr>
      </w:pPr>
      <w:r>
        <w:rPr>
          <w:rFonts w:hint="eastAsia"/>
          <w:lang w:val="en-US" w:eastAsia="zh-CN"/>
        </w:rPr>
        <w:t>14.6响应文件统一用A4幅面纸印制，特殊情况可增大幅面。</w:t>
      </w:r>
    </w:p>
    <w:p w14:paraId="6FF0734D">
      <w:pPr>
        <w:bidi w:val="0"/>
        <w:rPr>
          <w:rFonts w:hint="eastAsia"/>
          <w:b/>
          <w:bCs/>
          <w:lang w:val="en-US" w:eastAsia="zh-CN"/>
        </w:rPr>
      </w:pPr>
      <w:r>
        <w:rPr>
          <w:rFonts w:hint="eastAsia"/>
          <w:b/>
          <w:bCs/>
          <w:lang w:val="en-US" w:eastAsia="zh-CN"/>
        </w:rPr>
        <w:t>15.响应文件盖章要求</w:t>
      </w:r>
    </w:p>
    <w:p w14:paraId="37B438EF">
      <w:pPr>
        <w:bidi w:val="0"/>
        <w:rPr>
          <w:rFonts w:hint="eastAsia"/>
          <w:lang w:val="en-US" w:eastAsia="zh-CN"/>
        </w:rPr>
      </w:pPr>
      <w:r>
        <w:rPr>
          <w:rFonts w:hint="eastAsia"/>
          <w:lang w:val="en-US" w:eastAsia="zh-CN"/>
        </w:rPr>
        <w:t>15.1响应文件格式要求供应商提供的资料必须签字并加盖公章（红色）的，供应商应签字和盖章。</w:t>
      </w:r>
    </w:p>
    <w:p w14:paraId="21223B3C">
      <w:pPr>
        <w:bidi w:val="0"/>
        <w:rPr>
          <w:rFonts w:hint="eastAsia"/>
          <w:lang w:val="en-US" w:eastAsia="zh-CN"/>
        </w:rPr>
      </w:pPr>
      <w:r>
        <w:rPr>
          <w:rFonts w:hint="eastAsia"/>
          <w:lang w:val="en-US" w:eastAsia="zh-CN"/>
        </w:rPr>
        <w:t>15.2正本制作应符合以上要求，不符合要求的按无效申请处理。副本内容应与正本内容一致，如出现正副本内容不一致，以正本为准。</w:t>
      </w:r>
    </w:p>
    <w:p w14:paraId="6CA868AF">
      <w:pPr>
        <w:bidi w:val="0"/>
        <w:rPr>
          <w:rFonts w:hint="eastAsia"/>
          <w:b/>
          <w:bCs/>
          <w:lang w:val="en-US" w:eastAsia="zh-CN"/>
        </w:rPr>
      </w:pPr>
      <w:r>
        <w:rPr>
          <w:rFonts w:hint="eastAsia"/>
          <w:b/>
          <w:bCs/>
          <w:lang w:val="en-US" w:eastAsia="zh-CN"/>
        </w:rPr>
        <w:t>16.响应文件的密封和标志</w:t>
      </w:r>
    </w:p>
    <w:p w14:paraId="0243B653">
      <w:pPr>
        <w:bidi w:val="0"/>
        <w:rPr>
          <w:rFonts w:hint="eastAsia"/>
          <w:lang w:val="en-US" w:eastAsia="zh-CN"/>
        </w:rPr>
      </w:pPr>
      <w:r>
        <w:rPr>
          <w:rFonts w:hint="eastAsia"/>
          <w:lang w:val="en-US" w:eastAsia="zh-CN"/>
        </w:rPr>
        <w:t>16.1供应商应在响应文件正本和所有副本的封面上注明项目名称、供应商名称、递交时间（年月日）等，并分别在右上角标明“正本”或“副本”字样。</w:t>
      </w:r>
    </w:p>
    <w:p w14:paraId="5CE1B660">
      <w:pPr>
        <w:bidi w:val="0"/>
        <w:rPr>
          <w:rFonts w:hint="eastAsia"/>
          <w:lang w:val="en-US" w:eastAsia="zh-CN"/>
        </w:rPr>
      </w:pPr>
      <w:r>
        <w:rPr>
          <w:rFonts w:hint="eastAsia"/>
          <w:lang w:val="en-US" w:eastAsia="zh-CN"/>
        </w:rPr>
        <w:t>16.2响应文件密封袋的标注：见供应商须知前附表。</w:t>
      </w:r>
    </w:p>
    <w:p w14:paraId="42A14F57">
      <w:pPr>
        <w:bidi w:val="0"/>
        <w:rPr>
          <w:rFonts w:hint="eastAsia"/>
          <w:b/>
          <w:bCs/>
          <w:lang w:val="en-US" w:eastAsia="zh-CN"/>
        </w:rPr>
      </w:pPr>
      <w:r>
        <w:rPr>
          <w:rFonts w:hint="eastAsia"/>
          <w:b/>
          <w:bCs/>
          <w:lang w:val="en-US" w:eastAsia="zh-CN"/>
        </w:rPr>
        <w:t>17.响应文件的递交</w:t>
      </w:r>
    </w:p>
    <w:p w14:paraId="26900D8B">
      <w:pPr>
        <w:bidi w:val="0"/>
        <w:rPr>
          <w:rFonts w:hint="eastAsia"/>
          <w:lang w:val="en-US" w:eastAsia="zh-CN"/>
        </w:rPr>
      </w:pPr>
      <w:r>
        <w:rPr>
          <w:rFonts w:hint="eastAsia"/>
          <w:lang w:val="en-US" w:eastAsia="zh-CN"/>
        </w:rPr>
        <w:t>17.1供应商在询比采购文件规定的接收截止时间前，将响应文件按供应商须知第15条、第16条规定盖章并密封后送达评审地点。接收截止时间以后送达的响应文件将被拒绝。</w:t>
      </w:r>
    </w:p>
    <w:p w14:paraId="37093DE7">
      <w:pPr>
        <w:bidi w:val="0"/>
        <w:rPr>
          <w:rFonts w:hint="eastAsia"/>
          <w:lang w:val="en-US" w:eastAsia="zh-CN"/>
        </w:rPr>
      </w:pPr>
      <w:r>
        <w:rPr>
          <w:rFonts w:hint="eastAsia"/>
          <w:lang w:val="en-US" w:eastAsia="zh-CN"/>
        </w:rPr>
        <w:t>17.2不接受邮寄的响应文件。</w:t>
      </w:r>
    </w:p>
    <w:p w14:paraId="53ABC7E2">
      <w:pPr>
        <w:bidi w:val="0"/>
        <w:rPr>
          <w:rFonts w:hint="eastAsia"/>
          <w:lang w:val="en-US" w:eastAsia="zh-CN"/>
        </w:rPr>
      </w:pPr>
      <w:r>
        <w:rPr>
          <w:rFonts w:hint="eastAsia"/>
          <w:lang w:val="en-US" w:eastAsia="zh-CN"/>
        </w:rPr>
        <w:t>18.响应文件的修改和撤回</w:t>
      </w:r>
    </w:p>
    <w:p w14:paraId="26E910D8">
      <w:pPr>
        <w:bidi w:val="0"/>
        <w:rPr>
          <w:rFonts w:hint="eastAsia"/>
          <w:lang w:val="en-US" w:eastAsia="zh-CN"/>
        </w:rPr>
      </w:pPr>
      <w:r>
        <w:rPr>
          <w:rFonts w:hint="eastAsia"/>
          <w:lang w:val="en-US" w:eastAsia="zh-CN"/>
        </w:rPr>
        <w:t>18.1供应商在递交了响应文件后，可以修改或撤回其响应文件，但必须在规定的接收截止时间前，以书面形式通知。</w:t>
      </w:r>
    </w:p>
    <w:p w14:paraId="476F7F20">
      <w:pPr>
        <w:bidi w:val="0"/>
        <w:rPr>
          <w:rFonts w:hint="eastAsia"/>
          <w:lang w:val="en-US" w:eastAsia="zh-CN"/>
        </w:rPr>
      </w:pPr>
      <w:r>
        <w:rPr>
          <w:rFonts w:hint="eastAsia"/>
          <w:lang w:val="en-US" w:eastAsia="zh-CN"/>
        </w:rPr>
        <w:t>18.2供应商的修改书或撤回通知书，应由其法定代表人（负责人）或授权代理人签署并盖单位公章。修改书应按供应商须知第13条、第14条、第15条规定进行盖章、密封和标注，并在密封袋上标注“修改”字样。</w:t>
      </w:r>
    </w:p>
    <w:p w14:paraId="61F02D39">
      <w:pPr>
        <w:bidi w:val="0"/>
        <w:rPr>
          <w:rFonts w:hint="eastAsia"/>
          <w:lang w:val="en-US" w:eastAsia="zh-CN"/>
        </w:rPr>
      </w:pPr>
      <w:r>
        <w:rPr>
          <w:rFonts w:hint="eastAsia"/>
          <w:lang w:val="en-US" w:eastAsia="zh-CN"/>
        </w:rPr>
        <w:t>18.3在接收截止时间之后，供应商不得对其递交的响应文件做任何修改或撤回。</w:t>
      </w:r>
    </w:p>
    <w:p w14:paraId="46E57591">
      <w:pPr>
        <w:pStyle w:val="4"/>
        <w:numPr>
          <w:ilvl w:val="0"/>
          <w:numId w:val="2"/>
        </w:numPr>
        <w:bidi w:val="0"/>
        <w:rPr>
          <w:rFonts w:hint="eastAsia"/>
          <w:lang w:val="en-US" w:eastAsia="zh-CN"/>
        </w:rPr>
      </w:pPr>
      <w:bookmarkStart w:id="26" w:name="_Toc14731"/>
      <w:r>
        <w:rPr>
          <w:rFonts w:hint="eastAsia"/>
          <w:lang w:val="en-US" w:eastAsia="zh-CN"/>
        </w:rPr>
        <w:t>询比与评审</w:t>
      </w:r>
      <w:bookmarkEnd w:id="26"/>
    </w:p>
    <w:p w14:paraId="6387478E">
      <w:pPr>
        <w:bidi w:val="0"/>
        <w:rPr>
          <w:rFonts w:hint="eastAsia"/>
          <w:b/>
          <w:bCs/>
          <w:lang w:val="en-US" w:eastAsia="zh-CN"/>
        </w:rPr>
      </w:pPr>
      <w:r>
        <w:rPr>
          <w:rFonts w:hint="eastAsia"/>
          <w:b/>
          <w:bCs/>
          <w:lang w:val="en-US" w:eastAsia="zh-CN"/>
        </w:rPr>
        <w:t>19.询比</w:t>
      </w:r>
    </w:p>
    <w:p w14:paraId="01FF0103">
      <w:pPr>
        <w:bidi w:val="0"/>
        <w:rPr>
          <w:rFonts w:hint="default"/>
          <w:lang w:val="en-US" w:eastAsia="zh-CN"/>
        </w:rPr>
      </w:pPr>
      <w:r>
        <w:rPr>
          <w:rFonts w:hint="default"/>
          <w:lang w:val="en-US" w:eastAsia="zh-CN"/>
        </w:rPr>
        <w:t>19.1采购人将在</w:t>
      </w:r>
      <w:r>
        <w:rPr>
          <w:rFonts w:hint="eastAsia"/>
          <w:lang w:val="en-US" w:eastAsia="zh-CN"/>
        </w:rPr>
        <w:t>“供应商</w:t>
      </w:r>
      <w:r>
        <w:rPr>
          <w:rFonts w:hint="default"/>
          <w:lang w:val="en-US" w:eastAsia="zh-CN"/>
        </w:rPr>
        <w:t>须知前附表</w:t>
      </w:r>
      <w:r>
        <w:rPr>
          <w:rFonts w:hint="eastAsia"/>
          <w:lang w:val="en-US" w:eastAsia="zh-CN"/>
        </w:rPr>
        <w:t>”</w:t>
      </w:r>
      <w:r>
        <w:rPr>
          <w:rFonts w:hint="default"/>
          <w:lang w:val="en-US" w:eastAsia="zh-CN"/>
        </w:rPr>
        <w:t>规定的时间和地点进行</w:t>
      </w:r>
      <w:r>
        <w:rPr>
          <w:rFonts w:hint="eastAsia"/>
          <w:lang w:val="en-US" w:eastAsia="zh-CN"/>
        </w:rPr>
        <w:t>评审</w:t>
      </w:r>
      <w:r>
        <w:rPr>
          <w:rFonts w:hint="default"/>
          <w:lang w:val="en-US" w:eastAsia="zh-CN"/>
        </w:rPr>
        <w:t>，</w:t>
      </w:r>
      <w:r>
        <w:rPr>
          <w:rFonts w:hint="eastAsia"/>
          <w:lang w:val="en-US" w:eastAsia="zh-CN"/>
        </w:rPr>
        <w:t>供应商</w:t>
      </w:r>
      <w:r>
        <w:rPr>
          <w:rFonts w:hint="default"/>
          <w:lang w:val="en-US" w:eastAsia="zh-CN"/>
        </w:rPr>
        <w:t>的法定代表人（负责人）或其委托代理人</w:t>
      </w:r>
      <w:r>
        <w:rPr>
          <w:rFonts w:hint="eastAsia"/>
          <w:lang w:val="en-US" w:eastAsia="zh-CN"/>
        </w:rPr>
        <w:t>无需</w:t>
      </w:r>
      <w:r>
        <w:rPr>
          <w:rFonts w:hint="default"/>
          <w:lang w:val="en-US" w:eastAsia="zh-CN"/>
        </w:rPr>
        <w:t>参加</w:t>
      </w:r>
      <w:r>
        <w:rPr>
          <w:rFonts w:hint="eastAsia"/>
          <w:lang w:val="en-US" w:eastAsia="zh-CN"/>
        </w:rPr>
        <w:t>询比</w:t>
      </w:r>
      <w:r>
        <w:rPr>
          <w:rFonts w:hint="default"/>
          <w:lang w:val="en-US" w:eastAsia="zh-CN"/>
        </w:rPr>
        <w:t>会议。</w:t>
      </w:r>
    </w:p>
    <w:p w14:paraId="69A0D5E3">
      <w:pPr>
        <w:bidi w:val="0"/>
        <w:rPr>
          <w:rFonts w:hint="eastAsia"/>
          <w:lang w:val="en-US" w:eastAsia="zh-CN"/>
        </w:rPr>
      </w:pPr>
      <w:r>
        <w:rPr>
          <w:rFonts w:hint="eastAsia"/>
          <w:lang w:val="en-US" w:eastAsia="zh-CN"/>
        </w:rPr>
        <w:t>19.2评审小组的组建：</w:t>
      </w:r>
    </w:p>
    <w:p w14:paraId="1111A1FE">
      <w:pPr>
        <w:bidi w:val="0"/>
        <w:rPr>
          <w:rFonts w:hint="eastAsia"/>
          <w:lang w:val="en-US" w:eastAsia="zh-CN"/>
        </w:rPr>
      </w:pPr>
      <w:r>
        <w:rPr>
          <w:rFonts w:hint="eastAsia"/>
          <w:lang w:val="en-US" w:eastAsia="zh-CN"/>
        </w:rPr>
        <w:t>评审小组由采购人代表组成，人数为3人及以上单数组成。</w:t>
      </w:r>
    </w:p>
    <w:p w14:paraId="6A5639E0">
      <w:pPr>
        <w:bidi w:val="0"/>
        <w:rPr>
          <w:rFonts w:hint="eastAsia"/>
          <w:lang w:val="en-US" w:eastAsia="zh-CN"/>
        </w:rPr>
      </w:pPr>
      <w:r>
        <w:rPr>
          <w:rFonts w:hint="eastAsia"/>
          <w:lang w:val="en-US" w:eastAsia="zh-CN"/>
        </w:rPr>
        <w:t>评审小组成员确定方式：由采购人组建。</w:t>
      </w:r>
    </w:p>
    <w:p w14:paraId="6803E2FB">
      <w:pPr>
        <w:bidi w:val="0"/>
        <w:rPr>
          <w:rFonts w:hint="default"/>
          <w:lang w:val="en-US" w:eastAsia="zh-CN"/>
        </w:rPr>
      </w:pPr>
      <w:r>
        <w:rPr>
          <w:rFonts w:hint="eastAsia"/>
          <w:lang w:val="en-US" w:eastAsia="zh-CN"/>
        </w:rPr>
        <w:t>19.3评审活动由采购人依法组建的评审小组负责。</w:t>
      </w:r>
    </w:p>
    <w:p w14:paraId="0343CFB7">
      <w:pPr>
        <w:rPr>
          <w:rFonts w:hint="eastAsia"/>
          <w:lang w:val="en-US" w:eastAsia="zh-CN"/>
        </w:rPr>
      </w:pPr>
      <w:r>
        <w:rPr>
          <w:rFonts w:hint="eastAsia"/>
          <w:lang w:val="en-US" w:eastAsia="zh-CN"/>
        </w:rPr>
        <w:t>19.4评审小组成员有下列情形之一的，应当回避：</w:t>
      </w:r>
    </w:p>
    <w:p w14:paraId="63541B1B">
      <w:pPr>
        <w:rPr>
          <w:rFonts w:hint="eastAsia"/>
          <w:lang w:val="en-US" w:eastAsia="zh-CN"/>
        </w:rPr>
      </w:pPr>
      <w:r>
        <w:rPr>
          <w:rFonts w:hint="eastAsia"/>
          <w:lang w:val="en-US" w:eastAsia="zh-CN"/>
        </w:rPr>
        <w:t>（1）采购人或供应商的主要负责人的近亲属。</w:t>
      </w:r>
    </w:p>
    <w:p w14:paraId="37D7E199">
      <w:pPr>
        <w:rPr>
          <w:rFonts w:hint="eastAsia"/>
          <w:lang w:val="en-US" w:eastAsia="zh-CN"/>
        </w:rPr>
      </w:pPr>
      <w:r>
        <w:rPr>
          <w:rFonts w:hint="eastAsia"/>
          <w:lang w:val="en-US" w:eastAsia="zh-CN"/>
        </w:rPr>
        <w:t>（2）与供应商有利害关系的人不得进入本项目的评审小组。</w:t>
      </w:r>
    </w:p>
    <w:p w14:paraId="3FCC67B5">
      <w:pPr>
        <w:rPr>
          <w:rFonts w:hint="eastAsia"/>
          <w:lang w:val="en-US" w:eastAsia="zh-CN"/>
        </w:rPr>
      </w:pPr>
      <w:r>
        <w:rPr>
          <w:rFonts w:hint="eastAsia"/>
          <w:lang w:val="en-US" w:eastAsia="zh-CN"/>
        </w:rPr>
        <w:t>（3）曾因在招标、评标以及其他与招标投标有关活动中从事违法行为而受过行政处罚或刑事处罚的。</w:t>
      </w:r>
    </w:p>
    <w:p w14:paraId="1A6EB9D7">
      <w:pPr>
        <w:rPr>
          <w:rFonts w:hint="eastAsia"/>
          <w:lang w:val="en-US" w:eastAsia="zh-CN"/>
        </w:rPr>
      </w:pPr>
      <w:r>
        <w:rPr>
          <w:rFonts w:hint="eastAsia"/>
          <w:lang w:val="en-US" w:eastAsia="zh-CN"/>
        </w:rPr>
        <w:t>19.5评审程序：</w:t>
      </w:r>
    </w:p>
    <w:p w14:paraId="1146FBFB">
      <w:pPr>
        <w:rPr>
          <w:rFonts w:hint="eastAsia"/>
          <w:lang w:val="en-US" w:eastAsia="zh-CN"/>
        </w:rPr>
      </w:pPr>
      <w:r>
        <w:rPr>
          <w:rFonts w:hint="eastAsia"/>
          <w:lang w:val="en-US" w:eastAsia="zh-CN"/>
        </w:rPr>
        <w:t>（1）递交响应文件；</w:t>
      </w:r>
    </w:p>
    <w:p w14:paraId="3648EBDE">
      <w:pPr>
        <w:rPr>
          <w:rFonts w:hint="eastAsia"/>
          <w:lang w:val="en-US" w:eastAsia="zh-CN"/>
        </w:rPr>
      </w:pPr>
      <w:r>
        <w:rPr>
          <w:rFonts w:hint="eastAsia"/>
          <w:lang w:val="en-US" w:eastAsia="zh-CN"/>
        </w:rPr>
        <w:t>（2）评审。由评审小组所有成员集中，对供应商响应文件逐一进行评审。</w:t>
      </w:r>
    </w:p>
    <w:p w14:paraId="5B46B6AF">
      <w:pPr>
        <w:bidi w:val="0"/>
        <w:rPr>
          <w:rFonts w:hint="eastAsia"/>
          <w:b/>
          <w:bCs/>
          <w:lang w:val="en-US" w:eastAsia="zh-CN"/>
        </w:rPr>
      </w:pPr>
      <w:r>
        <w:rPr>
          <w:rFonts w:hint="eastAsia"/>
          <w:b/>
          <w:bCs/>
          <w:lang w:val="en-US" w:eastAsia="zh-CN"/>
        </w:rPr>
        <w:t>20.评审</w:t>
      </w:r>
    </w:p>
    <w:p w14:paraId="0D867033">
      <w:pPr>
        <w:bidi w:val="0"/>
        <w:rPr>
          <w:rFonts w:hint="eastAsia"/>
          <w:lang w:val="en-US" w:eastAsia="zh-CN"/>
        </w:rPr>
      </w:pPr>
      <w:r>
        <w:rPr>
          <w:rFonts w:hint="eastAsia"/>
          <w:lang w:val="en-US" w:eastAsia="zh-CN"/>
        </w:rPr>
        <w:t>20.1评审由采购人依法组建的评审小组负责。</w:t>
      </w:r>
    </w:p>
    <w:p w14:paraId="655FF5BB">
      <w:pPr>
        <w:bidi w:val="0"/>
        <w:rPr>
          <w:rFonts w:hint="eastAsia"/>
          <w:lang w:val="en-US" w:eastAsia="zh-CN"/>
        </w:rPr>
      </w:pPr>
      <w:r>
        <w:rPr>
          <w:rFonts w:hint="eastAsia"/>
          <w:lang w:val="en-US" w:eastAsia="zh-CN"/>
        </w:rPr>
        <w:t>20.2评审原则</w:t>
      </w:r>
    </w:p>
    <w:p w14:paraId="2E61D0FB">
      <w:pPr>
        <w:bidi w:val="0"/>
        <w:rPr>
          <w:rFonts w:hint="eastAsia"/>
          <w:lang w:val="en-US" w:eastAsia="zh-CN"/>
        </w:rPr>
      </w:pPr>
      <w:r>
        <w:rPr>
          <w:rFonts w:hint="eastAsia"/>
          <w:lang w:val="en-US" w:eastAsia="zh-CN"/>
        </w:rPr>
        <w:t>评审活动遵循公平、公正、科学和择优的原则。</w:t>
      </w:r>
    </w:p>
    <w:p w14:paraId="1C5624BE">
      <w:pPr>
        <w:bidi w:val="0"/>
        <w:rPr>
          <w:rFonts w:hint="eastAsia"/>
          <w:lang w:val="en-US" w:eastAsia="zh-CN"/>
        </w:rPr>
      </w:pPr>
      <w:r>
        <w:rPr>
          <w:rFonts w:hint="eastAsia"/>
          <w:lang w:val="en-US" w:eastAsia="zh-CN"/>
        </w:rPr>
        <w:t>20.3评审工作程序</w:t>
      </w:r>
    </w:p>
    <w:p w14:paraId="5726C199">
      <w:pPr>
        <w:bidi w:val="0"/>
        <w:rPr>
          <w:rFonts w:hint="eastAsia"/>
          <w:lang w:val="en-US" w:eastAsia="zh-CN"/>
        </w:rPr>
      </w:pPr>
      <w:r>
        <w:rPr>
          <w:rFonts w:hint="eastAsia"/>
          <w:lang w:val="en-US" w:eastAsia="zh-CN"/>
        </w:rPr>
        <w:t>评审小组按照“第四章 评审程序及评审办法”规定的方法、评审因素、标准和程序对响应文件进行评审。“第四章 评审程序及评审办法”没有规定的方法、评审因素和标准，不作为评审依据。</w:t>
      </w:r>
    </w:p>
    <w:p w14:paraId="4A444DD1">
      <w:pPr>
        <w:bidi w:val="0"/>
        <w:rPr>
          <w:rFonts w:hint="eastAsia"/>
          <w:lang w:val="en-US" w:eastAsia="zh-CN"/>
        </w:rPr>
      </w:pPr>
      <w:r>
        <w:rPr>
          <w:rFonts w:hint="eastAsia"/>
          <w:lang w:val="en-US" w:eastAsia="zh-CN"/>
        </w:rPr>
        <w:t>（1）资格性审查、符合性审查。</w:t>
      </w:r>
    </w:p>
    <w:p w14:paraId="328A13F0">
      <w:pPr>
        <w:bidi w:val="0"/>
        <w:rPr>
          <w:rFonts w:hint="eastAsia"/>
          <w:lang w:val="en-US" w:eastAsia="zh-CN"/>
        </w:rPr>
      </w:pPr>
      <w:r>
        <w:rPr>
          <w:rFonts w:hint="eastAsia"/>
          <w:lang w:val="en-US" w:eastAsia="zh-CN"/>
        </w:rPr>
        <w:t>（2）对响应文件中含义不明确、同类问题表述不一致或者有明显文字和计算错误的内容，评审小组应当以书面形式要求供应商作出必要的澄清、说明或者补正。供应商的澄清、说明或者补正应当采用书面形式，并加盖公章，或者由法定代表人（负责人）或其授权代表签字；由授权代表签字的，应当附法定代表人（负责人）授权书。供应商的澄清、说明或者补正不得超出响应文件的范围或者改变响应文件的实质性内容，且不得对报价进行实质性变更。供应商的澄清文件是响应文件的组成部分。</w:t>
      </w:r>
    </w:p>
    <w:p w14:paraId="130EE267">
      <w:pPr>
        <w:bidi w:val="0"/>
        <w:rPr>
          <w:rFonts w:hint="eastAsia"/>
          <w:lang w:val="en-US" w:eastAsia="zh-CN"/>
        </w:rPr>
      </w:pPr>
      <w:r>
        <w:rPr>
          <w:rFonts w:hint="eastAsia"/>
          <w:lang w:val="en-US" w:eastAsia="zh-CN"/>
        </w:rPr>
        <w:t>（3）比较与评价。</w:t>
      </w:r>
    </w:p>
    <w:p w14:paraId="319F5368">
      <w:pPr>
        <w:bidi w:val="0"/>
        <w:rPr>
          <w:rFonts w:hint="eastAsia"/>
          <w:lang w:val="en-US" w:eastAsia="zh-CN"/>
        </w:rPr>
      </w:pPr>
      <w:r>
        <w:rPr>
          <w:rFonts w:hint="eastAsia"/>
          <w:lang w:val="en-US" w:eastAsia="zh-CN"/>
        </w:rPr>
        <w:t>（4）推荐成交候选人名单。</w:t>
      </w:r>
    </w:p>
    <w:p w14:paraId="34A0DBC2">
      <w:pPr>
        <w:bidi w:val="0"/>
        <w:rPr>
          <w:rFonts w:hint="eastAsia"/>
          <w:lang w:val="en-US" w:eastAsia="zh-CN"/>
        </w:rPr>
      </w:pPr>
      <w:r>
        <w:rPr>
          <w:rFonts w:hint="eastAsia"/>
          <w:lang w:val="en-US" w:eastAsia="zh-CN"/>
        </w:rPr>
        <w:t>（5）编写评审报告。</w:t>
      </w:r>
    </w:p>
    <w:p w14:paraId="2474F75E">
      <w:pPr>
        <w:bidi w:val="0"/>
        <w:rPr>
          <w:rFonts w:hint="eastAsia"/>
          <w:lang w:val="en-US" w:eastAsia="zh-CN"/>
        </w:rPr>
      </w:pPr>
      <w:r>
        <w:rPr>
          <w:rFonts w:hint="eastAsia"/>
          <w:lang w:val="en-US" w:eastAsia="zh-CN"/>
        </w:rPr>
        <w:t>20.4评审过程的保密。评审后，凡是属于审查、澄清、评审和比较的有关资料以及推荐的成交候选人等均不得向供应商或其他无关的人员透露。供应商在评审过程中，所进行的力图影响评审结果的不公正活动，其响应文件将被否决。</w:t>
      </w:r>
    </w:p>
    <w:p w14:paraId="2F2D665A">
      <w:pPr>
        <w:bidi w:val="0"/>
        <w:rPr>
          <w:rFonts w:hint="eastAsia"/>
          <w:b/>
          <w:bCs/>
          <w:lang w:val="en-US" w:eastAsia="zh-CN"/>
        </w:rPr>
      </w:pPr>
      <w:r>
        <w:rPr>
          <w:rFonts w:hint="eastAsia"/>
          <w:b/>
          <w:bCs/>
          <w:lang w:val="en-US" w:eastAsia="zh-CN"/>
        </w:rPr>
        <w:t>21.响应文件如果出现计算或表达上的错误，修正错误的原则如下：</w:t>
      </w:r>
    </w:p>
    <w:p w14:paraId="6AB39163">
      <w:pPr>
        <w:bidi w:val="0"/>
        <w:rPr>
          <w:rFonts w:hint="eastAsia"/>
          <w:lang w:val="en-US" w:eastAsia="zh-CN"/>
        </w:rPr>
      </w:pPr>
      <w:r>
        <w:rPr>
          <w:rFonts w:hint="eastAsia"/>
          <w:lang w:val="en-US" w:eastAsia="zh-CN"/>
        </w:rPr>
        <w:t>本条修正仅适用于响应文件中明显的文字和计算错误，不构成对响应文件实质性内容的改变。</w:t>
      </w:r>
    </w:p>
    <w:p w14:paraId="354E87A8">
      <w:pPr>
        <w:bidi w:val="0"/>
        <w:rPr>
          <w:rFonts w:hint="eastAsia"/>
          <w:lang w:val="en-US" w:eastAsia="zh-CN"/>
        </w:rPr>
      </w:pPr>
      <w:r>
        <w:rPr>
          <w:rFonts w:hint="eastAsia"/>
          <w:lang w:val="en-US" w:eastAsia="zh-CN"/>
        </w:rPr>
        <w:t>（1）报价一览表（报价表）内容与响应文件中明细表内容不一致的，以报价一览表（报价表）为准；</w:t>
      </w:r>
    </w:p>
    <w:p w14:paraId="2F6C9E34">
      <w:pPr>
        <w:bidi w:val="0"/>
        <w:rPr>
          <w:rFonts w:hint="eastAsia"/>
          <w:lang w:val="en-US" w:eastAsia="zh-CN"/>
        </w:rPr>
      </w:pPr>
      <w:r>
        <w:rPr>
          <w:rFonts w:hint="eastAsia"/>
          <w:lang w:val="en-US" w:eastAsia="zh-CN"/>
        </w:rPr>
        <w:t>（2）大写金额和小写金额不一致的，以大写金额为准；</w:t>
      </w:r>
    </w:p>
    <w:p w14:paraId="10420772">
      <w:pPr>
        <w:bidi w:val="0"/>
        <w:rPr>
          <w:rFonts w:hint="eastAsia"/>
          <w:lang w:val="en-US" w:eastAsia="zh-CN"/>
        </w:rPr>
      </w:pPr>
      <w:r>
        <w:rPr>
          <w:rFonts w:hint="eastAsia"/>
          <w:lang w:val="en-US" w:eastAsia="zh-CN"/>
        </w:rPr>
        <w:t>（3）总价金额与按单价汇总金额不一致的，以单价金额计算结果为准，但单价金额小数点有明显错位的，以总价为准，并修改单价；</w:t>
      </w:r>
    </w:p>
    <w:p w14:paraId="64F5CCE9">
      <w:pPr>
        <w:bidi w:val="0"/>
        <w:rPr>
          <w:rFonts w:hint="eastAsia"/>
          <w:lang w:val="en-US" w:eastAsia="zh-CN"/>
        </w:rPr>
      </w:pPr>
      <w:r>
        <w:rPr>
          <w:rFonts w:hint="eastAsia"/>
          <w:lang w:val="en-US" w:eastAsia="zh-CN"/>
        </w:rPr>
        <w:t>（4）对不同文字文本响应文件的解释发生异议的，以中文文本为准。</w:t>
      </w:r>
    </w:p>
    <w:p w14:paraId="4FBEFE9D">
      <w:pPr>
        <w:bidi w:val="0"/>
        <w:rPr>
          <w:rFonts w:hint="eastAsia"/>
          <w:lang w:val="en-US" w:eastAsia="zh-CN"/>
        </w:rPr>
      </w:pPr>
      <w:r>
        <w:rPr>
          <w:rFonts w:hint="eastAsia"/>
          <w:lang w:val="en-US" w:eastAsia="zh-CN"/>
        </w:rPr>
        <w:t>（5）按上述原则调整或修正报价的，评审小组应当以书面形式通知供应商，经供应商书面确认后，调整后的报价对供应商具有约束力；供应商不接受修正后报价的，其响应文件将被否决。</w:t>
      </w:r>
    </w:p>
    <w:p w14:paraId="1A249CCC">
      <w:pPr>
        <w:bidi w:val="0"/>
        <w:rPr>
          <w:rFonts w:hint="eastAsia"/>
          <w:b/>
          <w:bCs/>
          <w:lang w:val="en-US" w:eastAsia="zh-CN"/>
        </w:rPr>
      </w:pPr>
      <w:r>
        <w:rPr>
          <w:rFonts w:hint="eastAsia"/>
          <w:b/>
          <w:bCs/>
          <w:lang w:val="en-US" w:eastAsia="zh-CN"/>
        </w:rPr>
        <w:t>22.供应商或响应文件中有下列情形之一的，其响应文件作否决处理：</w:t>
      </w:r>
    </w:p>
    <w:p w14:paraId="5454DEDB">
      <w:pPr>
        <w:bidi w:val="0"/>
        <w:rPr>
          <w:rFonts w:hint="eastAsia"/>
          <w:lang w:val="en-US" w:eastAsia="zh-CN"/>
        </w:rPr>
      </w:pPr>
      <w:r>
        <w:rPr>
          <w:rFonts w:hint="eastAsia"/>
          <w:lang w:val="en-US" w:eastAsia="zh-CN"/>
        </w:rPr>
        <w:t>（1）存在恶意串通、视为串通的情形，或提供虚假材料谋取成交、捏造事实进行虚假响应的；</w:t>
      </w:r>
    </w:p>
    <w:p w14:paraId="05EE2158">
      <w:pPr>
        <w:bidi w:val="0"/>
        <w:rPr>
          <w:rFonts w:hint="eastAsia"/>
          <w:lang w:val="en-US" w:eastAsia="zh-CN"/>
        </w:rPr>
      </w:pPr>
      <w:r>
        <w:rPr>
          <w:rFonts w:hint="eastAsia"/>
          <w:lang w:val="en-US" w:eastAsia="zh-CN"/>
        </w:rPr>
        <w:t>（2）未按评审小组书面要求在规定时间内作出澄清、说明或补正的；</w:t>
      </w:r>
    </w:p>
    <w:p w14:paraId="5E1CB4FA">
      <w:pPr>
        <w:bidi w:val="0"/>
        <w:rPr>
          <w:rFonts w:hint="eastAsia"/>
          <w:lang w:val="en-US" w:eastAsia="zh-CN"/>
        </w:rPr>
      </w:pPr>
      <w:r>
        <w:rPr>
          <w:rFonts w:hint="eastAsia"/>
          <w:lang w:val="en-US" w:eastAsia="zh-CN"/>
        </w:rPr>
        <w:t>（3）未通过资格性审查或符合性审查，即任一项审查标准不满足的；</w:t>
      </w:r>
    </w:p>
    <w:p w14:paraId="7A0D5CAF">
      <w:pPr>
        <w:bidi w:val="0"/>
        <w:rPr>
          <w:rFonts w:hint="eastAsia"/>
          <w:lang w:val="en-US" w:eastAsia="zh-CN"/>
        </w:rPr>
      </w:pPr>
      <w:r>
        <w:rPr>
          <w:rFonts w:hint="eastAsia"/>
          <w:lang w:val="en-US" w:eastAsia="zh-CN"/>
        </w:rPr>
        <w:t>（4）报价明显低于其他有效报价，供应商不能在评审小组规定时间内书面说明并提供相关证明材料，经评审小组认定可能影响合同履行的。</w:t>
      </w:r>
    </w:p>
    <w:p w14:paraId="3B633B36">
      <w:pPr>
        <w:pStyle w:val="4"/>
        <w:numPr>
          <w:ilvl w:val="0"/>
          <w:numId w:val="2"/>
        </w:numPr>
        <w:bidi w:val="0"/>
        <w:rPr>
          <w:rFonts w:hint="eastAsia"/>
          <w:lang w:val="en-US" w:eastAsia="zh-CN"/>
        </w:rPr>
      </w:pPr>
      <w:bookmarkStart w:id="27" w:name="_Toc17319"/>
      <w:r>
        <w:rPr>
          <w:rFonts w:hint="eastAsia"/>
          <w:lang w:val="en-US" w:eastAsia="zh-CN"/>
        </w:rPr>
        <w:t>成交结果</w:t>
      </w:r>
      <w:bookmarkEnd w:id="27"/>
    </w:p>
    <w:p w14:paraId="1AC30D3A">
      <w:pPr>
        <w:rPr>
          <w:rFonts w:hint="eastAsia"/>
          <w:b/>
          <w:bCs/>
          <w:lang w:val="en-US" w:eastAsia="zh-CN"/>
        </w:rPr>
      </w:pPr>
      <w:r>
        <w:rPr>
          <w:rFonts w:hint="eastAsia"/>
          <w:b/>
          <w:bCs/>
          <w:lang w:val="en-US" w:eastAsia="zh-CN"/>
        </w:rPr>
        <w:t>23.成交人的确定</w:t>
      </w:r>
    </w:p>
    <w:p w14:paraId="7B34D236">
      <w:pPr>
        <w:rPr>
          <w:rFonts w:hint="eastAsia"/>
          <w:lang w:val="en-US" w:eastAsia="zh-CN"/>
        </w:rPr>
      </w:pPr>
      <w:r>
        <w:rPr>
          <w:rFonts w:hint="eastAsia"/>
          <w:lang w:val="en-US" w:eastAsia="zh-CN"/>
        </w:rPr>
        <w:t>23.1评审小组应当在评审结束后1个工作日内将评审报告送达采购人。</w:t>
      </w:r>
    </w:p>
    <w:p w14:paraId="564B2495">
      <w:pPr>
        <w:rPr>
          <w:rFonts w:hint="eastAsia"/>
          <w:lang w:val="en-US" w:eastAsia="zh-CN"/>
        </w:rPr>
      </w:pPr>
      <w:r>
        <w:rPr>
          <w:rFonts w:hint="eastAsia"/>
          <w:lang w:val="en-US" w:eastAsia="zh-CN"/>
        </w:rPr>
        <w:t>23.2采购人应当在收到评审报告后3日内，按照评审报告中推荐的成交人顺序确定成交人。</w:t>
      </w:r>
    </w:p>
    <w:p w14:paraId="3C202A69">
      <w:pPr>
        <w:rPr>
          <w:rFonts w:hint="eastAsia"/>
          <w:lang w:val="en-US" w:eastAsia="zh-CN"/>
        </w:rPr>
      </w:pPr>
      <w:r>
        <w:rPr>
          <w:rFonts w:hint="eastAsia"/>
          <w:lang w:val="en-US" w:eastAsia="zh-CN"/>
        </w:rPr>
        <w:t>23.3成交公示：3日。</w:t>
      </w:r>
    </w:p>
    <w:p w14:paraId="15B86489">
      <w:pPr>
        <w:rPr>
          <w:rFonts w:hint="eastAsia"/>
          <w:b/>
          <w:bCs/>
          <w:lang w:val="en-US" w:eastAsia="zh-CN"/>
        </w:rPr>
      </w:pPr>
      <w:r>
        <w:rPr>
          <w:rFonts w:hint="eastAsia"/>
          <w:b/>
          <w:bCs/>
          <w:lang w:val="en-US" w:eastAsia="zh-CN"/>
        </w:rPr>
        <w:t>24.成交通知书</w:t>
      </w:r>
    </w:p>
    <w:p w14:paraId="28078884">
      <w:pPr>
        <w:rPr>
          <w:rFonts w:hint="eastAsia"/>
          <w:lang w:val="en-US" w:eastAsia="zh-CN"/>
        </w:rPr>
      </w:pPr>
      <w:r>
        <w:rPr>
          <w:rFonts w:hint="eastAsia"/>
          <w:lang w:val="en-US" w:eastAsia="zh-CN"/>
        </w:rPr>
        <w:t>24.1评审结果由采购人在完成内部相关程序后向成交人发出成交通知书。</w:t>
      </w:r>
    </w:p>
    <w:p w14:paraId="23DAE037">
      <w:pPr>
        <w:rPr>
          <w:rFonts w:hint="eastAsia"/>
          <w:lang w:val="en-US" w:eastAsia="zh-CN"/>
        </w:rPr>
      </w:pPr>
      <w:r>
        <w:rPr>
          <w:rFonts w:hint="eastAsia"/>
          <w:lang w:val="en-US" w:eastAsia="zh-CN"/>
        </w:rPr>
        <w:t>24.2成交通知书是合同的一个组成部分。</w:t>
      </w:r>
    </w:p>
    <w:p w14:paraId="17519D0E">
      <w:pPr>
        <w:rPr>
          <w:rFonts w:hint="eastAsia"/>
          <w:lang w:val="en-US" w:eastAsia="zh-CN"/>
        </w:rPr>
      </w:pPr>
      <w:r>
        <w:rPr>
          <w:rFonts w:hint="eastAsia"/>
          <w:lang w:val="en-US" w:eastAsia="zh-CN"/>
        </w:rPr>
        <w:t>24.3采购人无义务向未成交的供应商解释未成交原因和退回响应文件。</w:t>
      </w:r>
    </w:p>
    <w:p w14:paraId="5ADE66D1">
      <w:pPr>
        <w:rPr>
          <w:rFonts w:hint="eastAsia"/>
          <w:b/>
          <w:bCs/>
          <w:lang w:val="en-US" w:eastAsia="zh-CN"/>
        </w:rPr>
      </w:pPr>
      <w:r>
        <w:rPr>
          <w:rFonts w:hint="eastAsia"/>
          <w:b/>
          <w:bCs/>
          <w:lang w:val="en-US" w:eastAsia="zh-CN"/>
        </w:rPr>
        <w:t>25.签订合同</w:t>
      </w:r>
    </w:p>
    <w:p w14:paraId="30F29808">
      <w:pPr>
        <w:rPr>
          <w:rFonts w:hint="eastAsia"/>
          <w:lang w:val="en-US" w:eastAsia="zh-CN"/>
        </w:rPr>
      </w:pPr>
      <w:r>
        <w:rPr>
          <w:rFonts w:hint="eastAsia"/>
          <w:lang w:val="en-US" w:eastAsia="zh-CN"/>
        </w:rPr>
        <w:t>25.1成交人收到成交通知书后，按询比采购文件、响应文件及有关澄清承诺书的要求与采购人签订合同。</w:t>
      </w:r>
    </w:p>
    <w:p w14:paraId="42EFB27E">
      <w:pPr>
        <w:rPr>
          <w:rFonts w:hint="eastAsia"/>
          <w:lang w:val="en-US" w:eastAsia="zh-CN"/>
        </w:rPr>
      </w:pPr>
      <w:r>
        <w:rPr>
          <w:rFonts w:hint="eastAsia"/>
          <w:lang w:val="en-US" w:eastAsia="zh-CN"/>
        </w:rPr>
        <w:t>25.2成交人因不可抗力或者自身原因不能履行合同的，采购人可以按照评审小组提出的成交候选人名单排序依次确定其他成交候选人为成交人，也可以重新询比。</w:t>
      </w:r>
    </w:p>
    <w:p w14:paraId="3438BBBC">
      <w:pPr>
        <w:pStyle w:val="4"/>
        <w:numPr>
          <w:ilvl w:val="0"/>
          <w:numId w:val="2"/>
        </w:numPr>
        <w:bidi w:val="0"/>
        <w:rPr>
          <w:rFonts w:hint="eastAsia"/>
          <w:lang w:val="en-US" w:eastAsia="zh-CN"/>
        </w:rPr>
      </w:pPr>
      <w:bookmarkStart w:id="28" w:name="_Toc32345"/>
      <w:r>
        <w:rPr>
          <w:rFonts w:hint="eastAsia"/>
          <w:lang w:val="en-US" w:eastAsia="zh-CN"/>
        </w:rPr>
        <w:t>其他事项</w:t>
      </w:r>
      <w:bookmarkEnd w:id="28"/>
    </w:p>
    <w:p w14:paraId="2F16918D">
      <w:pPr>
        <w:rPr>
          <w:rFonts w:hint="eastAsia"/>
          <w:b/>
          <w:bCs/>
          <w:lang w:val="en-US" w:eastAsia="zh-CN"/>
        </w:rPr>
      </w:pPr>
      <w:r>
        <w:rPr>
          <w:rFonts w:hint="eastAsia"/>
          <w:b/>
          <w:bCs/>
          <w:lang w:val="en-US" w:eastAsia="zh-CN"/>
        </w:rPr>
        <w:t>26.纪律和监督</w:t>
      </w:r>
    </w:p>
    <w:p w14:paraId="20FD9CC3">
      <w:pPr>
        <w:rPr>
          <w:rFonts w:hint="eastAsia"/>
          <w:lang w:val="en-US" w:eastAsia="zh-CN"/>
        </w:rPr>
      </w:pPr>
      <w:r>
        <w:rPr>
          <w:rFonts w:hint="eastAsia"/>
          <w:lang w:val="en-US" w:eastAsia="zh-CN"/>
        </w:rPr>
        <w:t>26.1对采购人的纪律要求</w:t>
      </w:r>
    </w:p>
    <w:p w14:paraId="6B01EDBB">
      <w:pPr>
        <w:rPr>
          <w:rFonts w:hint="eastAsia"/>
          <w:lang w:val="en-US" w:eastAsia="zh-CN"/>
        </w:rPr>
      </w:pPr>
      <w:r>
        <w:rPr>
          <w:rFonts w:hint="eastAsia"/>
          <w:lang w:val="en-US" w:eastAsia="zh-CN"/>
        </w:rPr>
        <w:t>采购人不得泄漏询比活动中应当保密的情况和资料，不得与供应商串通损害国家利益、社会公共利益或者他人合法权益。</w:t>
      </w:r>
    </w:p>
    <w:p w14:paraId="15C762A5">
      <w:pPr>
        <w:rPr>
          <w:rFonts w:hint="eastAsia"/>
          <w:lang w:val="en-US" w:eastAsia="zh-CN"/>
        </w:rPr>
      </w:pPr>
      <w:r>
        <w:rPr>
          <w:rFonts w:hint="eastAsia"/>
          <w:lang w:val="en-US" w:eastAsia="zh-CN"/>
        </w:rPr>
        <w:t>26.2对供应商的纪律要求</w:t>
      </w:r>
    </w:p>
    <w:p w14:paraId="5AE08E30">
      <w:pPr>
        <w:rPr>
          <w:rFonts w:hint="eastAsia"/>
          <w:lang w:val="en-US" w:eastAsia="zh-CN"/>
        </w:rPr>
      </w:pPr>
      <w:r>
        <w:rPr>
          <w:rFonts w:hint="eastAsia"/>
          <w:lang w:val="en-US" w:eastAsia="zh-CN"/>
        </w:rPr>
        <w:t>供应商不得相互串通或者与采购人串通，不得向采购人或者评审小组成员行贿谋取成交，不得以他人名义参与询比或者以其他方式弄虚作假骗取成交；供应商不得以任何方式干扰、影响评审工作。</w:t>
      </w:r>
    </w:p>
    <w:p w14:paraId="6735A6A2">
      <w:pPr>
        <w:rPr>
          <w:rFonts w:hint="eastAsia"/>
          <w:lang w:val="en-US" w:eastAsia="zh-CN"/>
        </w:rPr>
      </w:pPr>
      <w:r>
        <w:rPr>
          <w:rFonts w:hint="eastAsia"/>
          <w:lang w:val="en-US" w:eastAsia="zh-CN"/>
        </w:rPr>
        <w:t>26.3对评审小组成员的纪律要求</w:t>
      </w:r>
    </w:p>
    <w:p w14:paraId="43CE7230">
      <w:pPr>
        <w:rPr>
          <w:rFonts w:hint="eastAsia"/>
          <w:lang w:val="en-US" w:eastAsia="zh-CN"/>
        </w:rPr>
      </w:pPr>
      <w:r>
        <w:rPr>
          <w:rFonts w:hint="eastAsia"/>
          <w:lang w:val="en-US" w:eastAsia="zh-CN"/>
        </w:rPr>
        <w:t>评审小组成员不得收受他人的财物或者其他好处，不得向他人透漏对响应文件的评审和比较、成交候选人的推荐情况以及评审有关的其他情况。在评审活动中，评审小组成员不得擅离职守，影响评审程序正常进行。</w:t>
      </w:r>
    </w:p>
    <w:p w14:paraId="39DCAAA9">
      <w:pPr>
        <w:rPr>
          <w:rFonts w:hint="eastAsia"/>
          <w:lang w:val="en-US" w:eastAsia="zh-CN"/>
        </w:rPr>
      </w:pPr>
      <w:r>
        <w:rPr>
          <w:rFonts w:hint="eastAsia"/>
          <w:lang w:val="en-US" w:eastAsia="zh-CN"/>
        </w:rPr>
        <w:t>26.4对与评审活动有关的工作人员的纪律要求</w:t>
      </w:r>
    </w:p>
    <w:p w14:paraId="5328955B">
      <w:pPr>
        <w:rPr>
          <w:rFonts w:hint="eastAsia"/>
          <w:lang w:val="en-US" w:eastAsia="zh-CN"/>
        </w:rPr>
      </w:pPr>
      <w:r>
        <w:rPr>
          <w:rFonts w:hint="eastAsia"/>
          <w:lang w:val="en-US" w:eastAsia="zh-CN"/>
        </w:rPr>
        <w:t>与评审活动有关的工作人员不得收受他人的财物或者其他好处，不得向他人透漏对响应文件评审和比较、成交候选人的推荐情况以及评审有关的其他情况、相关人员不得擅离职守，影响评审程序正常进行。</w:t>
      </w:r>
    </w:p>
    <w:p w14:paraId="6F055FDD">
      <w:pPr>
        <w:rPr>
          <w:rFonts w:hint="eastAsia"/>
          <w:lang w:val="en-US" w:eastAsia="zh-CN"/>
        </w:rPr>
      </w:pPr>
      <w:r>
        <w:rPr>
          <w:rFonts w:hint="eastAsia"/>
          <w:lang w:val="en-US" w:eastAsia="zh-CN"/>
        </w:rPr>
        <w:t>26.5投诉</w:t>
      </w:r>
    </w:p>
    <w:p w14:paraId="1621FC3C">
      <w:pPr>
        <w:rPr>
          <w:rFonts w:hint="eastAsia"/>
          <w:lang w:val="en-US" w:eastAsia="zh-CN"/>
        </w:rPr>
      </w:pPr>
      <w:r>
        <w:rPr>
          <w:rFonts w:hint="eastAsia"/>
          <w:lang w:val="en-US" w:eastAsia="zh-CN"/>
        </w:rPr>
        <w:t>对发现在本次询比过程中存在的任何违规、违纪情况可以向采购人纪委办公室投诉。</w:t>
      </w:r>
    </w:p>
    <w:p w14:paraId="3FD5B4CE">
      <w:pPr>
        <w:rPr>
          <w:rFonts w:hint="eastAsia"/>
          <w:b/>
          <w:bCs/>
          <w:lang w:val="en-US" w:eastAsia="zh-CN"/>
        </w:rPr>
      </w:pPr>
      <w:r>
        <w:rPr>
          <w:rFonts w:hint="eastAsia"/>
          <w:b/>
          <w:bCs/>
          <w:lang w:val="en-US" w:eastAsia="zh-CN"/>
        </w:rPr>
        <w:t>27.解释权</w:t>
      </w:r>
    </w:p>
    <w:p w14:paraId="5780D936">
      <w:pPr>
        <w:rPr>
          <w:rFonts w:hint="eastAsia"/>
          <w:lang w:val="en-US" w:eastAsia="zh-CN"/>
        </w:rPr>
      </w:pPr>
      <w:r>
        <w:rPr>
          <w:rFonts w:hint="eastAsia"/>
          <w:lang w:val="en-US" w:eastAsia="zh-CN"/>
        </w:rPr>
        <w:t>27.1本询比采购文件解释权属采购人。</w:t>
      </w:r>
    </w:p>
    <w:p w14:paraId="413041F9">
      <w:pPr>
        <w:rPr>
          <w:rFonts w:hint="eastAsia"/>
          <w:lang w:val="en-US" w:eastAsia="zh-CN"/>
        </w:rPr>
      </w:pPr>
      <w:r>
        <w:rPr>
          <w:rFonts w:hint="eastAsia"/>
          <w:lang w:val="en-US" w:eastAsia="zh-CN"/>
        </w:rPr>
        <w:t>27.2除有特别规定外，当询比采购文件、询比采购文件的澄清、修改、补充等在同一内容的表述上不一致时，以最后发出的书面文件为准。</w:t>
      </w:r>
    </w:p>
    <w:p w14:paraId="0451E66C">
      <w:pPr>
        <w:rPr>
          <w:rFonts w:hint="eastAsia"/>
          <w:b/>
          <w:bCs/>
          <w:lang w:val="en-US" w:eastAsia="zh-CN"/>
        </w:rPr>
      </w:pPr>
      <w:r>
        <w:rPr>
          <w:rFonts w:hint="eastAsia"/>
          <w:b/>
          <w:bCs/>
          <w:lang w:val="en-US" w:eastAsia="zh-CN"/>
        </w:rPr>
        <w:t>28.否决响应的条件</w:t>
      </w:r>
    </w:p>
    <w:p w14:paraId="0E5DAA6D">
      <w:pPr>
        <w:rPr>
          <w:rFonts w:hint="eastAsia"/>
          <w:lang w:val="en-US" w:eastAsia="zh-CN"/>
        </w:rPr>
      </w:pPr>
      <w:r>
        <w:rPr>
          <w:rFonts w:hint="eastAsia"/>
          <w:lang w:val="en-US" w:eastAsia="zh-CN"/>
        </w:rPr>
        <w:t>供应商或其响应文件有下列情形之一的，其响应将被否决（作无效响应处理）：</w:t>
      </w:r>
    </w:p>
    <w:p w14:paraId="67C9E0F4">
      <w:pPr>
        <w:rPr>
          <w:rFonts w:hint="eastAsia"/>
          <w:lang w:val="en-US" w:eastAsia="zh-CN"/>
        </w:rPr>
      </w:pPr>
      <w:r>
        <w:rPr>
          <w:rFonts w:hint="eastAsia"/>
          <w:lang w:val="en-US" w:eastAsia="zh-CN"/>
        </w:rPr>
        <w:t>28.1存在恶意串通或视为串通的情形，或提供虚假材料谋取成交、捏造事实进行虚假响应的；</w:t>
      </w:r>
    </w:p>
    <w:p w14:paraId="429161EA">
      <w:pPr>
        <w:rPr>
          <w:rFonts w:hint="eastAsia"/>
          <w:lang w:val="en-US" w:eastAsia="zh-CN"/>
        </w:rPr>
      </w:pPr>
      <w:r>
        <w:rPr>
          <w:rFonts w:hint="eastAsia"/>
          <w:lang w:val="en-US" w:eastAsia="zh-CN"/>
        </w:rPr>
        <w:t>28.2未按评审小组书面要求在规定时间内作出澄清、说明或补正的；</w:t>
      </w:r>
    </w:p>
    <w:p w14:paraId="1A6FCDF5">
      <w:pPr>
        <w:rPr>
          <w:rFonts w:hint="eastAsia"/>
          <w:lang w:val="en-US" w:eastAsia="zh-CN"/>
        </w:rPr>
      </w:pPr>
      <w:r>
        <w:rPr>
          <w:rFonts w:hint="eastAsia"/>
          <w:lang w:val="en-US" w:eastAsia="zh-CN"/>
        </w:rPr>
        <w:t>28.3未通过资格性审查或符合性审查，即任一项审查标准不满足的；</w:t>
      </w:r>
    </w:p>
    <w:p w14:paraId="0385A606">
      <w:pPr>
        <w:rPr>
          <w:rFonts w:hint="eastAsia"/>
          <w:lang w:val="en-US" w:eastAsia="zh-CN"/>
        </w:rPr>
      </w:pPr>
      <w:r>
        <w:rPr>
          <w:rFonts w:hint="eastAsia"/>
          <w:lang w:val="en-US" w:eastAsia="zh-CN"/>
        </w:rPr>
        <w:t>28.4报价明显低于其他有效报价或成本价，供应商不能在评审小组规定时间内书面说明并提供相关证明材料，经评审小组认定可能影响合同履行的。</w:t>
      </w:r>
    </w:p>
    <w:p w14:paraId="7F4B7D57">
      <w:pPr>
        <w:rPr>
          <w:rFonts w:hint="eastAsia"/>
          <w:b/>
          <w:bCs/>
          <w:lang w:val="en-US" w:eastAsia="zh-CN"/>
        </w:rPr>
      </w:pPr>
      <w:r>
        <w:rPr>
          <w:rFonts w:hint="eastAsia"/>
          <w:b/>
          <w:bCs/>
          <w:lang w:val="en-US" w:eastAsia="zh-CN"/>
        </w:rPr>
        <w:t>29.重新开展采购的条件</w:t>
      </w:r>
    </w:p>
    <w:p w14:paraId="6E255096">
      <w:pPr>
        <w:rPr>
          <w:rFonts w:hint="eastAsia"/>
          <w:lang w:val="en-US" w:eastAsia="zh-CN"/>
        </w:rPr>
      </w:pPr>
      <w:r>
        <w:rPr>
          <w:rFonts w:hint="eastAsia"/>
          <w:lang w:val="en-US" w:eastAsia="zh-CN"/>
        </w:rPr>
        <w:t>有下列情形之一的，采购人将重新开展采购：</w:t>
      </w:r>
    </w:p>
    <w:p w14:paraId="20658E3C">
      <w:pPr>
        <w:rPr>
          <w:rFonts w:hint="eastAsia"/>
          <w:lang w:val="en-US" w:eastAsia="zh-CN"/>
        </w:rPr>
      </w:pPr>
      <w:r>
        <w:rPr>
          <w:rFonts w:hint="eastAsia"/>
          <w:lang w:val="en-US" w:eastAsia="zh-CN"/>
        </w:rPr>
        <w:t>29.1至报名截止时间止，供应商少于3个的；</w:t>
      </w:r>
    </w:p>
    <w:p w14:paraId="106CD1DC">
      <w:pPr>
        <w:rPr>
          <w:rFonts w:hint="eastAsia"/>
          <w:lang w:val="en-US" w:eastAsia="zh-CN"/>
        </w:rPr>
      </w:pPr>
      <w:r>
        <w:rPr>
          <w:rFonts w:hint="eastAsia"/>
          <w:lang w:val="en-US" w:eastAsia="zh-CN"/>
        </w:rPr>
        <w:t>29.2经评审小组评审后否决所有响应文件的；</w:t>
      </w:r>
    </w:p>
    <w:p w14:paraId="20392992">
      <w:pPr>
        <w:rPr>
          <w:rFonts w:hint="eastAsia"/>
          <w:lang w:val="en-US" w:eastAsia="zh-CN"/>
        </w:rPr>
      </w:pPr>
      <w:r>
        <w:rPr>
          <w:rFonts w:hint="eastAsia"/>
          <w:lang w:val="en-US" w:eastAsia="zh-CN"/>
        </w:rPr>
        <w:t>29.3成交候选人均未与采购人签订合同的；</w:t>
      </w:r>
    </w:p>
    <w:p w14:paraId="7DC28916">
      <w:pPr>
        <w:rPr>
          <w:rFonts w:hint="eastAsia"/>
          <w:lang w:val="en-US" w:eastAsia="zh-CN"/>
        </w:rPr>
      </w:pPr>
      <w:r>
        <w:rPr>
          <w:rFonts w:hint="eastAsia"/>
          <w:lang w:val="en-US" w:eastAsia="zh-CN"/>
        </w:rPr>
        <w:t>29.4如评审小组根据相关规定作无效响应后，如因有效供应商不足3个使得询比明显缺乏竞争的，评审小组可以建议采购人重新采购。</w:t>
      </w:r>
    </w:p>
    <w:p w14:paraId="2426ACCB">
      <w:pPr>
        <w:pStyle w:val="4"/>
        <w:numPr>
          <w:ilvl w:val="0"/>
          <w:numId w:val="2"/>
        </w:numPr>
        <w:bidi w:val="0"/>
        <w:rPr>
          <w:rFonts w:hint="eastAsia"/>
          <w:lang w:val="en-US" w:eastAsia="zh-CN"/>
        </w:rPr>
      </w:pPr>
      <w:bookmarkStart w:id="29" w:name="_Toc16616"/>
      <w:r>
        <w:rPr>
          <w:rFonts w:hint="eastAsia"/>
          <w:lang w:val="en-US" w:eastAsia="zh-CN"/>
        </w:rPr>
        <w:t>需要补充的其他内容</w:t>
      </w:r>
      <w:bookmarkEnd w:id="29"/>
    </w:p>
    <w:p w14:paraId="1109DB35">
      <w:pPr>
        <w:rPr>
          <w:rFonts w:hint="eastAsia"/>
          <w:b/>
          <w:bCs/>
          <w:lang w:val="en-US" w:eastAsia="zh-CN"/>
        </w:rPr>
      </w:pPr>
      <w:r>
        <w:rPr>
          <w:rFonts w:hint="eastAsia"/>
          <w:b/>
          <w:bCs/>
          <w:lang w:val="en-US" w:eastAsia="zh-CN"/>
        </w:rPr>
        <w:t>30.详见“供应商须知前附表”。</w:t>
      </w:r>
    </w:p>
    <w:p w14:paraId="1E3C8170">
      <w:pPr>
        <w:pStyle w:val="17"/>
        <w:rPr>
          <w:rFonts w:hint="eastAsia"/>
          <w:b/>
          <w:bCs/>
          <w:sz w:val="36"/>
          <w:szCs w:val="36"/>
        </w:rPr>
      </w:pPr>
    </w:p>
    <w:p w14:paraId="4B48A31E">
      <w:pPr>
        <w:pStyle w:val="6"/>
        <w:rPr>
          <w:rFonts w:hint="eastAsia"/>
        </w:rPr>
        <w:sectPr>
          <w:pgSz w:w="11906" w:h="16838"/>
          <w:pgMar w:top="1440" w:right="1800" w:bottom="1440" w:left="1800" w:header="851" w:footer="992" w:gutter="0"/>
          <w:cols w:space="425" w:num="1"/>
          <w:docGrid w:type="lines" w:linePitch="312" w:charSpace="0"/>
        </w:sectPr>
      </w:pPr>
    </w:p>
    <w:p w14:paraId="7D0114BD">
      <w:pPr>
        <w:pStyle w:val="3"/>
        <w:bidi w:val="0"/>
        <w:rPr>
          <w:rFonts w:hint="eastAsia"/>
          <w:lang w:val="en-US" w:eastAsia="zh-CN"/>
        </w:rPr>
      </w:pPr>
      <w:bookmarkStart w:id="30" w:name="_Toc6423"/>
      <w:bookmarkStart w:id="31" w:name="_Toc26684"/>
      <w:r>
        <w:rPr>
          <w:rFonts w:hint="eastAsia"/>
          <w:lang w:val="en-US" w:eastAsia="zh-CN"/>
        </w:rPr>
        <w:t>第三章 采购项目需求</w:t>
      </w:r>
      <w:bookmarkEnd w:id="30"/>
      <w:bookmarkEnd w:id="31"/>
    </w:p>
    <w:p w14:paraId="0E14300B">
      <w:pPr>
        <w:rPr>
          <w:rFonts w:hint="default"/>
          <w:highlight w:val="none"/>
          <w:lang w:val="en-US" w:eastAsia="zh-CN"/>
        </w:rPr>
      </w:pPr>
      <w:r>
        <w:rPr>
          <w:rFonts w:hint="default"/>
          <w:highlight w:val="none"/>
          <w:lang w:val="en-US" w:eastAsia="zh-CN"/>
        </w:rPr>
        <w:t>1.1采购名称：</w:t>
      </w:r>
      <w:r>
        <w:rPr>
          <w:rFonts w:hint="eastAsia"/>
          <w:highlight w:val="none"/>
          <w:lang w:val="en-US" w:eastAsia="zh-CN"/>
        </w:rPr>
        <w:t>云南能源资产运营管理有限公司及所属公司投资性房地产价值评估服务</w:t>
      </w:r>
      <w:r>
        <w:rPr>
          <w:rFonts w:hint="default"/>
          <w:highlight w:val="none"/>
          <w:lang w:val="en-US" w:eastAsia="zh-CN"/>
        </w:rPr>
        <w:t>。</w:t>
      </w:r>
    </w:p>
    <w:p w14:paraId="20039406">
      <w:pPr>
        <w:rPr>
          <w:rFonts w:hint="default"/>
          <w:highlight w:val="none"/>
          <w:lang w:val="en-US" w:eastAsia="zh-CN"/>
        </w:rPr>
      </w:pPr>
      <w:r>
        <w:rPr>
          <w:rFonts w:hint="default"/>
          <w:highlight w:val="none"/>
          <w:lang w:val="en-US" w:eastAsia="zh-CN"/>
        </w:rPr>
        <w:t>1.</w:t>
      </w:r>
      <w:r>
        <w:rPr>
          <w:rFonts w:hint="eastAsia"/>
          <w:highlight w:val="none"/>
          <w:lang w:val="en-US" w:eastAsia="zh-CN"/>
        </w:rPr>
        <w:t>2</w:t>
      </w:r>
      <w:r>
        <w:rPr>
          <w:rFonts w:hint="default"/>
          <w:highlight w:val="none"/>
          <w:lang w:val="en-US" w:eastAsia="zh-CN"/>
        </w:rPr>
        <w:t>采购内容：</w:t>
      </w:r>
    </w:p>
    <w:tbl>
      <w:tblPr>
        <w:tblStyle w:val="18"/>
        <w:tblW w:w="896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98"/>
        <w:gridCol w:w="7090"/>
        <w:gridCol w:w="1180"/>
      </w:tblGrid>
      <w:tr w14:paraId="1AE05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98" w:type="dxa"/>
            <w:tcBorders>
              <w:top w:val="single" w:color="000000" w:sz="4" w:space="0"/>
              <w:left w:val="single" w:color="000000" w:sz="4" w:space="0"/>
              <w:bottom w:val="single" w:color="000000" w:sz="4" w:space="0"/>
              <w:right w:val="single" w:color="000000" w:sz="4" w:space="0"/>
            </w:tcBorders>
            <w:noWrap/>
            <w:vAlign w:val="center"/>
          </w:tcPr>
          <w:p w14:paraId="4939259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ascii="方正楷体_GB2312" w:hAnsi="方正楷体_GB2312" w:eastAsia="方正楷体_GB2312" w:cs="方正楷体_GB2312"/>
                <w:b/>
                <w:bCs/>
                <w:i w:val="0"/>
                <w:iCs w:val="0"/>
                <w:color w:val="000000"/>
                <w:sz w:val="24"/>
                <w:szCs w:val="24"/>
                <w:u w:val="none"/>
              </w:rPr>
            </w:pPr>
            <w:r>
              <w:rPr>
                <w:rFonts w:hint="eastAsia" w:ascii="方正楷体_GB2312" w:hAnsi="方正楷体_GB2312" w:eastAsia="方正楷体_GB2312" w:cs="方正楷体_GB2312"/>
                <w:b/>
                <w:bCs/>
                <w:i w:val="0"/>
                <w:iCs w:val="0"/>
                <w:color w:val="000000"/>
                <w:kern w:val="0"/>
                <w:sz w:val="24"/>
                <w:szCs w:val="24"/>
                <w:u w:val="none"/>
                <w:lang w:val="en-US" w:eastAsia="zh-CN" w:bidi="ar"/>
              </w:rPr>
              <w:t>序号</w:t>
            </w:r>
          </w:p>
        </w:tc>
        <w:tc>
          <w:tcPr>
            <w:tcW w:w="7090" w:type="dxa"/>
            <w:tcBorders>
              <w:top w:val="single" w:color="000000" w:sz="4" w:space="0"/>
              <w:left w:val="single" w:color="000000" w:sz="4" w:space="0"/>
              <w:bottom w:val="single" w:color="000000" w:sz="4" w:space="0"/>
              <w:right w:val="single" w:color="000000" w:sz="4" w:space="0"/>
            </w:tcBorders>
            <w:noWrap w:val="0"/>
            <w:vAlign w:val="center"/>
          </w:tcPr>
          <w:p w14:paraId="0900DA0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方正楷体_GB2312" w:hAnsi="方正楷体_GB2312" w:eastAsia="方正楷体_GB2312" w:cs="方正楷体_GB2312"/>
                <w:b/>
                <w:bCs/>
                <w:i w:val="0"/>
                <w:iCs w:val="0"/>
                <w:color w:val="000000"/>
                <w:sz w:val="24"/>
                <w:szCs w:val="24"/>
                <w:u w:val="none"/>
              </w:rPr>
            </w:pPr>
            <w:r>
              <w:rPr>
                <w:rFonts w:hint="eastAsia" w:ascii="方正楷体_GB2312" w:hAnsi="方正楷体_GB2312" w:eastAsia="方正楷体_GB2312" w:cs="方正楷体_GB2312"/>
                <w:b/>
                <w:bCs/>
                <w:i w:val="0"/>
                <w:iCs w:val="0"/>
                <w:color w:val="000000"/>
                <w:kern w:val="0"/>
                <w:sz w:val="24"/>
                <w:szCs w:val="24"/>
                <w:u w:val="none"/>
                <w:lang w:val="en-US" w:eastAsia="zh-CN" w:bidi="ar"/>
              </w:rPr>
              <w:t>评估标的物</w:t>
            </w:r>
          </w:p>
        </w:tc>
        <w:tc>
          <w:tcPr>
            <w:tcW w:w="1180" w:type="dxa"/>
            <w:tcBorders>
              <w:top w:val="single" w:color="000000" w:sz="4" w:space="0"/>
              <w:left w:val="single" w:color="000000" w:sz="4" w:space="0"/>
              <w:bottom w:val="single" w:color="000000" w:sz="4" w:space="0"/>
              <w:right w:val="single" w:color="000000" w:sz="4" w:space="0"/>
            </w:tcBorders>
            <w:noWrap/>
            <w:vAlign w:val="center"/>
          </w:tcPr>
          <w:p w14:paraId="5561ECD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方正楷体_GB2312" w:hAnsi="方正楷体_GB2312" w:eastAsia="方正楷体_GB2312" w:cs="方正楷体_GB2312"/>
                <w:b/>
                <w:bCs/>
                <w:i w:val="0"/>
                <w:iCs w:val="0"/>
                <w:color w:val="000000"/>
                <w:sz w:val="24"/>
                <w:szCs w:val="24"/>
                <w:u w:val="none"/>
              </w:rPr>
            </w:pPr>
            <w:r>
              <w:rPr>
                <w:rFonts w:hint="eastAsia" w:ascii="方正楷体_GB2312" w:hAnsi="方正楷体_GB2312" w:eastAsia="方正楷体_GB2312" w:cs="方正楷体_GB2312"/>
                <w:b/>
                <w:bCs/>
                <w:i w:val="0"/>
                <w:iCs w:val="0"/>
                <w:color w:val="000000"/>
                <w:kern w:val="0"/>
                <w:sz w:val="24"/>
                <w:szCs w:val="24"/>
                <w:u w:val="none"/>
                <w:lang w:val="en-US" w:eastAsia="zh-CN" w:bidi="ar"/>
              </w:rPr>
              <w:t>评估目的</w:t>
            </w:r>
          </w:p>
        </w:tc>
      </w:tr>
      <w:tr w14:paraId="78682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98" w:type="dxa"/>
            <w:tcBorders>
              <w:top w:val="single" w:color="000000" w:sz="4" w:space="0"/>
              <w:left w:val="single" w:color="000000" w:sz="4" w:space="0"/>
              <w:bottom w:val="single" w:color="000000" w:sz="4" w:space="0"/>
              <w:right w:val="single" w:color="000000" w:sz="4" w:space="0"/>
            </w:tcBorders>
            <w:noWrap/>
            <w:vAlign w:val="center"/>
          </w:tcPr>
          <w:p w14:paraId="5B1E229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方正楷体_GB2312" w:hAnsi="方正楷体_GB2312" w:eastAsia="方正楷体_GB2312" w:cs="方正楷体_GB2312"/>
                <w:i w:val="0"/>
                <w:iCs w:val="0"/>
                <w:color w:val="000000"/>
                <w:sz w:val="20"/>
                <w:szCs w:val="20"/>
                <w:u w:val="none"/>
              </w:rPr>
            </w:pPr>
            <w:r>
              <w:rPr>
                <w:rFonts w:hint="eastAsia" w:ascii="方正楷体_GB2312" w:hAnsi="方正楷体_GB2312" w:eastAsia="方正楷体_GB2312" w:cs="方正楷体_GB2312"/>
                <w:i w:val="0"/>
                <w:iCs w:val="0"/>
                <w:color w:val="000000"/>
                <w:kern w:val="0"/>
                <w:sz w:val="20"/>
                <w:szCs w:val="20"/>
                <w:u w:val="none"/>
                <w:lang w:val="en-US" w:eastAsia="zh-CN" w:bidi="ar"/>
              </w:rPr>
              <w:t>1</w:t>
            </w:r>
          </w:p>
        </w:tc>
        <w:tc>
          <w:tcPr>
            <w:tcW w:w="7090" w:type="dxa"/>
            <w:tcBorders>
              <w:top w:val="single" w:color="000000" w:sz="4" w:space="0"/>
              <w:left w:val="single" w:color="000000" w:sz="4" w:space="0"/>
              <w:bottom w:val="single" w:color="000000" w:sz="4" w:space="0"/>
              <w:right w:val="single" w:color="000000" w:sz="4" w:space="0"/>
            </w:tcBorders>
            <w:noWrap w:val="0"/>
            <w:vAlign w:val="center"/>
          </w:tcPr>
          <w:p w14:paraId="53E7AD5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方正楷体_GB2312" w:hAnsi="方正楷体_GB2312" w:eastAsia="方正楷体_GB2312" w:cs="方正楷体_GB2312"/>
                <w:i w:val="0"/>
                <w:iCs w:val="0"/>
                <w:color w:val="000000"/>
                <w:sz w:val="20"/>
                <w:szCs w:val="20"/>
                <w:u w:val="none"/>
              </w:rPr>
            </w:pPr>
            <w:r>
              <w:rPr>
                <w:rFonts w:hint="eastAsia" w:ascii="方正楷体_GB2312" w:hAnsi="方正楷体_GB2312" w:eastAsia="方正楷体_GB2312" w:cs="方正楷体_GB2312"/>
                <w:i w:val="0"/>
                <w:iCs w:val="0"/>
                <w:color w:val="000000"/>
                <w:kern w:val="0"/>
                <w:sz w:val="20"/>
                <w:szCs w:val="20"/>
                <w:u w:val="none"/>
                <w:lang w:val="en-US" w:eastAsia="zh-CN" w:bidi="ar"/>
              </w:rPr>
              <w:t>云电投电力装配工业基地6#号地块综合办公楼、地下仓库及6-1#至6-16#厂房，共计18项，建筑面积153080.16平方米（云南能源资产运营管理有限公司）</w:t>
            </w:r>
          </w:p>
        </w:tc>
        <w:tc>
          <w:tcPr>
            <w:tcW w:w="1180" w:type="dxa"/>
            <w:tcBorders>
              <w:top w:val="single" w:color="000000" w:sz="4" w:space="0"/>
              <w:left w:val="single" w:color="000000" w:sz="4" w:space="0"/>
              <w:bottom w:val="single" w:color="000000" w:sz="4" w:space="0"/>
              <w:right w:val="single" w:color="000000" w:sz="4" w:space="0"/>
            </w:tcBorders>
            <w:noWrap/>
            <w:vAlign w:val="center"/>
          </w:tcPr>
          <w:p w14:paraId="2784D72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方正楷体_GB2312" w:hAnsi="方正楷体_GB2312" w:eastAsia="方正楷体_GB2312" w:cs="方正楷体_GB2312"/>
                <w:i w:val="0"/>
                <w:iCs w:val="0"/>
                <w:color w:val="000000"/>
                <w:sz w:val="20"/>
                <w:szCs w:val="20"/>
                <w:u w:val="none"/>
              </w:rPr>
            </w:pPr>
            <w:r>
              <w:rPr>
                <w:rFonts w:hint="eastAsia" w:ascii="方正楷体_GB2312" w:hAnsi="方正楷体_GB2312" w:eastAsia="方正楷体_GB2312" w:cs="方正楷体_GB2312"/>
                <w:i w:val="0"/>
                <w:iCs w:val="0"/>
                <w:color w:val="000000"/>
                <w:kern w:val="0"/>
                <w:sz w:val="20"/>
                <w:szCs w:val="20"/>
                <w:u w:val="none"/>
                <w:lang w:val="en-US" w:eastAsia="zh-CN" w:bidi="ar"/>
              </w:rPr>
              <w:t>价值评估</w:t>
            </w:r>
          </w:p>
        </w:tc>
      </w:tr>
      <w:tr w14:paraId="472B2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98" w:type="dxa"/>
            <w:tcBorders>
              <w:top w:val="single" w:color="000000" w:sz="4" w:space="0"/>
              <w:left w:val="single" w:color="000000" w:sz="4" w:space="0"/>
              <w:bottom w:val="single" w:color="000000" w:sz="4" w:space="0"/>
              <w:right w:val="single" w:color="000000" w:sz="4" w:space="0"/>
            </w:tcBorders>
            <w:noWrap/>
            <w:vAlign w:val="center"/>
          </w:tcPr>
          <w:p w14:paraId="793E75F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方正楷体_GB2312" w:hAnsi="方正楷体_GB2312" w:eastAsia="方正楷体_GB2312" w:cs="方正楷体_GB2312"/>
                <w:i w:val="0"/>
                <w:iCs w:val="0"/>
                <w:color w:val="000000"/>
                <w:sz w:val="20"/>
                <w:szCs w:val="20"/>
                <w:u w:val="none"/>
              </w:rPr>
            </w:pPr>
            <w:r>
              <w:rPr>
                <w:rFonts w:hint="eastAsia" w:ascii="方正楷体_GB2312" w:hAnsi="方正楷体_GB2312" w:eastAsia="方正楷体_GB2312" w:cs="方正楷体_GB2312"/>
                <w:i w:val="0"/>
                <w:iCs w:val="0"/>
                <w:color w:val="000000"/>
                <w:kern w:val="0"/>
                <w:sz w:val="20"/>
                <w:szCs w:val="20"/>
                <w:u w:val="none"/>
                <w:lang w:val="en-US" w:eastAsia="zh-CN" w:bidi="ar"/>
              </w:rPr>
              <w:t>2</w:t>
            </w:r>
          </w:p>
        </w:tc>
        <w:tc>
          <w:tcPr>
            <w:tcW w:w="7090" w:type="dxa"/>
            <w:tcBorders>
              <w:top w:val="single" w:color="000000" w:sz="4" w:space="0"/>
              <w:left w:val="single" w:color="000000" w:sz="4" w:space="0"/>
              <w:bottom w:val="single" w:color="000000" w:sz="4" w:space="0"/>
              <w:right w:val="single" w:color="000000" w:sz="4" w:space="0"/>
            </w:tcBorders>
            <w:noWrap w:val="0"/>
            <w:vAlign w:val="center"/>
          </w:tcPr>
          <w:p w14:paraId="130F111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方正楷体_GB2312" w:hAnsi="方正楷体_GB2312" w:eastAsia="方正楷体_GB2312" w:cs="方正楷体_GB2312"/>
                <w:i w:val="0"/>
                <w:iCs w:val="0"/>
                <w:color w:val="000000"/>
                <w:sz w:val="20"/>
                <w:szCs w:val="20"/>
                <w:u w:val="none"/>
              </w:rPr>
            </w:pPr>
            <w:r>
              <w:rPr>
                <w:rFonts w:hint="eastAsia" w:ascii="方正楷体_GB2312" w:hAnsi="方正楷体_GB2312" w:eastAsia="方正楷体_GB2312" w:cs="方正楷体_GB2312"/>
                <w:i w:val="0"/>
                <w:iCs w:val="0"/>
                <w:color w:val="000000"/>
                <w:kern w:val="0"/>
                <w:sz w:val="20"/>
                <w:szCs w:val="20"/>
                <w:u w:val="none"/>
                <w:lang w:val="en-US" w:eastAsia="zh-CN" w:bidi="ar"/>
              </w:rPr>
              <w:t>云电投电力装配工业基地8#号地块二期1幢-4幢、配套5幢商业楼、配套6幢商业及写字楼、地下室1层-2层，社区用房、门卫室共计11项，建筑面积合计119,501.19平方米（云南能源资产运营管理有限公司）</w:t>
            </w:r>
          </w:p>
        </w:tc>
        <w:tc>
          <w:tcPr>
            <w:tcW w:w="1180" w:type="dxa"/>
            <w:tcBorders>
              <w:top w:val="single" w:color="000000" w:sz="4" w:space="0"/>
              <w:left w:val="single" w:color="000000" w:sz="4" w:space="0"/>
              <w:bottom w:val="single" w:color="000000" w:sz="4" w:space="0"/>
              <w:right w:val="single" w:color="000000" w:sz="4" w:space="0"/>
            </w:tcBorders>
            <w:noWrap/>
            <w:vAlign w:val="center"/>
          </w:tcPr>
          <w:p w14:paraId="5718EC0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方正楷体_GB2312" w:hAnsi="方正楷体_GB2312" w:eastAsia="方正楷体_GB2312" w:cs="方正楷体_GB2312"/>
                <w:i w:val="0"/>
                <w:iCs w:val="0"/>
                <w:color w:val="000000"/>
                <w:sz w:val="20"/>
                <w:szCs w:val="20"/>
                <w:u w:val="none"/>
              </w:rPr>
            </w:pPr>
            <w:r>
              <w:rPr>
                <w:rFonts w:hint="eastAsia" w:ascii="方正楷体_GB2312" w:hAnsi="方正楷体_GB2312" w:eastAsia="方正楷体_GB2312" w:cs="方正楷体_GB2312"/>
                <w:i w:val="0"/>
                <w:iCs w:val="0"/>
                <w:color w:val="000000"/>
                <w:kern w:val="0"/>
                <w:sz w:val="20"/>
                <w:szCs w:val="20"/>
                <w:u w:val="none"/>
                <w:lang w:val="en-US" w:eastAsia="zh-CN" w:bidi="ar"/>
              </w:rPr>
              <w:t>价值评估</w:t>
            </w:r>
          </w:p>
        </w:tc>
      </w:tr>
      <w:tr w14:paraId="12033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98" w:type="dxa"/>
            <w:tcBorders>
              <w:top w:val="single" w:color="000000" w:sz="4" w:space="0"/>
              <w:left w:val="single" w:color="000000" w:sz="4" w:space="0"/>
              <w:bottom w:val="single" w:color="000000" w:sz="4" w:space="0"/>
              <w:right w:val="single" w:color="000000" w:sz="4" w:space="0"/>
            </w:tcBorders>
            <w:noWrap/>
            <w:vAlign w:val="center"/>
          </w:tcPr>
          <w:p w14:paraId="54A9D79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方正楷体_GB2312" w:hAnsi="方正楷体_GB2312" w:eastAsia="方正楷体_GB2312" w:cs="方正楷体_GB2312"/>
                <w:i w:val="0"/>
                <w:iCs w:val="0"/>
                <w:color w:val="000000"/>
                <w:sz w:val="20"/>
                <w:szCs w:val="20"/>
                <w:u w:val="none"/>
              </w:rPr>
            </w:pPr>
            <w:r>
              <w:rPr>
                <w:rFonts w:hint="eastAsia" w:ascii="方正楷体_GB2312" w:hAnsi="方正楷体_GB2312" w:eastAsia="方正楷体_GB2312" w:cs="方正楷体_GB2312"/>
                <w:i w:val="0"/>
                <w:iCs w:val="0"/>
                <w:color w:val="000000"/>
                <w:kern w:val="0"/>
                <w:sz w:val="20"/>
                <w:szCs w:val="20"/>
                <w:u w:val="none"/>
                <w:lang w:val="en-US" w:eastAsia="zh-CN" w:bidi="ar"/>
              </w:rPr>
              <w:t>3</w:t>
            </w:r>
          </w:p>
        </w:tc>
        <w:tc>
          <w:tcPr>
            <w:tcW w:w="7090" w:type="dxa"/>
            <w:tcBorders>
              <w:top w:val="single" w:color="000000" w:sz="4" w:space="0"/>
              <w:left w:val="single" w:color="000000" w:sz="4" w:space="0"/>
              <w:bottom w:val="single" w:color="000000" w:sz="4" w:space="0"/>
              <w:right w:val="single" w:color="000000" w:sz="4" w:space="0"/>
            </w:tcBorders>
            <w:noWrap w:val="0"/>
            <w:vAlign w:val="center"/>
          </w:tcPr>
          <w:p w14:paraId="549FF89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方正楷体_GB2312" w:hAnsi="方正楷体_GB2312" w:eastAsia="方正楷体_GB2312" w:cs="方正楷体_GB2312"/>
                <w:i w:val="0"/>
                <w:iCs w:val="0"/>
                <w:color w:val="000000"/>
                <w:sz w:val="20"/>
                <w:szCs w:val="20"/>
                <w:u w:val="none"/>
              </w:rPr>
            </w:pPr>
            <w:r>
              <w:rPr>
                <w:rFonts w:hint="eastAsia" w:ascii="方正楷体_GB2312" w:hAnsi="方正楷体_GB2312" w:eastAsia="方正楷体_GB2312" w:cs="方正楷体_GB2312"/>
                <w:i w:val="0"/>
                <w:iCs w:val="0"/>
                <w:color w:val="000000"/>
                <w:kern w:val="0"/>
                <w:sz w:val="20"/>
                <w:szCs w:val="20"/>
                <w:u w:val="none"/>
                <w:lang w:val="en-US" w:eastAsia="zh-CN" w:bidi="ar"/>
              </w:rPr>
              <w:t>昆明市西山区日新路广福城A10地块，共计62项建筑面积27,686.01平方米（云南居正健康管理有限公司）</w:t>
            </w:r>
          </w:p>
        </w:tc>
        <w:tc>
          <w:tcPr>
            <w:tcW w:w="1180" w:type="dxa"/>
            <w:tcBorders>
              <w:top w:val="single" w:color="000000" w:sz="4" w:space="0"/>
              <w:left w:val="single" w:color="000000" w:sz="4" w:space="0"/>
              <w:bottom w:val="single" w:color="000000" w:sz="4" w:space="0"/>
              <w:right w:val="single" w:color="000000" w:sz="4" w:space="0"/>
            </w:tcBorders>
            <w:noWrap/>
            <w:vAlign w:val="center"/>
          </w:tcPr>
          <w:p w14:paraId="20C7279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方正楷体_GB2312" w:hAnsi="方正楷体_GB2312" w:eastAsia="方正楷体_GB2312" w:cs="方正楷体_GB2312"/>
                <w:i w:val="0"/>
                <w:iCs w:val="0"/>
                <w:color w:val="000000"/>
                <w:sz w:val="20"/>
                <w:szCs w:val="20"/>
                <w:u w:val="none"/>
              </w:rPr>
            </w:pPr>
            <w:r>
              <w:rPr>
                <w:rFonts w:hint="eastAsia" w:ascii="方正楷体_GB2312" w:hAnsi="方正楷体_GB2312" w:eastAsia="方正楷体_GB2312" w:cs="方正楷体_GB2312"/>
                <w:i w:val="0"/>
                <w:iCs w:val="0"/>
                <w:color w:val="000000"/>
                <w:kern w:val="0"/>
                <w:sz w:val="20"/>
                <w:szCs w:val="20"/>
                <w:u w:val="none"/>
                <w:lang w:val="en-US" w:eastAsia="zh-CN" w:bidi="ar"/>
              </w:rPr>
              <w:t>价值评估</w:t>
            </w:r>
          </w:p>
        </w:tc>
      </w:tr>
      <w:tr w14:paraId="1AAD39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98" w:type="dxa"/>
            <w:tcBorders>
              <w:top w:val="single" w:color="000000" w:sz="4" w:space="0"/>
              <w:left w:val="single" w:color="000000" w:sz="4" w:space="0"/>
              <w:bottom w:val="single" w:color="000000" w:sz="4" w:space="0"/>
              <w:right w:val="single" w:color="000000" w:sz="4" w:space="0"/>
            </w:tcBorders>
            <w:noWrap/>
            <w:vAlign w:val="center"/>
          </w:tcPr>
          <w:p w14:paraId="237D3B5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方正楷体_GB2312" w:hAnsi="方正楷体_GB2312" w:eastAsia="方正楷体_GB2312" w:cs="方正楷体_GB2312"/>
                <w:i w:val="0"/>
                <w:iCs w:val="0"/>
                <w:color w:val="000000"/>
                <w:sz w:val="20"/>
                <w:szCs w:val="20"/>
                <w:u w:val="none"/>
              </w:rPr>
            </w:pPr>
            <w:r>
              <w:rPr>
                <w:rFonts w:hint="eastAsia" w:ascii="方正楷体_GB2312" w:hAnsi="方正楷体_GB2312" w:eastAsia="方正楷体_GB2312" w:cs="方正楷体_GB2312"/>
                <w:i w:val="0"/>
                <w:iCs w:val="0"/>
                <w:color w:val="000000"/>
                <w:kern w:val="0"/>
                <w:sz w:val="20"/>
                <w:szCs w:val="20"/>
                <w:u w:val="none"/>
                <w:lang w:val="en-US" w:eastAsia="zh-CN" w:bidi="ar"/>
              </w:rPr>
              <w:t>4</w:t>
            </w:r>
          </w:p>
        </w:tc>
        <w:tc>
          <w:tcPr>
            <w:tcW w:w="7090" w:type="dxa"/>
            <w:tcBorders>
              <w:top w:val="single" w:color="000000" w:sz="4" w:space="0"/>
              <w:left w:val="single" w:color="000000" w:sz="4" w:space="0"/>
              <w:bottom w:val="single" w:color="000000" w:sz="4" w:space="0"/>
              <w:right w:val="single" w:color="000000" w:sz="4" w:space="0"/>
            </w:tcBorders>
            <w:noWrap w:val="0"/>
            <w:vAlign w:val="center"/>
          </w:tcPr>
          <w:p w14:paraId="0E5C5FC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方正楷体_GB2312" w:hAnsi="方正楷体_GB2312" w:eastAsia="方正楷体_GB2312" w:cs="方正楷体_GB2312"/>
                <w:i w:val="0"/>
                <w:iCs w:val="0"/>
                <w:color w:val="000000"/>
                <w:sz w:val="20"/>
                <w:szCs w:val="20"/>
                <w:u w:val="none"/>
              </w:rPr>
            </w:pPr>
            <w:r>
              <w:rPr>
                <w:rFonts w:hint="eastAsia" w:ascii="方正楷体_GB2312" w:hAnsi="方正楷体_GB2312" w:eastAsia="方正楷体_GB2312" w:cs="方正楷体_GB2312"/>
                <w:i w:val="0"/>
                <w:iCs w:val="0"/>
                <w:color w:val="000000"/>
                <w:kern w:val="0"/>
                <w:sz w:val="20"/>
                <w:szCs w:val="20"/>
                <w:u w:val="none"/>
                <w:lang w:val="en-US" w:eastAsia="zh-CN" w:bidi="ar"/>
              </w:rPr>
              <w:t>蒙自市园区4号路东侧标准厂房北侧云南能投蒙自经开区产业园（一期）2幢-27幢，建筑面积87,977.97平方米（云南能投红河电力储能园区开发有限公司）</w:t>
            </w:r>
          </w:p>
        </w:tc>
        <w:tc>
          <w:tcPr>
            <w:tcW w:w="1180" w:type="dxa"/>
            <w:tcBorders>
              <w:top w:val="single" w:color="000000" w:sz="4" w:space="0"/>
              <w:left w:val="single" w:color="000000" w:sz="4" w:space="0"/>
              <w:bottom w:val="single" w:color="000000" w:sz="4" w:space="0"/>
              <w:right w:val="single" w:color="000000" w:sz="4" w:space="0"/>
            </w:tcBorders>
            <w:noWrap/>
            <w:vAlign w:val="center"/>
          </w:tcPr>
          <w:p w14:paraId="0A93A8E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方正楷体_GB2312" w:hAnsi="方正楷体_GB2312" w:eastAsia="方正楷体_GB2312" w:cs="方正楷体_GB2312"/>
                <w:i w:val="0"/>
                <w:iCs w:val="0"/>
                <w:color w:val="000000"/>
                <w:sz w:val="20"/>
                <w:szCs w:val="20"/>
                <w:u w:val="none"/>
              </w:rPr>
            </w:pPr>
            <w:r>
              <w:rPr>
                <w:rFonts w:hint="eastAsia" w:ascii="方正楷体_GB2312" w:hAnsi="方正楷体_GB2312" w:eastAsia="方正楷体_GB2312" w:cs="方正楷体_GB2312"/>
                <w:i w:val="0"/>
                <w:iCs w:val="0"/>
                <w:color w:val="000000"/>
                <w:kern w:val="0"/>
                <w:sz w:val="20"/>
                <w:szCs w:val="20"/>
                <w:u w:val="none"/>
                <w:lang w:val="en-US" w:eastAsia="zh-CN" w:bidi="ar"/>
              </w:rPr>
              <w:t>价值评估</w:t>
            </w:r>
          </w:p>
        </w:tc>
      </w:tr>
      <w:tr w14:paraId="12284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98" w:type="dxa"/>
            <w:tcBorders>
              <w:top w:val="single" w:color="000000" w:sz="4" w:space="0"/>
              <w:left w:val="single" w:color="000000" w:sz="4" w:space="0"/>
              <w:bottom w:val="single" w:color="000000" w:sz="4" w:space="0"/>
              <w:right w:val="single" w:color="000000" w:sz="4" w:space="0"/>
            </w:tcBorders>
            <w:noWrap/>
            <w:vAlign w:val="center"/>
          </w:tcPr>
          <w:p w14:paraId="6C45058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方正楷体_GB2312" w:hAnsi="方正楷体_GB2312" w:eastAsia="方正楷体_GB2312" w:cs="方正楷体_GB2312"/>
                <w:i w:val="0"/>
                <w:iCs w:val="0"/>
                <w:color w:val="000000"/>
                <w:sz w:val="20"/>
                <w:szCs w:val="20"/>
                <w:u w:val="none"/>
              </w:rPr>
            </w:pPr>
            <w:r>
              <w:rPr>
                <w:rFonts w:hint="eastAsia" w:ascii="方正楷体_GB2312" w:hAnsi="方正楷体_GB2312" w:eastAsia="方正楷体_GB2312" w:cs="方正楷体_GB2312"/>
                <w:i w:val="0"/>
                <w:iCs w:val="0"/>
                <w:color w:val="000000"/>
                <w:kern w:val="0"/>
                <w:sz w:val="20"/>
                <w:szCs w:val="20"/>
                <w:u w:val="none"/>
                <w:lang w:val="en-US" w:eastAsia="zh-CN" w:bidi="ar"/>
              </w:rPr>
              <w:t>5</w:t>
            </w:r>
          </w:p>
        </w:tc>
        <w:tc>
          <w:tcPr>
            <w:tcW w:w="7090" w:type="dxa"/>
            <w:tcBorders>
              <w:top w:val="single" w:color="000000" w:sz="4" w:space="0"/>
              <w:left w:val="single" w:color="000000" w:sz="4" w:space="0"/>
              <w:bottom w:val="single" w:color="000000" w:sz="4" w:space="0"/>
              <w:right w:val="single" w:color="000000" w:sz="4" w:space="0"/>
            </w:tcBorders>
            <w:noWrap w:val="0"/>
            <w:vAlign w:val="center"/>
          </w:tcPr>
          <w:p w14:paraId="6B7A361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方正楷体_GB2312" w:hAnsi="方正楷体_GB2312" w:eastAsia="方正楷体_GB2312" w:cs="方正楷体_GB2312"/>
                <w:i w:val="0"/>
                <w:iCs w:val="0"/>
                <w:color w:val="000000"/>
                <w:sz w:val="20"/>
                <w:szCs w:val="20"/>
                <w:u w:val="none"/>
              </w:rPr>
            </w:pPr>
            <w:r>
              <w:rPr>
                <w:rFonts w:hint="eastAsia" w:ascii="方正楷体_GB2312" w:hAnsi="方正楷体_GB2312" w:eastAsia="方正楷体_GB2312" w:cs="方正楷体_GB2312"/>
                <w:i w:val="0"/>
                <w:iCs w:val="0"/>
                <w:color w:val="000000"/>
                <w:kern w:val="0"/>
                <w:sz w:val="20"/>
                <w:szCs w:val="20"/>
                <w:u w:val="none"/>
                <w:lang w:val="en-US" w:eastAsia="zh-CN" w:bidi="ar"/>
              </w:rPr>
              <w:t>蒙自市天马路延长线南侧综合保税区云南能投红河综保区产业园新建（一期）1幢4层-5层办公楼、2幢办公楼、3幢1层仓库、4幢、5幢1层-3层仓库、6幢1层-3层仓库、7幢1层-3层仓库、8幢1层-3层仓库、9幢1层-3层仓库、10幢1层-3层工业、11幢1层-3层工业、12幢-1层及1层-3层仓库，建筑面积154,234.58平方米（云南能投红河电力储能园区开发有限公司）</w:t>
            </w:r>
          </w:p>
        </w:tc>
        <w:tc>
          <w:tcPr>
            <w:tcW w:w="1180" w:type="dxa"/>
            <w:tcBorders>
              <w:top w:val="single" w:color="000000" w:sz="4" w:space="0"/>
              <w:left w:val="single" w:color="000000" w:sz="4" w:space="0"/>
              <w:bottom w:val="single" w:color="000000" w:sz="4" w:space="0"/>
              <w:right w:val="single" w:color="000000" w:sz="4" w:space="0"/>
            </w:tcBorders>
            <w:noWrap/>
            <w:vAlign w:val="center"/>
          </w:tcPr>
          <w:p w14:paraId="2CD5448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方正楷体_GB2312" w:hAnsi="方正楷体_GB2312" w:eastAsia="方正楷体_GB2312" w:cs="方正楷体_GB2312"/>
                <w:i w:val="0"/>
                <w:iCs w:val="0"/>
                <w:color w:val="000000"/>
                <w:sz w:val="20"/>
                <w:szCs w:val="20"/>
                <w:u w:val="none"/>
              </w:rPr>
            </w:pPr>
            <w:r>
              <w:rPr>
                <w:rFonts w:hint="eastAsia" w:ascii="方正楷体_GB2312" w:hAnsi="方正楷体_GB2312" w:eastAsia="方正楷体_GB2312" w:cs="方正楷体_GB2312"/>
                <w:i w:val="0"/>
                <w:iCs w:val="0"/>
                <w:color w:val="000000"/>
                <w:kern w:val="0"/>
                <w:sz w:val="20"/>
                <w:szCs w:val="20"/>
                <w:u w:val="none"/>
                <w:lang w:val="en-US" w:eastAsia="zh-CN" w:bidi="ar"/>
              </w:rPr>
              <w:t>价值评估</w:t>
            </w:r>
          </w:p>
        </w:tc>
      </w:tr>
      <w:tr w14:paraId="39061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98" w:type="dxa"/>
            <w:tcBorders>
              <w:top w:val="single" w:color="000000" w:sz="4" w:space="0"/>
              <w:left w:val="single" w:color="000000" w:sz="4" w:space="0"/>
              <w:bottom w:val="single" w:color="000000" w:sz="4" w:space="0"/>
              <w:right w:val="single" w:color="000000" w:sz="4" w:space="0"/>
            </w:tcBorders>
            <w:noWrap/>
            <w:vAlign w:val="center"/>
          </w:tcPr>
          <w:p w14:paraId="5A84D57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方正楷体_GB2312" w:hAnsi="方正楷体_GB2312" w:eastAsia="方正楷体_GB2312" w:cs="方正楷体_GB2312"/>
                <w:i w:val="0"/>
                <w:iCs w:val="0"/>
                <w:color w:val="000000"/>
                <w:sz w:val="20"/>
                <w:szCs w:val="20"/>
                <w:u w:val="none"/>
              </w:rPr>
            </w:pPr>
            <w:r>
              <w:rPr>
                <w:rFonts w:hint="eastAsia" w:ascii="方正楷体_GB2312" w:hAnsi="方正楷体_GB2312" w:eastAsia="方正楷体_GB2312" w:cs="方正楷体_GB2312"/>
                <w:i w:val="0"/>
                <w:iCs w:val="0"/>
                <w:color w:val="000000"/>
                <w:kern w:val="0"/>
                <w:sz w:val="20"/>
                <w:szCs w:val="20"/>
                <w:u w:val="none"/>
                <w:lang w:val="en-US" w:eastAsia="zh-CN" w:bidi="ar"/>
              </w:rPr>
              <w:t>6</w:t>
            </w:r>
          </w:p>
        </w:tc>
        <w:tc>
          <w:tcPr>
            <w:tcW w:w="7090" w:type="dxa"/>
            <w:tcBorders>
              <w:top w:val="single" w:color="000000" w:sz="4" w:space="0"/>
              <w:left w:val="single" w:color="000000" w:sz="4" w:space="0"/>
              <w:bottom w:val="single" w:color="000000" w:sz="4" w:space="0"/>
              <w:right w:val="single" w:color="000000" w:sz="4" w:space="0"/>
            </w:tcBorders>
            <w:noWrap w:val="0"/>
            <w:vAlign w:val="center"/>
          </w:tcPr>
          <w:p w14:paraId="7CAB6B2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方正楷体_GB2312" w:hAnsi="方正楷体_GB2312" w:eastAsia="方正楷体_GB2312" w:cs="方正楷体_GB2312"/>
                <w:i w:val="0"/>
                <w:iCs w:val="0"/>
                <w:color w:val="000000"/>
                <w:sz w:val="20"/>
                <w:szCs w:val="20"/>
                <w:u w:val="none"/>
              </w:rPr>
            </w:pPr>
            <w:r>
              <w:rPr>
                <w:rFonts w:hint="eastAsia" w:ascii="方正楷体_GB2312" w:hAnsi="方正楷体_GB2312" w:eastAsia="方正楷体_GB2312" w:cs="方正楷体_GB2312"/>
                <w:i w:val="0"/>
                <w:iCs w:val="0"/>
                <w:color w:val="000000"/>
                <w:kern w:val="0"/>
                <w:sz w:val="20"/>
                <w:szCs w:val="20"/>
                <w:u w:val="none"/>
                <w:lang w:val="en-US" w:eastAsia="zh-CN" w:bidi="ar"/>
              </w:rPr>
              <w:t>云电投电力装配工业基地(8号地块一期)办公室1-3层101号、双创示范中心1-3层101号、1号门房地下室-1层水泵房、1号门房1层101号、2号门房1层101号、双创示范园水泵房-1-1层101号、地下车库、室外附属工程、建筑面积30,111.47平方米（云南能源资产运营管理有限公司）</w:t>
            </w:r>
          </w:p>
        </w:tc>
        <w:tc>
          <w:tcPr>
            <w:tcW w:w="1180" w:type="dxa"/>
            <w:tcBorders>
              <w:top w:val="single" w:color="000000" w:sz="4" w:space="0"/>
              <w:left w:val="single" w:color="000000" w:sz="4" w:space="0"/>
              <w:bottom w:val="single" w:color="000000" w:sz="4" w:space="0"/>
              <w:right w:val="single" w:color="000000" w:sz="4" w:space="0"/>
            </w:tcBorders>
            <w:noWrap/>
            <w:vAlign w:val="center"/>
          </w:tcPr>
          <w:p w14:paraId="4554C6B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方正楷体_GB2312" w:hAnsi="方正楷体_GB2312" w:eastAsia="方正楷体_GB2312" w:cs="方正楷体_GB2312"/>
                <w:i w:val="0"/>
                <w:iCs w:val="0"/>
                <w:color w:val="000000"/>
                <w:sz w:val="20"/>
                <w:szCs w:val="20"/>
                <w:u w:val="none"/>
              </w:rPr>
            </w:pPr>
            <w:r>
              <w:rPr>
                <w:rFonts w:hint="eastAsia" w:ascii="方正楷体_GB2312" w:hAnsi="方正楷体_GB2312" w:eastAsia="方正楷体_GB2312" w:cs="方正楷体_GB2312"/>
                <w:i w:val="0"/>
                <w:iCs w:val="0"/>
                <w:color w:val="000000"/>
                <w:kern w:val="0"/>
                <w:sz w:val="20"/>
                <w:szCs w:val="20"/>
                <w:u w:val="none"/>
                <w:lang w:val="en-US" w:eastAsia="zh-CN" w:bidi="ar"/>
              </w:rPr>
              <w:t>价值评估</w:t>
            </w:r>
          </w:p>
        </w:tc>
      </w:tr>
    </w:tbl>
    <w:p w14:paraId="2A6759E6">
      <w:pPr>
        <w:rPr>
          <w:rFonts w:hint="default"/>
          <w:highlight w:val="none"/>
          <w:lang w:val="en-US" w:eastAsia="zh-CN"/>
        </w:rPr>
      </w:pPr>
      <w:r>
        <w:rPr>
          <w:rFonts w:hint="default"/>
          <w:highlight w:val="none"/>
          <w:lang w:val="en-US" w:eastAsia="zh-CN"/>
        </w:rPr>
        <w:t>1.</w:t>
      </w:r>
      <w:r>
        <w:rPr>
          <w:rFonts w:hint="eastAsia"/>
          <w:highlight w:val="none"/>
          <w:lang w:val="en-US" w:eastAsia="zh-CN"/>
        </w:rPr>
        <w:t>3</w:t>
      </w:r>
      <w:r>
        <w:rPr>
          <w:rFonts w:hint="default"/>
          <w:highlight w:val="none"/>
          <w:lang w:val="en-US" w:eastAsia="zh-CN"/>
        </w:rPr>
        <w:t>相关要求</w:t>
      </w:r>
    </w:p>
    <w:p w14:paraId="7DBCD69D">
      <w:pPr>
        <w:rPr>
          <w:rFonts w:hint="default"/>
          <w:highlight w:val="none"/>
          <w:lang w:val="en-US" w:eastAsia="zh-CN"/>
        </w:rPr>
      </w:pPr>
      <w:r>
        <w:rPr>
          <w:rFonts w:hint="default"/>
          <w:highlight w:val="none"/>
          <w:lang w:val="en-US" w:eastAsia="zh-CN"/>
        </w:rPr>
        <w:t>（1）服务期：自服务协议签订之日起至提交正式《资产评估报告》并完成资产评估备案工作之日止。</w:t>
      </w:r>
    </w:p>
    <w:p w14:paraId="1947518A">
      <w:pPr>
        <w:rPr>
          <w:rFonts w:hint="default"/>
          <w:highlight w:val="none"/>
          <w:lang w:val="en-US" w:eastAsia="zh-CN"/>
        </w:rPr>
      </w:pPr>
      <w:r>
        <w:rPr>
          <w:rFonts w:hint="default"/>
          <w:highlight w:val="none"/>
          <w:lang w:val="en-US" w:eastAsia="zh-CN"/>
        </w:rPr>
        <w:t>（2）评估方式：成本法、市场法、收益法。</w:t>
      </w:r>
    </w:p>
    <w:p w14:paraId="0D1E18F8">
      <w:pPr>
        <w:rPr>
          <w:rFonts w:hint="default"/>
          <w:highlight w:val="none"/>
          <w:lang w:val="en-US" w:eastAsia="zh-CN"/>
        </w:rPr>
      </w:pPr>
      <w:r>
        <w:rPr>
          <w:rFonts w:hint="default"/>
          <w:highlight w:val="none"/>
          <w:lang w:val="en-US" w:eastAsia="zh-CN"/>
        </w:rPr>
        <w:t>（3）提交成果：《资产评估报告》征求意见稿、正式《资产评估报告》。《资产评估报告》包括评估报告书、评估说明、评估明细表及其电子文档及其主要引用的报告（包括土地估价报告、矿业权评估报告等）。询比供应商在满足评估工作条件后15个工作日内提交《资产评估报告》征求意见稿，后续根据外部专家意见修订后完成正式《资产评估报告》，采用中文文本，提供书面正式盖章文本一式陆份，电子稿一份。</w:t>
      </w:r>
    </w:p>
    <w:p w14:paraId="0C103ED2">
      <w:pPr>
        <w:rPr>
          <w:rFonts w:hint="default"/>
          <w:highlight w:val="none"/>
          <w:lang w:val="en-US" w:eastAsia="zh-CN"/>
        </w:rPr>
      </w:pPr>
      <w:r>
        <w:rPr>
          <w:rFonts w:hint="default"/>
          <w:highlight w:val="none"/>
          <w:lang w:val="en-US" w:eastAsia="zh-CN"/>
        </w:rPr>
        <w:t>（4）质量要求：满足采购人的服务要求，明确评估服务团队人员，所选聘团队人员须遵守职业道德，保证服务质量。</w:t>
      </w:r>
    </w:p>
    <w:p w14:paraId="441CB7B4">
      <w:pPr>
        <w:rPr>
          <w:rFonts w:hint="default"/>
          <w:highlight w:val="none"/>
          <w:lang w:val="en-US" w:eastAsia="zh-CN"/>
        </w:rPr>
      </w:pPr>
      <w:r>
        <w:rPr>
          <w:rFonts w:hint="default"/>
          <w:highlight w:val="none"/>
          <w:lang w:val="en-US" w:eastAsia="zh-CN"/>
        </w:rPr>
        <w:t>（5）报价要求：总价包干，本项目采购预算价13.7万元，其中云南能投红河电力储能园区开发有限公司采购预算价不超过4.7万元，云南能源资产运营管理有限公司采购预算价不超过6万元，云南居正健康管理有限公司采购预算价不超过3万元，</w:t>
      </w:r>
      <w:r>
        <w:rPr>
          <w:rFonts w:hint="eastAsia"/>
          <w:highlight w:val="none"/>
          <w:lang w:eastAsia="zh-CN"/>
        </w:rPr>
        <w:t>超过采购预算价</w:t>
      </w:r>
      <w:r>
        <w:rPr>
          <w:rFonts w:hint="eastAsia"/>
          <w:highlight w:val="none"/>
          <w:lang w:val="en-US" w:eastAsia="zh-CN"/>
        </w:rPr>
        <w:t>总价及分项</w:t>
      </w:r>
      <w:r>
        <w:rPr>
          <w:rFonts w:hint="eastAsia"/>
          <w:highlight w:val="none"/>
          <w:lang w:eastAsia="zh-CN"/>
        </w:rPr>
        <w:t>的报价无效。</w:t>
      </w:r>
    </w:p>
    <w:p w14:paraId="44FE4C5C">
      <w:pPr>
        <w:rPr>
          <w:rFonts w:hint="default"/>
          <w:highlight w:val="none"/>
          <w:lang w:val="en-US" w:eastAsia="zh-CN"/>
        </w:rPr>
      </w:pPr>
      <w:r>
        <w:rPr>
          <w:rFonts w:hint="default"/>
          <w:highlight w:val="none"/>
          <w:lang w:val="en-US" w:eastAsia="zh-CN"/>
        </w:rPr>
        <w:t>（6）其他要求：本项目不划分标段；不接受联合体。</w:t>
      </w:r>
    </w:p>
    <w:p w14:paraId="0238B3E0">
      <w:pPr>
        <w:rPr>
          <w:rFonts w:hint="default"/>
          <w:highlight w:val="none"/>
          <w:lang w:val="en-US" w:eastAsia="zh-CN"/>
        </w:rPr>
      </w:pPr>
      <w:r>
        <w:rPr>
          <w:rFonts w:hint="default"/>
          <w:highlight w:val="none"/>
          <w:lang w:val="en-US" w:eastAsia="zh-CN"/>
        </w:rPr>
        <w:t>（7）本项目确定1名供应商成交。</w:t>
      </w:r>
    </w:p>
    <w:p w14:paraId="58098793">
      <w:pPr>
        <w:rPr>
          <w:rFonts w:hint="default"/>
          <w:highlight w:val="none"/>
          <w:lang w:val="en-US" w:eastAsia="zh-CN"/>
        </w:rPr>
      </w:pPr>
      <w:r>
        <w:rPr>
          <w:rFonts w:hint="default"/>
          <w:highlight w:val="none"/>
          <w:lang w:val="en-US" w:eastAsia="zh-CN"/>
        </w:rPr>
        <w:t>（8）资格审查方式：资格后审。</w:t>
      </w:r>
    </w:p>
    <w:p w14:paraId="3701BDD2">
      <w:pPr>
        <w:rPr>
          <w:rFonts w:hint="default"/>
          <w:lang w:eastAsia="zh-CN"/>
        </w:rPr>
      </w:pPr>
    </w:p>
    <w:p w14:paraId="0E2684BA">
      <w:pPr>
        <w:rPr>
          <w:rFonts w:hint="default"/>
          <w:lang w:eastAsia="zh-CN"/>
        </w:rPr>
        <w:sectPr>
          <w:pgSz w:w="11906" w:h="16838"/>
          <w:pgMar w:top="2098" w:right="1474" w:bottom="1984" w:left="1587" w:header="851" w:footer="992" w:gutter="0"/>
          <w:cols w:space="0" w:num="1"/>
          <w:rtlGutter w:val="0"/>
          <w:docGrid w:type="lines" w:linePitch="327" w:charSpace="0"/>
        </w:sectPr>
      </w:pPr>
    </w:p>
    <w:p w14:paraId="2351C5E5">
      <w:pPr>
        <w:pStyle w:val="3"/>
        <w:bidi w:val="0"/>
        <w:rPr>
          <w:rFonts w:hint="default"/>
          <w:lang w:val="en-US" w:eastAsia="zh-CN"/>
        </w:rPr>
      </w:pPr>
      <w:bookmarkStart w:id="32" w:name="_Toc22445"/>
      <w:bookmarkStart w:id="33" w:name="_Toc4203"/>
      <w:r>
        <w:rPr>
          <w:rFonts w:hint="default"/>
          <w:lang w:eastAsia="zh-CN"/>
        </w:rPr>
        <w:t>第</w:t>
      </w:r>
      <w:r>
        <w:rPr>
          <w:rFonts w:hint="eastAsia"/>
          <w:lang w:val="en-US" w:eastAsia="zh-CN"/>
        </w:rPr>
        <w:t>四</w:t>
      </w:r>
      <w:r>
        <w:rPr>
          <w:rFonts w:hint="default"/>
          <w:lang w:eastAsia="zh-CN"/>
        </w:rPr>
        <w:t>章</w:t>
      </w:r>
      <w:r>
        <w:rPr>
          <w:rFonts w:hint="default"/>
          <w:lang w:val="en-US" w:eastAsia="zh-CN"/>
        </w:rPr>
        <w:t xml:space="preserve"> 评审程序及评审办法</w:t>
      </w:r>
      <w:bookmarkEnd w:id="32"/>
      <w:bookmarkEnd w:id="33"/>
    </w:p>
    <w:p w14:paraId="712A4ADB">
      <w:pPr>
        <w:pStyle w:val="4"/>
        <w:bidi w:val="0"/>
        <w:rPr>
          <w:rFonts w:hint="default" w:eastAsia="方正黑体_GBK"/>
          <w:lang w:val="en-US" w:eastAsia="zh-CN"/>
        </w:rPr>
      </w:pPr>
      <w:bookmarkStart w:id="34" w:name="_Toc15303"/>
      <w:r>
        <w:rPr>
          <w:rFonts w:hint="eastAsia"/>
          <w:lang w:val="en-US" w:eastAsia="zh-CN"/>
        </w:rPr>
        <w:t>一、</w:t>
      </w:r>
      <w:r>
        <w:rPr>
          <w:rFonts w:hint="eastAsia"/>
        </w:rPr>
        <w:t>评审原则</w:t>
      </w:r>
      <w:r>
        <w:rPr>
          <w:rFonts w:hint="eastAsia"/>
          <w:lang w:val="en-US" w:eastAsia="zh-CN"/>
        </w:rPr>
        <w:t>及评审办法</w:t>
      </w:r>
      <w:bookmarkEnd w:id="34"/>
    </w:p>
    <w:p w14:paraId="6759B5DF">
      <w:pPr>
        <w:bidi w:val="0"/>
        <w:rPr>
          <w:rFonts w:hint="eastAsia"/>
          <w:lang w:val="en-US" w:eastAsia="zh-CN"/>
        </w:rPr>
      </w:pPr>
      <w:r>
        <w:rPr>
          <w:rFonts w:hint="eastAsia"/>
          <w:lang w:val="en-US" w:eastAsia="zh-CN"/>
        </w:rPr>
        <w:t>1.评审原则。评审小组成员应当按照客观、公正、审慎、择优的原则，根据采购文件规定的评审程序、评审方法和评审标准进行独立评审。询比采购文件内容违反国家有关强制性规定的，评审小组应当停止评审并向采购人说明情况。</w:t>
      </w:r>
    </w:p>
    <w:p w14:paraId="19D3F9F5">
      <w:pPr>
        <w:bidi w:val="0"/>
        <w:rPr>
          <w:rFonts w:hint="eastAsia"/>
          <w:lang w:val="en-US" w:eastAsia="zh-CN"/>
        </w:rPr>
      </w:pPr>
      <w:r>
        <w:rPr>
          <w:rFonts w:hint="eastAsia"/>
          <w:lang w:val="en-US" w:eastAsia="zh-CN"/>
        </w:rPr>
        <w:t>2.评审办法：综合评估法。</w:t>
      </w:r>
    </w:p>
    <w:p w14:paraId="1E3EE1B0">
      <w:pPr>
        <w:bidi w:val="0"/>
        <w:rPr>
          <w:rFonts w:hint="eastAsia"/>
          <w:lang w:val="en-US" w:eastAsia="zh-CN"/>
        </w:rPr>
      </w:pPr>
      <w:r>
        <w:rPr>
          <w:rFonts w:hint="eastAsia"/>
          <w:lang w:val="en-US" w:eastAsia="zh-CN"/>
        </w:rPr>
        <w:t>3.评审活动将按以下5个步骤进行：</w:t>
      </w:r>
    </w:p>
    <w:p w14:paraId="4A67F3F5">
      <w:pPr>
        <w:bidi w:val="0"/>
        <w:rPr>
          <w:rFonts w:hint="default"/>
          <w:lang w:val="en-US" w:eastAsia="zh-CN"/>
        </w:rPr>
      </w:pPr>
      <w:r>
        <w:rPr>
          <w:rFonts w:hint="default"/>
          <w:lang w:val="en-US" w:eastAsia="zh-CN"/>
        </w:rPr>
        <w:t>3.1评审准备；</w:t>
      </w:r>
    </w:p>
    <w:p w14:paraId="1AA2C6BD">
      <w:pPr>
        <w:bidi w:val="0"/>
        <w:rPr>
          <w:rFonts w:hint="default"/>
          <w:lang w:val="en-US" w:eastAsia="zh-CN"/>
        </w:rPr>
      </w:pPr>
      <w:r>
        <w:rPr>
          <w:rFonts w:hint="default"/>
          <w:lang w:val="en-US" w:eastAsia="zh-CN"/>
        </w:rPr>
        <w:t>3.2资格评审及符合性评审；</w:t>
      </w:r>
    </w:p>
    <w:p w14:paraId="5F465B72">
      <w:pPr>
        <w:bidi w:val="0"/>
        <w:rPr>
          <w:rFonts w:hint="default"/>
          <w:lang w:val="en-US" w:eastAsia="zh-CN"/>
        </w:rPr>
      </w:pPr>
      <w:r>
        <w:rPr>
          <w:rFonts w:hint="default"/>
          <w:lang w:val="en-US" w:eastAsia="zh-CN"/>
        </w:rPr>
        <w:t>3.3详细评审；</w:t>
      </w:r>
    </w:p>
    <w:p w14:paraId="3BF5438D">
      <w:pPr>
        <w:bidi w:val="0"/>
        <w:rPr>
          <w:rFonts w:hint="default"/>
          <w:lang w:val="en-US" w:eastAsia="zh-CN"/>
        </w:rPr>
      </w:pPr>
      <w:r>
        <w:rPr>
          <w:rFonts w:hint="default"/>
          <w:lang w:val="en-US" w:eastAsia="zh-CN"/>
        </w:rPr>
        <w:t>3.</w:t>
      </w:r>
      <w:r>
        <w:rPr>
          <w:rFonts w:hint="eastAsia"/>
          <w:lang w:val="en-US" w:eastAsia="zh-CN"/>
        </w:rPr>
        <w:t>4</w:t>
      </w:r>
      <w:r>
        <w:rPr>
          <w:rFonts w:hint="default"/>
          <w:lang w:val="en-US" w:eastAsia="zh-CN"/>
        </w:rPr>
        <w:t>澄清、说明或补证；</w:t>
      </w:r>
    </w:p>
    <w:p w14:paraId="23BFD62F">
      <w:pPr>
        <w:bidi w:val="0"/>
        <w:rPr>
          <w:rFonts w:hint="default"/>
          <w:lang w:val="en-US" w:eastAsia="zh-CN"/>
        </w:rPr>
      </w:pPr>
      <w:r>
        <w:rPr>
          <w:rFonts w:hint="default"/>
          <w:lang w:val="en-US" w:eastAsia="zh-CN"/>
        </w:rPr>
        <w:t>3.</w:t>
      </w:r>
      <w:r>
        <w:rPr>
          <w:rFonts w:hint="eastAsia"/>
          <w:lang w:val="en-US" w:eastAsia="zh-CN"/>
        </w:rPr>
        <w:t>5</w:t>
      </w:r>
      <w:r>
        <w:rPr>
          <w:rFonts w:hint="default"/>
          <w:lang w:val="en-US" w:eastAsia="zh-CN"/>
        </w:rPr>
        <w:t>推荐成交候选人并排序、提交评审报告。</w:t>
      </w:r>
    </w:p>
    <w:p w14:paraId="37C52A0F">
      <w:pPr>
        <w:pStyle w:val="4"/>
        <w:bidi w:val="0"/>
        <w:rPr>
          <w:rFonts w:hint="eastAsia"/>
          <w:lang w:val="en-US" w:eastAsia="zh-CN"/>
        </w:rPr>
      </w:pPr>
      <w:bookmarkStart w:id="35" w:name="_Toc4775"/>
      <w:r>
        <w:rPr>
          <w:rFonts w:hint="eastAsia"/>
          <w:lang w:val="en-US" w:eastAsia="zh-CN"/>
        </w:rPr>
        <w:t>二、评审标准</w:t>
      </w:r>
      <w:bookmarkEnd w:id="35"/>
    </w:p>
    <w:p w14:paraId="3A0AE8CB">
      <w:pPr>
        <w:rPr>
          <w:rFonts w:hint="default"/>
          <w:lang w:val="en-US" w:eastAsia="zh-CN"/>
        </w:rPr>
      </w:pPr>
      <w:r>
        <w:rPr>
          <w:rFonts w:hint="default"/>
          <w:lang w:val="en-US" w:eastAsia="zh-CN"/>
        </w:rPr>
        <w:t>1.资格评审及符合性评审</w:t>
      </w:r>
    </w:p>
    <w:p w14:paraId="50E56182">
      <w:pPr>
        <w:rPr>
          <w:rFonts w:hint="default"/>
          <w:lang w:val="en-US" w:eastAsia="zh-CN"/>
        </w:rPr>
      </w:pPr>
      <w:r>
        <w:rPr>
          <w:rFonts w:hint="default"/>
          <w:lang w:val="en-US" w:eastAsia="zh-CN"/>
        </w:rPr>
        <w:t>1.1资格评审标准：详见本章</w:t>
      </w:r>
      <w:r>
        <w:rPr>
          <w:rFonts w:hint="eastAsia"/>
          <w:lang w:val="en-US" w:eastAsia="zh-CN"/>
        </w:rPr>
        <w:t>“</w:t>
      </w:r>
      <w:r>
        <w:rPr>
          <w:rFonts w:hint="default"/>
          <w:lang w:val="en-US" w:eastAsia="zh-CN"/>
        </w:rPr>
        <w:t>资格审查表</w:t>
      </w:r>
      <w:r>
        <w:rPr>
          <w:rFonts w:hint="eastAsia"/>
          <w:lang w:val="en-US" w:eastAsia="zh-CN"/>
        </w:rPr>
        <w:t>”</w:t>
      </w:r>
      <w:r>
        <w:rPr>
          <w:rFonts w:hint="default"/>
          <w:lang w:val="en-US" w:eastAsia="zh-CN"/>
        </w:rPr>
        <w:t>；</w:t>
      </w:r>
    </w:p>
    <w:p w14:paraId="6865C27A">
      <w:pPr>
        <w:rPr>
          <w:rFonts w:hint="default"/>
          <w:lang w:val="en-US" w:eastAsia="zh-CN"/>
        </w:rPr>
      </w:pPr>
      <w:r>
        <w:rPr>
          <w:rFonts w:hint="default"/>
          <w:lang w:val="en-US" w:eastAsia="zh-CN"/>
        </w:rPr>
        <w:t>1.2符合性评审标准：详见本章</w:t>
      </w:r>
      <w:r>
        <w:rPr>
          <w:rFonts w:hint="eastAsia"/>
          <w:lang w:val="en-US" w:eastAsia="zh-CN"/>
        </w:rPr>
        <w:t>“</w:t>
      </w:r>
      <w:r>
        <w:rPr>
          <w:rFonts w:hint="default"/>
          <w:lang w:val="en-US" w:eastAsia="zh-CN"/>
        </w:rPr>
        <w:t>符合性评审表</w:t>
      </w:r>
      <w:r>
        <w:rPr>
          <w:rFonts w:hint="eastAsia"/>
          <w:lang w:val="en-US" w:eastAsia="zh-CN"/>
        </w:rPr>
        <w:t>”</w:t>
      </w:r>
      <w:r>
        <w:rPr>
          <w:rFonts w:hint="default"/>
          <w:lang w:val="en-US" w:eastAsia="zh-CN"/>
        </w:rPr>
        <w:t>。</w:t>
      </w:r>
    </w:p>
    <w:p w14:paraId="09D0EE32">
      <w:pPr>
        <w:rPr>
          <w:rFonts w:hint="default"/>
          <w:lang w:val="en-US" w:eastAsia="zh-CN"/>
        </w:rPr>
      </w:pPr>
      <w:r>
        <w:rPr>
          <w:rFonts w:hint="default"/>
          <w:lang w:val="en-US" w:eastAsia="zh-CN"/>
        </w:rPr>
        <w:t>2.分值构成及评分标准</w:t>
      </w:r>
    </w:p>
    <w:p w14:paraId="570310B4">
      <w:pPr>
        <w:rPr>
          <w:rFonts w:hint="default"/>
          <w:lang w:val="en-US" w:eastAsia="zh-CN"/>
        </w:rPr>
      </w:pPr>
      <w:r>
        <w:rPr>
          <w:rFonts w:hint="default"/>
          <w:lang w:val="en-US" w:eastAsia="zh-CN"/>
        </w:rPr>
        <w:t>2.1分值构成：详见本章</w:t>
      </w:r>
      <w:r>
        <w:rPr>
          <w:rFonts w:hint="eastAsia"/>
          <w:lang w:val="en-US" w:eastAsia="zh-CN"/>
        </w:rPr>
        <w:t>“</w:t>
      </w:r>
      <w:r>
        <w:rPr>
          <w:rFonts w:hint="default"/>
          <w:lang w:val="en-US" w:eastAsia="zh-CN"/>
        </w:rPr>
        <w:t>详细评审表</w:t>
      </w:r>
      <w:r>
        <w:rPr>
          <w:rFonts w:hint="eastAsia"/>
          <w:lang w:val="en-US" w:eastAsia="zh-CN"/>
        </w:rPr>
        <w:t>”</w:t>
      </w:r>
      <w:r>
        <w:rPr>
          <w:rFonts w:hint="default"/>
          <w:lang w:val="en-US" w:eastAsia="zh-CN"/>
        </w:rPr>
        <w:t>；</w:t>
      </w:r>
    </w:p>
    <w:p w14:paraId="55AC54B1">
      <w:pPr>
        <w:rPr>
          <w:rFonts w:hint="default"/>
          <w:lang w:val="en-US" w:eastAsia="zh-CN"/>
        </w:rPr>
      </w:pPr>
      <w:r>
        <w:rPr>
          <w:rFonts w:hint="default"/>
          <w:lang w:val="en-US" w:eastAsia="zh-CN"/>
        </w:rPr>
        <w:t>2.2技术及商务部分评分标准：详见本章</w:t>
      </w:r>
      <w:r>
        <w:rPr>
          <w:rFonts w:hint="eastAsia"/>
          <w:lang w:val="en-US" w:eastAsia="zh-CN"/>
        </w:rPr>
        <w:t>“</w:t>
      </w:r>
      <w:r>
        <w:rPr>
          <w:rFonts w:hint="default"/>
          <w:lang w:val="en-US" w:eastAsia="zh-CN"/>
        </w:rPr>
        <w:t>详细评审表</w:t>
      </w:r>
      <w:r>
        <w:rPr>
          <w:rFonts w:hint="eastAsia"/>
          <w:lang w:val="en-US" w:eastAsia="zh-CN"/>
        </w:rPr>
        <w:t>”</w:t>
      </w:r>
      <w:r>
        <w:rPr>
          <w:rFonts w:hint="default"/>
          <w:lang w:val="en-US" w:eastAsia="zh-CN"/>
        </w:rPr>
        <w:t>。</w:t>
      </w:r>
    </w:p>
    <w:p w14:paraId="14678E97">
      <w:pPr>
        <w:pStyle w:val="4"/>
        <w:bidi w:val="0"/>
        <w:rPr>
          <w:rFonts w:hint="default"/>
          <w:lang w:val="en-US" w:eastAsia="zh-CN"/>
        </w:rPr>
      </w:pPr>
      <w:bookmarkStart w:id="36" w:name="_Toc29979"/>
      <w:r>
        <w:rPr>
          <w:rFonts w:hint="default"/>
          <w:lang w:val="en-US" w:eastAsia="zh-CN"/>
        </w:rPr>
        <w:t>三、评审程序</w:t>
      </w:r>
      <w:bookmarkEnd w:id="36"/>
    </w:p>
    <w:p w14:paraId="4BF30A82">
      <w:pPr>
        <w:rPr>
          <w:rFonts w:hint="default"/>
          <w:lang w:val="en-US" w:eastAsia="zh-CN"/>
        </w:rPr>
      </w:pPr>
      <w:r>
        <w:rPr>
          <w:rFonts w:hint="default"/>
          <w:lang w:val="en-US" w:eastAsia="zh-CN"/>
        </w:rPr>
        <w:t>1.</w:t>
      </w:r>
      <w:r>
        <w:rPr>
          <w:rFonts w:hint="eastAsia"/>
          <w:lang w:val="en-US" w:eastAsia="zh-CN"/>
        </w:rPr>
        <w:t>评审</w:t>
      </w:r>
      <w:r>
        <w:rPr>
          <w:rFonts w:hint="default"/>
          <w:lang w:val="en-US" w:eastAsia="zh-CN"/>
        </w:rPr>
        <w:t>准备</w:t>
      </w:r>
    </w:p>
    <w:p w14:paraId="5DEFDF97">
      <w:pPr>
        <w:rPr>
          <w:rFonts w:hint="default"/>
          <w:lang w:val="en-US" w:eastAsia="zh-CN"/>
        </w:rPr>
      </w:pPr>
      <w:r>
        <w:rPr>
          <w:rFonts w:hint="default"/>
          <w:lang w:val="en-US" w:eastAsia="zh-CN"/>
        </w:rPr>
        <w:t>1.1</w:t>
      </w:r>
      <w:r>
        <w:rPr>
          <w:rFonts w:hint="eastAsia"/>
          <w:lang w:val="en-US" w:eastAsia="zh-CN"/>
        </w:rPr>
        <w:t>响应文件</w:t>
      </w:r>
      <w:r>
        <w:rPr>
          <w:rFonts w:hint="default"/>
          <w:lang w:val="en-US" w:eastAsia="zh-CN"/>
        </w:rPr>
        <w:t>开启</w:t>
      </w:r>
    </w:p>
    <w:p w14:paraId="1FEB2ACB">
      <w:pPr>
        <w:rPr>
          <w:rFonts w:hint="default"/>
          <w:lang w:val="en-US" w:eastAsia="zh-CN"/>
        </w:rPr>
      </w:pPr>
      <w:r>
        <w:rPr>
          <w:rFonts w:hint="default"/>
          <w:lang w:val="en-US" w:eastAsia="zh-CN"/>
        </w:rPr>
        <w:t>采购人将于第一章询比采购公告规定的递交截止时间及地点，对密封完好的</w:t>
      </w:r>
      <w:r>
        <w:rPr>
          <w:rFonts w:hint="eastAsia"/>
          <w:lang w:val="en-US" w:eastAsia="zh-CN"/>
        </w:rPr>
        <w:t>响应文件</w:t>
      </w:r>
      <w:r>
        <w:rPr>
          <w:rFonts w:hint="default"/>
          <w:lang w:val="en-US" w:eastAsia="zh-CN"/>
        </w:rPr>
        <w:t>进行开</w:t>
      </w:r>
      <w:r>
        <w:rPr>
          <w:rFonts w:hint="default"/>
          <w:highlight w:val="none"/>
          <w:lang w:val="en-US" w:eastAsia="zh-CN"/>
        </w:rPr>
        <w:t>启。开启由采购人组织，采购人代表、监督人员参加。开启时由监督人员检查</w:t>
      </w:r>
      <w:r>
        <w:rPr>
          <w:rFonts w:hint="eastAsia"/>
          <w:highlight w:val="none"/>
          <w:lang w:val="en-US" w:eastAsia="zh-CN"/>
        </w:rPr>
        <w:t>响应文件</w:t>
      </w:r>
      <w:r>
        <w:rPr>
          <w:rFonts w:hint="default"/>
          <w:highlight w:val="none"/>
          <w:lang w:val="en-US" w:eastAsia="zh-CN"/>
        </w:rPr>
        <w:t>密封情况，当众</w:t>
      </w:r>
      <w:r>
        <w:rPr>
          <w:rFonts w:hint="default"/>
          <w:lang w:val="en-US" w:eastAsia="zh-CN"/>
        </w:rPr>
        <w:t>拆封。密封不符合要求的</w:t>
      </w:r>
      <w:r>
        <w:rPr>
          <w:rFonts w:hint="eastAsia"/>
          <w:lang w:val="en-US" w:eastAsia="zh-CN"/>
        </w:rPr>
        <w:t>响应文件</w:t>
      </w:r>
      <w:r>
        <w:rPr>
          <w:rFonts w:hint="default"/>
          <w:lang w:val="en-US" w:eastAsia="zh-CN"/>
        </w:rPr>
        <w:t>，采购人不予接收。</w:t>
      </w:r>
    </w:p>
    <w:p w14:paraId="6F7DFC56">
      <w:pPr>
        <w:rPr>
          <w:rFonts w:hint="default"/>
          <w:lang w:val="en-US" w:eastAsia="zh-CN"/>
        </w:rPr>
      </w:pPr>
      <w:r>
        <w:rPr>
          <w:rFonts w:hint="default"/>
          <w:lang w:val="en-US" w:eastAsia="zh-CN"/>
        </w:rPr>
        <w:t>采购人将在</w:t>
      </w:r>
      <w:r>
        <w:rPr>
          <w:rFonts w:hint="eastAsia"/>
          <w:lang w:val="en-US" w:eastAsia="zh-CN"/>
        </w:rPr>
        <w:t>询比采购</w:t>
      </w:r>
      <w:r>
        <w:rPr>
          <w:rFonts w:hint="default"/>
          <w:lang w:val="en-US" w:eastAsia="zh-CN"/>
        </w:rPr>
        <w:t>文件中规定的时间和地点组织</w:t>
      </w:r>
      <w:r>
        <w:rPr>
          <w:rFonts w:hint="eastAsia"/>
          <w:lang w:val="en-US" w:eastAsia="zh-CN"/>
        </w:rPr>
        <w:t>评审</w:t>
      </w:r>
      <w:r>
        <w:rPr>
          <w:rFonts w:hint="default"/>
          <w:lang w:val="en-US" w:eastAsia="zh-CN"/>
        </w:rPr>
        <w:t>。</w:t>
      </w:r>
      <w:r>
        <w:rPr>
          <w:rFonts w:hint="eastAsia"/>
          <w:lang w:val="en-US" w:eastAsia="zh-CN"/>
        </w:rPr>
        <w:t>评审</w:t>
      </w:r>
      <w:r>
        <w:rPr>
          <w:rFonts w:hint="default"/>
          <w:lang w:val="en-US" w:eastAsia="zh-CN"/>
        </w:rPr>
        <w:t>过程由采购人组织，采购人代表、监督人代表等参加。</w:t>
      </w:r>
    </w:p>
    <w:p w14:paraId="254464CC">
      <w:pPr>
        <w:rPr>
          <w:rFonts w:hint="default"/>
          <w:lang w:val="en-US" w:eastAsia="zh-CN"/>
        </w:rPr>
      </w:pPr>
      <w:r>
        <w:rPr>
          <w:rFonts w:hint="default"/>
          <w:lang w:val="en-US" w:eastAsia="zh-CN"/>
        </w:rPr>
        <w:t>1.2评审小组</w:t>
      </w:r>
    </w:p>
    <w:p w14:paraId="699731C0">
      <w:pPr>
        <w:rPr>
          <w:rFonts w:hint="default"/>
          <w:lang w:val="en-US" w:eastAsia="zh-CN"/>
        </w:rPr>
      </w:pPr>
      <w:r>
        <w:rPr>
          <w:rFonts w:hint="default"/>
          <w:lang w:val="en-US" w:eastAsia="zh-CN"/>
        </w:rPr>
        <w:t>1.</w:t>
      </w:r>
      <w:r>
        <w:rPr>
          <w:rFonts w:hint="eastAsia"/>
          <w:lang w:val="en-US" w:eastAsia="zh-CN"/>
        </w:rPr>
        <w:t>2</w:t>
      </w:r>
      <w:r>
        <w:rPr>
          <w:rFonts w:hint="default"/>
          <w:lang w:val="en-US" w:eastAsia="zh-CN"/>
        </w:rPr>
        <w:t>.1评审小组组建，详见</w:t>
      </w:r>
      <w:r>
        <w:rPr>
          <w:rFonts w:hint="eastAsia"/>
          <w:lang w:val="en-US" w:eastAsia="zh-CN"/>
        </w:rPr>
        <w:t>“供应商</w:t>
      </w:r>
      <w:r>
        <w:rPr>
          <w:rFonts w:hint="default"/>
          <w:lang w:val="en-US" w:eastAsia="zh-CN"/>
        </w:rPr>
        <w:t>须知前附表</w:t>
      </w:r>
      <w:r>
        <w:rPr>
          <w:rFonts w:hint="eastAsia"/>
          <w:lang w:val="en-US" w:eastAsia="zh-CN"/>
        </w:rPr>
        <w:t>”</w:t>
      </w:r>
      <w:r>
        <w:rPr>
          <w:rFonts w:hint="default"/>
          <w:lang w:val="en-US" w:eastAsia="zh-CN"/>
        </w:rPr>
        <w:t>。</w:t>
      </w:r>
    </w:p>
    <w:p w14:paraId="1F093307">
      <w:pPr>
        <w:rPr>
          <w:rFonts w:hint="default"/>
          <w:lang w:val="en-US" w:eastAsia="zh-CN"/>
        </w:rPr>
      </w:pPr>
      <w:r>
        <w:rPr>
          <w:rFonts w:hint="default"/>
          <w:lang w:val="en-US" w:eastAsia="zh-CN"/>
        </w:rPr>
        <w:t>1.</w:t>
      </w:r>
      <w:r>
        <w:rPr>
          <w:rFonts w:hint="eastAsia"/>
          <w:lang w:val="en-US" w:eastAsia="zh-CN"/>
        </w:rPr>
        <w:t>2</w:t>
      </w:r>
      <w:r>
        <w:rPr>
          <w:rFonts w:hint="default"/>
          <w:lang w:val="en-US" w:eastAsia="zh-CN"/>
        </w:rPr>
        <w:t>.2评审小组独立工作，负责评审所有</w:t>
      </w:r>
      <w:r>
        <w:rPr>
          <w:rFonts w:hint="eastAsia"/>
          <w:lang w:val="en-US" w:eastAsia="zh-CN"/>
        </w:rPr>
        <w:t>响应文件</w:t>
      </w:r>
      <w:r>
        <w:rPr>
          <w:rFonts w:hint="default"/>
          <w:lang w:val="en-US" w:eastAsia="zh-CN"/>
        </w:rPr>
        <w:t>并推荐成交候选人。</w:t>
      </w:r>
    </w:p>
    <w:p w14:paraId="7A7316CD">
      <w:pPr>
        <w:bidi w:val="0"/>
        <w:rPr>
          <w:rFonts w:hint="default"/>
          <w:lang w:val="en-US" w:eastAsia="zh-CN"/>
        </w:rPr>
      </w:pPr>
      <w:r>
        <w:rPr>
          <w:rFonts w:hint="default"/>
          <w:lang w:val="en-US" w:eastAsia="zh-CN"/>
        </w:rPr>
        <w:t>2.初步评审</w:t>
      </w:r>
    </w:p>
    <w:p w14:paraId="5F76C9EB">
      <w:pPr>
        <w:bidi w:val="0"/>
        <w:rPr>
          <w:rFonts w:hint="default"/>
          <w:lang w:val="en-US" w:eastAsia="zh-CN"/>
        </w:rPr>
      </w:pPr>
      <w:r>
        <w:rPr>
          <w:rFonts w:hint="default"/>
          <w:lang w:val="en-US" w:eastAsia="zh-CN"/>
        </w:rPr>
        <w:t>评审小组依据本章</w:t>
      </w:r>
      <w:r>
        <w:rPr>
          <w:rFonts w:hint="eastAsia"/>
          <w:lang w:val="en-US" w:eastAsia="zh-CN"/>
        </w:rPr>
        <w:t>“</w:t>
      </w:r>
      <w:r>
        <w:rPr>
          <w:rFonts w:hint="default"/>
          <w:lang w:val="en-US" w:eastAsia="zh-CN"/>
        </w:rPr>
        <w:t>资格</w:t>
      </w:r>
      <w:r>
        <w:rPr>
          <w:rFonts w:hint="eastAsia"/>
          <w:lang w:val="en-US" w:eastAsia="zh-CN"/>
        </w:rPr>
        <w:t>评审</w:t>
      </w:r>
      <w:r>
        <w:rPr>
          <w:rFonts w:hint="default"/>
          <w:lang w:val="en-US" w:eastAsia="zh-CN"/>
        </w:rPr>
        <w:t>表</w:t>
      </w:r>
      <w:r>
        <w:rPr>
          <w:rFonts w:hint="eastAsia"/>
          <w:lang w:val="en-US" w:eastAsia="zh-CN"/>
        </w:rPr>
        <w:t>”</w:t>
      </w:r>
      <w:r>
        <w:rPr>
          <w:rFonts w:hint="default"/>
          <w:lang w:val="en-US" w:eastAsia="zh-CN"/>
        </w:rPr>
        <w:t>及</w:t>
      </w:r>
      <w:r>
        <w:rPr>
          <w:rFonts w:hint="eastAsia"/>
          <w:lang w:val="en-US" w:eastAsia="zh-CN"/>
        </w:rPr>
        <w:t>“</w:t>
      </w:r>
      <w:r>
        <w:rPr>
          <w:rFonts w:hint="default"/>
          <w:lang w:val="en-US" w:eastAsia="zh-CN"/>
        </w:rPr>
        <w:t>符合性评审表</w:t>
      </w:r>
      <w:r>
        <w:rPr>
          <w:rFonts w:hint="eastAsia"/>
          <w:lang w:val="en-US" w:eastAsia="zh-CN"/>
        </w:rPr>
        <w:t>”</w:t>
      </w:r>
      <w:r>
        <w:rPr>
          <w:rFonts w:hint="default"/>
          <w:lang w:val="en-US" w:eastAsia="zh-CN"/>
        </w:rPr>
        <w:t>规定的评审标准对</w:t>
      </w:r>
      <w:r>
        <w:rPr>
          <w:rFonts w:hint="eastAsia"/>
          <w:lang w:val="en-US" w:eastAsia="zh-CN"/>
        </w:rPr>
        <w:t>响应文件</w:t>
      </w:r>
      <w:r>
        <w:rPr>
          <w:rFonts w:hint="default"/>
          <w:lang w:val="en-US" w:eastAsia="zh-CN"/>
        </w:rPr>
        <w:t>进行初步评审，有一项不符合评审标准的，作为无效</w:t>
      </w:r>
      <w:r>
        <w:rPr>
          <w:rFonts w:hint="eastAsia"/>
          <w:lang w:val="en-US" w:eastAsia="zh-CN"/>
        </w:rPr>
        <w:t>响应</w:t>
      </w:r>
      <w:r>
        <w:rPr>
          <w:rFonts w:hint="default"/>
          <w:lang w:val="en-US" w:eastAsia="zh-CN"/>
        </w:rPr>
        <w:t>处理。</w:t>
      </w:r>
    </w:p>
    <w:p w14:paraId="42674F87">
      <w:pPr>
        <w:bidi w:val="0"/>
        <w:rPr>
          <w:rFonts w:hint="default"/>
          <w:lang w:val="en-US" w:eastAsia="zh-CN"/>
        </w:rPr>
      </w:pPr>
      <w:r>
        <w:rPr>
          <w:rFonts w:hint="default"/>
          <w:lang w:val="en-US" w:eastAsia="zh-CN"/>
        </w:rPr>
        <w:t>2.1资格审查</w:t>
      </w:r>
    </w:p>
    <w:p w14:paraId="2642C8E4">
      <w:pPr>
        <w:bidi w:val="0"/>
        <w:rPr>
          <w:rFonts w:hint="default"/>
          <w:lang w:val="en-US" w:eastAsia="zh-CN"/>
        </w:rPr>
      </w:pPr>
      <w:r>
        <w:rPr>
          <w:rFonts w:hint="eastAsia"/>
          <w:lang w:val="en-US" w:eastAsia="zh-CN"/>
        </w:rPr>
        <w:t>响应文件</w:t>
      </w:r>
      <w:r>
        <w:rPr>
          <w:rFonts w:hint="default"/>
          <w:lang w:val="en-US" w:eastAsia="zh-CN"/>
        </w:rPr>
        <w:t>不符合资格审查规定的不通过资格审查，作为无效</w:t>
      </w:r>
      <w:r>
        <w:rPr>
          <w:rFonts w:hint="eastAsia"/>
          <w:lang w:val="en-US" w:eastAsia="zh-CN"/>
        </w:rPr>
        <w:t>响应</w:t>
      </w:r>
      <w:r>
        <w:rPr>
          <w:rFonts w:hint="default"/>
          <w:lang w:val="en-US" w:eastAsia="zh-CN"/>
        </w:rPr>
        <w:t>处理，不进入下一步评审。审查内容如下：</w:t>
      </w:r>
    </w:p>
    <w:tbl>
      <w:tblPr>
        <w:tblStyle w:val="19"/>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2"/>
        <w:gridCol w:w="1080"/>
        <w:gridCol w:w="5927"/>
      </w:tblGrid>
      <w:tr w14:paraId="7AFB5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12" w:type="dxa"/>
            <w:vMerge w:val="restart"/>
            <w:shd w:val="clear" w:color="auto" w:fill="auto"/>
            <w:vAlign w:val="center"/>
          </w:tcPr>
          <w:p w14:paraId="1C78E994">
            <w:pPr>
              <w:keepNext w:val="0"/>
              <w:keepLines w:val="0"/>
              <w:pageBreakBefore w:val="0"/>
              <w:widowControl w:val="0"/>
              <w:kinsoku/>
              <w:wordWrap/>
              <w:overflowPunct/>
              <w:topLinePunct w:val="0"/>
              <w:autoSpaceDE w:val="0"/>
              <w:autoSpaceDN w:val="0"/>
              <w:bidi w:val="0"/>
              <w:adjustRightInd w:val="0"/>
              <w:snapToGrid w:val="0"/>
              <w:spacing w:line="320" w:lineRule="exact"/>
              <w:ind w:firstLine="0" w:firstLineChars="0"/>
              <w:jc w:val="center"/>
              <w:textAlignment w:val="auto"/>
              <w:rPr>
                <w:rFonts w:hint="default" w:ascii="宋体" w:hAnsi="宋体" w:eastAsia="方正仿宋_GBK" w:cs="宋体"/>
                <w:color w:val="auto"/>
                <w:kern w:val="2"/>
                <w:sz w:val="21"/>
                <w:szCs w:val="21"/>
                <w:highlight w:val="none"/>
                <w:lang w:val="en-US" w:eastAsia="zh-CN" w:bidi="ar-SA"/>
              </w:rPr>
            </w:pPr>
            <w:r>
              <w:rPr>
                <w:rFonts w:hint="eastAsia" w:ascii="宋体" w:hAnsi="宋体" w:cs="宋体"/>
                <w:color w:val="auto"/>
                <w:sz w:val="21"/>
                <w:szCs w:val="21"/>
                <w:highlight w:val="none"/>
              </w:rPr>
              <w:t>资格评审标准</w:t>
            </w:r>
          </w:p>
        </w:tc>
        <w:tc>
          <w:tcPr>
            <w:tcW w:w="1080" w:type="dxa"/>
            <w:shd w:val="clear" w:color="auto" w:fill="auto"/>
            <w:vAlign w:val="center"/>
          </w:tcPr>
          <w:p w14:paraId="190E9C7B">
            <w:pPr>
              <w:keepNext w:val="0"/>
              <w:keepLines w:val="0"/>
              <w:pageBreakBefore w:val="0"/>
              <w:widowControl w:val="0"/>
              <w:kinsoku/>
              <w:wordWrap/>
              <w:overflowPunct/>
              <w:topLinePunct w:val="0"/>
              <w:bidi w:val="0"/>
              <w:snapToGrid w:val="0"/>
              <w:spacing w:line="320" w:lineRule="exact"/>
              <w:ind w:firstLine="0" w:firstLineChars="0"/>
              <w:jc w:val="center"/>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营业执照</w:t>
            </w:r>
          </w:p>
        </w:tc>
        <w:tc>
          <w:tcPr>
            <w:tcW w:w="5927" w:type="dxa"/>
            <w:shd w:val="clear" w:color="auto" w:fill="auto"/>
            <w:vAlign w:val="center"/>
          </w:tcPr>
          <w:p w14:paraId="1599D81A">
            <w:pPr>
              <w:keepNext w:val="0"/>
              <w:keepLines w:val="0"/>
              <w:pageBreakBefore w:val="0"/>
              <w:widowControl w:val="0"/>
              <w:kinsoku/>
              <w:wordWrap/>
              <w:overflowPunct/>
              <w:topLinePunct w:val="0"/>
              <w:bidi w:val="0"/>
              <w:snapToGrid w:val="0"/>
              <w:spacing w:line="320" w:lineRule="exact"/>
              <w:ind w:firstLine="0" w:firstLineChars="0"/>
              <w:textAlignment w:val="auto"/>
              <w:rPr>
                <w:rFonts w:hint="default" w:ascii="宋体" w:hAnsi="宋体" w:eastAsia="方正仿宋_GBK" w:cs="宋体"/>
                <w:color w:val="auto"/>
                <w:kern w:val="2"/>
                <w:sz w:val="21"/>
                <w:szCs w:val="21"/>
                <w:highlight w:val="none"/>
                <w:lang w:val="en-US" w:eastAsia="zh-CN" w:bidi="ar-SA"/>
              </w:rPr>
            </w:pPr>
            <w:r>
              <w:rPr>
                <w:rFonts w:hint="eastAsia" w:ascii="宋体" w:hAnsi="宋体" w:cs="宋体"/>
                <w:color w:val="auto"/>
                <w:sz w:val="21"/>
                <w:szCs w:val="21"/>
                <w:highlight w:val="none"/>
              </w:rPr>
              <w:t>符合第一章</w:t>
            </w:r>
            <w:r>
              <w:rPr>
                <w:rFonts w:hint="eastAsia" w:ascii="宋体" w:hAnsi="宋体" w:cs="宋体"/>
                <w:color w:val="auto"/>
                <w:sz w:val="21"/>
                <w:szCs w:val="21"/>
                <w:highlight w:val="none"/>
                <w:lang w:val="en-US" w:eastAsia="zh-CN"/>
              </w:rPr>
              <w:t>询比采购公告</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二</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供应商</w:t>
            </w:r>
            <w:r>
              <w:rPr>
                <w:rFonts w:hint="eastAsia" w:ascii="宋体" w:hAnsi="宋体" w:cs="宋体"/>
                <w:color w:val="auto"/>
                <w:sz w:val="21"/>
                <w:szCs w:val="21"/>
                <w:highlight w:val="none"/>
              </w:rPr>
              <w:t>资格要求”规定。</w:t>
            </w:r>
          </w:p>
        </w:tc>
      </w:tr>
      <w:tr w14:paraId="1A10B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12" w:type="dxa"/>
            <w:vMerge w:val="continue"/>
            <w:shd w:val="clear" w:color="auto" w:fill="auto"/>
            <w:vAlign w:val="center"/>
          </w:tcPr>
          <w:p w14:paraId="0E0F1071">
            <w:pPr>
              <w:keepNext w:val="0"/>
              <w:keepLines w:val="0"/>
              <w:pageBreakBefore w:val="0"/>
              <w:widowControl w:val="0"/>
              <w:kinsoku/>
              <w:wordWrap/>
              <w:overflowPunct/>
              <w:topLinePunct w:val="0"/>
              <w:autoSpaceDE w:val="0"/>
              <w:autoSpaceDN w:val="0"/>
              <w:bidi w:val="0"/>
              <w:adjustRightInd w:val="0"/>
              <w:snapToGrid w:val="0"/>
              <w:spacing w:line="320" w:lineRule="exact"/>
              <w:ind w:firstLine="0" w:firstLineChars="0"/>
              <w:jc w:val="center"/>
              <w:textAlignment w:val="auto"/>
              <w:rPr>
                <w:rFonts w:hint="default" w:ascii="宋体" w:hAnsi="宋体" w:eastAsia="方正仿宋_GBK" w:cs="宋体"/>
                <w:color w:val="auto"/>
                <w:kern w:val="2"/>
                <w:sz w:val="21"/>
                <w:szCs w:val="21"/>
                <w:highlight w:val="none"/>
                <w:lang w:val="en-US" w:eastAsia="zh-CN" w:bidi="ar-SA"/>
              </w:rPr>
            </w:pPr>
          </w:p>
        </w:tc>
        <w:tc>
          <w:tcPr>
            <w:tcW w:w="1080" w:type="dxa"/>
            <w:shd w:val="clear" w:color="auto" w:fill="auto"/>
            <w:vAlign w:val="center"/>
          </w:tcPr>
          <w:p w14:paraId="14A01C79">
            <w:pPr>
              <w:keepNext w:val="0"/>
              <w:keepLines w:val="0"/>
              <w:pageBreakBefore w:val="0"/>
              <w:widowControl w:val="0"/>
              <w:kinsoku/>
              <w:wordWrap/>
              <w:overflowPunct/>
              <w:topLinePunct w:val="0"/>
              <w:bidi w:val="0"/>
              <w:snapToGrid w:val="0"/>
              <w:spacing w:line="320" w:lineRule="exact"/>
              <w:ind w:firstLine="0" w:firstLineChars="0"/>
              <w:jc w:val="center"/>
              <w:textAlignment w:val="auto"/>
              <w:rPr>
                <w:rFonts w:hint="default" w:ascii="宋体" w:hAnsi="宋体" w:eastAsia="方正仿宋_GBK"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资质要求</w:t>
            </w:r>
          </w:p>
        </w:tc>
        <w:tc>
          <w:tcPr>
            <w:tcW w:w="5927" w:type="dxa"/>
            <w:shd w:val="clear" w:color="auto" w:fill="auto"/>
            <w:vAlign w:val="center"/>
          </w:tcPr>
          <w:p w14:paraId="0B87ED07">
            <w:pPr>
              <w:keepNext w:val="0"/>
              <w:keepLines w:val="0"/>
              <w:pageBreakBefore w:val="0"/>
              <w:widowControl w:val="0"/>
              <w:kinsoku/>
              <w:wordWrap/>
              <w:overflowPunct/>
              <w:topLinePunct w:val="0"/>
              <w:bidi w:val="0"/>
              <w:snapToGrid w:val="0"/>
              <w:spacing w:line="320" w:lineRule="exact"/>
              <w:ind w:firstLine="0" w:firstLineChars="0"/>
              <w:textAlignment w:val="auto"/>
              <w:rPr>
                <w:rFonts w:hint="default" w:ascii="宋体" w:hAnsi="宋体" w:eastAsia="方正仿宋_GBK" w:cs="宋体"/>
                <w:color w:val="auto"/>
                <w:kern w:val="2"/>
                <w:sz w:val="21"/>
                <w:szCs w:val="21"/>
                <w:highlight w:val="none"/>
                <w:lang w:val="en-US" w:eastAsia="zh-CN" w:bidi="ar-SA"/>
              </w:rPr>
            </w:pPr>
            <w:r>
              <w:rPr>
                <w:rFonts w:hint="eastAsia" w:ascii="宋体" w:hAnsi="宋体" w:cs="宋体"/>
                <w:color w:val="auto"/>
                <w:sz w:val="21"/>
                <w:szCs w:val="21"/>
                <w:highlight w:val="none"/>
              </w:rPr>
              <w:t>符合第一章</w:t>
            </w:r>
            <w:r>
              <w:rPr>
                <w:rFonts w:hint="eastAsia" w:ascii="宋体" w:hAnsi="宋体" w:cs="宋体"/>
                <w:color w:val="auto"/>
                <w:sz w:val="21"/>
                <w:szCs w:val="21"/>
                <w:highlight w:val="none"/>
                <w:lang w:val="en-US" w:eastAsia="zh-CN"/>
              </w:rPr>
              <w:t>询比采购公告</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二</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供应商</w:t>
            </w:r>
            <w:r>
              <w:rPr>
                <w:rFonts w:hint="eastAsia" w:ascii="宋体" w:hAnsi="宋体" w:cs="宋体"/>
                <w:color w:val="auto"/>
                <w:sz w:val="21"/>
                <w:szCs w:val="21"/>
                <w:highlight w:val="none"/>
              </w:rPr>
              <w:t>资格要求”规定。</w:t>
            </w:r>
          </w:p>
        </w:tc>
      </w:tr>
      <w:tr w14:paraId="06A2C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12" w:type="dxa"/>
            <w:vMerge w:val="continue"/>
            <w:shd w:val="clear" w:color="auto" w:fill="auto"/>
            <w:vAlign w:val="center"/>
          </w:tcPr>
          <w:p w14:paraId="6A87C7D0">
            <w:pPr>
              <w:keepNext w:val="0"/>
              <w:keepLines w:val="0"/>
              <w:pageBreakBefore w:val="0"/>
              <w:widowControl w:val="0"/>
              <w:kinsoku/>
              <w:wordWrap/>
              <w:overflowPunct/>
              <w:topLinePunct w:val="0"/>
              <w:bidi w:val="0"/>
              <w:snapToGrid w:val="0"/>
              <w:spacing w:line="320" w:lineRule="exact"/>
              <w:ind w:firstLine="0" w:firstLineChars="0"/>
              <w:textAlignment w:val="auto"/>
              <w:rPr>
                <w:rFonts w:hint="default" w:ascii="宋体" w:hAnsi="宋体" w:eastAsia="方正仿宋_GBK" w:cs="宋体"/>
                <w:color w:val="auto"/>
                <w:kern w:val="2"/>
                <w:sz w:val="21"/>
                <w:szCs w:val="21"/>
                <w:highlight w:val="none"/>
                <w:lang w:val="en-US" w:eastAsia="zh-CN" w:bidi="ar-SA"/>
              </w:rPr>
            </w:pPr>
          </w:p>
        </w:tc>
        <w:tc>
          <w:tcPr>
            <w:tcW w:w="1080" w:type="dxa"/>
            <w:shd w:val="clear" w:color="auto" w:fill="auto"/>
            <w:vAlign w:val="center"/>
          </w:tcPr>
          <w:p w14:paraId="31A7737C">
            <w:pPr>
              <w:keepNext w:val="0"/>
              <w:keepLines w:val="0"/>
              <w:pageBreakBefore w:val="0"/>
              <w:widowControl w:val="0"/>
              <w:kinsoku/>
              <w:wordWrap/>
              <w:overflowPunct/>
              <w:topLinePunct w:val="0"/>
              <w:bidi w:val="0"/>
              <w:snapToGrid w:val="0"/>
              <w:spacing w:line="320" w:lineRule="exact"/>
              <w:ind w:firstLine="0" w:firstLineChars="0"/>
              <w:jc w:val="center"/>
              <w:textAlignment w:val="auto"/>
              <w:rPr>
                <w:rFonts w:hint="default" w:ascii="宋体" w:hAnsi="宋体" w:eastAsia="方正仿宋_GBK"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人员</w:t>
            </w:r>
            <w:r>
              <w:rPr>
                <w:rFonts w:hint="eastAsia" w:ascii="宋体" w:hAnsi="宋体" w:cs="宋体"/>
                <w:color w:val="auto"/>
                <w:sz w:val="21"/>
                <w:szCs w:val="21"/>
                <w:highlight w:val="none"/>
              </w:rPr>
              <w:t>要求</w:t>
            </w:r>
          </w:p>
        </w:tc>
        <w:tc>
          <w:tcPr>
            <w:tcW w:w="5927" w:type="dxa"/>
            <w:shd w:val="clear" w:color="auto" w:fill="auto"/>
            <w:vAlign w:val="center"/>
          </w:tcPr>
          <w:p w14:paraId="4E134BE0">
            <w:pPr>
              <w:keepNext w:val="0"/>
              <w:keepLines w:val="0"/>
              <w:pageBreakBefore w:val="0"/>
              <w:widowControl w:val="0"/>
              <w:kinsoku/>
              <w:wordWrap/>
              <w:overflowPunct/>
              <w:topLinePunct w:val="0"/>
              <w:bidi w:val="0"/>
              <w:snapToGrid w:val="0"/>
              <w:spacing w:line="320" w:lineRule="exact"/>
              <w:ind w:firstLine="0" w:firstLineChars="0"/>
              <w:textAlignment w:val="auto"/>
              <w:rPr>
                <w:rFonts w:hint="default" w:ascii="宋体" w:hAnsi="宋体" w:eastAsia="方正仿宋_GBK" w:cs="宋体"/>
                <w:color w:val="auto"/>
                <w:kern w:val="2"/>
                <w:sz w:val="21"/>
                <w:szCs w:val="21"/>
                <w:highlight w:val="none"/>
                <w:lang w:val="en-US" w:eastAsia="zh-CN" w:bidi="ar-SA"/>
              </w:rPr>
            </w:pPr>
            <w:r>
              <w:rPr>
                <w:rFonts w:hint="eastAsia" w:ascii="宋体" w:hAnsi="宋体" w:cs="宋体"/>
                <w:color w:val="auto"/>
                <w:sz w:val="21"/>
                <w:szCs w:val="21"/>
                <w:highlight w:val="none"/>
              </w:rPr>
              <w:t>符合第一章</w:t>
            </w:r>
            <w:r>
              <w:rPr>
                <w:rFonts w:hint="eastAsia" w:ascii="宋体" w:hAnsi="宋体" w:cs="宋体"/>
                <w:color w:val="auto"/>
                <w:sz w:val="21"/>
                <w:szCs w:val="21"/>
                <w:highlight w:val="none"/>
                <w:lang w:val="en-US" w:eastAsia="zh-CN"/>
              </w:rPr>
              <w:t>询比采购公告</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二</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供应商</w:t>
            </w:r>
            <w:r>
              <w:rPr>
                <w:rFonts w:hint="eastAsia" w:ascii="宋体" w:hAnsi="宋体" w:cs="宋体"/>
                <w:color w:val="auto"/>
                <w:sz w:val="21"/>
                <w:szCs w:val="21"/>
                <w:highlight w:val="none"/>
              </w:rPr>
              <w:t>资格要求”规定。</w:t>
            </w:r>
          </w:p>
        </w:tc>
      </w:tr>
      <w:tr w14:paraId="51EF6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12" w:type="dxa"/>
            <w:vMerge w:val="continue"/>
            <w:shd w:val="clear" w:color="auto" w:fill="auto"/>
            <w:vAlign w:val="center"/>
          </w:tcPr>
          <w:p w14:paraId="16043DBD">
            <w:pPr>
              <w:keepNext w:val="0"/>
              <w:keepLines w:val="0"/>
              <w:pageBreakBefore w:val="0"/>
              <w:widowControl w:val="0"/>
              <w:kinsoku/>
              <w:wordWrap/>
              <w:overflowPunct/>
              <w:topLinePunct w:val="0"/>
              <w:bidi w:val="0"/>
              <w:snapToGrid w:val="0"/>
              <w:spacing w:line="320" w:lineRule="exact"/>
              <w:ind w:firstLine="0" w:firstLineChars="0"/>
              <w:textAlignment w:val="auto"/>
              <w:rPr>
                <w:rFonts w:hint="default" w:ascii="宋体" w:hAnsi="宋体" w:eastAsia="方正仿宋_GBK" w:cs="宋体"/>
                <w:color w:val="auto"/>
                <w:kern w:val="2"/>
                <w:sz w:val="21"/>
                <w:szCs w:val="21"/>
                <w:highlight w:val="none"/>
                <w:lang w:val="en-US" w:eastAsia="zh-CN" w:bidi="ar-SA"/>
              </w:rPr>
            </w:pPr>
          </w:p>
        </w:tc>
        <w:tc>
          <w:tcPr>
            <w:tcW w:w="1080" w:type="dxa"/>
            <w:shd w:val="clear" w:color="auto" w:fill="auto"/>
            <w:vAlign w:val="center"/>
          </w:tcPr>
          <w:p w14:paraId="379516AA">
            <w:pPr>
              <w:keepNext w:val="0"/>
              <w:keepLines w:val="0"/>
              <w:pageBreakBefore w:val="0"/>
              <w:widowControl w:val="0"/>
              <w:kinsoku/>
              <w:wordWrap/>
              <w:overflowPunct/>
              <w:topLinePunct w:val="0"/>
              <w:bidi w:val="0"/>
              <w:snapToGrid w:val="0"/>
              <w:spacing w:line="320" w:lineRule="exact"/>
              <w:ind w:firstLine="0" w:firstLineChars="0"/>
              <w:jc w:val="center"/>
              <w:textAlignment w:val="auto"/>
              <w:rPr>
                <w:rFonts w:hint="default" w:ascii="宋体" w:hAnsi="宋体" w:eastAsia="方正仿宋_GBK" w:cs="宋体"/>
                <w:color w:val="auto"/>
                <w:kern w:val="2"/>
                <w:sz w:val="21"/>
                <w:szCs w:val="21"/>
                <w:highlight w:val="none"/>
                <w:lang w:val="en-US" w:eastAsia="zh-CN" w:bidi="ar-SA"/>
              </w:rPr>
            </w:pPr>
            <w:r>
              <w:rPr>
                <w:rFonts w:hint="eastAsia" w:ascii="宋体" w:hAnsi="宋体" w:cs="宋体"/>
                <w:color w:val="auto"/>
                <w:sz w:val="21"/>
                <w:szCs w:val="21"/>
                <w:highlight w:val="none"/>
              </w:rPr>
              <w:t>业绩要求</w:t>
            </w:r>
          </w:p>
        </w:tc>
        <w:tc>
          <w:tcPr>
            <w:tcW w:w="5927" w:type="dxa"/>
            <w:shd w:val="clear" w:color="auto" w:fill="auto"/>
            <w:vAlign w:val="center"/>
          </w:tcPr>
          <w:p w14:paraId="1DF33DC3">
            <w:pPr>
              <w:keepNext w:val="0"/>
              <w:keepLines w:val="0"/>
              <w:pageBreakBefore w:val="0"/>
              <w:widowControl w:val="0"/>
              <w:kinsoku/>
              <w:wordWrap/>
              <w:overflowPunct/>
              <w:topLinePunct w:val="0"/>
              <w:bidi w:val="0"/>
              <w:snapToGrid w:val="0"/>
              <w:spacing w:line="320" w:lineRule="exact"/>
              <w:ind w:firstLine="0" w:firstLineChars="0"/>
              <w:textAlignment w:val="auto"/>
              <w:rPr>
                <w:rFonts w:hint="default" w:ascii="宋体" w:hAnsi="宋体" w:eastAsia="方正仿宋_GBK" w:cs="宋体"/>
                <w:color w:val="auto"/>
                <w:kern w:val="2"/>
                <w:sz w:val="21"/>
                <w:szCs w:val="21"/>
                <w:highlight w:val="none"/>
                <w:lang w:val="en-US" w:eastAsia="zh-CN" w:bidi="ar-SA"/>
              </w:rPr>
            </w:pPr>
            <w:r>
              <w:rPr>
                <w:rFonts w:hint="eastAsia" w:ascii="宋体" w:hAnsi="宋体" w:cs="宋体"/>
                <w:color w:val="auto"/>
                <w:sz w:val="21"/>
                <w:szCs w:val="21"/>
                <w:highlight w:val="none"/>
              </w:rPr>
              <w:t>符合第一章</w:t>
            </w:r>
            <w:r>
              <w:rPr>
                <w:rFonts w:hint="eastAsia" w:ascii="宋体" w:hAnsi="宋体" w:cs="宋体"/>
                <w:color w:val="auto"/>
                <w:sz w:val="21"/>
                <w:szCs w:val="21"/>
                <w:highlight w:val="none"/>
                <w:lang w:val="en-US" w:eastAsia="zh-CN"/>
              </w:rPr>
              <w:t>询比采购公告</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二</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供应商</w:t>
            </w:r>
            <w:r>
              <w:rPr>
                <w:rFonts w:hint="eastAsia" w:ascii="宋体" w:hAnsi="宋体" w:cs="宋体"/>
                <w:color w:val="auto"/>
                <w:sz w:val="21"/>
                <w:szCs w:val="21"/>
                <w:highlight w:val="none"/>
              </w:rPr>
              <w:t>资格要求”规定。</w:t>
            </w:r>
          </w:p>
        </w:tc>
      </w:tr>
      <w:tr w14:paraId="01181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12" w:type="dxa"/>
            <w:vMerge w:val="continue"/>
            <w:shd w:val="clear" w:color="auto" w:fill="auto"/>
            <w:vAlign w:val="center"/>
          </w:tcPr>
          <w:p w14:paraId="6EAAD527">
            <w:pPr>
              <w:keepNext w:val="0"/>
              <w:keepLines w:val="0"/>
              <w:pageBreakBefore w:val="0"/>
              <w:widowControl w:val="0"/>
              <w:kinsoku/>
              <w:wordWrap/>
              <w:overflowPunct/>
              <w:topLinePunct w:val="0"/>
              <w:bidi w:val="0"/>
              <w:snapToGrid w:val="0"/>
              <w:spacing w:line="320" w:lineRule="exact"/>
              <w:ind w:firstLine="0" w:firstLineChars="0"/>
              <w:textAlignment w:val="auto"/>
              <w:rPr>
                <w:rFonts w:hint="default" w:ascii="宋体" w:hAnsi="宋体" w:eastAsia="方正仿宋_GBK" w:cs="宋体"/>
                <w:color w:val="auto"/>
                <w:kern w:val="2"/>
                <w:sz w:val="21"/>
                <w:szCs w:val="21"/>
                <w:highlight w:val="none"/>
                <w:lang w:val="en-US" w:eastAsia="zh-CN" w:bidi="ar-SA"/>
              </w:rPr>
            </w:pPr>
          </w:p>
        </w:tc>
        <w:tc>
          <w:tcPr>
            <w:tcW w:w="1080" w:type="dxa"/>
            <w:shd w:val="clear" w:color="auto" w:fill="auto"/>
            <w:vAlign w:val="center"/>
          </w:tcPr>
          <w:p w14:paraId="379A1BD1">
            <w:pPr>
              <w:keepNext w:val="0"/>
              <w:keepLines w:val="0"/>
              <w:pageBreakBefore w:val="0"/>
              <w:widowControl w:val="0"/>
              <w:kinsoku/>
              <w:wordWrap/>
              <w:overflowPunct/>
              <w:topLinePunct w:val="0"/>
              <w:bidi w:val="0"/>
              <w:snapToGrid w:val="0"/>
              <w:spacing w:line="320" w:lineRule="exact"/>
              <w:ind w:firstLine="0" w:firstLineChars="0"/>
              <w:jc w:val="center"/>
              <w:textAlignment w:val="auto"/>
              <w:rPr>
                <w:rFonts w:hint="default" w:ascii="宋体" w:hAnsi="宋体" w:eastAsia="方正仿宋_GBK" w:cs="宋体"/>
                <w:color w:val="auto"/>
                <w:kern w:val="2"/>
                <w:sz w:val="21"/>
                <w:szCs w:val="21"/>
                <w:highlight w:val="none"/>
                <w:lang w:val="en-US" w:eastAsia="zh-CN" w:bidi="ar-SA"/>
              </w:rPr>
            </w:pPr>
            <w:r>
              <w:rPr>
                <w:rFonts w:hint="eastAsia" w:ascii="宋体" w:hAnsi="宋体" w:cs="宋体"/>
                <w:color w:val="auto"/>
                <w:sz w:val="21"/>
                <w:szCs w:val="21"/>
                <w:highlight w:val="none"/>
              </w:rPr>
              <w:t>信誉要求</w:t>
            </w:r>
          </w:p>
        </w:tc>
        <w:tc>
          <w:tcPr>
            <w:tcW w:w="5927" w:type="dxa"/>
            <w:shd w:val="clear" w:color="auto" w:fill="auto"/>
            <w:vAlign w:val="center"/>
          </w:tcPr>
          <w:p w14:paraId="69E7AB63">
            <w:pPr>
              <w:keepNext w:val="0"/>
              <w:keepLines w:val="0"/>
              <w:pageBreakBefore w:val="0"/>
              <w:widowControl w:val="0"/>
              <w:kinsoku/>
              <w:wordWrap/>
              <w:overflowPunct/>
              <w:topLinePunct w:val="0"/>
              <w:bidi w:val="0"/>
              <w:snapToGrid w:val="0"/>
              <w:spacing w:line="320" w:lineRule="exact"/>
              <w:ind w:firstLine="0" w:firstLineChars="0"/>
              <w:textAlignment w:val="auto"/>
              <w:rPr>
                <w:rFonts w:hint="default" w:ascii="宋体" w:hAnsi="宋体" w:eastAsia="方正仿宋_GBK" w:cs="宋体"/>
                <w:color w:val="auto"/>
                <w:kern w:val="2"/>
                <w:sz w:val="21"/>
                <w:szCs w:val="21"/>
                <w:highlight w:val="none"/>
                <w:lang w:val="en-US" w:eastAsia="zh-CN" w:bidi="ar-SA"/>
              </w:rPr>
            </w:pPr>
            <w:r>
              <w:rPr>
                <w:rFonts w:hint="eastAsia" w:ascii="宋体" w:hAnsi="宋体" w:cs="宋体"/>
                <w:color w:val="auto"/>
                <w:sz w:val="21"/>
                <w:szCs w:val="21"/>
                <w:highlight w:val="none"/>
              </w:rPr>
              <w:t>符合第一章</w:t>
            </w:r>
            <w:r>
              <w:rPr>
                <w:rFonts w:hint="eastAsia" w:ascii="宋体" w:hAnsi="宋体" w:cs="宋体"/>
                <w:color w:val="auto"/>
                <w:sz w:val="21"/>
                <w:szCs w:val="21"/>
                <w:highlight w:val="none"/>
                <w:lang w:val="en-US" w:eastAsia="zh-CN"/>
              </w:rPr>
              <w:t>询比采购公告</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二</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供应商</w:t>
            </w:r>
            <w:r>
              <w:rPr>
                <w:rFonts w:hint="eastAsia" w:ascii="宋体" w:hAnsi="宋体" w:cs="宋体"/>
                <w:color w:val="auto"/>
                <w:sz w:val="21"/>
                <w:szCs w:val="21"/>
                <w:highlight w:val="none"/>
              </w:rPr>
              <w:t>资格要求”规定。</w:t>
            </w:r>
          </w:p>
        </w:tc>
      </w:tr>
      <w:tr w14:paraId="2D8F4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12" w:type="dxa"/>
            <w:vMerge w:val="continue"/>
            <w:shd w:val="clear" w:color="auto" w:fill="auto"/>
            <w:vAlign w:val="center"/>
          </w:tcPr>
          <w:p w14:paraId="6C334715">
            <w:pPr>
              <w:keepNext w:val="0"/>
              <w:keepLines w:val="0"/>
              <w:pageBreakBefore w:val="0"/>
              <w:widowControl w:val="0"/>
              <w:kinsoku/>
              <w:wordWrap/>
              <w:overflowPunct/>
              <w:topLinePunct w:val="0"/>
              <w:bidi w:val="0"/>
              <w:snapToGrid w:val="0"/>
              <w:spacing w:line="320" w:lineRule="exact"/>
              <w:ind w:firstLine="0" w:firstLineChars="0"/>
              <w:textAlignment w:val="auto"/>
              <w:rPr>
                <w:rFonts w:hint="default" w:ascii="宋体" w:hAnsi="宋体" w:eastAsia="方正仿宋_GBK" w:cs="宋体"/>
                <w:color w:val="auto"/>
                <w:kern w:val="2"/>
                <w:sz w:val="21"/>
                <w:szCs w:val="21"/>
                <w:highlight w:val="none"/>
                <w:lang w:val="en-US" w:eastAsia="zh-CN" w:bidi="ar-SA"/>
              </w:rPr>
            </w:pPr>
          </w:p>
        </w:tc>
        <w:tc>
          <w:tcPr>
            <w:tcW w:w="1080" w:type="dxa"/>
            <w:shd w:val="clear" w:color="auto" w:fill="auto"/>
            <w:vAlign w:val="center"/>
          </w:tcPr>
          <w:p w14:paraId="22D3D7D3">
            <w:pPr>
              <w:keepNext w:val="0"/>
              <w:keepLines w:val="0"/>
              <w:pageBreakBefore w:val="0"/>
              <w:widowControl w:val="0"/>
              <w:kinsoku/>
              <w:wordWrap/>
              <w:overflowPunct/>
              <w:topLinePunct w:val="0"/>
              <w:bidi w:val="0"/>
              <w:snapToGrid w:val="0"/>
              <w:spacing w:line="320" w:lineRule="exact"/>
              <w:ind w:firstLine="0" w:firstLineChars="0"/>
              <w:jc w:val="center"/>
              <w:textAlignment w:val="auto"/>
              <w:rPr>
                <w:rFonts w:hint="default" w:ascii="宋体" w:hAnsi="宋体" w:eastAsia="方正仿宋_GBK" w:cs="宋体"/>
                <w:color w:val="auto"/>
                <w:kern w:val="2"/>
                <w:sz w:val="21"/>
                <w:szCs w:val="21"/>
                <w:highlight w:val="none"/>
                <w:lang w:val="en-US" w:eastAsia="zh-CN" w:bidi="ar-SA"/>
              </w:rPr>
            </w:pPr>
            <w:r>
              <w:rPr>
                <w:rFonts w:hint="eastAsia" w:ascii="宋体" w:hAnsi="宋体" w:cs="宋体"/>
                <w:color w:val="auto"/>
                <w:sz w:val="21"/>
                <w:szCs w:val="21"/>
                <w:highlight w:val="none"/>
              </w:rPr>
              <w:t>财务要求</w:t>
            </w:r>
          </w:p>
        </w:tc>
        <w:tc>
          <w:tcPr>
            <w:tcW w:w="5927" w:type="dxa"/>
            <w:shd w:val="clear" w:color="auto" w:fill="auto"/>
            <w:vAlign w:val="center"/>
          </w:tcPr>
          <w:p w14:paraId="1911C0D3">
            <w:pPr>
              <w:keepNext w:val="0"/>
              <w:keepLines w:val="0"/>
              <w:pageBreakBefore w:val="0"/>
              <w:widowControl w:val="0"/>
              <w:kinsoku/>
              <w:wordWrap/>
              <w:overflowPunct/>
              <w:topLinePunct w:val="0"/>
              <w:bidi w:val="0"/>
              <w:snapToGrid w:val="0"/>
              <w:spacing w:line="320" w:lineRule="exact"/>
              <w:ind w:firstLine="0" w:firstLineChars="0"/>
              <w:jc w:val="left"/>
              <w:textAlignment w:val="auto"/>
              <w:rPr>
                <w:rFonts w:hint="default" w:ascii="宋体" w:hAnsi="宋体" w:eastAsia="方正仿宋_GBK" w:cs="宋体"/>
                <w:color w:val="auto"/>
                <w:kern w:val="2"/>
                <w:sz w:val="21"/>
                <w:szCs w:val="21"/>
                <w:highlight w:val="none"/>
                <w:lang w:val="en-US" w:eastAsia="zh-CN" w:bidi="ar-SA"/>
              </w:rPr>
            </w:pPr>
            <w:r>
              <w:rPr>
                <w:rFonts w:hint="eastAsia" w:ascii="宋体" w:hAnsi="宋体" w:cs="宋体"/>
                <w:color w:val="auto"/>
                <w:sz w:val="21"/>
                <w:szCs w:val="21"/>
                <w:highlight w:val="none"/>
              </w:rPr>
              <w:t>符合第一章</w:t>
            </w:r>
            <w:r>
              <w:rPr>
                <w:rFonts w:hint="eastAsia" w:ascii="宋体" w:hAnsi="宋体" w:cs="宋体"/>
                <w:color w:val="auto"/>
                <w:sz w:val="21"/>
                <w:szCs w:val="21"/>
                <w:highlight w:val="none"/>
                <w:lang w:val="en-US" w:eastAsia="zh-CN"/>
              </w:rPr>
              <w:t>询比采购公告</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二</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供应商</w:t>
            </w:r>
            <w:r>
              <w:rPr>
                <w:rFonts w:hint="eastAsia" w:ascii="宋体" w:hAnsi="宋体" w:cs="宋体"/>
                <w:color w:val="auto"/>
                <w:sz w:val="21"/>
                <w:szCs w:val="21"/>
                <w:highlight w:val="none"/>
              </w:rPr>
              <w:t>资格要求”规定。</w:t>
            </w:r>
          </w:p>
        </w:tc>
      </w:tr>
      <w:tr w14:paraId="743E9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12" w:type="dxa"/>
            <w:vMerge w:val="continue"/>
            <w:shd w:val="clear" w:color="auto" w:fill="auto"/>
            <w:vAlign w:val="center"/>
          </w:tcPr>
          <w:p w14:paraId="0B671393">
            <w:pPr>
              <w:keepNext w:val="0"/>
              <w:keepLines w:val="0"/>
              <w:pageBreakBefore w:val="0"/>
              <w:widowControl w:val="0"/>
              <w:kinsoku/>
              <w:wordWrap/>
              <w:overflowPunct/>
              <w:topLinePunct w:val="0"/>
              <w:bidi w:val="0"/>
              <w:snapToGrid w:val="0"/>
              <w:spacing w:line="320" w:lineRule="exact"/>
              <w:ind w:firstLine="0" w:firstLineChars="0"/>
              <w:textAlignment w:val="auto"/>
              <w:rPr>
                <w:rFonts w:hint="default" w:ascii="宋体" w:hAnsi="宋体" w:eastAsia="方正仿宋_GBK" w:cs="宋体"/>
                <w:color w:val="auto"/>
                <w:kern w:val="2"/>
                <w:sz w:val="21"/>
                <w:szCs w:val="21"/>
                <w:highlight w:val="none"/>
                <w:lang w:val="en-US" w:eastAsia="zh-CN" w:bidi="ar-SA"/>
              </w:rPr>
            </w:pPr>
          </w:p>
        </w:tc>
        <w:tc>
          <w:tcPr>
            <w:tcW w:w="1080" w:type="dxa"/>
            <w:shd w:val="clear" w:color="auto" w:fill="auto"/>
            <w:vAlign w:val="center"/>
          </w:tcPr>
          <w:p w14:paraId="6EF06EC0">
            <w:pPr>
              <w:keepNext w:val="0"/>
              <w:keepLines w:val="0"/>
              <w:pageBreakBefore w:val="0"/>
              <w:widowControl w:val="0"/>
              <w:kinsoku/>
              <w:wordWrap/>
              <w:overflowPunct/>
              <w:topLinePunct w:val="0"/>
              <w:bidi w:val="0"/>
              <w:snapToGrid w:val="0"/>
              <w:spacing w:line="320" w:lineRule="exact"/>
              <w:ind w:firstLine="0" w:firstLineChars="0"/>
              <w:jc w:val="center"/>
              <w:textAlignment w:val="auto"/>
              <w:rPr>
                <w:rFonts w:hint="default" w:ascii="宋体" w:hAnsi="宋体" w:eastAsia="方正仿宋_GBK" w:cs="宋体"/>
                <w:color w:val="auto"/>
                <w:kern w:val="2"/>
                <w:sz w:val="21"/>
                <w:szCs w:val="21"/>
                <w:highlight w:val="none"/>
                <w:lang w:val="en-US" w:eastAsia="zh-CN" w:bidi="ar-SA"/>
              </w:rPr>
            </w:pPr>
            <w:r>
              <w:rPr>
                <w:rFonts w:hint="eastAsia" w:ascii="宋体" w:hAnsi="宋体" w:cs="宋体"/>
                <w:color w:val="auto"/>
                <w:sz w:val="21"/>
                <w:szCs w:val="21"/>
                <w:highlight w:val="none"/>
              </w:rPr>
              <w:t>其他要求</w:t>
            </w:r>
          </w:p>
        </w:tc>
        <w:tc>
          <w:tcPr>
            <w:tcW w:w="5927" w:type="dxa"/>
            <w:shd w:val="clear" w:color="auto" w:fill="auto"/>
            <w:vAlign w:val="center"/>
          </w:tcPr>
          <w:p w14:paraId="016CA291">
            <w:pPr>
              <w:keepNext w:val="0"/>
              <w:keepLines w:val="0"/>
              <w:pageBreakBefore w:val="0"/>
              <w:widowControl w:val="0"/>
              <w:kinsoku/>
              <w:wordWrap/>
              <w:overflowPunct/>
              <w:topLinePunct w:val="0"/>
              <w:bidi w:val="0"/>
              <w:snapToGrid w:val="0"/>
              <w:spacing w:line="320" w:lineRule="exact"/>
              <w:ind w:firstLine="0" w:firstLineChars="0"/>
              <w:jc w:val="left"/>
              <w:textAlignment w:val="auto"/>
              <w:rPr>
                <w:rFonts w:hint="default" w:ascii="宋体" w:hAnsi="宋体" w:eastAsia="方正仿宋_GBK" w:cs="宋体"/>
                <w:color w:val="auto"/>
                <w:kern w:val="2"/>
                <w:sz w:val="21"/>
                <w:szCs w:val="21"/>
                <w:highlight w:val="none"/>
                <w:lang w:val="en-US" w:eastAsia="zh-CN" w:bidi="ar-SA"/>
              </w:rPr>
            </w:pPr>
            <w:r>
              <w:rPr>
                <w:rFonts w:hint="eastAsia" w:ascii="宋体" w:hAnsi="宋体" w:cs="宋体"/>
                <w:color w:val="auto"/>
                <w:sz w:val="21"/>
                <w:szCs w:val="21"/>
                <w:highlight w:val="none"/>
              </w:rPr>
              <w:t>符合第一章</w:t>
            </w:r>
            <w:r>
              <w:rPr>
                <w:rFonts w:hint="eastAsia" w:ascii="宋体" w:hAnsi="宋体" w:cs="宋体"/>
                <w:color w:val="auto"/>
                <w:sz w:val="21"/>
                <w:szCs w:val="21"/>
                <w:highlight w:val="none"/>
                <w:lang w:val="en-US" w:eastAsia="zh-CN"/>
              </w:rPr>
              <w:t>询比采购公告</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二</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供应商</w:t>
            </w:r>
            <w:r>
              <w:rPr>
                <w:rFonts w:hint="eastAsia" w:ascii="宋体" w:hAnsi="宋体" w:cs="宋体"/>
                <w:color w:val="auto"/>
                <w:sz w:val="21"/>
                <w:szCs w:val="21"/>
                <w:highlight w:val="none"/>
              </w:rPr>
              <w:t>资格要求”规定。</w:t>
            </w:r>
          </w:p>
        </w:tc>
      </w:tr>
    </w:tbl>
    <w:p w14:paraId="0A4E054F">
      <w:pPr>
        <w:bidi w:val="0"/>
        <w:rPr>
          <w:rFonts w:hint="eastAsia"/>
          <w:lang w:val="en-US" w:eastAsia="zh-CN"/>
        </w:rPr>
      </w:pPr>
      <w:r>
        <w:rPr>
          <w:rFonts w:hint="eastAsia"/>
          <w:lang w:val="en-US" w:eastAsia="zh-CN"/>
        </w:rPr>
        <w:t>2.2符合性评审审查</w:t>
      </w:r>
    </w:p>
    <w:p w14:paraId="1D88B09F">
      <w:pPr>
        <w:bidi w:val="0"/>
        <w:rPr>
          <w:rFonts w:hint="default"/>
          <w:lang w:val="en-US" w:eastAsia="zh-CN"/>
        </w:rPr>
      </w:pPr>
      <w:r>
        <w:rPr>
          <w:rFonts w:hint="eastAsia"/>
          <w:lang w:val="en-US" w:eastAsia="zh-CN"/>
        </w:rPr>
        <w:t>响应文件</w:t>
      </w:r>
      <w:r>
        <w:rPr>
          <w:rFonts w:hint="default"/>
          <w:lang w:val="en-US" w:eastAsia="zh-CN"/>
        </w:rPr>
        <w:t>不符合符合性评审规定的不通过符合性评审，作为无效</w:t>
      </w:r>
      <w:r>
        <w:rPr>
          <w:rFonts w:hint="eastAsia"/>
          <w:lang w:val="en-US" w:eastAsia="zh-CN"/>
        </w:rPr>
        <w:t>响应</w:t>
      </w:r>
      <w:r>
        <w:rPr>
          <w:rFonts w:hint="default"/>
          <w:lang w:val="en-US" w:eastAsia="zh-CN"/>
        </w:rPr>
        <w:t>处理；不进入详细评审。审查内容如下：</w:t>
      </w:r>
    </w:p>
    <w:tbl>
      <w:tblPr>
        <w:tblStyle w:val="18"/>
        <w:tblW w:w="851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5"/>
        <w:gridCol w:w="1202"/>
        <w:gridCol w:w="6622"/>
      </w:tblGrid>
      <w:tr w14:paraId="25D8DA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tblHeader/>
          <w:jc w:val="center"/>
        </w:trPr>
        <w:tc>
          <w:tcPr>
            <w:tcW w:w="695" w:type="dxa"/>
            <w:tcBorders>
              <w:top w:val="single" w:color="000000" w:sz="4" w:space="0"/>
              <w:left w:val="single" w:color="000000" w:sz="4" w:space="0"/>
              <w:bottom w:val="single" w:color="000000" w:sz="4" w:space="0"/>
              <w:right w:val="single" w:color="000000" w:sz="4" w:space="0"/>
            </w:tcBorders>
            <w:noWrap w:val="0"/>
            <w:vAlign w:val="center"/>
          </w:tcPr>
          <w:p w14:paraId="7899B764">
            <w:pPr>
              <w:keepNext/>
              <w:keepLines w:val="0"/>
              <w:pageBreakBefore w:val="0"/>
              <w:kinsoku/>
              <w:wordWrap/>
              <w:overflowPunct/>
              <w:topLinePunct w:val="0"/>
              <w:autoSpaceDE/>
              <w:autoSpaceDN/>
              <w:bidi w:val="0"/>
              <w:snapToGrid w:val="0"/>
              <w:spacing w:line="320" w:lineRule="exact"/>
              <w:ind w:left="0" w:leftChars="0" w:right="0" w:rightChars="0" w:firstLine="0" w:firstLineChars="0"/>
              <w:jc w:val="center"/>
              <w:textAlignment w:val="auto"/>
              <w:rPr>
                <w:rStyle w:val="31"/>
                <w:rFonts w:hint="default" w:ascii="Times New Roman" w:hAnsi="Times New Roman" w:cs="Times New Roman"/>
                <w:b/>
                <w:color w:val="auto"/>
                <w:kern w:val="0"/>
                <w:sz w:val="21"/>
                <w:szCs w:val="21"/>
                <w:highlight w:val="none"/>
              </w:rPr>
            </w:pPr>
            <w:r>
              <w:rPr>
                <w:rStyle w:val="31"/>
                <w:rFonts w:hint="default" w:ascii="Times New Roman" w:hAnsi="Times New Roman" w:cs="Times New Roman"/>
                <w:b/>
                <w:color w:val="auto"/>
                <w:kern w:val="0"/>
                <w:sz w:val="21"/>
                <w:szCs w:val="21"/>
                <w:highlight w:val="none"/>
              </w:rPr>
              <w:t>序号</w:t>
            </w:r>
          </w:p>
        </w:tc>
        <w:tc>
          <w:tcPr>
            <w:tcW w:w="1202" w:type="dxa"/>
            <w:tcBorders>
              <w:top w:val="single" w:color="000000" w:sz="4" w:space="0"/>
              <w:left w:val="single" w:color="000000" w:sz="4" w:space="0"/>
              <w:bottom w:val="single" w:color="000000" w:sz="4" w:space="0"/>
              <w:right w:val="single" w:color="000000" w:sz="4" w:space="0"/>
            </w:tcBorders>
            <w:noWrap w:val="0"/>
            <w:vAlign w:val="center"/>
          </w:tcPr>
          <w:p w14:paraId="3A6F892B">
            <w:pPr>
              <w:keepNext/>
              <w:keepLines w:val="0"/>
              <w:pageBreakBefore w:val="0"/>
              <w:kinsoku/>
              <w:wordWrap/>
              <w:overflowPunct/>
              <w:topLinePunct w:val="0"/>
              <w:autoSpaceDE/>
              <w:autoSpaceDN/>
              <w:bidi w:val="0"/>
              <w:snapToGrid w:val="0"/>
              <w:spacing w:line="320" w:lineRule="exact"/>
              <w:ind w:left="0" w:leftChars="0" w:right="0" w:rightChars="0" w:firstLine="0" w:firstLineChars="0"/>
              <w:jc w:val="center"/>
              <w:textAlignment w:val="auto"/>
              <w:rPr>
                <w:rStyle w:val="31"/>
                <w:rFonts w:hint="default" w:ascii="Times New Roman" w:hAnsi="Times New Roman" w:cs="Times New Roman"/>
                <w:b/>
                <w:color w:val="auto"/>
                <w:kern w:val="0"/>
                <w:sz w:val="21"/>
                <w:szCs w:val="21"/>
                <w:highlight w:val="none"/>
              </w:rPr>
            </w:pPr>
            <w:r>
              <w:rPr>
                <w:rStyle w:val="31"/>
                <w:rFonts w:hint="default" w:ascii="Times New Roman" w:hAnsi="Times New Roman" w:cs="Times New Roman"/>
                <w:b/>
                <w:color w:val="auto"/>
                <w:kern w:val="0"/>
                <w:sz w:val="21"/>
                <w:szCs w:val="21"/>
                <w:highlight w:val="none"/>
              </w:rPr>
              <w:t>评审因素</w:t>
            </w:r>
          </w:p>
        </w:tc>
        <w:tc>
          <w:tcPr>
            <w:tcW w:w="6622" w:type="dxa"/>
            <w:tcBorders>
              <w:top w:val="single" w:color="000000" w:sz="4" w:space="0"/>
              <w:left w:val="single" w:color="000000" w:sz="4" w:space="0"/>
              <w:bottom w:val="single" w:color="000000" w:sz="4" w:space="0"/>
              <w:right w:val="single" w:color="000000" w:sz="4" w:space="0"/>
            </w:tcBorders>
            <w:noWrap w:val="0"/>
            <w:vAlign w:val="center"/>
          </w:tcPr>
          <w:p w14:paraId="001C0543">
            <w:pPr>
              <w:keepNext/>
              <w:keepLines w:val="0"/>
              <w:pageBreakBefore w:val="0"/>
              <w:kinsoku/>
              <w:wordWrap/>
              <w:overflowPunct/>
              <w:topLinePunct w:val="0"/>
              <w:autoSpaceDE/>
              <w:autoSpaceDN/>
              <w:bidi w:val="0"/>
              <w:snapToGrid w:val="0"/>
              <w:spacing w:line="320" w:lineRule="exact"/>
              <w:ind w:left="0" w:leftChars="0" w:right="0" w:rightChars="0" w:firstLine="0" w:firstLineChars="0"/>
              <w:jc w:val="center"/>
              <w:textAlignment w:val="auto"/>
              <w:rPr>
                <w:rStyle w:val="31"/>
                <w:rFonts w:hint="default" w:ascii="Times New Roman" w:hAnsi="Times New Roman" w:cs="Times New Roman"/>
                <w:b/>
                <w:color w:val="auto"/>
                <w:kern w:val="0"/>
                <w:sz w:val="21"/>
                <w:szCs w:val="21"/>
                <w:highlight w:val="none"/>
              </w:rPr>
            </w:pPr>
            <w:r>
              <w:rPr>
                <w:rStyle w:val="31"/>
                <w:rFonts w:hint="default" w:ascii="Times New Roman" w:hAnsi="Times New Roman" w:cs="Times New Roman"/>
                <w:b/>
                <w:color w:val="auto"/>
                <w:kern w:val="0"/>
                <w:sz w:val="21"/>
                <w:szCs w:val="21"/>
                <w:highlight w:val="none"/>
              </w:rPr>
              <w:t>评审标准</w:t>
            </w:r>
          </w:p>
        </w:tc>
      </w:tr>
      <w:tr w14:paraId="5D849D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695" w:type="dxa"/>
            <w:tcBorders>
              <w:top w:val="single" w:color="000000" w:sz="4" w:space="0"/>
              <w:left w:val="single" w:color="000000" w:sz="4" w:space="0"/>
              <w:bottom w:val="single" w:color="000000" w:sz="4" w:space="0"/>
              <w:right w:val="single" w:color="000000" w:sz="4" w:space="0"/>
            </w:tcBorders>
            <w:noWrap w:val="0"/>
            <w:vAlign w:val="center"/>
          </w:tcPr>
          <w:p w14:paraId="770D8A8F">
            <w:pPr>
              <w:keepNext/>
              <w:keepLines w:val="0"/>
              <w:pageBreakBefore w:val="0"/>
              <w:kinsoku/>
              <w:wordWrap/>
              <w:overflowPunct/>
              <w:topLinePunct w:val="0"/>
              <w:autoSpaceDE/>
              <w:autoSpaceDN/>
              <w:bidi w:val="0"/>
              <w:snapToGrid w:val="0"/>
              <w:spacing w:line="320" w:lineRule="exact"/>
              <w:ind w:left="0" w:leftChars="0" w:right="0" w:rightChars="0" w:firstLine="0" w:firstLineChars="0"/>
              <w:jc w:val="center"/>
              <w:textAlignment w:val="auto"/>
              <w:rPr>
                <w:rStyle w:val="31"/>
                <w:rFonts w:hint="default" w:ascii="Times New Roman" w:hAnsi="Times New Roman" w:eastAsia="方正仿宋_GBK" w:cs="Times New Roman"/>
                <w:b/>
                <w:color w:val="auto"/>
                <w:kern w:val="0"/>
                <w:sz w:val="21"/>
                <w:szCs w:val="21"/>
                <w:highlight w:val="none"/>
              </w:rPr>
            </w:pPr>
            <w:r>
              <w:rPr>
                <w:rStyle w:val="31"/>
                <w:rFonts w:hint="default" w:ascii="Times New Roman" w:hAnsi="Times New Roman" w:eastAsia="方正仿宋_GBK" w:cs="Times New Roman"/>
                <w:bCs/>
                <w:color w:val="auto"/>
                <w:kern w:val="0"/>
                <w:sz w:val="21"/>
                <w:szCs w:val="21"/>
                <w:highlight w:val="none"/>
              </w:rPr>
              <w:t>1</w:t>
            </w:r>
          </w:p>
        </w:tc>
        <w:tc>
          <w:tcPr>
            <w:tcW w:w="1202" w:type="dxa"/>
            <w:tcBorders>
              <w:top w:val="single" w:color="000000" w:sz="4" w:space="0"/>
              <w:left w:val="single" w:color="000000" w:sz="4" w:space="0"/>
              <w:bottom w:val="single" w:color="000000" w:sz="4" w:space="0"/>
              <w:right w:val="single" w:color="000000" w:sz="4" w:space="0"/>
            </w:tcBorders>
            <w:noWrap w:val="0"/>
            <w:vAlign w:val="center"/>
          </w:tcPr>
          <w:p w14:paraId="042265FA">
            <w:pPr>
              <w:keepNext/>
              <w:keepLines w:val="0"/>
              <w:pageBreakBefore w:val="0"/>
              <w:kinsoku/>
              <w:wordWrap/>
              <w:overflowPunct/>
              <w:topLinePunct w:val="0"/>
              <w:autoSpaceDE/>
              <w:autoSpaceDN/>
              <w:bidi w:val="0"/>
              <w:snapToGrid w:val="0"/>
              <w:spacing w:line="320" w:lineRule="exact"/>
              <w:ind w:left="0" w:leftChars="0" w:right="0" w:rightChars="0" w:firstLine="0" w:firstLineChars="0"/>
              <w:jc w:val="center"/>
              <w:textAlignment w:val="auto"/>
              <w:rPr>
                <w:rFonts w:hint="default" w:ascii="Times New Roman" w:hAnsi="Times New Roman" w:eastAsia="方正仿宋_GBK" w:cs="Times New Roman"/>
                <w:color w:val="auto"/>
                <w:kern w:val="0"/>
                <w:sz w:val="21"/>
                <w:szCs w:val="21"/>
                <w:highlight w:val="none"/>
                <w:lang w:val="en-US" w:eastAsia="zh-CN" w:bidi="ar-SA"/>
              </w:rPr>
            </w:pPr>
            <w:r>
              <w:rPr>
                <w:rStyle w:val="31"/>
                <w:rFonts w:hint="eastAsia" w:ascii="Times New Roman" w:hAnsi="Times New Roman" w:cs="Times New Roman"/>
                <w:color w:val="auto"/>
                <w:kern w:val="0"/>
                <w:sz w:val="21"/>
                <w:szCs w:val="21"/>
                <w:highlight w:val="none"/>
                <w:lang w:val="en-US" w:eastAsia="zh-CN"/>
              </w:rPr>
              <w:t>供应商</w:t>
            </w:r>
            <w:r>
              <w:rPr>
                <w:rStyle w:val="31"/>
                <w:rFonts w:hint="default" w:ascii="Times New Roman" w:hAnsi="Times New Roman" w:eastAsia="方正仿宋_GBK" w:cs="Times New Roman"/>
                <w:color w:val="auto"/>
                <w:kern w:val="0"/>
                <w:sz w:val="21"/>
                <w:szCs w:val="21"/>
                <w:highlight w:val="none"/>
              </w:rPr>
              <w:t>名称</w:t>
            </w:r>
          </w:p>
        </w:tc>
        <w:tc>
          <w:tcPr>
            <w:tcW w:w="6622" w:type="dxa"/>
            <w:tcBorders>
              <w:top w:val="single" w:color="000000" w:sz="4" w:space="0"/>
              <w:left w:val="single" w:color="000000" w:sz="4" w:space="0"/>
              <w:bottom w:val="single" w:color="000000" w:sz="4" w:space="0"/>
              <w:right w:val="single" w:color="000000" w:sz="4" w:space="0"/>
            </w:tcBorders>
            <w:noWrap w:val="0"/>
            <w:vAlign w:val="center"/>
          </w:tcPr>
          <w:p w14:paraId="55E8B2FB">
            <w:pPr>
              <w:keepNext/>
              <w:keepLines w:val="0"/>
              <w:pageBreakBefore w:val="0"/>
              <w:kinsoku/>
              <w:wordWrap/>
              <w:overflowPunct/>
              <w:topLinePunct w:val="0"/>
              <w:autoSpaceDE/>
              <w:autoSpaceDN/>
              <w:bidi w:val="0"/>
              <w:snapToGrid w:val="0"/>
              <w:spacing w:line="320" w:lineRule="exact"/>
              <w:ind w:left="0" w:leftChars="0" w:right="0" w:rightChars="0" w:firstLine="0" w:firstLineChars="0"/>
              <w:jc w:val="left"/>
              <w:textAlignment w:val="auto"/>
              <w:rPr>
                <w:rFonts w:hint="default" w:ascii="Times New Roman" w:hAnsi="Times New Roman" w:eastAsia="方正仿宋_GBK" w:cs="Times New Roman"/>
                <w:color w:val="auto"/>
                <w:kern w:val="0"/>
                <w:sz w:val="21"/>
                <w:szCs w:val="21"/>
                <w:highlight w:val="none"/>
                <w:lang w:val="en-US" w:eastAsia="zh-CN" w:bidi="ar-SA"/>
              </w:rPr>
            </w:pPr>
            <w:r>
              <w:rPr>
                <w:rStyle w:val="31"/>
                <w:rFonts w:hint="default" w:ascii="Times New Roman" w:hAnsi="Times New Roman" w:eastAsia="方正仿宋_GBK" w:cs="Times New Roman"/>
                <w:color w:val="auto"/>
                <w:kern w:val="0"/>
                <w:sz w:val="21"/>
                <w:szCs w:val="21"/>
                <w:highlight w:val="none"/>
              </w:rPr>
              <w:t>与营业执照（事业单位法人证书）或其他法定类型证明文件一致</w:t>
            </w:r>
          </w:p>
        </w:tc>
      </w:tr>
      <w:tr w14:paraId="2FE5AC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695" w:type="dxa"/>
            <w:tcBorders>
              <w:top w:val="single" w:color="000000" w:sz="4" w:space="0"/>
              <w:left w:val="single" w:color="000000" w:sz="4" w:space="0"/>
              <w:bottom w:val="single" w:color="000000" w:sz="4" w:space="0"/>
              <w:right w:val="single" w:color="000000" w:sz="4" w:space="0"/>
            </w:tcBorders>
            <w:noWrap w:val="0"/>
            <w:vAlign w:val="center"/>
          </w:tcPr>
          <w:p w14:paraId="7122DE78">
            <w:pPr>
              <w:keepNext/>
              <w:keepLines w:val="0"/>
              <w:pageBreakBefore w:val="0"/>
              <w:kinsoku/>
              <w:wordWrap/>
              <w:overflowPunct/>
              <w:topLinePunct w:val="0"/>
              <w:autoSpaceDE/>
              <w:autoSpaceDN/>
              <w:bidi w:val="0"/>
              <w:snapToGrid w:val="0"/>
              <w:spacing w:line="320" w:lineRule="exact"/>
              <w:ind w:left="0" w:leftChars="0" w:right="0" w:rightChars="0" w:firstLine="0" w:firstLineChars="0"/>
              <w:jc w:val="center"/>
              <w:textAlignment w:val="auto"/>
              <w:rPr>
                <w:rStyle w:val="31"/>
                <w:rFonts w:hint="default" w:ascii="Times New Roman" w:hAnsi="Times New Roman" w:eastAsia="方正仿宋_GBK" w:cs="Times New Roman"/>
                <w:color w:val="auto"/>
                <w:kern w:val="0"/>
                <w:sz w:val="21"/>
                <w:szCs w:val="21"/>
                <w:highlight w:val="none"/>
              </w:rPr>
            </w:pPr>
            <w:r>
              <w:rPr>
                <w:rStyle w:val="31"/>
                <w:rFonts w:hint="default" w:ascii="Times New Roman" w:hAnsi="Times New Roman" w:eastAsia="方正仿宋_GBK" w:cs="Times New Roman"/>
                <w:color w:val="auto"/>
                <w:kern w:val="0"/>
                <w:sz w:val="21"/>
                <w:szCs w:val="21"/>
                <w:highlight w:val="none"/>
              </w:rPr>
              <w:t>2</w:t>
            </w:r>
          </w:p>
        </w:tc>
        <w:tc>
          <w:tcPr>
            <w:tcW w:w="1202" w:type="dxa"/>
            <w:tcBorders>
              <w:top w:val="single" w:color="000000" w:sz="4" w:space="0"/>
              <w:left w:val="single" w:color="000000" w:sz="4" w:space="0"/>
              <w:bottom w:val="single" w:color="000000" w:sz="4" w:space="0"/>
              <w:right w:val="single" w:color="000000" w:sz="4" w:space="0"/>
            </w:tcBorders>
            <w:noWrap w:val="0"/>
            <w:vAlign w:val="center"/>
          </w:tcPr>
          <w:p w14:paraId="40F264AB">
            <w:pPr>
              <w:keepNext/>
              <w:keepLines w:val="0"/>
              <w:pageBreakBefore w:val="0"/>
              <w:kinsoku/>
              <w:wordWrap/>
              <w:overflowPunct/>
              <w:topLinePunct w:val="0"/>
              <w:autoSpaceDE/>
              <w:autoSpaceDN/>
              <w:bidi w:val="0"/>
              <w:snapToGrid w:val="0"/>
              <w:spacing w:line="320" w:lineRule="exact"/>
              <w:ind w:left="0" w:leftChars="0" w:right="0" w:rightChars="0" w:firstLine="0" w:firstLineChars="0"/>
              <w:jc w:val="center"/>
              <w:textAlignment w:val="auto"/>
              <w:rPr>
                <w:rFonts w:hint="default" w:ascii="Times New Roman" w:hAnsi="Times New Roman" w:eastAsia="方正仿宋_GBK" w:cs="Times New Roman"/>
                <w:color w:val="auto"/>
                <w:kern w:val="0"/>
                <w:sz w:val="21"/>
                <w:szCs w:val="21"/>
                <w:highlight w:val="none"/>
                <w:lang w:val="en-US" w:eastAsia="zh-CN" w:bidi="ar-SA"/>
              </w:rPr>
            </w:pPr>
            <w:r>
              <w:rPr>
                <w:rStyle w:val="31"/>
                <w:rFonts w:hint="eastAsia" w:cs="Times New Roman"/>
                <w:color w:val="auto"/>
                <w:kern w:val="0"/>
                <w:sz w:val="21"/>
                <w:szCs w:val="21"/>
                <w:highlight w:val="none"/>
                <w:lang w:val="en-US" w:eastAsia="zh-CN"/>
              </w:rPr>
              <w:t>响应文件</w:t>
            </w:r>
            <w:r>
              <w:rPr>
                <w:rStyle w:val="31"/>
                <w:rFonts w:hint="default" w:ascii="Times New Roman" w:hAnsi="Times New Roman" w:eastAsia="方正仿宋_GBK" w:cs="Times New Roman"/>
                <w:color w:val="auto"/>
                <w:kern w:val="0"/>
                <w:sz w:val="21"/>
                <w:szCs w:val="21"/>
                <w:highlight w:val="none"/>
              </w:rPr>
              <w:t>签字、盖章</w:t>
            </w:r>
          </w:p>
        </w:tc>
        <w:tc>
          <w:tcPr>
            <w:tcW w:w="6622" w:type="dxa"/>
            <w:tcBorders>
              <w:top w:val="single" w:color="000000" w:sz="4" w:space="0"/>
              <w:left w:val="single" w:color="000000" w:sz="4" w:space="0"/>
              <w:bottom w:val="single" w:color="000000" w:sz="4" w:space="0"/>
              <w:right w:val="single" w:color="000000" w:sz="4" w:space="0"/>
            </w:tcBorders>
            <w:noWrap w:val="0"/>
            <w:vAlign w:val="center"/>
          </w:tcPr>
          <w:p w14:paraId="745BF7C4">
            <w:pPr>
              <w:keepNext/>
              <w:keepLines w:val="0"/>
              <w:pageBreakBefore w:val="0"/>
              <w:kinsoku/>
              <w:wordWrap/>
              <w:overflowPunct/>
              <w:topLinePunct w:val="0"/>
              <w:autoSpaceDE/>
              <w:autoSpaceDN/>
              <w:bidi w:val="0"/>
              <w:snapToGrid w:val="0"/>
              <w:spacing w:line="320" w:lineRule="exact"/>
              <w:ind w:left="0" w:leftChars="0" w:right="0" w:rightChars="0" w:firstLine="0" w:firstLineChars="0"/>
              <w:jc w:val="left"/>
              <w:textAlignment w:val="auto"/>
              <w:rPr>
                <w:rFonts w:hint="default" w:ascii="Times New Roman" w:hAnsi="Times New Roman" w:eastAsia="方正仿宋_GBK" w:cs="Times New Roman"/>
                <w:color w:val="auto"/>
                <w:kern w:val="0"/>
                <w:sz w:val="21"/>
                <w:szCs w:val="21"/>
                <w:highlight w:val="none"/>
                <w:lang w:val="en-US" w:eastAsia="zh-CN" w:bidi="ar-SA"/>
              </w:rPr>
            </w:pPr>
            <w:r>
              <w:rPr>
                <w:rStyle w:val="31"/>
                <w:rFonts w:hint="default" w:ascii="Times New Roman" w:hAnsi="Times New Roman" w:eastAsia="方正仿宋_GBK" w:cs="Times New Roman"/>
                <w:color w:val="auto"/>
                <w:kern w:val="0"/>
                <w:sz w:val="21"/>
                <w:szCs w:val="21"/>
                <w:highlight w:val="none"/>
              </w:rPr>
              <w:t>按第五章</w:t>
            </w:r>
            <w:r>
              <w:rPr>
                <w:rStyle w:val="31"/>
                <w:rFonts w:hint="eastAsia" w:cs="Times New Roman"/>
                <w:color w:val="auto"/>
                <w:kern w:val="0"/>
                <w:sz w:val="21"/>
                <w:szCs w:val="21"/>
                <w:highlight w:val="none"/>
                <w:lang w:eastAsia="zh-CN"/>
              </w:rPr>
              <w:t>“</w:t>
            </w:r>
            <w:r>
              <w:rPr>
                <w:rStyle w:val="31"/>
                <w:rFonts w:hint="eastAsia" w:cs="Times New Roman"/>
                <w:color w:val="auto"/>
                <w:kern w:val="0"/>
                <w:sz w:val="21"/>
                <w:szCs w:val="21"/>
                <w:highlight w:val="none"/>
                <w:lang w:val="en-US" w:eastAsia="zh-CN"/>
              </w:rPr>
              <w:t>响应文件</w:t>
            </w:r>
            <w:r>
              <w:rPr>
                <w:rStyle w:val="31"/>
                <w:rFonts w:hint="default" w:ascii="Times New Roman" w:hAnsi="Times New Roman" w:eastAsia="方正仿宋_GBK" w:cs="Times New Roman"/>
                <w:color w:val="auto"/>
                <w:kern w:val="0"/>
                <w:sz w:val="21"/>
                <w:szCs w:val="21"/>
                <w:highlight w:val="none"/>
              </w:rPr>
              <w:t>格式</w:t>
            </w:r>
            <w:r>
              <w:rPr>
                <w:rStyle w:val="31"/>
                <w:rFonts w:hint="eastAsia" w:cs="Times New Roman"/>
                <w:color w:val="auto"/>
                <w:kern w:val="0"/>
                <w:sz w:val="21"/>
                <w:szCs w:val="21"/>
                <w:highlight w:val="none"/>
                <w:lang w:eastAsia="zh-CN"/>
              </w:rPr>
              <w:t>”</w:t>
            </w:r>
            <w:r>
              <w:rPr>
                <w:rStyle w:val="31"/>
                <w:rFonts w:hint="default" w:ascii="Times New Roman" w:hAnsi="Times New Roman" w:eastAsia="方正仿宋_GBK" w:cs="Times New Roman"/>
                <w:color w:val="auto"/>
                <w:kern w:val="0"/>
                <w:sz w:val="21"/>
                <w:szCs w:val="21"/>
                <w:highlight w:val="none"/>
              </w:rPr>
              <w:t>要求在规定位置</w:t>
            </w:r>
            <w:r>
              <w:rPr>
                <w:rStyle w:val="31"/>
                <w:rFonts w:hint="eastAsia" w:ascii="Times New Roman" w:hAnsi="Times New Roman" w:eastAsia="方正仿宋_GBK" w:cs="Times New Roman"/>
                <w:color w:val="auto"/>
                <w:kern w:val="0"/>
                <w:sz w:val="21"/>
                <w:szCs w:val="21"/>
                <w:highlight w:val="none"/>
                <w:lang w:val="en-US" w:eastAsia="zh-CN"/>
              </w:rPr>
              <w:t>盖章</w:t>
            </w:r>
            <w:r>
              <w:rPr>
                <w:rStyle w:val="31"/>
                <w:rFonts w:hint="default" w:ascii="Times New Roman" w:hAnsi="Times New Roman" w:eastAsia="方正仿宋_GBK" w:cs="Times New Roman"/>
                <w:color w:val="auto"/>
                <w:kern w:val="0"/>
                <w:sz w:val="21"/>
                <w:szCs w:val="21"/>
                <w:highlight w:val="none"/>
              </w:rPr>
              <w:t>、签字</w:t>
            </w:r>
          </w:p>
        </w:tc>
      </w:tr>
      <w:tr w14:paraId="29C699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695" w:type="dxa"/>
            <w:tcBorders>
              <w:top w:val="single" w:color="000000" w:sz="4" w:space="0"/>
              <w:left w:val="single" w:color="000000" w:sz="4" w:space="0"/>
              <w:bottom w:val="single" w:color="000000" w:sz="4" w:space="0"/>
              <w:right w:val="single" w:color="000000" w:sz="4" w:space="0"/>
            </w:tcBorders>
            <w:noWrap w:val="0"/>
            <w:vAlign w:val="center"/>
          </w:tcPr>
          <w:p w14:paraId="3F8F2B9E">
            <w:pPr>
              <w:keepNext/>
              <w:keepLines w:val="0"/>
              <w:pageBreakBefore w:val="0"/>
              <w:kinsoku/>
              <w:wordWrap/>
              <w:overflowPunct/>
              <w:topLinePunct w:val="0"/>
              <w:autoSpaceDE/>
              <w:autoSpaceDN/>
              <w:bidi w:val="0"/>
              <w:snapToGrid w:val="0"/>
              <w:spacing w:line="320" w:lineRule="exact"/>
              <w:ind w:left="0" w:leftChars="0" w:right="0" w:rightChars="0" w:firstLine="0" w:firstLineChars="0"/>
              <w:jc w:val="center"/>
              <w:textAlignment w:val="auto"/>
              <w:rPr>
                <w:rStyle w:val="31"/>
                <w:rFonts w:hint="default" w:ascii="Times New Roman" w:hAnsi="Times New Roman" w:eastAsia="方正仿宋_GBK" w:cs="Times New Roman"/>
                <w:color w:val="auto"/>
                <w:kern w:val="0"/>
                <w:sz w:val="21"/>
                <w:szCs w:val="21"/>
                <w:highlight w:val="none"/>
              </w:rPr>
            </w:pPr>
            <w:r>
              <w:rPr>
                <w:rStyle w:val="31"/>
                <w:rFonts w:hint="default" w:ascii="Times New Roman" w:hAnsi="Times New Roman" w:eastAsia="方正仿宋_GBK" w:cs="Times New Roman"/>
                <w:color w:val="auto"/>
                <w:kern w:val="0"/>
                <w:sz w:val="21"/>
                <w:szCs w:val="21"/>
                <w:highlight w:val="none"/>
              </w:rPr>
              <w:t>3</w:t>
            </w:r>
          </w:p>
        </w:tc>
        <w:tc>
          <w:tcPr>
            <w:tcW w:w="1202" w:type="dxa"/>
            <w:tcBorders>
              <w:top w:val="single" w:color="000000" w:sz="4" w:space="0"/>
              <w:left w:val="single" w:color="000000" w:sz="4" w:space="0"/>
              <w:bottom w:val="single" w:color="000000" w:sz="4" w:space="0"/>
              <w:right w:val="single" w:color="000000" w:sz="4" w:space="0"/>
            </w:tcBorders>
            <w:noWrap w:val="0"/>
            <w:vAlign w:val="center"/>
          </w:tcPr>
          <w:p w14:paraId="15558E19">
            <w:pPr>
              <w:keepNext/>
              <w:keepLines w:val="0"/>
              <w:pageBreakBefore w:val="0"/>
              <w:widowControl/>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rPr>
                <w:rFonts w:hint="default" w:ascii="Times New Roman" w:hAnsi="Times New Roman" w:eastAsia="方正仿宋_GBK" w:cs="Times New Roman"/>
                <w:color w:val="auto"/>
                <w:kern w:val="0"/>
                <w:sz w:val="21"/>
                <w:szCs w:val="21"/>
                <w:highlight w:val="none"/>
                <w:lang w:val="en-US" w:eastAsia="zh-CN" w:bidi="ar-SA"/>
              </w:rPr>
            </w:pPr>
            <w:r>
              <w:rPr>
                <w:rFonts w:hint="eastAsia" w:cs="Times New Roman"/>
                <w:color w:val="000000"/>
                <w:sz w:val="21"/>
                <w:szCs w:val="21"/>
                <w:highlight w:val="none"/>
                <w:lang w:val="en-US" w:eastAsia="zh-CN"/>
              </w:rPr>
              <w:t>响应文件</w:t>
            </w:r>
            <w:r>
              <w:rPr>
                <w:rFonts w:hint="default" w:ascii="Times New Roman" w:hAnsi="Times New Roman" w:eastAsia="方正仿宋_GBK" w:cs="Times New Roman"/>
                <w:color w:val="000000"/>
                <w:sz w:val="21"/>
                <w:szCs w:val="21"/>
                <w:highlight w:val="none"/>
              </w:rPr>
              <w:t>格式</w:t>
            </w:r>
          </w:p>
        </w:tc>
        <w:tc>
          <w:tcPr>
            <w:tcW w:w="6622" w:type="dxa"/>
            <w:tcBorders>
              <w:top w:val="single" w:color="000000" w:sz="4" w:space="0"/>
              <w:left w:val="single" w:color="000000" w:sz="4" w:space="0"/>
              <w:bottom w:val="single" w:color="000000" w:sz="4" w:space="0"/>
              <w:right w:val="single" w:color="000000" w:sz="4" w:space="0"/>
            </w:tcBorders>
            <w:noWrap w:val="0"/>
            <w:vAlign w:val="center"/>
          </w:tcPr>
          <w:p w14:paraId="3026B187">
            <w:pPr>
              <w:keepNext/>
              <w:keepLines w:val="0"/>
              <w:pageBreakBefore w:val="0"/>
              <w:kinsoku/>
              <w:wordWrap/>
              <w:overflowPunct/>
              <w:topLinePunct w:val="0"/>
              <w:autoSpaceDE/>
              <w:autoSpaceDN/>
              <w:bidi w:val="0"/>
              <w:snapToGrid w:val="0"/>
              <w:spacing w:line="320" w:lineRule="exact"/>
              <w:ind w:left="0" w:leftChars="0" w:right="0" w:rightChars="0" w:firstLine="0" w:firstLineChars="0"/>
              <w:jc w:val="left"/>
              <w:textAlignment w:val="auto"/>
              <w:rPr>
                <w:rFonts w:hint="default" w:ascii="Times New Roman" w:hAnsi="Times New Roman" w:eastAsia="方正仿宋_GBK" w:cs="Times New Roman"/>
                <w:color w:val="auto"/>
                <w:kern w:val="0"/>
                <w:sz w:val="21"/>
                <w:szCs w:val="21"/>
                <w:highlight w:val="none"/>
                <w:lang w:val="en-US" w:eastAsia="zh-CN" w:bidi="ar-SA"/>
              </w:rPr>
            </w:pPr>
            <w:r>
              <w:rPr>
                <w:rStyle w:val="31"/>
                <w:rFonts w:hint="eastAsia" w:cs="Times New Roman"/>
                <w:color w:val="auto"/>
                <w:kern w:val="0"/>
                <w:sz w:val="21"/>
                <w:szCs w:val="21"/>
                <w:highlight w:val="none"/>
                <w:lang w:val="en-US" w:eastAsia="zh-CN"/>
              </w:rPr>
              <w:t>响应文件</w:t>
            </w:r>
            <w:r>
              <w:rPr>
                <w:rStyle w:val="31"/>
                <w:rFonts w:hint="eastAsia" w:ascii="Times New Roman" w:hAnsi="Times New Roman" w:cs="Times New Roman"/>
                <w:color w:val="auto"/>
                <w:kern w:val="0"/>
                <w:sz w:val="21"/>
                <w:szCs w:val="21"/>
                <w:highlight w:val="none"/>
                <w:lang w:val="en-US" w:eastAsia="zh-CN"/>
              </w:rPr>
              <w:t>需按照采购文件格式要求进行编制（除</w:t>
            </w:r>
            <w:r>
              <w:rPr>
                <w:rStyle w:val="31"/>
                <w:rFonts w:hint="eastAsia" w:cs="Times New Roman"/>
                <w:color w:val="auto"/>
                <w:kern w:val="0"/>
                <w:sz w:val="21"/>
                <w:szCs w:val="21"/>
                <w:highlight w:val="none"/>
                <w:lang w:val="en-US" w:eastAsia="zh-CN"/>
              </w:rPr>
              <w:t>询比采购</w:t>
            </w:r>
            <w:r>
              <w:rPr>
                <w:rStyle w:val="31"/>
                <w:rFonts w:hint="eastAsia" w:ascii="Times New Roman" w:hAnsi="Times New Roman" w:cs="Times New Roman"/>
                <w:color w:val="auto"/>
                <w:kern w:val="0"/>
                <w:sz w:val="21"/>
                <w:szCs w:val="21"/>
                <w:highlight w:val="none"/>
                <w:lang w:val="en-US" w:eastAsia="zh-CN"/>
              </w:rPr>
              <w:t>文件已说明格式自拟外），未按要求编制且影响实质性响应的，作无效响应处理</w:t>
            </w:r>
            <w:r>
              <w:rPr>
                <w:rStyle w:val="31"/>
                <w:rFonts w:hint="eastAsia" w:cs="Times New Roman"/>
                <w:color w:val="auto"/>
                <w:kern w:val="0"/>
                <w:sz w:val="21"/>
                <w:szCs w:val="21"/>
                <w:highlight w:val="none"/>
                <w:lang w:val="en-US" w:eastAsia="zh-CN"/>
              </w:rPr>
              <w:t>。</w:t>
            </w:r>
          </w:p>
        </w:tc>
      </w:tr>
      <w:tr w14:paraId="2E9E86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695" w:type="dxa"/>
            <w:tcBorders>
              <w:top w:val="single" w:color="000000" w:sz="4" w:space="0"/>
              <w:left w:val="single" w:color="000000" w:sz="4" w:space="0"/>
              <w:bottom w:val="single" w:color="000000" w:sz="4" w:space="0"/>
              <w:right w:val="single" w:color="000000" w:sz="4" w:space="0"/>
            </w:tcBorders>
            <w:noWrap w:val="0"/>
            <w:vAlign w:val="center"/>
          </w:tcPr>
          <w:p w14:paraId="514F0CB9">
            <w:pPr>
              <w:keepNext/>
              <w:keepLines w:val="0"/>
              <w:pageBreakBefore w:val="0"/>
              <w:kinsoku/>
              <w:wordWrap/>
              <w:overflowPunct/>
              <w:topLinePunct w:val="0"/>
              <w:autoSpaceDE/>
              <w:autoSpaceDN/>
              <w:bidi w:val="0"/>
              <w:snapToGrid w:val="0"/>
              <w:spacing w:line="320" w:lineRule="exact"/>
              <w:ind w:left="0" w:leftChars="0" w:right="0" w:rightChars="0" w:firstLine="0" w:firstLineChars="0"/>
              <w:jc w:val="center"/>
              <w:textAlignment w:val="auto"/>
              <w:rPr>
                <w:rStyle w:val="31"/>
                <w:rFonts w:hint="default" w:ascii="Times New Roman" w:hAnsi="Times New Roman" w:eastAsia="方正仿宋_GBK" w:cs="Times New Roman"/>
                <w:color w:val="auto"/>
                <w:kern w:val="0"/>
                <w:sz w:val="21"/>
                <w:szCs w:val="21"/>
                <w:highlight w:val="none"/>
              </w:rPr>
            </w:pPr>
            <w:r>
              <w:rPr>
                <w:rStyle w:val="31"/>
                <w:rFonts w:hint="default" w:ascii="Times New Roman" w:hAnsi="Times New Roman" w:eastAsia="方正仿宋_GBK" w:cs="Times New Roman"/>
                <w:color w:val="auto"/>
                <w:kern w:val="0"/>
                <w:sz w:val="21"/>
                <w:szCs w:val="21"/>
                <w:highlight w:val="none"/>
              </w:rPr>
              <w:t>4</w:t>
            </w:r>
          </w:p>
        </w:tc>
        <w:tc>
          <w:tcPr>
            <w:tcW w:w="1202" w:type="dxa"/>
            <w:tcBorders>
              <w:top w:val="single" w:color="000000" w:sz="4" w:space="0"/>
              <w:left w:val="single" w:color="000000" w:sz="4" w:space="0"/>
              <w:bottom w:val="single" w:color="000000" w:sz="4" w:space="0"/>
              <w:right w:val="single" w:color="000000" w:sz="4" w:space="0"/>
            </w:tcBorders>
            <w:noWrap w:val="0"/>
            <w:vAlign w:val="center"/>
          </w:tcPr>
          <w:p w14:paraId="79164888">
            <w:pPr>
              <w:keepNext/>
              <w:keepLines w:val="0"/>
              <w:pageBreakBefore w:val="0"/>
              <w:kinsoku/>
              <w:wordWrap/>
              <w:overflowPunct/>
              <w:topLinePunct w:val="0"/>
              <w:autoSpaceDE/>
              <w:autoSpaceDN/>
              <w:bidi w:val="0"/>
              <w:snapToGrid w:val="0"/>
              <w:spacing w:line="320" w:lineRule="exact"/>
              <w:ind w:left="0" w:leftChars="0" w:right="0" w:rightChars="0" w:firstLine="0" w:firstLineChars="0"/>
              <w:jc w:val="center"/>
              <w:textAlignment w:val="auto"/>
              <w:rPr>
                <w:rFonts w:hint="default" w:ascii="Times New Roman" w:hAnsi="Times New Roman" w:eastAsia="方正仿宋_GBK" w:cs="Times New Roman"/>
                <w:color w:val="auto"/>
                <w:kern w:val="0"/>
                <w:sz w:val="21"/>
                <w:szCs w:val="21"/>
                <w:highlight w:val="none"/>
                <w:lang w:val="en-US" w:eastAsia="zh-CN" w:bidi="ar-SA"/>
              </w:rPr>
            </w:pPr>
            <w:r>
              <w:rPr>
                <w:rStyle w:val="31"/>
                <w:rFonts w:hint="default" w:ascii="Times New Roman" w:hAnsi="Times New Roman" w:eastAsia="方正仿宋_GBK" w:cs="Times New Roman"/>
                <w:color w:val="auto"/>
                <w:kern w:val="0"/>
                <w:sz w:val="21"/>
                <w:szCs w:val="21"/>
                <w:highlight w:val="none"/>
              </w:rPr>
              <w:t>报价唯一</w:t>
            </w:r>
          </w:p>
        </w:tc>
        <w:tc>
          <w:tcPr>
            <w:tcW w:w="6622" w:type="dxa"/>
            <w:tcBorders>
              <w:top w:val="single" w:color="000000" w:sz="4" w:space="0"/>
              <w:left w:val="single" w:color="000000" w:sz="4" w:space="0"/>
              <w:bottom w:val="single" w:color="000000" w:sz="4" w:space="0"/>
              <w:right w:val="single" w:color="000000" w:sz="4" w:space="0"/>
            </w:tcBorders>
            <w:noWrap w:val="0"/>
            <w:vAlign w:val="center"/>
          </w:tcPr>
          <w:p w14:paraId="394B4B25">
            <w:pPr>
              <w:keepNext/>
              <w:keepLines w:val="0"/>
              <w:pageBreakBefore w:val="0"/>
              <w:kinsoku/>
              <w:wordWrap/>
              <w:overflowPunct/>
              <w:topLinePunct w:val="0"/>
              <w:autoSpaceDE/>
              <w:autoSpaceDN/>
              <w:bidi w:val="0"/>
              <w:snapToGrid w:val="0"/>
              <w:spacing w:line="320" w:lineRule="exact"/>
              <w:ind w:left="0" w:leftChars="0" w:right="0" w:rightChars="0" w:firstLine="0" w:firstLineChars="0"/>
              <w:jc w:val="left"/>
              <w:textAlignment w:val="auto"/>
              <w:rPr>
                <w:rFonts w:hint="eastAsia" w:ascii="Times New Roman" w:hAnsi="Times New Roman" w:eastAsia="方正仿宋_GBK" w:cs="Times New Roman"/>
                <w:color w:val="auto"/>
                <w:kern w:val="0"/>
                <w:sz w:val="21"/>
                <w:szCs w:val="21"/>
                <w:highlight w:val="none"/>
                <w:lang w:val="en-US" w:eastAsia="zh-CN" w:bidi="ar-SA"/>
              </w:rPr>
            </w:pPr>
            <w:r>
              <w:rPr>
                <w:rStyle w:val="31"/>
                <w:rFonts w:hint="default" w:ascii="Times New Roman" w:hAnsi="Times New Roman" w:eastAsia="方正仿宋_GBK" w:cs="Times New Roman"/>
                <w:color w:val="auto"/>
                <w:kern w:val="0"/>
                <w:sz w:val="21"/>
                <w:szCs w:val="21"/>
                <w:highlight w:val="none"/>
              </w:rPr>
              <w:t>只能有一个有效报价</w:t>
            </w:r>
            <w:r>
              <w:rPr>
                <w:rStyle w:val="31"/>
                <w:rFonts w:hint="eastAsia" w:ascii="Times New Roman" w:hAnsi="Times New Roman" w:eastAsia="方正仿宋_GBK" w:cs="Times New Roman"/>
                <w:color w:val="auto"/>
                <w:kern w:val="0"/>
                <w:sz w:val="21"/>
                <w:szCs w:val="21"/>
                <w:highlight w:val="none"/>
                <w:lang w:val="en-US" w:eastAsia="zh-CN"/>
              </w:rPr>
              <w:t>且未</w:t>
            </w:r>
            <w:r>
              <w:rPr>
                <w:rFonts w:hint="default" w:ascii="Times New Roman" w:hAnsi="Times New Roman" w:eastAsia="方正仿宋_GBK" w:cs="Times New Roman"/>
                <w:color w:val="auto"/>
                <w:kern w:val="0"/>
                <w:sz w:val="21"/>
                <w:szCs w:val="21"/>
                <w:highlight w:val="none"/>
              </w:rPr>
              <w:t>超过最高限价</w:t>
            </w:r>
          </w:p>
        </w:tc>
      </w:tr>
      <w:tr w14:paraId="511083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695" w:type="dxa"/>
            <w:tcBorders>
              <w:top w:val="single" w:color="000000" w:sz="4" w:space="0"/>
              <w:left w:val="single" w:color="000000" w:sz="4" w:space="0"/>
              <w:bottom w:val="single" w:color="000000" w:sz="4" w:space="0"/>
              <w:right w:val="single" w:color="000000" w:sz="4" w:space="0"/>
            </w:tcBorders>
            <w:noWrap w:val="0"/>
            <w:vAlign w:val="center"/>
          </w:tcPr>
          <w:p w14:paraId="0586A3EB">
            <w:pPr>
              <w:keepNext/>
              <w:keepLines w:val="0"/>
              <w:pageBreakBefore w:val="0"/>
              <w:kinsoku/>
              <w:wordWrap/>
              <w:overflowPunct/>
              <w:topLinePunct w:val="0"/>
              <w:autoSpaceDE/>
              <w:autoSpaceDN/>
              <w:bidi w:val="0"/>
              <w:snapToGrid w:val="0"/>
              <w:spacing w:line="320" w:lineRule="exact"/>
              <w:ind w:left="0" w:leftChars="0" w:right="0" w:rightChars="0" w:firstLine="0" w:firstLineChars="0"/>
              <w:jc w:val="center"/>
              <w:textAlignment w:val="auto"/>
              <w:rPr>
                <w:rStyle w:val="31"/>
                <w:rFonts w:hint="default" w:ascii="Times New Roman" w:hAnsi="Times New Roman" w:eastAsia="方正仿宋_GBK" w:cs="Times New Roman"/>
                <w:color w:val="auto"/>
                <w:kern w:val="0"/>
                <w:sz w:val="21"/>
                <w:szCs w:val="21"/>
                <w:highlight w:val="none"/>
              </w:rPr>
            </w:pPr>
            <w:r>
              <w:rPr>
                <w:rStyle w:val="31"/>
                <w:rFonts w:hint="default" w:ascii="Times New Roman" w:hAnsi="Times New Roman" w:eastAsia="方正仿宋_GBK" w:cs="Times New Roman"/>
                <w:color w:val="auto"/>
                <w:kern w:val="0"/>
                <w:sz w:val="21"/>
                <w:szCs w:val="21"/>
                <w:highlight w:val="none"/>
              </w:rPr>
              <w:t>5</w:t>
            </w:r>
          </w:p>
        </w:tc>
        <w:tc>
          <w:tcPr>
            <w:tcW w:w="1202" w:type="dxa"/>
            <w:tcBorders>
              <w:top w:val="single" w:color="000000" w:sz="4" w:space="0"/>
              <w:left w:val="single" w:color="000000" w:sz="4" w:space="0"/>
              <w:bottom w:val="single" w:color="000000" w:sz="4" w:space="0"/>
              <w:right w:val="single" w:color="000000" w:sz="4" w:space="0"/>
            </w:tcBorders>
            <w:noWrap w:val="0"/>
            <w:vAlign w:val="center"/>
          </w:tcPr>
          <w:p w14:paraId="29EE2ABF">
            <w:pPr>
              <w:keepNext/>
              <w:keepLines w:val="0"/>
              <w:pageBreakBefore w:val="0"/>
              <w:kinsoku/>
              <w:wordWrap/>
              <w:overflowPunct/>
              <w:topLinePunct w:val="0"/>
              <w:autoSpaceDE/>
              <w:autoSpaceDN/>
              <w:bidi w:val="0"/>
              <w:snapToGrid w:val="0"/>
              <w:spacing w:line="320" w:lineRule="exact"/>
              <w:ind w:left="0" w:leftChars="0" w:right="0" w:rightChars="0" w:firstLine="0" w:firstLineChars="0"/>
              <w:jc w:val="center"/>
              <w:textAlignment w:val="auto"/>
              <w:rPr>
                <w:rFonts w:hint="default" w:ascii="Times New Roman" w:hAnsi="Times New Roman" w:eastAsia="方正仿宋_GBK" w:cs="Times New Roman"/>
                <w:color w:val="auto"/>
                <w:kern w:val="0"/>
                <w:sz w:val="21"/>
                <w:szCs w:val="21"/>
                <w:highlight w:val="none"/>
                <w:lang w:val="en-US" w:eastAsia="zh-CN" w:bidi="ar-SA"/>
              </w:rPr>
            </w:pPr>
            <w:r>
              <w:rPr>
                <w:rStyle w:val="31"/>
                <w:rFonts w:hint="default" w:ascii="Times New Roman" w:hAnsi="Times New Roman" w:eastAsia="方正仿宋_GBK" w:cs="Times New Roman"/>
                <w:color w:val="auto"/>
                <w:kern w:val="0"/>
                <w:sz w:val="21"/>
                <w:szCs w:val="21"/>
                <w:highlight w:val="none"/>
              </w:rPr>
              <w:t>服务期</w:t>
            </w:r>
          </w:p>
        </w:tc>
        <w:tc>
          <w:tcPr>
            <w:tcW w:w="6622" w:type="dxa"/>
            <w:tcBorders>
              <w:top w:val="single" w:color="000000" w:sz="4" w:space="0"/>
              <w:left w:val="single" w:color="000000" w:sz="4" w:space="0"/>
              <w:bottom w:val="single" w:color="000000" w:sz="4" w:space="0"/>
              <w:right w:val="single" w:color="000000" w:sz="4" w:space="0"/>
            </w:tcBorders>
            <w:noWrap w:val="0"/>
            <w:vAlign w:val="center"/>
          </w:tcPr>
          <w:p w14:paraId="2907BBA1">
            <w:pPr>
              <w:keepNext/>
              <w:keepLines w:val="0"/>
              <w:pageBreakBefore w:val="0"/>
              <w:kinsoku/>
              <w:wordWrap/>
              <w:overflowPunct/>
              <w:topLinePunct w:val="0"/>
              <w:autoSpaceDE/>
              <w:autoSpaceDN/>
              <w:bidi w:val="0"/>
              <w:snapToGrid w:val="0"/>
              <w:spacing w:line="320" w:lineRule="exact"/>
              <w:ind w:left="0" w:leftChars="0" w:right="0" w:rightChars="0" w:firstLine="0" w:firstLineChars="0"/>
              <w:jc w:val="left"/>
              <w:textAlignment w:val="auto"/>
              <w:rPr>
                <w:rFonts w:hint="default" w:ascii="Times New Roman" w:hAnsi="Times New Roman" w:eastAsia="方正仿宋_GBK" w:cs="Times New Roman"/>
                <w:color w:val="auto"/>
                <w:kern w:val="0"/>
                <w:sz w:val="21"/>
                <w:szCs w:val="21"/>
                <w:highlight w:val="none"/>
                <w:lang w:val="en-US" w:eastAsia="zh-CN" w:bidi="ar-SA"/>
              </w:rPr>
            </w:pPr>
            <w:r>
              <w:rPr>
                <w:rStyle w:val="31"/>
                <w:rFonts w:hint="default" w:ascii="Times New Roman" w:hAnsi="Times New Roman" w:eastAsia="方正仿宋_GBK" w:cs="Times New Roman"/>
                <w:color w:val="auto"/>
                <w:kern w:val="0"/>
                <w:sz w:val="21"/>
                <w:szCs w:val="21"/>
                <w:highlight w:val="none"/>
              </w:rPr>
              <w:t>满足</w:t>
            </w:r>
            <w:r>
              <w:rPr>
                <w:rStyle w:val="31"/>
                <w:rFonts w:hint="eastAsia" w:cs="Times New Roman"/>
                <w:color w:val="auto"/>
                <w:kern w:val="0"/>
                <w:sz w:val="21"/>
                <w:szCs w:val="21"/>
                <w:highlight w:val="none"/>
                <w:lang w:val="en-US" w:eastAsia="zh-CN"/>
              </w:rPr>
              <w:t>询比</w:t>
            </w:r>
            <w:r>
              <w:rPr>
                <w:rStyle w:val="31"/>
                <w:rFonts w:hint="eastAsia" w:ascii="Times New Roman" w:hAnsi="Times New Roman" w:cs="Times New Roman"/>
                <w:color w:val="auto"/>
                <w:kern w:val="0"/>
                <w:sz w:val="21"/>
                <w:szCs w:val="21"/>
                <w:highlight w:val="none"/>
                <w:lang w:val="en-US" w:eastAsia="zh-CN"/>
              </w:rPr>
              <w:t>采购</w:t>
            </w:r>
            <w:r>
              <w:rPr>
                <w:rStyle w:val="31"/>
                <w:rFonts w:hint="default" w:ascii="Times New Roman" w:hAnsi="Times New Roman" w:eastAsia="方正仿宋_GBK" w:cs="Times New Roman"/>
                <w:color w:val="auto"/>
                <w:kern w:val="0"/>
                <w:sz w:val="21"/>
                <w:szCs w:val="21"/>
                <w:highlight w:val="none"/>
              </w:rPr>
              <w:t>文件要求</w:t>
            </w:r>
          </w:p>
        </w:tc>
      </w:tr>
      <w:tr w14:paraId="4A1962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695" w:type="dxa"/>
            <w:tcBorders>
              <w:top w:val="single" w:color="000000" w:sz="4" w:space="0"/>
              <w:left w:val="single" w:color="000000" w:sz="4" w:space="0"/>
              <w:bottom w:val="single" w:color="000000" w:sz="4" w:space="0"/>
              <w:right w:val="single" w:color="000000" w:sz="4" w:space="0"/>
            </w:tcBorders>
            <w:noWrap w:val="0"/>
            <w:vAlign w:val="center"/>
          </w:tcPr>
          <w:p w14:paraId="1472693D">
            <w:pPr>
              <w:keepNext/>
              <w:keepLines w:val="0"/>
              <w:pageBreakBefore w:val="0"/>
              <w:kinsoku/>
              <w:wordWrap/>
              <w:overflowPunct/>
              <w:topLinePunct w:val="0"/>
              <w:autoSpaceDE/>
              <w:autoSpaceDN/>
              <w:bidi w:val="0"/>
              <w:snapToGrid w:val="0"/>
              <w:spacing w:line="320" w:lineRule="exact"/>
              <w:ind w:left="0" w:leftChars="0" w:right="0" w:rightChars="0" w:firstLine="0" w:firstLineChars="0"/>
              <w:jc w:val="center"/>
              <w:textAlignment w:val="auto"/>
              <w:rPr>
                <w:rStyle w:val="31"/>
                <w:rFonts w:hint="default" w:ascii="Times New Roman" w:hAnsi="Times New Roman" w:eastAsia="方正仿宋_GBK" w:cs="Times New Roman"/>
                <w:color w:val="auto"/>
                <w:kern w:val="0"/>
                <w:sz w:val="21"/>
                <w:szCs w:val="21"/>
                <w:highlight w:val="none"/>
              </w:rPr>
            </w:pPr>
            <w:r>
              <w:rPr>
                <w:rStyle w:val="31"/>
                <w:rFonts w:hint="default" w:ascii="Times New Roman" w:hAnsi="Times New Roman" w:eastAsia="方正仿宋_GBK" w:cs="Times New Roman"/>
                <w:color w:val="auto"/>
                <w:kern w:val="0"/>
                <w:sz w:val="21"/>
                <w:szCs w:val="21"/>
                <w:highlight w:val="none"/>
                <w:lang w:val="en-US" w:eastAsia="zh-CN"/>
              </w:rPr>
              <w:t>6</w:t>
            </w:r>
          </w:p>
        </w:tc>
        <w:tc>
          <w:tcPr>
            <w:tcW w:w="1202" w:type="dxa"/>
            <w:tcBorders>
              <w:top w:val="single" w:color="000000" w:sz="4" w:space="0"/>
              <w:left w:val="single" w:color="000000" w:sz="4" w:space="0"/>
              <w:bottom w:val="single" w:color="000000" w:sz="4" w:space="0"/>
              <w:right w:val="single" w:color="000000" w:sz="4" w:space="0"/>
            </w:tcBorders>
            <w:noWrap w:val="0"/>
            <w:vAlign w:val="center"/>
          </w:tcPr>
          <w:p w14:paraId="601DDF11">
            <w:pPr>
              <w:keepNext/>
              <w:keepLines w:val="0"/>
              <w:pageBreakBefore w:val="0"/>
              <w:kinsoku/>
              <w:wordWrap/>
              <w:overflowPunct/>
              <w:topLinePunct w:val="0"/>
              <w:autoSpaceDE/>
              <w:autoSpaceDN/>
              <w:bidi w:val="0"/>
              <w:snapToGrid w:val="0"/>
              <w:spacing w:line="320" w:lineRule="exact"/>
              <w:ind w:left="0" w:leftChars="0" w:right="0" w:rightChars="0" w:firstLine="0" w:firstLineChars="0"/>
              <w:jc w:val="center"/>
              <w:textAlignment w:val="auto"/>
              <w:rPr>
                <w:rFonts w:hint="default" w:ascii="Times New Roman" w:hAnsi="Times New Roman" w:eastAsia="方正仿宋_GBK" w:cs="Times New Roman"/>
                <w:color w:val="auto"/>
                <w:kern w:val="0"/>
                <w:sz w:val="21"/>
                <w:szCs w:val="21"/>
                <w:highlight w:val="none"/>
                <w:lang w:val="en-US" w:eastAsia="zh-CN" w:bidi="ar-SA"/>
              </w:rPr>
            </w:pPr>
            <w:r>
              <w:rPr>
                <w:rStyle w:val="31"/>
                <w:rFonts w:hint="default" w:ascii="Times New Roman" w:hAnsi="Times New Roman" w:eastAsia="方正仿宋_GBK" w:cs="Times New Roman"/>
                <w:color w:val="auto"/>
                <w:kern w:val="0"/>
                <w:sz w:val="21"/>
                <w:szCs w:val="21"/>
                <w:highlight w:val="none"/>
              </w:rPr>
              <w:t>质量要求</w:t>
            </w:r>
          </w:p>
        </w:tc>
        <w:tc>
          <w:tcPr>
            <w:tcW w:w="6622" w:type="dxa"/>
            <w:tcBorders>
              <w:top w:val="single" w:color="000000" w:sz="4" w:space="0"/>
              <w:left w:val="single" w:color="000000" w:sz="4" w:space="0"/>
              <w:bottom w:val="single" w:color="000000" w:sz="4" w:space="0"/>
              <w:right w:val="single" w:color="000000" w:sz="4" w:space="0"/>
            </w:tcBorders>
            <w:noWrap w:val="0"/>
            <w:vAlign w:val="center"/>
          </w:tcPr>
          <w:p w14:paraId="0E65DC22">
            <w:pPr>
              <w:keepNext/>
              <w:keepLines w:val="0"/>
              <w:pageBreakBefore w:val="0"/>
              <w:kinsoku/>
              <w:wordWrap/>
              <w:overflowPunct/>
              <w:topLinePunct w:val="0"/>
              <w:autoSpaceDE/>
              <w:autoSpaceDN/>
              <w:bidi w:val="0"/>
              <w:snapToGrid w:val="0"/>
              <w:spacing w:line="320" w:lineRule="exact"/>
              <w:ind w:left="0" w:leftChars="0" w:right="0" w:rightChars="0" w:firstLine="0" w:firstLineChars="0"/>
              <w:jc w:val="left"/>
              <w:textAlignment w:val="auto"/>
              <w:rPr>
                <w:rFonts w:hint="default" w:ascii="Times New Roman" w:hAnsi="Times New Roman" w:eastAsia="方正仿宋_GBK" w:cs="Times New Roman"/>
                <w:color w:val="auto"/>
                <w:kern w:val="0"/>
                <w:sz w:val="21"/>
                <w:szCs w:val="21"/>
                <w:highlight w:val="none"/>
                <w:lang w:val="en-US" w:eastAsia="zh-CN" w:bidi="ar-SA"/>
              </w:rPr>
            </w:pPr>
            <w:r>
              <w:rPr>
                <w:rStyle w:val="31"/>
                <w:rFonts w:hint="default" w:ascii="Times New Roman" w:hAnsi="Times New Roman" w:eastAsia="方正仿宋_GBK" w:cs="Times New Roman"/>
                <w:color w:val="auto"/>
                <w:kern w:val="0"/>
                <w:sz w:val="21"/>
                <w:szCs w:val="21"/>
                <w:highlight w:val="none"/>
              </w:rPr>
              <w:t>满足</w:t>
            </w:r>
            <w:r>
              <w:rPr>
                <w:rStyle w:val="31"/>
                <w:rFonts w:hint="eastAsia" w:cs="Times New Roman"/>
                <w:color w:val="auto"/>
                <w:kern w:val="0"/>
                <w:sz w:val="21"/>
                <w:szCs w:val="21"/>
                <w:highlight w:val="none"/>
                <w:lang w:val="en-US" w:eastAsia="zh-CN"/>
              </w:rPr>
              <w:t>询比</w:t>
            </w:r>
            <w:r>
              <w:rPr>
                <w:rStyle w:val="31"/>
                <w:rFonts w:hint="eastAsia" w:ascii="Times New Roman" w:hAnsi="Times New Roman" w:cs="Times New Roman"/>
                <w:color w:val="auto"/>
                <w:kern w:val="0"/>
                <w:sz w:val="21"/>
                <w:szCs w:val="21"/>
                <w:highlight w:val="none"/>
                <w:lang w:val="en-US" w:eastAsia="zh-CN"/>
              </w:rPr>
              <w:t>采购</w:t>
            </w:r>
            <w:r>
              <w:rPr>
                <w:rStyle w:val="31"/>
                <w:rFonts w:hint="default" w:ascii="Times New Roman" w:hAnsi="Times New Roman" w:eastAsia="方正仿宋_GBK" w:cs="Times New Roman"/>
                <w:color w:val="auto"/>
                <w:kern w:val="0"/>
                <w:sz w:val="21"/>
                <w:szCs w:val="21"/>
                <w:highlight w:val="none"/>
              </w:rPr>
              <w:t>文件要求</w:t>
            </w:r>
          </w:p>
        </w:tc>
      </w:tr>
      <w:tr w14:paraId="5BDAE4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695" w:type="dxa"/>
            <w:tcBorders>
              <w:top w:val="single" w:color="000000" w:sz="4" w:space="0"/>
              <w:left w:val="single" w:color="000000" w:sz="4" w:space="0"/>
              <w:bottom w:val="single" w:color="000000" w:sz="4" w:space="0"/>
              <w:right w:val="single" w:color="000000" w:sz="4" w:space="0"/>
            </w:tcBorders>
            <w:noWrap w:val="0"/>
            <w:vAlign w:val="center"/>
          </w:tcPr>
          <w:p w14:paraId="76A3BBC7">
            <w:pPr>
              <w:keepNext/>
              <w:keepLines w:val="0"/>
              <w:pageBreakBefore w:val="0"/>
              <w:kinsoku/>
              <w:wordWrap/>
              <w:overflowPunct/>
              <w:topLinePunct w:val="0"/>
              <w:autoSpaceDE/>
              <w:autoSpaceDN/>
              <w:bidi w:val="0"/>
              <w:snapToGrid w:val="0"/>
              <w:spacing w:line="320" w:lineRule="exact"/>
              <w:ind w:left="0" w:leftChars="0" w:right="0" w:rightChars="0" w:firstLine="0" w:firstLineChars="0"/>
              <w:jc w:val="center"/>
              <w:textAlignment w:val="auto"/>
              <w:rPr>
                <w:rStyle w:val="31"/>
                <w:rFonts w:hint="default" w:ascii="Times New Roman" w:hAnsi="Times New Roman" w:eastAsia="方正仿宋_GBK" w:cs="Times New Roman"/>
                <w:color w:val="auto"/>
                <w:kern w:val="0"/>
                <w:sz w:val="21"/>
                <w:szCs w:val="21"/>
                <w:highlight w:val="none"/>
                <w:lang w:val="en-US" w:eastAsia="zh-CN"/>
              </w:rPr>
            </w:pPr>
            <w:r>
              <w:rPr>
                <w:rStyle w:val="31"/>
                <w:rFonts w:hint="default" w:ascii="Times New Roman" w:hAnsi="Times New Roman" w:eastAsia="方正仿宋_GBK" w:cs="Times New Roman"/>
                <w:color w:val="auto"/>
                <w:kern w:val="0"/>
                <w:sz w:val="21"/>
                <w:szCs w:val="21"/>
                <w:highlight w:val="none"/>
              </w:rPr>
              <w:t>7</w:t>
            </w:r>
          </w:p>
        </w:tc>
        <w:tc>
          <w:tcPr>
            <w:tcW w:w="1202" w:type="dxa"/>
            <w:tcBorders>
              <w:top w:val="single" w:color="000000" w:sz="4" w:space="0"/>
              <w:left w:val="single" w:color="000000" w:sz="4" w:space="0"/>
              <w:bottom w:val="single" w:color="000000" w:sz="4" w:space="0"/>
              <w:right w:val="single" w:color="000000" w:sz="4" w:space="0"/>
            </w:tcBorders>
            <w:noWrap w:val="0"/>
            <w:vAlign w:val="center"/>
          </w:tcPr>
          <w:p w14:paraId="790D1469">
            <w:pPr>
              <w:keepNext/>
              <w:keepLines w:val="0"/>
              <w:pageBreakBefore w:val="0"/>
              <w:kinsoku/>
              <w:wordWrap/>
              <w:overflowPunct/>
              <w:topLinePunct w:val="0"/>
              <w:autoSpaceDE/>
              <w:autoSpaceDN/>
              <w:bidi w:val="0"/>
              <w:snapToGrid w:val="0"/>
              <w:spacing w:line="320" w:lineRule="exact"/>
              <w:ind w:left="0" w:leftChars="0" w:right="0" w:rightChars="0" w:firstLine="0" w:firstLineChars="0"/>
              <w:jc w:val="center"/>
              <w:textAlignment w:val="auto"/>
              <w:rPr>
                <w:rFonts w:hint="default" w:ascii="Times New Roman" w:hAnsi="Times New Roman" w:eastAsia="方正仿宋_GBK" w:cs="Times New Roman"/>
                <w:color w:val="auto"/>
                <w:kern w:val="0"/>
                <w:sz w:val="21"/>
                <w:szCs w:val="21"/>
                <w:highlight w:val="none"/>
                <w:lang w:val="en-US" w:eastAsia="zh-CN" w:bidi="ar-SA"/>
              </w:rPr>
            </w:pPr>
            <w:r>
              <w:rPr>
                <w:rStyle w:val="31"/>
                <w:rFonts w:hint="eastAsia" w:cs="Times New Roman"/>
                <w:color w:val="auto"/>
                <w:kern w:val="0"/>
                <w:sz w:val="21"/>
                <w:szCs w:val="21"/>
                <w:highlight w:val="none"/>
                <w:lang w:val="en-US" w:eastAsia="zh-CN"/>
              </w:rPr>
              <w:t>响应文件</w:t>
            </w:r>
            <w:r>
              <w:rPr>
                <w:rStyle w:val="31"/>
                <w:rFonts w:hint="default" w:ascii="Times New Roman" w:hAnsi="Times New Roman" w:eastAsia="方正仿宋_GBK" w:cs="Times New Roman"/>
                <w:color w:val="auto"/>
                <w:kern w:val="0"/>
                <w:sz w:val="21"/>
                <w:szCs w:val="21"/>
                <w:highlight w:val="none"/>
              </w:rPr>
              <w:t>有效期</w:t>
            </w:r>
          </w:p>
        </w:tc>
        <w:tc>
          <w:tcPr>
            <w:tcW w:w="6622" w:type="dxa"/>
            <w:tcBorders>
              <w:top w:val="single" w:color="000000" w:sz="4" w:space="0"/>
              <w:left w:val="single" w:color="000000" w:sz="4" w:space="0"/>
              <w:bottom w:val="single" w:color="000000" w:sz="4" w:space="0"/>
              <w:right w:val="single" w:color="000000" w:sz="4" w:space="0"/>
            </w:tcBorders>
            <w:noWrap w:val="0"/>
            <w:vAlign w:val="center"/>
          </w:tcPr>
          <w:p w14:paraId="2C6F398D">
            <w:pPr>
              <w:keepNext/>
              <w:keepLines w:val="0"/>
              <w:pageBreakBefore w:val="0"/>
              <w:kinsoku/>
              <w:wordWrap/>
              <w:overflowPunct/>
              <w:topLinePunct w:val="0"/>
              <w:autoSpaceDE/>
              <w:autoSpaceDN/>
              <w:bidi w:val="0"/>
              <w:snapToGrid w:val="0"/>
              <w:spacing w:line="320" w:lineRule="exact"/>
              <w:ind w:left="0" w:leftChars="0" w:right="0" w:rightChars="0" w:firstLine="0" w:firstLineChars="0"/>
              <w:jc w:val="left"/>
              <w:textAlignment w:val="auto"/>
              <w:rPr>
                <w:rFonts w:hint="default" w:ascii="Times New Roman" w:hAnsi="Times New Roman" w:eastAsia="方正仿宋_GBK" w:cs="Times New Roman"/>
                <w:color w:val="auto"/>
                <w:kern w:val="0"/>
                <w:sz w:val="21"/>
                <w:szCs w:val="21"/>
                <w:highlight w:val="none"/>
                <w:lang w:val="en-US" w:eastAsia="zh-CN" w:bidi="ar-SA"/>
              </w:rPr>
            </w:pPr>
            <w:r>
              <w:rPr>
                <w:rStyle w:val="31"/>
                <w:rFonts w:hint="default" w:ascii="Times New Roman" w:hAnsi="Times New Roman" w:eastAsia="方正仿宋_GBK" w:cs="Times New Roman"/>
                <w:color w:val="auto"/>
                <w:kern w:val="0"/>
                <w:sz w:val="21"/>
                <w:szCs w:val="21"/>
                <w:highlight w:val="none"/>
              </w:rPr>
              <w:t>满足</w:t>
            </w:r>
            <w:r>
              <w:rPr>
                <w:rStyle w:val="31"/>
                <w:rFonts w:hint="eastAsia" w:cs="Times New Roman"/>
                <w:color w:val="auto"/>
                <w:kern w:val="0"/>
                <w:sz w:val="21"/>
                <w:szCs w:val="21"/>
                <w:highlight w:val="none"/>
                <w:lang w:val="en-US" w:eastAsia="zh-CN"/>
              </w:rPr>
              <w:t>询比</w:t>
            </w:r>
            <w:r>
              <w:rPr>
                <w:rStyle w:val="31"/>
                <w:rFonts w:hint="eastAsia" w:ascii="Times New Roman" w:hAnsi="Times New Roman" w:cs="Times New Roman"/>
                <w:color w:val="auto"/>
                <w:kern w:val="0"/>
                <w:sz w:val="21"/>
                <w:szCs w:val="21"/>
                <w:highlight w:val="none"/>
                <w:lang w:val="en-US" w:eastAsia="zh-CN"/>
              </w:rPr>
              <w:t>采购</w:t>
            </w:r>
            <w:r>
              <w:rPr>
                <w:rStyle w:val="31"/>
                <w:rFonts w:hint="default" w:ascii="Times New Roman" w:hAnsi="Times New Roman" w:eastAsia="方正仿宋_GBK" w:cs="Times New Roman"/>
                <w:color w:val="auto"/>
                <w:kern w:val="0"/>
                <w:sz w:val="21"/>
                <w:szCs w:val="21"/>
                <w:highlight w:val="none"/>
              </w:rPr>
              <w:t>文件要求</w:t>
            </w:r>
          </w:p>
        </w:tc>
      </w:tr>
      <w:tr w14:paraId="2E86F5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695" w:type="dxa"/>
            <w:tcBorders>
              <w:top w:val="single" w:color="000000" w:sz="4" w:space="0"/>
              <w:left w:val="single" w:color="000000" w:sz="4" w:space="0"/>
              <w:bottom w:val="single" w:color="000000" w:sz="4" w:space="0"/>
              <w:right w:val="single" w:color="000000" w:sz="4" w:space="0"/>
            </w:tcBorders>
            <w:noWrap w:val="0"/>
            <w:vAlign w:val="center"/>
          </w:tcPr>
          <w:p w14:paraId="64771AFE">
            <w:pPr>
              <w:keepNext/>
              <w:keepLines w:val="0"/>
              <w:pageBreakBefore w:val="0"/>
              <w:kinsoku/>
              <w:wordWrap/>
              <w:overflowPunct/>
              <w:topLinePunct w:val="0"/>
              <w:autoSpaceDE/>
              <w:autoSpaceDN/>
              <w:bidi w:val="0"/>
              <w:snapToGrid w:val="0"/>
              <w:spacing w:line="320" w:lineRule="exact"/>
              <w:ind w:left="0" w:leftChars="0" w:right="0" w:rightChars="0" w:firstLine="0" w:firstLineChars="0"/>
              <w:jc w:val="center"/>
              <w:textAlignment w:val="auto"/>
              <w:rPr>
                <w:rStyle w:val="31"/>
                <w:rFonts w:hint="default" w:ascii="Times New Roman" w:hAnsi="Times New Roman" w:eastAsia="方正仿宋_GBK" w:cs="Times New Roman"/>
                <w:color w:val="auto"/>
                <w:kern w:val="0"/>
                <w:sz w:val="21"/>
                <w:szCs w:val="21"/>
                <w:highlight w:val="none"/>
              </w:rPr>
            </w:pPr>
            <w:r>
              <w:rPr>
                <w:rStyle w:val="31"/>
                <w:rFonts w:hint="default" w:ascii="Times New Roman" w:hAnsi="Times New Roman" w:eastAsia="方正仿宋_GBK" w:cs="Times New Roman"/>
                <w:color w:val="auto"/>
                <w:kern w:val="0"/>
                <w:sz w:val="21"/>
                <w:szCs w:val="21"/>
                <w:highlight w:val="none"/>
              </w:rPr>
              <w:t>8</w:t>
            </w:r>
          </w:p>
        </w:tc>
        <w:tc>
          <w:tcPr>
            <w:tcW w:w="1202" w:type="dxa"/>
            <w:tcBorders>
              <w:top w:val="single" w:color="000000" w:sz="4" w:space="0"/>
              <w:left w:val="single" w:color="000000" w:sz="4" w:space="0"/>
              <w:bottom w:val="single" w:color="000000" w:sz="4" w:space="0"/>
              <w:right w:val="single" w:color="000000" w:sz="4" w:space="0"/>
            </w:tcBorders>
            <w:noWrap w:val="0"/>
            <w:vAlign w:val="center"/>
          </w:tcPr>
          <w:p w14:paraId="0E54B693">
            <w:pPr>
              <w:keepNext/>
              <w:keepLines w:val="0"/>
              <w:pageBreakBefore w:val="0"/>
              <w:kinsoku/>
              <w:wordWrap/>
              <w:overflowPunct/>
              <w:topLinePunct w:val="0"/>
              <w:autoSpaceDE/>
              <w:autoSpaceDN/>
              <w:bidi w:val="0"/>
              <w:snapToGrid w:val="0"/>
              <w:spacing w:line="320" w:lineRule="exact"/>
              <w:ind w:left="0" w:leftChars="0" w:right="0" w:rightChars="0" w:firstLine="0" w:firstLineChars="0"/>
              <w:jc w:val="center"/>
              <w:textAlignment w:val="auto"/>
              <w:rPr>
                <w:rFonts w:hint="default" w:ascii="Times New Roman" w:hAnsi="Times New Roman" w:eastAsia="方正仿宋_GBK" w:cs="Times New Roman"/>
                <w:color w:val="auto"/>
                <w:kern w:val="0"/>
                <w:sz w:val="21"/>
                <w:szCs w:val="21"/>
                <w:highlight w:val="none"/>
                <w:lang w:val="en-US" w:eastAsia="zh-CN" w:bidi="ar-SA"/>
              </w:rPr>
            </w:pPr>
            <w:r>
              <w:rPr>
                <w:rStyle w:val="31"/>
                <w:rFonts w:hint="default" w:ascii="Times New Roman" w:hAnsi="Times New Roman" w:eastAsia="方正仿宋_GBK" w:cs="Times New Roman"/>
                <w:color w:val="auto"/>
                <w:kern w:val="0"/>
                <w:sz w:val="21"/>
                <w:szCs w:val="21"/>
                <w:highlight w:val="none"/>
              </w:rPr>
              <w:t>附加条件</w:t>
            </w:r>
          </w:p>
        </w:tc>
        <w:tc>
          <w:tcPr>
            <w:tcW w:w="6622" w:type="dxa"/>
            <w:tcBorders>
              <w:top w:val="single" w:color="000000" w:sz="4" w:space="0"/>
              <w:left w:val="single" w:color="000000" w:sz="4" w:space="0"/>
              <w:bottom w:val="single" w:color="000000" w:sz="4" w:space="0"/>
              <w:right w:val="single" w:color="000000" w:sz="4" w:space="0"/>
            </w:tcBorders>
            <w:noWrap w:val="0"/>
            <w:vAlign w:val="center"/>
          </w:tcPr>
          <w:p w14:paraId="42B476D5">
            <w:pPr>
              <w:keepNext/>
              <w:keepLines w:val="0"/>
              <w:pageBreakBefore w:val="0"/>
              <w:kinsoku/>
              <w:wordWrap/>
              <w:overflowPunct/>
              <w:topLinePunct w:val="0"/>
              <w:autoSpaceDE/>
              <w:autoSpaceDN/>
              <w:bidi w:val="0"/>
              <w:snapToGrid w:val="0"/>
              <w:spacing w:line="320" w:lineRule="exact"/>
              <w:ind w:left="0" w:leftChars="0" w:right="0" w:rightChars="0" w:firstLine="0" w:firstLineChars="0"/>
              <w:jc w:val="left"/>
              <w:textAlignment w:val="auto"/>
              <w:rPr>
                <w:rFonts w:hint="default" w:ascii="Times New Roman" w:hAnsi="Times New Roman" w:eastAsia="方正仿宋_GBK" w:cs="Times New Roman"/>
                <w:color w:val="auto"/>
                <w:kern w:val="0"/>
                <w:sz w:val="21"/>
                <w:szCs w:val="21"/>
                <w:highlight w:val="none"/>
                <w:lang w:val="en-US" w:eastAsia="zh-CN" w:bidi="ar-SA"/>
              </w:rPr>
            </w:pPr>
            <w:r>
              <w:rPr>
                <w:rStyle w:val="31"/>
                <w:rFonts w:hint="eastAsia" w:cs="Times New Roman"/>
                <w:color w:val="auto"/>
                <w:kern w:val="0"/>
                <w:sz w:val="21"/>
                <w:szCs w:val="21"/>
                <w:highlight w:val="none"/>
                <w:lang w:val="en-US" w:eastAsia="zh-CN"/>
              </w:rPr>
              <w:t>响应文件</w:t>
            </w:r>
            <w:r>
              <w:rPr>
                <w:rStyle w:val="31"/>
                <w:rFonts w:hint="default" w:ascii="Times New Roman" w:hAnsi="Times New Roman" w:eastAsia="方正仿宋_GBK" w:cs="Times New Roman"/>
                <w:color w:val="auto"/>
                <w:kern w:val="0"/>
                <w:sz w:val="21"/>
                <w:szCs w:val="21"/>
                <w:highlight w:val="none"/>
              </w:rPr>
              <w:t>未含有采购人不能接受的附加条件</w:t>
            </w:r>
          </w:p>
        </w:tc>
      </w:tr>
    </w:tbl>
    <w:p w14:paraId="13D65254">
      <w:pPr>
        <w:bidi w:val="0"/>
        <w:rPr>
          <w:rFonts w:hint="eastAsia"/>
          <w:lang w:val="en-US" w:eastAsia="zh-CN"/>
        </w:rPr>
      </w:pPr>
      <w:r>
        <w:rPr>
          <w:rFonts w:hint="eastAsia"/>
          <w:lang w:val="en-US" w:eastAsia="zh-CN"/>
        </w:rPr>
        <w:t>3.对响应文件进行详细评审</w:t>
      </w:r>
    </w:p>
    <w:p w14:paraId="24456B48">
      <w:pPr>
        <w:bidi w:val="0"/>
        <w:rPr>
          <w:rFonts w:hint="default"/>
          <w:lang w:val="en-US" w:eastAsia="zh-CN"/>
        </w:rPr>
      </w:pPr>
      <w:r>
        <w:rPr>
          <w:rFonts w:hint="eastAsia"/>
          <w:lang w:val="en-US" w:eastAsia="zh-CN"/>
        </w:rPr>
        <w:t>3</w:t>
      </w:r>
      <w:r>
        <w:rPr>
          <w:rFonts w:hint="default"/>
          <w:lang w:val="en-US" w:eastAsia="zh-CN"/>
        </w:rPr>
        <w:t>.1本项目采用综合评估法评审。详细评审是综合性评审，评审小组将按照本条规定的主要标准、程序和评分比例对技术、商务、报价进行详细评审。审查内容详见</w:t>
      </w:r>
      <w:r>
        <w:rPr>
          <w:rFonts w:hint="eastAsia"/>
          <w:lang w:val="en-US" w:eastAsia="zh-CN"/>
        </w:rPr>
        <w:t>“</w:t>
      </w:r>
      <w:r>
        <w:rPr>
          <w:rFonts w:hint="default"/>
          <w:lang w:val="en-US" w:eastAsia="zh-CN"/>
        </w:rPr>
        <w:t>详细评审评分表</w:t>
      </w:r>
      <w:r>
        <w:rPr>
          <w:rFonts w:hint="eastAsia"/>
          <w:lang w:val="en-US" w:eastAsia="zh-CN"/>
        </w:rPr>
        <w:t>”</w:t>
      </w:r>
      <w:r>
        <w:rPr>
          <w:rFonts w:hint="default"/>
          <w:lang w:val="en-US" w:eastAsia="zh-CN"/>
        </w:rPr>
        <w:t>。</w:t>
      </w:r>
    </w:p>
    <w:p w14:paraId="7AF08B0E">
      <w:pPr>
        <w:bidi w:val="0"/>
        <w:rPr>
          <w:rFonts w:hint="default"/>
          <w:lang w:val="en-US" w:eastAsia="zh-CN"/>
        </w:rPr>
      </w:pPr>
      <w:r>
        <w:rPr>
          <w:rFonts w:hint="eastAsia"/>
          <w:lang w:val="en-US" w:eastAsia="zh-CN"/>
        </w:rPr>
        <w:t>3</w:t>
      </w:r>
      <w:r>
        <w:rPr>
          <w:rFonts w:hint="default"/>
          <w:lang w:val="en-US" w:eastAsia="zh-CN"/>
        </w:rPr>
        <w:t>.2</w:t>
      </w:r>
      <w:r>
        <w:rPr>
          <w:rFonts w:hint="eastAsia"/>
          <w:lang w:val="en-US" w:eastAsia="zh-CN"/>
        </w:rPr>
        <w:t>询比采购文件</w:t>
      </w:r>
      <w:r>
        <w:rPr>
          <w:rFonts w:hint="default"/>
          <w:lang w:val="en-US" w:eastAsia="zh-CN"/>
        </w:rPr>
        <w:t>各部分评审得分情况：</w:t>
      </w:r>
    </w:p>
    <w:p w14:paraId="324A6795">
      <w:pPr>
        <w:bidi w:val="0"/>
        <w:rPr>
          <w:rFonts w:hint="default"/>
          <w:highlight w:val="none"/>
          <w:lang w:val="en-US" w:eastAsia="zh-CN"/>
        </w:rPr>
      </w:pPr>
      <w:r>
        <w:rPr>
          <w:rFonts w:hint="eastAsia"/>
          <w:highlight w:val="none"/>
          <w:lang w:val="en-US" w:eastAsia="zh-CN"/>
        </w:rPr>
        <w:t>询比采购文件</w:t>
      </w:r>
      <w:r>
        <w:rPr>
          <w:rFonts w:hint="default"/>
          <w:highlight w:val="none"/>
          <w:lang w:val="en-US" w:eastAsia="zh-CN"/>
        </w:rPr>
        <w:t>评审总分为100分。各部分评审得分情况如下：</w:t>
      </w:r>
    </w:p>
    <w:p w14:paraId="5BD8E1CF">
      <w:pPr>
        <w:bidi w:val="0"/>
        <w:rPr>
          <w:rFonts w:hint="default"/>
          <w:highlight w:val="none"/>
          <w:lang w:val="en-US" w:eastAsia="zh-CN"/>
        </w:rPr>
      </w:pPr>
      <w:r>
        <w:rPr>
          <w:rFonts w:hint="default"/>
          <w:highlight w:val="none"/>
          <w:lang w:val="en-US" w:eastAsia="zh-CN"/>
        </w:rPr>
        <w:t>报价部分：</w:t>
      </w:r>
      <w:r>
        <w:rPr>
          <w:rFonts w:hint="eastAsia"/>
          <w:highlight w:val="none"/>
          <w:lang w:val="en-US" w:eastAsia="zh-CN"/>
        </w:rPr>
        <w:t>30</w:t>
      </w:r>
      <w:r>
        <w:rPr>
          <w:rFonts w:hint="default"/>
          <w:highlight w:val="none"/>
          <w:lang w:val="en-US" w:eastAsia="zh-CN"/>
        </w:rPr>
        <w:t>分；</w:t>
      </w:r>
    </w:p>
    <w:p w14:paraId="4F0CEBCF">
      <w:pPr>
        <w:bidi w:val="0"/>
        <w:rPr>
          <w:rFonts w:hint="default"/>
          <w:highlight w:val="none"/>
          <w:lang w:val="en-US" w:eastAsia="zh-CN"/>
        </w:rPr>
      </w:pPr>
      <w:r>
        <w:rPr>
          <w:rFonts w:hint="default"/>
          <w:highlight w:val="none"/>
          <w:lang w:val="en-US" w:eastAsia="zh-CN"/>
        </w:rPr>
        <w:t>技术部分：</w:t>
      </w:r>
      <w:r>
        <w:rPr>
          <w:rFonts w:hint="eastAsia"/>
          <w:highlight w:val="none"/>
          <w:lang w:val="en-US" w:eastAsia="zh-CN"/>
        </w:rPr>
        <w:t>50</w:t>
      </w:r>
      <w:r>
        <w:rPr>
          <w:rFonts w:hint="default"/>
          <w:highlight w:val="none"/>
          <w:lang w:val="en-US" w:eastAsia="zh-CN"/>
        </w:rPr>
        <w:t>分；</w:t>
      </w:r>
    </w:p>
    <w:p w14:paraId="1DCF2865">
      <w:pPr>
        <w:bidi w:val="0"/>
        <w:rPr>
          <w:rFonts w:hint="default"/>
          <w:highlight w:val="none"/>
          <w:lang w:val="en-US" w:eastAsia="zh-CN"/>
        </w:rPr>
      </w:pPr>
      <w:r>
        <w:rPr>
          <w:rFonts w:hint="default"/>
          <w:highlight w:val="none"/>
          <w:lang w:val="en-US" w:eastAsia="zh-CN"/>
        </w:rPr>
        <w:t>商务部分：</w:t>
      </w:r>
      <w:r>
        <w:rPr>
          <w:rFonts w:hint="eastAsia"/>
          <w:highlight w:val="none"/>
          <w:lang w:val="en-US" w:eastAsia="zh-CN"/>
        </w:rPr>
        <w:t>20</w:t>
      </w:r>
      <w:r>
        <w:rPr>
          <w:rFonts w:hint="default"/>
          <w:highlight w:val="none"/>
          <w:lang w:val="en-US" w:eastAsia="zh-CN"/>
        </w:rPr>
        <w:t>分。</w:t>
      </w:r>
    </w:p>
    <w:p w14:paraId="0B744DFC">
      <w:pPr>
        <w:bidi w:val="0"/>
        <w:rPr>
          <w:rFonts w:hint="default"/>
          <w:highlight w:val="none"/>
          <w:lang w:val="en-US" w:eastAsia="zh-CN"/>
        </w:rPr>
      </w:pPr>
      <w:r>
        <w:rPr>
          <w:rFonts w:hint="default"/>
          <w:highlight w:val="none"/>
          <w:lang w:val="en-US" w:eastAsia="zh-CN"/>
        </w:rPr>
        <w:t>详细评审评分表</w:t>
      </w:r>
    </w:p>
    <w:tbl>
      <w:tblPr>
        <w:tblStyle w:val="18"/>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1767"/>
        <w:gridCol w:w="5334"/>
      </w:tblGrid>
      <w:tr w14:paraId="75535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418" w:type="dxa"/>
            <w:noWrap w:val="0"/>
            <w:vAlign w:val="center"/>
          </w:tcPr>
          <w:p w14:paraId="1DA9D1FF">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b/>
                <w:bCs/>
              </w:rPr>
            </w:pPr>
            <w:r>
              <w:rPr>
                <w:rFonts w:hint="default"/>
                <w:b/>
                <w:bCs/>
              </w:rPr>
              <w:t>审查内容</w:t>
            </w:r>
          </w:p>
        </w:tc>
        <w:tc>
          <w:tcPr>
            <w:tcW w:w="1767" w:type="dxa"/>
            <w:noWrap w:val="0"/>
            <w:vAlign w:val="center"/>
          </w:tcPr>
          <w:p w14:paraId="4FC67920">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b/>
                <w:bCs/>
              </w:rPr>
            </w:pPr>
            <w:r>
              <w:rPr>
                <w:rFonts w:hint="default"/>
                <w:b/>
                <w:bCs/>
              </w:rPr>
              <w:t>评审因素</w:t>
            </w:r>
          </w:p>
        </w:tc>
        <w:tc>
          <w:tcPr>
            <w:tcW w:w="5334" w:type="dxa"/>
            <w:noWrap w:val="0"/>
            <w:vAlign w:val="center"/>
          </w:tcPr>
          <w:p w14:paraId="68038467">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b/>
                <w:bCs/>
              </w:rPr>
            </w:pPr>
            <w:r>
              <w:rPr>
                <w:rFonts w:hint="default"/>
                <w:b/>
                <w:bCs/>
              </w:rPr>
              <w:t>评审标准</w:t>
            </w:r>
          </w:p>
        </w:tc>
      </w:tr>
      <w:tr w14:paraId="7820C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18" w:type="dxa"/>
            <w:noWrap w:val="0"/>
            <w:vAlign w:val="center"/>
          </w:tcPr>
          <w:p w14:paraId="15F55158">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rPr>
            </w:pPr>
            <w:r>
              <w:rPr>
                <w:rFonts w:hint="default"/>
              </w:rPr>
              <w:t>报价部分</w:t>
            </w:r>
          </w:p>
          <w:p w14:paraId="5288F769">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rPr>
            </w:pPr>
            <w:r>
              <w:rPr>
                <w:rFonts w:hint="default"/>
              </w:rPr>
              <w:t>（满分</w:t>
            </w:r>
            <w:r>
              <w:rPr>
                <w:rFonts w:hint="eastAsia"/>
                <w:lang w:val="en-US" w:eastAsia="zh-CN"/>
              </w:rPr>
              <w:t>30</w:t>
            </w:r>
            <w:r>
              <w:rPr>
                <w:rFonts w:hint="default"/>
              </w:rPr>
              <w:t>分）</w:t>
            </w:r>
          </w:p>
        </w:tc>
        <w:tc>
          <w:tcPr>
            <w:tcW w:w="1767" w:type="dxa"/>
            <w:noWrap w:val="0"/>
            <w:vAlign w:val="center"/>
          </w:tcPr>
          <w:p w14:paraId="59D80C7D">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rPr>
            </w:pPr>
            <w:r>
              <w:rPr>
                <w:rFonts w:hint="default"/>
              </w:rPr>
              <w:t>报价评审</w:t>
            </w:r>
          </w:p>
          <w:p w14:paraId="453E3021">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rPr>
            </w:pPr>
            <w:r>
              <w:rPr>
                <w:rFonts w:hint="default"/>
              </w:rPr>
              <w:t>（</w:t>
            </w:r>
            <w:r>
              <w:rPr>
                <w:rFonts w:hint="eastAsia"/>
                <w:lang w:val="en-US" w:eastAsia="zh-CN"/>
              </w:rPr>
              <w:t>30</w:t>
            </w:r>
            <w:r>
              <w:rPr>
                <w:rFonts w:hint="default"/>
              </w:rPr>
              <w:t>分）</w:t>
            </w:r>
          </w:p>
        </w:tc>
        <w:tc>
          <w:tcPr>
            <w:tcW w:w="5334" w:type="dxa"/>
            <w:noWrap w:val="0"/>
            <w:vAlign w:val="center"/>
          </w:tcPr>
          <w:p w14:paraId="1BC374C6">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rPr>
            </w:pPr>
            <w:r>
              <w:rPr>
                <w:rFonts w:hint="default"/>
              </w:rPr>
              <w:t>评审基准价：合格</w:t>
            </w:r>
            <w:r>
              <w:rPr>
                <w:rFonts w:hint="eastAsia"/>
                <w:lang w:val="en-US" w:eastAsia="zh-CN"/>
              </w:rPr>
              <w:t>供应商</w:t>
            </w:r>
            <w:r>
              <w:rPr>
                <w:rFonts w:hint="default"/>
              </w:rPr>
              <w:t>数</w:t>
            </w:r>
            <w:r>
              <w:rPr>
                <w:rFonts w:hint="eastAsia"/>
                <w:lang w:val="en-US" w:eastAsia="zh-CN"/>
              </w:rPr>
              <w:t>为</w:t>
            </w:r>
            <w:r>
              <w:rPr>
                <w:rFonts w:hint="default"/>
              </w:rPr>
              <w:t>5家及以上时，评审基准价为去掉一个最高报价和一个最低报价后，其他</w:t>
            </w:r>
            <w:r>
              <w:rPr>
                <w:rFonts w:hint="eastAsia"/>
                <w:lang w:val="en-US" w:eastAsia="zh-CN"/>
              </w:rPr>
              <w:t>供应商</w:t>
            </w:r>
            <w:r>
              <w:rPr>
                <w:rFonts w:hint="default"/>
              </w:rPr>
              <w:t>报价的算术平均值；合格</w:t>
            </w:r>
            <w:r>
              <w:rPr>
                <w:rFonts w:hint="eastAsia"/>
                <w:lang w:val="en-US" w:eastAsia="zh-CN"/>
              </w:rPr>
              <w:t>供应商</w:t>
            </w:r>
            <w:r>
              <w:rPr>
                <w:rFonts w:hint="default"/>
              </w:rPr>
              <w:t>数少于5家时，评审基准价为</w:t>
            </w:r>
            <w:r>
              <w:rPr>
                <w:rFonts w:hint="eastAsia"/>
                <w:lang w:val="en-US" w:eastAsia="zh-CN"/>
              </w:rPr>
              <w:t>供应商</w:t>
            </w:r>
            <w:r>
              <w:rPr>
                <w:rFonts w:hint="default"/>
              </w:rPr>
              <w:t>报价的算术平均值。</w:t>
            </w:r>
          </w:p>
          <w:p w14:paraId="46A8B224">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rPr>
            </w:pPr>
            <w:r>
              <w:rPr>
                <w:rFonts w:hint="default"/>
                <w:lang w:eastAsia="zh-CN"/>
              </w:rPr>
              <w:t>偏差率=100%×（</w:t>
            </w:r>
            <w:r>
              <w:rPr>
                <w:rFonts w:hint="eastAsia"/>
                <w:lang w:val="en-US" w:eastAsia="zh-CN"/>
              </w:rPr>
              <w:t>供应商</w:t>
            </w:r>
            <w:r>
              <w:rPr>
                <w:rFonts w:hint="default"/>
                <w:lang w:eastAsia="zh-CN"/>
              </w:rPr>
              <w:t>报价－评审基准价）/评审基准价。</w:t>
            </w:r>
          </w:p>
          <w:p w14:paraId="154753C9">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rPr>
            </w:pPr>
            <w:r>
              <w:rPr>
                <w:rFonts w:hint="eastAsia"/>
                <w:lang w:val="en-US" w:eastAsia="zh-CN"/>
              </w:rPr>
              <w:t>供应商</w:t>
            </w:r>
            <w:r>
              <w:rPr>
                <w:rFonts w:hint="default"/>
              </w:rPr>
              <w:t>报价与评审基准价相比，等于评审基准价的得满分</w:t>
            </w:r>
            <w:r>
              <w:rPr>
                <w:rFonts w:hint="eastAsia"/>
                <w:lang w:val="en-US" w:eastAsia="zh-CN"/>
              </w:rPr>
              <w:t>30</w:t>
            </w:r>
            <w:r>
              <w:rPr>
                <w:rFonts w:hint="default"/>
              </w:rPr>
              <w:t>分，与评审基准价相比每上浮1%扣</w:t>
            </w:r>
            <w:r>
              <w:rPr>
                <w:rFonts w:hint="eastAsia"/>
                <w:lang w:val="en-US" w:eastAsia="zh-CN"/>
              </w:rPr>
              <w:t>0.3</w:t>
            </w:r>
            <w:r>
              <w:rPr>
                <w:rFonts w:hint="default"/>
              </w:rPr>
              <w:t>分</w:t>
            </w:r>
            <w:r>
              <w:rPr>
                <w:rFonts w:hint="eastAsia"/>
                <w:lang w:eastAsia="zh-CN"/>
              </w:rPr>
              <w:t>，</w:t>
            </w:r>
            <w:r>
              <w:rPr>
                <w:rFonts w:hint="default"/>
              </w:rPr>
              <w:t>每向下浮1%扣0.</w:t>
            </w:r>
            <w:r>
              <w:rPr>
                <w:rFonts w:hint="eastAsia"/>
                <w:lang w:val="en-US" w:eastAsia="zh-CN"/>
              </w:rPr>
              <w:t>2</w:t>
            </w:r>
            <w:r>
              <w:rPr>
                <w:rFonts w:hint="default"/>
              </w:rPr>
              <w:t>分，分数扣完为止。（扣减分值的中间值用插入法，结果保留两位小数，第三位“四舍五入”。）</w:t>
            </w:r>
          </w:p>
        </w:tc>
      </w:tr>
      <w:tr w14:paraId="19343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18" w:type="dxa"/>
            <w:vMerge w:val="restart"/>
            <w:noWrap w:val="0"/>
            <w:vAlign w:val="center"/>
          </w:tcPr>
          <w:p w14:paraId="12EB1DC9">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rPr>
            </w:pPr>
            <w:r>
              <w:rPr>
                <w:rFonts w:hint="default"/>
              </w:rPr>
              <w:t>技术部分</w:t>
            </w:r>
          </w:p>
          <w:p w14:paraId="6078745E">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rPr>
            </w:pPr>
            <w:r>
              <w:rPr>
                <w:rFonts w:hint="default"/>
              </w:rPr>
              <w:t>(满分</w:t>
            </w:r>
            <w:r>
              <w:rPr>
                <w:rFonts w:hint="eastAsia"/>
                <w:lang w:val="en-US" w:eastAsia="zh-CN"/>
              </w:rPr>
              <w:t>50</w:t>
            </w:r>
            <w:r>
              <w:rPr>
                <w:rFonts w:hint="default"/>
              </w:rPr>
              <w:t>分)</w:t>
            </w:r>
          </w:p>
        </w:tc>
        <w:tc>
          <w:tcPr>
            <w:tcW w:w="1767" w:type="dxa"/>
            <w:noWrap w:val="0"/>
            <w:vAlign w:val="center"/>
          </w:tcPr>
          <w:p w14:paraId="23A4B2F7">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rPr>
            </w:pPr>
            <w:r>
              <w:rPr>
                <w:rFonts w:hint="eastAsia"/>
              </w:rPr>
              <w:t>服务方案（满分</w:t>
            </w:r>
            <w:r>
              <w:rPr>
                <w:rFonts w:hint="eastAsia"/>
                <w:lang w:val="en-US" w:eastAsia="zh-CN"/>
              </w:rPr>
              <w:t>30</w:t>
            </w:r>
            <w:r>
              <w:rPr>
                <w:rFonts w:hint="eastAsia"/>
              </w:rPr>
              <w:t>分）</w:t>
            </w:r>
          </w:p>
        </w:tc>
        <w:tc>
          <w:tcPr>
            <w:tcW w:w="5334" w:type="dxa"/>
            <w:noWrap w:val="0"/>
            <w:vAlign w:val="center"/>
          </w:tcPr>
          <w:p w14:paraId="01DF107B">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rPr>
            </w:pPr>
            <w:r>
              <w:rPr>
                <w:rFonts w:hint="eastAsia"/>
                <w:b/>
                <w:bCs/>
                <w:lang w:val="en-US" w:eastAsia="zh-CN"/>
              </w:rPr>
              <w:t>第一档次（21-30分）：</w:t>
            </w:r>
            <w:r>
              <w:rPr>
                <w:rFonts w:hint="eastAsia"/>
              </w:rPr>
              <w:t>服务内容阐述完整合理、无遗漏；对6个评估标的分布广、业态多样（办公楼、厂房、仓库、商业及配套）的特点认识到位，评估方法（成本法、市场法、收益法）选用理由充分、针对性强；总体思路清晰，时间及进度安排满足15个工作日提交征求意见稿的要求，保障措施具体有效；能体现供应商在类似评估服务方面独立处理问题和协助采购人完成评估备案工作的能力。</w:t>
            </w:r>
          </w:p>
          <w:p w14:paraId="5F18F8A1">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rPr>
            </w:pPr>
            <w:r>
              <w:rPr>
                <w:rFonts w:hint="eastAsia"/>
                <w:b/>
                <w:bCs/>
                <w:lang w:val="en-US" w:eastAsia="zh-CN"/>
              </w:rPr>
              <w:t>第二档次（11-20分）</w:t>
            </w:r>
            <w:r>
              <w:rPr>
                <w:rFonts w:hint="eastAsia"/>
                <w:lang w:val="en-US" w:eastAsia="zh-CN"/>
              </w:rPr>
              <w:t>：</w:t>
            </w:r>
            <w:r>
              <w:rPr>
                <w:rFonts w:hint="eastAsia"/>
              </w:rPr>
              <w:t>服务内容阐述基本完整；对项目特点有一定认识，评估方法选用基本合理；总体思路较清晰，进度安排基本合理；类似项目经验一般。</w:t>
            </w:r>
          </w:p>
          <w:p w14:paraId="66687C67">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rPr>
            </w:pPr>
            <w:r>
              <w:rPr>
                <w:rFonts w:hint="eastAsia"/>
                <w:b/>
                <w:bCs/>
                <w:lang w:val="en-US" w:eastAsia="zh-CN"/>
              </w:rPr>
              <w:t>第三档次（0-10分）</w:t>
            </w:r>
            <w:r>
              <w:rPr>
                <w:rFonts w:hint="eastAsia"/>
                <w:lang w:val="en-US" w:eastAsia="zh-CN"/>
              </w:rPr>
              <w:t>：</w:t>
            </w:r>
            <w:r>
              <w:rPr>
                <w:rFonts w:hint="eastAsia"/>
              </w:rPr>
              <w:t>服务内容有明显缺漏或套用模板；未结合本项目特点，评估方法选用理由不清；思路混乱，进度安排不合理，缺乏保障措施。</w:t>
            </w:r>
          </w:p>
        </w:tc>
      </w:tr>
      <w:tr w14:paraId="4CA27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18" w:type="dxa"/>
            <w:vMerge w:val="continue"/>
            <w:noWrap w:val="0"/>
            <w:vAlign w:val="center"/>
          </w:tcPr>
          <w:p w14:paraId="0C995A7C">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rPr>
            </w:pPr>
          </w:p>
        </w:tc>
        <w:tc>
          <w:tcPr>
            <w:tcW w:w="1767" w:type="dxa"/>
            <w:noWrap w:val="0"/>
            <w:vAlign w:val="center"/>
          </w:tcPr>
          <w:p w14:paraId="5CE15ACF">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rPr>
            </w:pPr>
            <w:r>
              <w:rPr>
                <w:rFonts w:hint="eastAsia"/>
              </w:rPr>
              <w:t>工作时间安排、协调机制及协调方案（满分</w:t>
            </w:r>
            <w:r>
              <w:rPr>
                <w:rFonts w:hint="eastAsia"/>
                <w:lang w:val="en-US" w:eastAsia="zh-CN"/>
              </w:rPr>
              <w:t>10</w:t>
            </w:r>
            <w:r>
              <w:rPr>
                <w:rFonts w:hint="eastAsia"/>
              </w:rPr>
              <w:t>分）</w:t>
            </w:r>
          </w:p>
        </w:tc>
        <w:tc>
          <w:tcPr>
            <w:tcW w:w="5334" w:type="dxa"/>
            <w:noWrap w:val="0"/>
            <w:vAlign w:val="center"/>
          </w:tcPr>
          <w:p w14:paraId="078AA91A">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rPr>
            </w:pPr>
            <w:r>
              <w:rPr>
                <w:rFonts w:hint="eastAsia"/>
                <w:b/>
                <w:bCs/>
                <w:lang w:val="en-US" w:eastAsia="zh-CN"/>
              </w:rPr>
              <w:t>第一档次（7-10分）：</w:t>
            </w:r>
            <w:r>
              <w:rPr>
                <w:rFonts w:hint="eastAsia"/>
              </w:rPr>
              <w:t>针对6个评估标的分地块、分阶段的工作时间安排科学合理，与采购人、外部专家的协调机制健全，应急预案完善且响应及时。</w:t>
            </w:r>
          </w:p>
          <w:p w14:paraId="76E92CB7">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rPr>
            </w:pPr>
            <w:r>
              <w:rPr>
                <w:rFonts w:hint="eastAsia"/>
                <w:b/>
                <w:bCs/>
                <w:lang w:val="en-US" w:eastAsia="zh-CN"/>
              </w:rPr>
              <w:t>第二档次（4-6分）：</w:t>
            </w:r>
            <w:r>
              <w:rPr>
                <w:rFonts w:hint="eastAsia"/>
              </w:rPr>
              <w:t>工作时间安排相对合理，有协调机制和应急响应承诺但不够详细。</w:t>
            </w:r>
          </w:p>
          <w:p w14:paraId="5FECA105">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lang w:val="en-US" w:eastAsia="zh-CN"/>
              </w:rPr>
            </w:pPr>
            <w:r>
              <w:rPr>
                <w:rFonts w:hint="eastAsia"/>
                <w:b/>
                <w:bCs/>
                <w:lang w:val="en-US" w:eastAsia="zh-CN"/>
              </w:rPr>
              <w:t>第三档次（0-3分）：</w:t>
            </w:r>
            <w:r>
              <w:rPr>
                <w:rFonts w:hint="eastAsia"/>
              </w:rPr>
              <w:t>进度安排不合理，无协调机制或应急响应承诺不明确</w:t>
            </w:r>
            <w:r>
              <w:rPr>
                <w:rFonts w:hint="eastAsia"/>
                <w:lang w:val="en-US" w:eastAsia="zh-CN"/>
              </w:rPr>
              <w:t>。</w:t>
            </w:r>
          </w:p>
        </w:tc>
      </w:tr>
      <w:tr w14:paraId="54F8D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18" w:type="dxa"/>
            <w:vMerge w:val="continue"/>
            <w:noWrap w:val="0"/>
            <w:vAlign w:val="center"/>
          </w:tcPr>
          <w:p w14:paraId="26E6E87E">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rPr>
            </w:pPr>
          </w:p>
        </w:tc>
        <w:tc>
          <w:tcPr>
            <w:tcW w:w="1767" w:type="dxa"/>
            <w:noWrap w:val="0"/>
            <w:vAlign w:val="center"/>
          </w:tcPr>
          <w:p w14:paraId="5CE36EA2">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rPr>
            </w:pPr>
            <w:r>
              <w:rPr>
                <w:rFonts w:hint="eastAsia"/>
              </w:rPr>
              <w:t>服务质量承诺及保证措施（满分10分）</w:t>
            </w:r>
          </w:p>
        </w:tc>
        <w:tc>
          <w:tcPr>
            <w:tcW w:w="5334" w:type="dxa"/>
            <w:noWrap w:val="0"/>
            <w:vAlign w:val="center"/>
          </w:tcPr>
          <w:p w14:paraId="734C2D43">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rPr>
            </w:pPr>
            <w:r>
              <w:rPr>
                <w:rFonts w:hint="eastAsia"/>
                <w:b/>
                <w:bCs/>
                <w:lang w:val="en-US" w:eastAsia="zh-CN"/>
              </w:rPr>
              <w:t>第一档次（7-10分）：</w:t>
            </w:r>
            <w:r>
              <w:rPr>
                <w:rFonts w:hint="eastAsia"/>
              </w:rPr>
              <w:t>有完善的评估质量控制体系和三级复核机制，质量保证措施具体可行，有明确的违约责任及奖罚承诺，承诺满足评估报告备案要求。</w:t>
            </w:r>
          </w:p>
          <w:p w14:paraId="25F9B9C7">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eastAsia="方正仿宋_GBK"/>
                <w:lang w:eastAsia="zh-CN"/>
              </w:rPr>
            </w:pPr>
            <w:r>
              <w:rPr>
                <w:rFonts w:hint="eastAsia"/>
                <w:b/>
                <w:bCs/>
                <w:lang w:val="en-US" w:eastAsia="zh-CN"/>
              </w:rPr>
              <w:t>第二档次（4-6分）：</w:t>
            </w:r>
            <w:r>
              <w:rPr>
                <w:rFonts w:hint="eastAsia"/>
              </w:rPr>
              <w:t>质量控制体系及措施一般，有违约责任承诺但不具体</w:t>
            </w:r>
            <w:r>
              <w:rPr>
                <w:rFonts w:hint="eastAsia"/>
                <w:lang w:eastAsia="zh-CN"/>
              </w:rPr>
              <w:t>。</w:t>
            </w:r>
          </w:p>
          <w:p w14:paraId="5CD5DF7F">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rPr>
            </w:pPr>
            <w:r>
              <w:rPr>
                <w:rFonts w:hint="eastAsia"/>
                <w:b/>
                <w:bCs/>
                <w:lang w:val="en-US" w:eastAsia="zh-CN"/>
              </w:rPr>
              <w:t>第三档次（0-3分）：</w:t>
            </w:r>
            <w:r>
              <w:rPr>
                <w:rFonts w:hint="eastAsia"/>
              </w:rPr>
              <w:t>质量控制体系缺失，对违约责任无说明。</w:t>
            </w:r>
          </w:p>
        </w:tc>
      </w:tr>
      <w:tr w14:paraId="6CCD6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18" w:type="dxa"/>
            <w:vMerge w:val="restart"/>
            <w:noWrap w:val="0"/>
            <w:vAlign w:val="center"/>
          </w:tcPr>
          <w:p w14:paraId="3E5C152A">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rPr>
            </w:pPr>
            <w:r>
              <w:rPr>
                <w:rFonts w:hint="default"/>
              </w:rPr>
              <w:t>商务部分</w:t>
            </w:r>
          </w:p>
          <w:p w14:paraId="66F33D44">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rPr>
            </w:pPr>
            <w:r>
              <w:rPr>
                <w:rFonts w:hint="default"/>
              </w:rPr>
              <w:t>(满分</w:t>
            </w:r>
            <w:r>
              <w:rPr>
                <w:rFonts w:hint="eastAsia"/>
                <w:lang w:val="en-US" w:eastAsia="zh-CN"/>
              </w:rPr>
              <w:t>20</w:t>
            </w:r>
            <w:r>
              <w:rPr>
                <w:rFonts w:hint="default"/>
              </w:rPr>
              <w:t>分)</w:t>
            </w:r>
          </w:p>
        </w:tc>
        <w:tc>
          <w:tcPr>
            <w:tcW w:w="1767" w:type="dxa"/>
            <w:noWrap w:val="0"/>
            <w:vAlign w:val="center"/>
          </w:tcPr>
          <w:p w14:paraId="2322CAE0">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rPr>
            </w:pPr>
            <w:r>
              <w:rPr>
                <w:rFonts w:hint="eastAsia"/>
              </w:rPr>
              <w:t>项目负责人、服务团队组成及业绩评审（</w:t>
            </w:r>
            <w:r>
              <w:rPr>
                <w:rFonts w:hint="eastAsia"/>
                <w:lang w:val="en-US" w:eastAsia="zh-CN"/>
              </w:rPr>
              <w:t>满分10</w:t>
            </w:r>
            <w:r>
              <w:rPr>
                <w:rFonts w:hint="eastAsia"/>
              </w:rPr>
              <w:t>分）</w:t>
            </w:r>
          </w:p>
        </w:tc>
        <w:tc>
          <w:tcPr>
            <w:tcW w:w="5334" w:type="dxa"/>
            <w:noWrap w:val="0"/>
            <w:vAlign w:val="center"/>
          </w:tcPr>
          <w:p w14:paraId="7B3713D7">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rPr>
            </w:pPr>
            <w:r>
              <w:rPr>
                <w:rFonts w:hint="eastAsia"/>
              </w:rPr>
              <w:t>1.项目负责人及业绩（</w:t>
            </w:r>
            <w:r>
              <w:rPr>
                <w:rFonts w:hint="eastAsia"/>
                <w:lang w:val="en-US" w:eastAsia="zh-CN"/>
              </w:rPr>
              <w:t>3</w:t>
            </w:r>
            <w:r>
              <w:rPr>
                <w:rFonts w:hint="eastAsia"/>
              </w:rPr>
              <w:t>分）</w:t>
            </w:r>
          </w:p>
          <w:p w14:paraId="68EA5EFF">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rPr>
            </w:pPr>
            <w:r>
              <w:rPr>
                <w:rFonts w:hint="eastAsia"/>
              </w:rPr>
              <w:t>在满足资格要求（2项类似业绩）的基础上，2023年1月1日至今（以合同签订时间为准）每增加1项资产评估类服务业绩加1分，最多加3分。</w:t>
            </w:r>
          </w:p>
          <w:p w14:paraId="0BF00985">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rPr>
            </w:pPr>
            <w:r>
              <w:rPr>
                <w:rFonts w:hint="eastAsia"/>
              </w:rPr>
              <w:t>2.服务团队组成</w:t>
            </w:r>
            <w:r>
              <w:rPr>
                <w:rFonts w:hint="eastAsia"/>
                <w:lang w:val="en-US" w:eastAsia="zh-CN"/>
              </w:rPr>
              <w:t>员</w:t>
            </w:r>
            <w:r>
              <w:rPr>
                <w:rFonts w:hint="eastAsia"/>
              </w:rPr>
              <w:t>（</w:t>
            </w:r>
            <w:r>
              <w:rPr>
                <w:rFonts w:hint="eastAsia"/>
                <w:lang w:val="en-US" w:eastAsia="zh-CN"/>
              </w:rPr>
              <w:t>7</w:t>
            </w:r>
            <w:r>
              <w:rPr>
                <w:rFonts w:hint="eastAsia"/>
              </w:rPr>
              <w:t>分）</w:t>
            </w:r>
          </w:p>
          <w:p w14:paraId="6823ABF7">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rPr>
            </w:pPr>
            <w:r>
              <w:rPr>
                <w:rFonts w:hint="eastAsia"/>
              </w:rPr>
              <w:t>①拟投入团队的成员中（不含项目负责人），每有1名资产评估师加1分，最多加3分；②每有1名成员承担过1项2023年1月1日至今（以合同签订时间为准）类似评估服务业绩的加1分，最多加4分。</w:t>
            </w:r>
          </w:p>
          <w:p w14:paraId="441397B7">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rPr>
            </w:pPr>
            <w:r>
              <w:rPr>
                <w:rFonts w:hint="eastAsia"/>
              </w:rPr>
              <w:t>注：</w:t>
            </w:r>
            <w:r>
              <w:rPr>
                <w:rFonts w:hint="eastAsia"/>
                <w:lang w:val="en-US" w:eastAsia="zh-CN"/>
              </w:rPr>
              <w:t>需提供</w:t>
            </w:r>
            <w:r>
              <w:rPr>
                <w:rFonts w:hint="eastAsia"/>
              </w:rPr>
              <w:t>能够证明的材料（包括但不限于劳动合同或社保证明等）</w:t>
            </w:r>
            <w:r>
              <w:rPr>
                <w:rFonts w:hint="eastAsia"/>
                <w:lang w:eastAsia="zh-CN"/>
              </w:rPr>
              <w:t>，</w:t>
            </w:r>
            <w:r>
              <w:rPr>
                <w:rFonts w:hint="eastAsia"/>
                <w:lang w:val="en-US" w:eastAsia="zh-CN"/>
              </w:rPr>
              <w:t>业绩</w:t>
            </w:r>
            <w:r>
              <w:rPr>
                <w:rFonts w:hint="eastAsia"/>
              </w:rPr>
              <w:t>须逐一提供类似业绩的有效证明资料，提供合同复印件，所提供材料须能反映签订时间、工作范围</w:t>
            </w:r>
            <w:r>
              <w:rPr>
                <w:rFonts w:hint="eastAsia"/>
                <w:lang w:val="en-US" w:eastAsia="zh-CN"/>
              </w:rPr>
              <w:t>或</w:t>
            </w:r>
            <w:r>
              <w:rPr>
                <w:rFonts w:hint="eastAsia"/>
              </w:rPr>
              <w:t>工作内容，若无法判别的，则视为无效业绩。</w:t>
            </w:r>
          </w:p>
        </w:tc>
      </w:tr>
      <w:tr w14:paraId="2E840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18" w:type="dxa"/>
            <w:vMerge w:val="continue"/>
            <w:noWrap w:val="0"/>
            <w:vAlign w:val="center"/>
          </w:tcPr>
          <w:p w14:paraId="7361CB92">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rPr>
            </w:pPr>
          </w:p>
        </w:tc>
        <w:tc>
          <w:tcPr>
            <w:tcW w:w="1767" w:type="dxa"/>
            <w:noWrap w:val="0"/>
            <w:vAlign w:val="center"/>
          </w:tcPr>
          <w:p w14:paraId="0D9C5EF5">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rPr>
            </w:pPr>
            <w:r>
              <w:rPr>
                <w:rFonts w:hint="eastAsia"/>
                <w:lang w:eastAsia="zh-CN"/>
              </w:rPr>
              <w:t>供应商</w:t>
            </w:r>
            <w:r>
              <w:rPr>
                <w:rFonts w:hint="eastAsia"/>
              </w:rPr>
              <w:t>业绩（满分10分）</w:t>
            </w:r>
          </w:p>
        </w:tc>
        <w:tc>
          <w:tcPr>
            <w:tcW w:w="5334" w:type="dxa"/>
            <w:noWrap w:val="0"/>
            <w:vAlign w:val="center"/>
          </w:tcPr>
          <w:p w14:paraId="107FA394">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lang w:eastAsia="zh-CN"/>
              </w:rPr>
            </w:pPr>
            <w:r>
              <w:rPr>
                <w:rFonts w:hint="eastAsia"/>
                <w:lang w:val="en-US" w:eastAsia="zh-CN"/>
              </w:rPr>
              <w:t>在满足资格要求的2个业绩基础上，2023年1月1日至今（以合同签订时间为准）每增加1项资产评估类服务业绩得2分，最多得10分。</w:t>
            </w:r>
          </w:p>
          <w:p w14:paraId="24AB5E77">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lang w:eastAsia="zh-CN"/>
              </w:rPr>
            </w:pPr>
            <w:r>
              <w:rPr>
                <w:rFonts w:hint="eastAsia"/>
              </w:rPr>
              <w:t>注：</w:t>
            </w:r>
            <w:r>
              <w:rPr>
                <w:rFonts w:hint="eastAsia"/>
                <w:lang w:val="en-US" w:eastAsia="zh-CN"/>
              </w:rPr>
              <w:t>业绩</w:t>
            </w:r>
            <w:r>
              <w:rPr>
                <w:rFonts w:hint="eastAsia"/>
              </w:rPr>
              <w:t>须提供合同复印件，所提供材料须能反映签订时间、工作范围</w:t>
            </w:r>
            <w:r>
              <w:rPr>
                <w:rFonts w:hint="eastAsia"/>
                <w:lang w:val="en-US" w:eastAsia="zh-CN"/>
              </w:rPr>
              <w:t>或</w:t>
            </w:r>
            <w:r>
              <w:rPr>
                <w:rFonts w:hint="eastAsia"/>
              </w:rPr>
              <w:t>工作内容，若无法判别的，则视为无效业绩。</w:t>
            </w:r>
          </w:p>
        </w:tc>
      </w:tr>
    </w:tbl>
    <w:p w14:paraId="5CD677C6">
      <w:pPr>
        <w:bidi w:val="0"/>
        <w:rPr>
          <w:rFonts w:hint="eastAsia"/>
          <w:lang w:val="en-US" w:eastAsia="zh-CN"/>
        </w:rPr>
      </w:pPr>
      <w:r>
        <w:rPr>
          <w:rFonts w:hint="eastAsia"/>
          <w:lang w:val="en-US" w:eastAsia="zh-CN"/>
        </w:rPr>
        <w:t>4.评审报告、成交候选人推荐及成交</w:t>
      </w:r>
    </w:p>
    <w:p w14:paraId="61BBB652">
      <w:pPr>
        <w:bidi w:val="0"/>
        <w:rPr>
          <w:rFonts w:hint="eastAsia"/>
          <w:lang w:val="en-US" w:eastAsia="zh-CN"/>
        </w:rPr>
      </w:pPr>
      <w:r>
        <w:rPr>
          <w:rFonts w:hint="eastAsia"/>
          <w:lang w:val="en-US" w:eastAsia="zh-CN"/>
        </w:rPr>
        <w:t>4.1评审小组完成评审后，编制书面评审报告，载明评审情况、各供应商得分、否决情况及理由，推荐</w:t>
      </w:r>
      <w:r>
        <w:rPr>
          <w:rFonts w:hint="eastAsia"/>
          <w:b w:val="0"/>
          <w:bCs w:val="0"/>
          <w:sz w:val="24"/>
          <w:szCs w:val="24"/>
          <w:vertAlign w:val="baseline"/>
          <w:lang w:val="en-US" w:eastAsia="zh-CN"/>
        </w:rPr>
        <w:t>1~3名</w:t>
      </w:r>
      <w:r>
        <w:rPr>
          <w:rFonts w:hint="eastAsia"/>
          <w:lang w:val="en-US" w:eastAsia="zh-CN"/>
        </w:rPr>
        <w:t>成交候选人名单并标明排序。</w:t>
      </w:r>
    </w:p>
    <w:p w14:paraId="76DC6825">
      <w:pPr>
        <w:bidi w:val="0"/>
        <w:rPr>
          <w:rFonts w:hint="eastAsia"/>
          <w:lang w:val="en-US" w:eastAsia="zh-CN"/>
        </w:rPr>
      </w:pPr>
      <w:r>
        <w:rPr>
          <w:rFonts w:hint="eastAsia"/>
          <w:lang w:val="en-US" w:eastAsia="zh-CN"/>
        </w:rPr>
        <w:t>4.2公示期满无异议的，排名第一的成交候选人为成交人。</w:t>
      </w:r>
    </w:p>
    <w:p w14:paraId="761CB5D9">
      <w:pPr>
        <w:pStyle w:val="6"/>
        <w:rPr>
          <w:rFonts w:hint="default"/>
          <w:lang w:val="en-US" w:eastAsia="zh-CN"/>
        </w:rPr>
      </w:pPr>
    </w:p>
    <w:p w14:paraId="2E9B22D0">
      <w:pPr>
        <w:pStyle w:val="6"/>
        <w:rPr>
          <w:rFonts w:hint="default"/>
          <w:lang w:val="en-US" w:eastAsia="zh-CN"/>
        </w:rPr>
        <w:sectPr>
          <w:pgSz w:w="11906" w:h="16838"/>
          <w:pgMar w:top="2098" w:right="1474" w:bottom="1984" w:left="1587" w:header="851" w:footer="992" w:gutter="0"/>
          <w:cols w:space="0" w:num="1"/>
          <w:rtlGutter w:val="0"/>
          <w:docGrid w:type="lines" w:linePitch="327" w:charSpace="0"/>
        </w:sectPr>
      </w:pPr>
    </w:p>
    <w:p w14:paraId="398F4365">
      <w:pPr>
        <w:pStyle w:val="3"/>
        <w:bidi w:val="0"/>
        <w:rPr>
          <w:rFonts w:hint="default"/>
          <w:lang w:val="en-US" w:eastAsia="zh-CN"/>
        </w:rPr>
      </w:pPr>
      <w:bookmarkStart w:id="37" w:name="_Toc689"/>
      <w:bookmarkStart w:id="38" w:name="_Toc342"/>
      <w:r>
        <w:rPr>
          <w:rFonts w:hint="default"/>
          <w:lang w:val="en-US" w:eastAsia="zh-CN"/>
        </w:rPr>
        <w:t xml:space="preserve">第五章 </w:t>
      </w:r>
      <w:r>
        <w:rPr>
          <w:rFonts w:hint="eastAsia"/>
          <w:lang w:val="en-US" w:eastAsia="zh-CN"/>
        </w:rPr>
        <w:t>响应文件</w:t>
      </w:r>
      <w:r>
        <w:rPr>
          <w:rFonts w:hint="default"/>
          <w:lang w:val="en-US" w:eastAsia="zh-CN"/>
        </w:rPr>
        <w:t>格式</w:t>
      </w:r>
      <w:bookmarkEnd w:id="37"/>
      <w:bookmarkEnd w:id="38"/>
    </w:p>
    <w:p w14:paraId="02A0F6B8">
      <w:pPr>
        <w:rPr>
          <w:rFonts w:hint="default"/>
          <w:lang w:val="en-US" w:eastAsia="zh-CN"/>
        </w:rPr>
      </w:pPr>
    </w:p>
    <w:p w14:paraId="45ADE963">
      <w:pPr>
        <w:jc w:val="right"/>
        <w:rPr>
          <w:rFonts w:hint="default"/>
          <w:b/>
          <w:bCs/>
          <w:sz w:val="32"/>
          <w:szCs w:val="32"/>
          <w:lang w:val="en-US" w:eastAsia="zh-CN"/>
        </w:rPr>
      </w:pPr>
      <w:r>
        <w:rPr>
          <w:rFonts w:hint="default"/>
          <w:b/>
          <w:bCs/>
          <w:sz w:val="32"/>
          <w:szCs w:val="32"/>
          <w:lang w:val="en-US" w:eastAsia="zh-CN"/>
        </w:rPr>
        <w:t>正本（副本）</w:t>
      </w:r>
    </w:p>
    <w:p w14:paraId="2EDEF0A8">
      <w:pPr>
        <w:pStyle w:val="17"/>
        <w:rPr>
          <w:rFonts w:hint="default"/>
          <w:b/>
          <w:bCs/>
          <w:sz w:val="32"/>
          <w:szCs w:val="32"/>
          <w:lang w:val="en-US" w:eastAsia="zh-CN"/>
        </w:rPr>
      </w:pPr>
    </w:p>
    <w:p w14:paraId="0AFCE7D5">
      <w:pPr>
        <w:pStyle w:val="6"/>
        <w:rPr>
          <w:rFonts w:hint="default"/>
          <w:b/>
          <w:bCs/>
          <w:sz w:val="32"/>
          <w:szCs w:val="32"/>
          <w:lang w:val="en-US" w:eastAsia="zh-CN"/>
        </w:rPr>
      </w:pPr>
    </w:p>
    <w:p w14:paraId="1636E812">
      <w:pPr>
        <w:rPr>
          <w:rFonts w:hint="default"/>
          <w:lang w:val="en-US" w:eastAsia="zh-CN"/>
        </w:rPr>
      </w:pPr>
    </w:p>
    <w:p w14:paraId="1BB3739A">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sz w:val="32"/>
          <w:szCs w:val="32"/>
          <w:highlight w:val="none"/>
          <w:lang w:val="en-US" w:eastAsia="zh-CN"/>
        </w:rPr>
      </w:pPr>
      <w:r>
        <w:rPr>
          <w:rFonts w:hint="default"/>
          <w:b/>
          <w:bCs/>
          <w:sz w:val="32"/>
          <w:szCs w:val="32"/>
          <w:highlight w:val="none"/>
          <w:lang w:val="en-US" w:eastAsia="zh-CN"/>
        </w:rPr>
        <w:t>云南能源资产运营管理有限公司及所属公司投资性房地产价值评估服务</w:t>
      </w:r>
    </w:p>
    <w:p w14:paraId="5DD2153C">
      <w:pPr>
        <w:rPr>
          <w:rFonts w:hint="default"/>
          <w:lang w:val="en-US" w:eastAsia="zh-CN"/>
        </w:rPr>
      </w:pPr>
    </w:p>
    <w:p w14:paraId="134C0FB2">
      <w:pPr>
        <w:rPr>
          <w:rFonts w:hint="default"/>
          <w:lang w:val="en-US" w:eastAsia="zh-CN"/>
        </w:rPr>
      </w:pPr>
    </w:p>
    <w:p w14:paraId="09426B97">
      <w:pPr>
        <w:keepNext w:val="0"/>
        <w:keepLines w:val="0"/>
        <w:pageBreakBefore w:val="0"/>
        <w:widowControl w:val="0"/>
        <w:kinsoku/>
        <w:wordWrap/>
        <w:overflowPunct/>
        <w:topLinePunct w:val="0"/>
        <w:autoSpaceDE/>
        <w:autoSpaceDN/>
        <w:bidi w:val="0"/>
        <w:adjustRightInd/>
        <w:snapToGrid/>
        <w:spacing w:line="800" w:lineRule="exact"/>
        <w:ind w:firstLine="0" w:firstLineChars="0"/>
        <w:jc w:val="center"/>
        <w:textAlignment w:val="auto"/>
        <w:rPr>
          <w:rFonts w:hint="default"/>
          <w:lang w:val="en-US" w:eastAsia="zh-CN"/>
        </w:rPr>
      </w:pPr>
      <w:r>
        <w:rPr>
          <w:rFonts w:hint="eastAsia"/>
          <w:b/>
          <w:bCs/>
          <w:sz w:val="72"/>
          <w:szCs w:val="72"/>
          <w:lang w:val="en-US" w:eastAsia="zh-CN"/>
        </w:rPr>
        <w:t>响应文件</w:t>
      </w:r>
    </w:p>
    <w:p w14:paraId="14D9799F">
      <w:pPr>
        <w:rPr>
          <w:rFonts w:hint="default"/>
          <w:lang w:val="en-US" w:eastAsia="zh-CN"/>
        </w:rPr>
      </w:pPr>
    </w:p>
    <w:p w14:paraId="37CE14A8">
      <w:pPr>
        <w:rPr>
          <w:rFonts w:hint="default"/>
          <w:lang w:val="en-US" w:eastAsia="zh-CN"/>
        </w:rPr>
      </w:pPr>
    </w:p>
    <w:p w14:paraId="55507D3B">
      <w:pPr>
        <w:rPr>
          <w:rFonts w:hint="default"/>
          <w:lang w:val="en-US" w:eastAsia="zh-CN"/>
        </w:rPr>
      </w:pPr>
    </w:p>
    <w:p w14:paraId="42A9675F">
      <w:pPr>
        <w:rPr>
          <w:rFonts w:hint="default"/>
          <w:lang w:val="en-US" w:eastAsia="zh-CN"/>
        </w:rPr>
      </w:pPr>
    </w:p>
    <w:p w14:paraId="49E9A31E">
      <w:pPr>
        <w:rPr>
          <w:rFonts w:hint="default"/>
          <w:lang w:val="en-US" w:eastAsia="zh-CN"/>
        </w:rPr>
      </w:pPr>
    </w:p>
    <w:p w14:paraId="0865F142">
      <w:pPr>
        <w:rPr>
          <w:rFonts w:hint="default"/>
          <w:lang w:val="en-US" w:eastAsia="zh-CN"/>
        </w:rPr>
      </w:pPr>
    </w:p>
    <w:p w14:paraId="5BB8907A">
      <w:pPr>
        <w:rPr>
          <w:rFonts w:hint="default"/>
          <w:lang w:val="en-US" w:eastAsia="zh-CN"/>
        </w:rPr>
      </w:pPr>
    </w:p>
    <w:p w14:paraId="0C7F1868">
      <w:pPr>
        <w:rPr>
          <w:rFonts w:hint="default"/>
          <w:lang w:val="en-US" w:eastAsia="zh-CN"/>
        </w:rPr>
      </w:pPr>
    </w:p>
    <w:p w14:paraId="1D4FC9E0">
      <w:pPr>
        <w:rPr>
          <w:rFonts w:hint="default"/>
          <w:lang w:val="en-US" w:eastAsia="zh-CN"/>
        </w:rPr>
      </w:pPr>
    </w:p>
    <w:p w14:paraId="6BC9DDF6">
      <w:pPr>
        <w:rPr>
          <w:rFonts w:hint="default"/>
          <w:lang w:val="en-US" w:eastAsia="zh-CN"/>
        </w:rPr>
      </w:pPr>
    </w:p>
    <w:p w14:paraId="0B486987">
      <w:pPr>
        <w:rPr>
          <w:rFonts w:hint="default"/>
          <w:lang w:val="en-US" w:eastAsia="zh-CN"/>
        </w:rPr>
      </w:pPr>
    </w:p>
    <w:p w14:paraId="110A1B6F">
      <w:pPr>
        <w:rPr>
          <w:rFonts w:hint="default"/>
          <w:lang w:val="en-US" w:eastAsia="zh-CN"/>
        </w:rPr>
      </w:pPr>
      <w:r>
        <w:rPr>
          <w:rFonts w:hint="eastAsia"/>
          <w:lang w:val="en-US" w:eastAsia="zh-CN"/>
        </w:rPr>
        <w:t>供应商</w:t>
      </w:r>
      <w:r>
        <w:rPr>
          <w:rFonts w:hint="default"/>
          <w:lang w:val="en-US" w:eastAsia="zh-CN"/>
        </w:rPr>
        <w:t>：</w:t>
      </w:r>
      <w:r>
        <w:rPr>
          <w:rFonts w:hint="default"/>
          <w:u w:val="single"/>
          <w:lang w:val="en-US" w:eastAsia="zh-CN"/>
        </w:rPr>
        <w:t xml:space="preserve">                 </w:t>
      </w:r>
      <w:r>
        <w:rPr>
          <w:rFonts w:hint="default"/>
          <w:lang w:val="en-US" w:eastAsia="zh-CN"/>
        </w:rPr>
        <w:t>（盖章）</w:t>
      </w:r>
    </w:p>
    <w:p w14:paraId="3B8741A6">
      <w:pPr>
        <w:rPr>
          <w:rFonts w:hint="default"/>
          <w:lang w:val="en-US" w:eastAsia="zh-CN"/>
        </w:rPr>
      </w:pPr>
      <w:r>
        <w:rPr>
          <w:rFonts w:hint="default"/>
          <w:lang w:val="en-US" w:eastAsia="zh-CN"/>
        </w:rPr>
        <w:t>法定代表人（负责人）或授权代理人：</w:t>
      </w:r>
      <w:r>
        <w:rPr>
          <w:rFonts w:hint="default"/>
          <w:u w:val="single"/>
          <w:lang w:val="en-US" w:eastAsia="zh-CN"/>
        </w:rPr>
        <w:t xml:space="preserve">        </w:t>
      </w:r>
      <w:r>
        <w:rPr>
          <w:rFonts w:hint="default"/>
          <w:lang w:val="en-US" w:eastAsia="zh-CN"/>
        </w:rPr>
        <w:t>（签字或盖章）</w:t>
      </w:r>
    </w:p>
    <w:p w14:paraId="48ACD68D">
      <w:pPr>
        <w:rPr>
          <w:rFonts w:hint="default"/>
          <w:lang w:val="en-US" w:eastAsia="zh-CN"/>
        </w:rPr>
      </w:pPr>
      <w:r>
        <w:rPr>
          <w:rFonts w:hint="default"/>
          <w:lang w:val="en-US" w:eastAsia="zh-CN"/>
        </w:rPr>
        <w:t>日期：</w:t>
      </w:r>
      <w:r>
        <w:rPr>
          <w:rFonts w:hint="default"/>
          <w:u w:val="single"/>
          <w:lang w:val="en-US" w:eastAsia="zh-CN"/>
        </w:rPr>
        <w:t xml:space="preserve">    </w:t>
      </w:r>
      <w:r>
        <w:rPr>
          <w:rFonts w:hint="default"/>
          <w:lang w:val="en-US" w:eastAsia="zh-CN"/>
        </w:rPr>
        <w:t>年</w:t>
      </w:r>
      <w:r>
        <w:rPr>
          <w:rFonts w:hint="default"/>
          <w:u w:val="single"/>
          <w:lang w:val="en-US" w:eastAsia="zh-CN"/>
        </w:rPr>
        <w:t xml:space="preserve">    </w:t>
      </w:r>
      <w:r>
        <w:rPr>
          <w:rFonts w:hint="default"/>
          <w:lang w:val="en-US" w:eastAsia="zh-CN"/>
        </w:rPr>
        <w:t>月</w:t>
      </w:r>
      <w:r>
        <w:rPr>
          <w:rFonts w:hint="default"/>
          <w:u w:val="single"/>
          <w:lang w:val="en-US" w:eastAsia="zh-CN"/>
        </w:rPr>
        <w:t xml:space="preserve">    </w:t>
      </w:r>
      <w:r>
        <w:rPr>
          <w:rFonts w:hint="default"/>
          <w:lang w:val="en-US" w:eastAsia="zh-CN"/>
        </w:rPr>
        <w:t>日</w:t>
      </w:r>
    </w:p>
    <w:p w14:paraId="4CCD14A4">
      <w:pPr>
        <w:rPr>
          <w:rFonts w:hint="default"/>
          <w:lang w:val="en-US" w:eastAsia="zh-CN"/>
        </w:rPr>
      </w:pPr>
      <w:r>
        <w:rPr>
          <w:rFonts w:hint="default"/>
          <w:lang w:val="en-US" w:eastAsia="zh-CN"/>
        </w:rPr>
        <w:br w:type="page"/>
      </w:r>
    </w:p>
    <w:p w14:paraId="56624DEB">
      <w:pPr>
        <w:keepNext w:val="0"/>
        <w:keepLines w:val="0"/>
        <w:pageBreakBefore w:val="0"/>
        <w:widowControl w:val="0"/>
        <w:kinsoku/>
        <w:wordWrap/>
        <w:overflowPunct/>
        <w:topLinePunct w:val="0"/>
        <w:autoSpaceDE/>
        <w:autoSpaceDN/>
        <w:bidi w:val="0"/>
        <w:adjustRightInd/>
        <w:snapToGrid/>
        <w:ind w:firstLine="0" w:firstLineChars="0"/>
        <w:jc w:val="center"/>
        <w:textAlignment w:val="auto"/>
        <w:outlineLvl w:val="1"/>
        <w:rPr>
          <w:rFonts w:hint="default" w:ascii="Times New Roman" w:hAnsi="Times New Roman"/>
          <w:b/>
          <w:bCs/>
          <w:lang w:val="en-US" w:eastAsia="zh-CN"/>
        </w:rPr>
      </w:pPr>
      <w:bookmarkStart w:id="39" w:name="_Toc15499"/>
      <w:bookmarkStart w:id="40" w:name="_Toc13711"/>
      <w:r>
        <w:rPr>
          <w:rFonts w:hint="eastAsia"/>
          <w:b/>
          <w:bCs/>
          <w:lang w:val="en-US" w:eastAsia="zh-CN"/>
        </w:rPr>
        <w:t>报价一览表</w:t>
      </w:r>
      <w:bookmarkEnd w:id="39"/>
      <w:bookmarkEnd w:id="40"/>
    </w:p>
    <w:p w14:paraId="3A5D1C41">
      <w:pPr>
        <w:rPr>
          <w:rFonts w:hint="default" w:ascii="Times New Roman" w:hAnsi="Times New Roman"/>
          <w:highlight w:val="none"/>
          <w:lang w:val="en-US" w:eastAsia="zh-CN"/>
        </w:rPr>
      </w:pPr>
      <w:r>
        <w:rPr>
          <w:rFonts w:hint="default" w:ascii="Times New Roman" w:hAnsi="Times New Roman"/>
          <w:highlight w:val="none"/>
          <w:lang w:val="en-US" w:eastAsia="zh-CN"/>
        </w:rPr>
        <w:t>项目名称：云南能源资产运营管理有限公司及所属公司投资性房地产价值评估服务</w:t>
      </w:r>
    </w:p>
    <w:tbl>
      <w:tblPr>
        <w:tblStyle w:val="18"/>
        <w:tblW w:w="92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075"/>
        <w:gridCol w:w="1626"/>
        <w:gridCol w:w="1901"/>
        <w:gridCol w:w="814"/>
        <w:gridCol w:w="1804"/>
      </w:tblGrid>
      <w:tr w14:paraId="089CC2CF">
        <w:tblPrEx>
          <w:shd w:val="clear" w:color="auto" w:fill="auto"/>
          <w:tblCellMar>
            <w:top w:w="0" w:type="dxa"/>
            <w:left w:w="108" w:type="dxa"/>
            <w:bottom w:w="0" w:type="dxa"/>
            <w:right w:w="108" w:type="dxa"/>
          </w:tblCellMar>
        </w:tblPrEx>
        <w:trPr>
          <w:trHeight w:val="640" w:hRule="atLeast"/>
        </w:trPr>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10AE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w:t>
            </w:r>
          </w:p>
        </w:tc>
        <w:tc>
          <w:tcPr>
            <w:tcW w:w="614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9B43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内容</w:t>
            </w:r>
          </w:p>
        </w:tc>
      </w:tr>
      <w:tr w14:paraId="677EB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307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C5D0A">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报价总价（元）</w:t>
            </w:r>
          </w:p>
        </w:tc>
        <w:tc>
          <w:tcPr>
            <w:tcW w:w="1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F7C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含税价</w:t>
            </w:r>
          </w:p>
        </w:tc>
        <w:tc>
          <w:tcPr>
            <w:tcW w:w="1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1B5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不含税价</w:t>
            </w:r>
          </w:p>
        </w:tc>
        <w:tc>
          <w:tcPr>
            <w:tcW w:w="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6366B">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增值税税率</w:t>
            </w:r>
          </w:p>
        </w:tc>
        <w:tc>
          <w:tcPr>
            <w:tcW w:w="1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5B29D">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备注说明（差额发票/全额发票、专票/普票）</w:t>
            </w:r>
          </w:p>
        </w:tc>
      </w:tr>
      <w:tr w14:paraId="46B82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30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88B97">
            <w:pPr>
              <w:jc w:val="center"/>
              <w:rPr>
                <w:rFonts w:hint="eastAsia" w:ascii="宋体" w:hAnsi="宋体" w:eastAsia="宋体" w:cs="宋体"/>
                <w:i w:val="0"/>
                <w:iCs w:val="0"/>
                <w:color w:val="000000"/>
                <w:sz w:val="24"/>
                <w:szCs w:val="24"/>
                <w:u w:val="none"/>
              </w:rPr>
            </w:pPr>
          </w:p>
        </w:tc>
        <w:tc>
          <w:tcPr>
            <w:tcW w:w="1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BBB53">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小写：</w:t>
            </w:r>
          </w:p>
        </w:tc>
        <w:tc>
          <w:tcPr>
            <w:tcW w:w="1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475F3">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小写：</w:t>
            </w:r>
          </w:p>
        </w:tc>
        <w:tc>
          <w:tcPr>
            <w:tcW w:w="814" w:type="dxa"/>
            <w:vMerge w:val="restart"/>
            <w:tcBorders>
              <w:top w:val="single" w:color="000000" w:sz="4" w:space="0"/>
              <w:left w:val="single" w:color="000000" w:sz="4" w:space="0"/>
              <w:bottom w:val="nil"/>
              <w:right w:val="single" w:color="000000" w:sz="4" w:space="0"/>
            </w:tcBorders>
            <w:shd w:val="clear" w:color="auto" w:fill="auto"/>
            <w:noWrap/>
            <w:vAlign w:val="center"/>
          </w:tcPr>
          <w:p w14:paraId="3AE71EEE">
            <w:pPr>
              <w:jc w:val="center"/>
              <w:rPr>
                <w:rFonts w:hint="eastAsia" w:ascii="宋体" w:hAnsi="宋体" w:eastAsia="宋体" w:cs="宋体"/>
                <w:i w:val="0"/>
                <w:iCs w:val="0"/>
                <w:color w:val="000000"/>
                <w:sz w:val="24"/>
                <w:szCs w:val="24"/>
                <w:u w:val="none"/>
              </w:rPr>
            </w:pPr>
          </w:p>
        </w:tc>
        <w:tc>
          <w:tcPr>
            <w:tcW w:w="180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9036B">
            <w:pPr>
              <w:jc w:val="center"/>
              <w:rPr>
                <w:rFonts w:hint="eastAsia" w:ascii="宋体" w:hAnsi="宋体" w:eastAsia="宋体" w:cs="宋体"/>
                <w:i w:val="0"/>
                <w:iCs w:val="0"/>
                <w:color w:val="000000"/>
                <w:sz w:val="24"/>
                <w:szCs w:val="24"/>
                <w:u w:val="none"/>
              </w:rPr>
            </w:pPr>
          </w:p>
        </w:tc>
      </w:tr>
      <w:tr w14:paraId="219E6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30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ED760">
            <w:pPr>
              <w:jc w:val="center"/>
              <w:rPr>
                <w:rFonts w:hint="eastAsia" w:ascii="宋体" w:hAnsi="宋体" w:eastAsia="宋体" w:cs="宋体"/>
                <w:i w:val="0"/>
                <w:iCs w:val="0"/>
                <w:color w:val="000000"/>
                <w:sz w:val="24"/>
                <w:szCs w:val="24"/>
                <w:u w:val="none"/>
              </w:rPr>
            </w:pPr>
          </w:p>
        </w:tc>
        <w:tc>
          <w:tcPr>
            <w:tcW w:w="1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4302B">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大写：</w:t>
            </w:r>
          </w:p>
        </w:tc>
        <w:tc>
          <w:tcPr>
            <w:tcW w:w="1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9E49B">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大写：</w:t>
            </w:r>
          </w:p>
        </w:tc>
        <w:tc>
          <w:tcPr>
            <w:tcW w:w="814" w:type="dxa"/>
            <w:vMerge w:val="continue"/>
            <w:tcBorders>
              <w:top w:val="single" w:color="000000" w:sz="4" w:space="0"/>
              <w:left w:val="single" w:color="000000" w:sz="4" w:space="0"/>
              <w:bottom w:val="nil"/>
              <w:right w:val="single" w:color="000000" w:sz="4" w:space="0"/>
            </w:tcBorders>
            <w:shd w:val="clear" w:color="auto" w:fill="auto"/>
            <w:noWrap/>
            <w:vAlign w:val="center"/>
          </w:tcPr>
          <w:p w14:paraId="404E6B85">
            <w:pPr>
              <w:jc w:val="center"/>
              <w:rPr>
                <w:rFonts w:hint="eastAsia" w:ascii="宋体" w:hAnsi="宋体" w:eastAsia="宋体" w:cs="宋体"/>
                <w:i w:val="0"/>
                <w:iCs w:val="0"/>
                <w:color w:val="000000"/>
                <w:sz w:val="24"/>
                <w:szCs w:val="24"/>
                <w:u w:val="none"/>
              </w:rPr>
            </w:pPr>
          </w:p>
        </w:tc>
        <w:tc>
          <w:tcPr>
            <w:tcW w:w="1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24CE1">
            <w:pPr>
              <w:jc w:val="center"/>
              <w:rPr>
                <w:rFonts w:hint="eastAsia" w:ascii="宋体" w:hAnsi="宋体" w:eastAsia="宋体" w:cs="宋体"/>
                <w:i w:val="0"/>
                <w:iCs w:val="0"/>
                <w:color w:val="000000"/>
                <w:sz w:val="24"/>
                <w:szCs w:val="24"/>
                <w:u w:val="none"/>
              </w:rPr>
            </w:pPr>
          </w:p>
        </w:tc>
      </w:tr>
      <w:tr w14:paraId="54695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3075" w:type="dxa"/>
            <w:tcBorders>
              <w:top w:val="nil"/>
              <w:left w:val="single" w:color="000000" w:sz="4" w:space="0"/>
              <w:bottom w:val="single" w:color="000000" w:sz="4" w:space="0"/>
              <w:right w:val="single" w:color="000000" w:sz="4" w:space="0"/>
            </w:tcBorders>
            <w:shd w:val="clear" w:color="auto" w:fill="auto"/>
            <w:vAlign w:val="center"/>
          </w:tcPr>
          <w:p w14:paraId="65C3462B">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其中：云南能投红河电力储能园区开发有限公司报价（元）</w:t>
            </w:r>
          </w:p>
        </w:tc>
        <w:tc>
          <w:tcPr>
            <w:tcW w:w="1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3F1AE">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小写：</w:t>
            </w:r>
          </w:p>
        </w:tc>
        <w:tc>
          <w:tcPr>
            <w:tcW w:w="1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A691C">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小写：</w:t>
            </w:r>
          </w:p>
        </w:tc>
        <w:tc>
          <w:tcPr>
            <w:tcW w:w="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E9D35">
            <w:pPr>
              <w:jc w:val="center"/>
              <w:rPr>
                <w:rFonts w:hint="eastAsia" w:ascii="宋体" w:hAnsi="宋体" w:eastAsia="宋体" w:cs="宋体"/>
                <w:i w:val="0"/>
                <w:iCs w:val="0"/>
                <w:color w:val="000000"/>
                <w:sz w:val="24"/>
                <w:szCs w:val="24"/>
                <w:u w:val="none"/>
              </w:rPr>
            </w:pPr>
          </w:p>
        </w:tc>
        <w:tc>
          <w:tcPr>
            <w:tcW w:w="1804" w:type="dxa"/>
            <w:tcBorders>
              <w:top w:val="nil"/>
              <w:left w:val="single" w:color="000000" w:sz="4" w:space="0"/>
              <w:bottom w:val="single" w:color="000000" w:sz="4" w:space="0"/>
              <w:right w:val="single" w:color="000000" w:sz="4" w:space="0"/>
            </w:tcBorders>
            <w:shd w:val="clear" w:color="auto" w:fill="auto"/>
            <w:noWrap/>
            <w:vAlign w:val="center"/>
          </w:tcPr>
          <w:p w14:paraId="4EB96985">
            <w:pPr>
              <w:jc w:val="center"/>
              <w:rPr>
                <w:rFonts w:hint="eastAsia" w:ascii="宋体" w:hAnsi="宋体" w:eastAsia="宋体" w:cs="宋体"/>
                <w:i w:val="0"/>
                <w:iCs w:val="0"/>
                <w:color w:val="000000"/>
                <w:sz w:val="24"/>
                <w:szCs w:val="24"/>
                <w:u w:val="none"/>
              </w:rPr>
            </w:pPr>
          </w:p>
        </w:tc>
      </w:tr>
      <w:tr w14:paraId="38058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5" w:hRule="atLeast"/>
        </w:trPr>
        <w:tc>
          <w:tcPr>
            <w:tcW w:w="3075" w:type="dxa"/>
            <w:tcBorders>
              <w:top w:val="nil"/>
              <w:left w:val="single" w:color="000000" w:sz="4" w:space="0"/>
              <w:bottom w:val="single" w:color="000000" w:sz="4" w:space="0"/>
              <w:right w:val="single" w:color="000000" w:sz="4" w:space="0"/>
            </w:tcBorders>
            <w:shd w:val="clear" w:color="auto" w:fill="auto"/>
            <w:vAlign w:val="center"/>
          </w:tcPr>
          <w:p w14:paraId="77171FB9">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其中：云南能源资产运营管理有限公司报价（元）</w:t>
            </w:r>
          </w:p>
        </w:tc>
        <w:tc>
          <w:tcPr>
            <w:tcW w:w="16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42FED">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小写：</w:t>
            </w:r>
          </w:p>
        </w:tc>
        <w:tc>
          <w:tcPr>
            <w:tcW w:w="19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68EDE">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小写：</w:t>
            </w:r>
          </w:p>
        </w:tc>
        <w:tc>
          <w:tcPr>
            <w:tcW w:w="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B3C14">
            <w:pPr>
              <w:jc w:val="center"/>
              <w:rPr>
                <w:rFonts w:hint="eastAsia" w:ascii="宋体" w:hAnsi="宋体" w:eastAsia="宋体" w:cs="宋体"/>
                <w:i w:val="0"/>
                <w:iCs w:val="0"/>
                <w:color w:val="000000"/>
                <w:sz w:val="24"/>
                <w:szCs w:val="24"/>
                <w:u w:val="none"/>
              </w:rPr>
            </w:pPr>
          </w:p>
        </w:tc>
        <w:tc>
          <w:tcPr>
            <w:tcW w:w="1804" w:type="dxa"/>
            <w:tcBorders>
              <w:top w:val="nil"/>
              <w:left w:val="single" w:color="000000" w:sz="4" w:space="0"/>
              <w:bottom w:val="single" w:color="000000" w:sz="4" w:space="0"/>
              <w:right w:val="single" w:color="000000" w:sz="4" w:space="0"/>
            </w:tcBorders>
            <w:shd w:val="clear" w:color="auto" w:fill="auto"/>
            <w:noWrap/>
            <w:vAlign w:val="center"/>
          </w:tcPr>
          <w:p w14:paraId="5F12A8E5">
            <w:pPr>
              <w:jc w:val="center"/>
              <w:rPr>
                <w:rFonts w:hint="eastAsia" w:ascii="宋体" w:hAnsi="宋体" w:eastAsia="宋体" w:cs="宋体"/>
                <w:i w:val="0"/>
                <w:iCs w:val="0"/>
                <w:color w:val="000000"/>
                <w:sz w:val="24"/>
                <w:szCs w:val="24"/>
                <w:u w:val="none"/>
              </w:rPr>
            </w:pPr>
          </w:p>
        </w:tc>
      </w:tr>
      <w:tr w14:paraId="4687E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3075" w:type="dxa"/>
            <w:tcBorders>
              <w:top w:val="nil"/>
              <w:left w:val="single" w:color="000000" w:sz="4" w:space="0"/>
              <w:bottom w:val="nil"/>
              <w:right w:val="single" w:color="000000" w:sz="4" w:space="0"/>
            </w:tcBorders>
            <w:shd w:val="clear" w:color="auto" w:fill="auto"/>
            <w:vAlign w:val="center"/>
          </w:tcPr>
          <w:p w14:paraId="0AF439B9">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其中：云南居正健康管理有限公司报价（元）</w:t>
            </w:r>
          </w:p>
        </w:tc>
        <w:tc>
          <w:tcPr>
            <w:tcW w:w="1626" w:type="dxa"/>
            <w:tcBorders>
              <w:top w:val="single" w:color="000000" w:sz="4" w:space="0"/>
              <w:left w:val="single" w:color="000000" w:sz="4" w:space="0"/>
              <w:bottom w:val="nil"/>
              <w:right w:val="single" w:color="000000" w:sz="4" w:space="0"/>
            </w:tcBorders>
            <w:shd w:val="clear" w:color="auto" w:fill="auto"/>
            <w:noWrap/>
            <w:vAlign w:val="center"/>
          </w:tcPr>
          <w:p w14:paraId="6535C2A2">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小写：</w:t>
            </w:r>
          </w:p>
        </w:tc>
        <w:tc>
          <w:tcPr>
            <w:tcW w:w="1901" w:type="dxa"/>
            <w:tcBorders>
              <w:top w:val="single" w:color="000000" w:sz="4" w:space="0"/>
              <w:left w:val="single" w:color="000000" w:sz="4" w:space="0"/>
              <w:bottom w:val="nil"/>
              <w:right w:val="single" w:color="000000" w:sz="4" w:space="0"/>
            </w:tcBorders>
            <w:shd w:val="clear" w:color="auto" w:fill="auto"/>
            <w:noWrap/>
            <w:vAlign w:val="center"/>
          </w:tcPr>
          <w:p w14:paraId="70BF1839">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小写：</w:t>
            </w:r>
          </w:p>
        </w:tc>
        <w:tc>
          <w:tcPr>
            <w:tcW w:w="814" w:type="dxa"/>
            <w:tcBorders>
              <w:top w:val="single" w:color="000000" w:sz="4" w:space="0"/>
              <w:left w:val="single" w:color="000000" w:sz="4" w:space="0"/>
              <w:bottom w:val="nil"/>
              <w:right w:val="single" w:color="000000" w:sz="4" w:space="0"/>
            </w:tcBorders>
            <w:shd w:val="clear" w:color="auto" w:fill="auto"/>
            <w:noWrap/>
            <w:vAlign w:val="center"/>
          </w:tcPr>
          <w:p w14:paraId="3859C852">
            <w:pPr>
              <w:jc w:val="center"/>
              <w:rPr>
                <w:rFonts w:hint="eastAsia" w:ascii="宋体" w:hAnsi="宋体" w:eastAsia="宋体" w:cs="宋体"/>
                <w:i w:val="0"/>
                <w:iCs w:val="0"/>
                <w:color w:val="000000"/>
                <w:sz w:val="24"/>
                <w:szCs w:val="24"/>
                <w:u w:val="none"/>
              </w:rPr>
            </w:pPr>
          </w:p>
        </w:tc>
        <w:tc>
          <w:tcPr>
            <w:tcW w:w="1804" w:type="dxa"/>
            <w:tcBorders>
              <w:top w:val="nil"/>
              <w:left w:val="single" w:color="000000" w:sz="4" w:space="0"/>
              <w:bottom w:val="nil"/>
              <w:right w:val="single" w:color="000000" w:sz="4" w:space="0"/>
            </w:tcBorders>
            <w:shd w:val="clear" w:color="auto" w:fill="auto"/>
            <w:noWrap/>
            <w:vAlign w:val="center"/>
          </w:tcPr>
          <w:p w14:paraId="2E439E41">
            <w:pPr>
              <w:jc w:val="center"/>
              <w:rPr>
                <w:rFonts w:hint="eastAsia" w:ascii="宋体" w:hAnsi="宋体" w:eastAsia="宋体" w:cs="宋体"/>
                <w:i w:val="0"/>
                <w:iCs w:val="0"/>
                <w:color w:val="000000"/>
                <w:sz w:val="24"/>
                <w:szCs w:val="24"/>
                <w:u w:val="none"/>
              </w:rPr>
            </w:pPr>
          </w:p>
        </w:tc>
      </w:tr>
      <w:tr w14:paraId="70528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96E08">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服务期承诺</w:t>
            </w:r>
          </w:p>
        </w:tc>
        <w:tc>
          <w:tcPr>
            <w:tcW w:w="614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4F4F0">
            <w:pPr>
              <w:jc w:val="center"/>
              <w:rPr>
                <w:rFonts w:hint="eastAsia" w:ascii="宋体" w:hAnsi="宋体" w:eastAsia="宋体" w:cs="宋体"/>
                <w:i w:val="0"/>
                <w:iCs w:val="0"/>
                <w:color w:val="000000"/>
                <w:sz w:val="24"/>
                <w:szCs w:val="24"/>
                <w:u w:val="none"/>
              </w:rPr>
            </w:pPr>
          </w:p>
        </w:tc>
      </w:tr>
      <w:tr w14:paraId="25295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9C9BF">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服务质量承诺</w:t>
            </w:r>
          </w:p>
        </w:tc>
        <w:tc>
          <w:tcPr>
            <w:tcW w:w="614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491E0">
            <w:pPr>
              <w:jc w:val="center"/>
              <w:rPr>
                <w:rFonts w:hint="eastAsia" w:ascii="宋体" w:hAnsi="宋体" w:eastAsia="宋体" w:cs="宋体"/>
                <w:i w:val="0"/>
                <w:iCs w:val="0"/>
                <w:color w:val="000000"/>
                <w:sz w:val="24"/>
                <w:szCs w:val="24"/>
                <w:u w:val="none"/>
              </w:rPr>
            </w:pPr>
          </w:p>
        </w:tc>
      </w:tr>
    </w:tbl>
    <w:p w14:paraId="2383E5EE">
      <w:pPr>
        <w:rPr>
          <w:rFonts w:hint="eastAsia" w:ascii="Times New Roman" w:hAnsi="Times New Roman"/>
          <w:lang w:val="en-US" w:eastAsia="zh-CN"/>
        </w:rPr>
      </w:pPr>
    </w:p>
    <w:p w14:paraId="1CCCA804">
      <w:pPr>
        <w:rPr>
          <w:rFonts w:hint="eastAsia" w:ascii="Times New Roman" w:hAnsi="Times New Roman"/>
          <w:lang w:val="en-US" w:eastAsia="zh-CN"/>
        </w:rPr>
      </w:pPr>
      <w:r>
        <w:rPr>
          <w:rFonts w:hint="eastAsia" w:ascii="Times New Roman" w:hAnsi="Times New Roman"/>
          <w:lang w:val="en-US" w:eastAsia="zh-CN"/>
        </w:rPr>
        <w:t>注：报价保留到小数点后2位，四舍五入。</w:t>
      </w:r>
    </w:p>
    <w:p w14:paraId="5EF06102">
      <w:pPr>
        <w:pStyle w:val="17"/>
        <w:rPr>
          <w:rFonts w:hint="default"/>
          <w:lang w:val="en-US" w:eastAsia="zh-CN"/>
        </w:rPr>
      </w:pPr>
    </w:p>
    <w:p w14:paraId="2E4CF360">
      <w:pPr>
        <w:rPr>
          <w:rFonts w:hint="default" w:ascii="Times New Roman" w:hAnsi="Times New Roman"/>
          <w:lang w:val="en-US" w:eastAsia="zh-CN"/>
        </w:rPr>
      </w:pPr>
      <w:r>
        <w:rPr>
          <w:rFonts w:hint="eastAsia" w:ascii="Times New Roman" w:hAnsi="Times New Roman"/>
          <w:lang w:val="en-US" w:eastAsia="zh-CN"/>
        </w:rPr>
        <w:t>供应商</w:t>
      </w:r>
      <w:r>
        <w:rPr>
          <w:rFonts w:hint="default" w:ascii="Times New Roman" w:hAnsi="Times New Roman"/>
          <w:lang w:val="en-US" w:eastAsia="zh-CN"/>
        </w:rPr>
        <w:t>：</w:t>
      </w:r>
      <w:r>
        <w:rPr>
          <w:rFonts w:hint="default" w:ascii="Times New Roman" w:hAnsi="Times New Roman"/>
          <w:u w:val="single"/>
          <w:lang w:val="en-US" w:eastAsia="zh-CN"/>
        </w:rPr>
        <w:t xml:space="preserve">            </w:t>
      </w:r>
      <w:r>
        <w:rPr>
          <w:rFonts w:hint="default" w:ascii="Times New Roman" w:hAnsi="Times New Roman"/>
          <w:lang w:val="en-US" w:eastAsia="zh-CN"/>
        </w:rPr>
        <w:t>（盖章）</w:t>
      </w:r>
    </w:p>
    <w:p w14:paraId="7ADA02B8">
      <w:pPr>
        <w:rPr>
          <w:rFonts w:hint="default" w:ascii="Times New Roman" w:hAnsi="Times New Roman"/>
          <w:lang w:val="en-US" w:eastAsia="zh-CN"/>
        </w:rPr>
      </w:pPr>
      <w:r>
        <w:rPr>
          <w:rFonts w:hint="default" w:ascii="Times New Roman" w:hAnsi="Times New Roman"/>
          <w:lang w:val="en-US" w:eastAsia="zh-CN"/>
        </w:rPr>
        <w:t>法定代表人（负责人）或授权代理人：</w:t>
      </w:r>
      <w:r>
        <w:rPr>
          <w:rFonts w:hint="default" w:ascii="Times New Roman" w:hAnsi="Times New Roman"/>
          <w:u w:val="single"/>
          <w:lang w:val="en-US" w:eastAsia="zh-CN"/>
        </w:rPr>
        <w:t xml:space="preserve">        </w:t>
      </w:r>
      <w:r>
        <w:rPr>
          <w:rFonts w:hint="default" w:ascii="Times New Roman" w:hAnsi="Times New Roman"/>
          <w:lang w:val="en-US" w:eastAsia="zh-CN"/>
        </w:rPr>
        <w:t>（签字）</w:t>
      </w:r>
    </w:p>
    <w:p w14:paraId="1588737F">
      <w:pPr>
        <w:rPr>
          <w:rFonts w:hint="default"/>
          <w:b/>
          <w:bCs/>
          <w:lang w:val="en-US" w:eastAsia="zh-CN"/>
        </w:rPr>
      </w:pPr>
      <w:r>
        <w:rPr>
          <w:rFonts w:hint="default" w:ascii="Times New Roman" w:hAnsi="Times New Roman"/>
          <w:lang w:val="en-US" w:eastAsia="zh-CN"/>
        </w:rPr>
        <w:t>日期：</w:t>
      </w:r>
      <w:r>
        <w:rPr>
          <w:rFonts w:hint="default" w:ascii="Times New Roman" w:hAnsi="Times New Roman"/>
          <w:u w:val="single"/>
          <w:lang w:val="en-US" w:eastAsia="zh-CN"/>
        </w:rPr>
        <w:t xml:space="preserve">        </w:t>
      </w:r>
      <w:r>
        <w:rPr>
          <w:rFonts w:hint="default" w:ascii="Times New Roman" w:hAnsi="Times New Roman"/>
          <w:lang w:val="en-US" w:eastAsia="zh-CN"/>
        </w:rPr>
        <w:t>年</w:t>
      </w:r>
      <w:r>
        <w:rPr>
          <w:rFonts w:hint="default" w:ascii="Times New Roman" w:hAnsi="Times New Roman"/>
          <w:u w:val="single"/>
          <w:lang w:val="en-US" w:eastAsia="zh-CN"/>
        </w:rPr>
        <w:t xml:space="preserve">      </w:t>
      </w:r>
      <w:r>
        <w:rPr>
          <w:rFonts w:hint="default" w:ascii="Times New Roman" w:hAnsi="Times New Roman"/>
          <w:lang w:val="en-US" w:eastAsia="zh-CN"/>
        </w:rPr>
        <w:t>月</w:t>
      </w:r>
      <w:r>
        <w:rPr>
          <w:rFonts w:hint="default" w:ascii="Times New Roman" w:hAnsi="Times New Roman"/>
          <w:u w:val="single"/>
          <w:lang w:val="en-US" w:eastAsia="zh-CN"/>
        </w:rPr>
        <w:t xml:space="preserve">       </w:t>
      </w:r>
      <w:r>
        <w:rPr>
          <w:rFonts w:hint="default" w:ascii="Times New Roman" w:hAnsi="Times New Roman"/>
          <w:lang w:val="en-US" w:eastAsia="zh-CN"/>
        </w:rPr>
        <w:t>日</w:t>
      </w:r>
    </w:p>
    <w:p w14:paraId="52A858D8">
      <w:pPr>
        <w:rPr>
          <w:rFonts w:hint="default"/>
          <w:b/>
          <w:bCs/>
          <w:lang w:val="en-US" w:eastAsia="zh-CN"/>
        </w:rPr>
      </w:pPr>
      <w:r>
        <w:rPr>
          <w:rFonts w:hint="default"/>
          <w:b/>
          <w:bCs/>
          <w:lang w:val="en-US" w:eastAsia="zh-CN"/>
        </w:rPr>
        <w:br w:type="page"/>
      </w:r>
    </w:p>
    <w:p w14:paraId="7BF25E90">
      <w:pPr>
        <w:keepNext w:val="0"/>
        <w:keepLines w:val="0"/>
        <w:pageBreakBefore w:val="0"/>
        <w:widowControl w:val="0"/>
        <w:kinsoku/>
        <w:wordWrap/>
        <w:overflowPunct/>
        <w:topLinePunct w:val="0"/>
        <w:autoSpaceDE/>
        <w:autoSpaceDN/>
        <w:bidi w:val="0"/>
        <w:adjustRightInd/>
        <w:snapToGrid/>
        <w:ind w:firstLine="0" w:firstLineChars="0"/>
        <w:jc w:val="center"/>
        <w:textAlignment w:val="auto"/>
        <w:outlineLvl w:val="1"/>
        <w:rPr>
          <w:rFonts w:hint="default"/>
          <w:b/>
          <w:bCs/>
          <w:lang w:val="en-US" w:eastAsia="zh-CN"/>
        </w:rPr>
      </w:pPr>
      <w:bookmarkStart w:id="41" w:name="_Toc8923"/>
      <w:bookmarkStart w:id="42" w:name="_Toc8441"/>
      <w:r>
        <w:rPr>
          <w:rFonts w:hint="eastAsia"/>
          <w:b/>
          <w:bCs/>
          <w:lang w:val="en-US" w:eastAsia="zh-CN"/>
        </w:rPr>
        <w:t>一</w:t>
      </w:r>
      <w:r>
        <w:rPr>
          <w:rFonts w:hint="default"/>
          <w:b/>
          <w:bCs/>
          <w:lang w:val="en-US" w:eastAsia="zh-CN"/>
        </w:rPr>
        <w:t>、</w:t>
      </w:r>
      <w:r>
        <w:rPr>
          <w:rFonts w:hint="eastAsia"/>
          <w:b/>
          <w:bCs/>
          <w:lang w:val="en-US" w:eastAsia="zh-CN"/>
        </w:rPr>
        <w:t>报价函</w:t>
      </w:r>
      <w:bookmarkEnd w:id="41"/>
      <w:bookmarkEnd w:id="42"/>
    </w:p>
    <w:p w14:paraId="5A63EB8E">
      <w:pPr>
        <w:rPr>
          <w:rFonts w:hint="default"/>
          <w:lang w:val="en-US" w:eastAsia="zh-CN"/>
        </w:rPr>
      </w:pPr>
      <w:r>
        <w:rPr>
          <w:rFonts w:hint="default"/>
          <w:lang w:val="en-US" w:eastAsia="zh-CN"/>
        </w:rPr>
        <w:t>致：</w:t>
      </w:r>
      <w:r>
        <w:rPr>
          <w:rFonts w:hint="default"/>
          <w:u w:val="single"/>
          <w:lang w:val="en-US" w:eastAsia="zh-CN"/>
        </w:rPr>
        <w:t>云南能源资产运营管理有限公司</w:t>
      </w:r>
      <w:r>
        <w:rPr>
          <w:rFonts w:hint="default"/>
          <w:lang w:val="en-US" w:eastAsia="zh-CN"/>
        </w:rPr>
        <w:t>（采购人）</w:t>
      </w:r>
    </w:p>
    <w:p w14:paraId="015B08B0">
      <w:pPr>
        <w:rPr>
          <w:rFonts w:hint="default"/>
          <w:lang w:val="en-US" w:eastAsia="zh-CN"/>
        </w:rPr>
      </w:pPr>
      <w:r>
        <w:rPr>
          <w:rFonts w:hint="default"/>
          <w:lang w:val="en-US" w:eastAsia="zh-CN"/>
        </w:rPr>
        <w:t>1.我方已仔细研究了</w:t>
      </w:r>
      <w:r>
        <w:rPr>
          <w:rFonts w:hint="default"/>
          <w:u w:val="single"/>
          <w:lang w:val="en-US" w:eastAsia="zh-CN"/>
        </w:rPr>
        <w:t xml:space="preserve">               （项目名称）</w:t>
      </w:r>
      <w:r>
        <w:rPr>
          <w:rFonts w:hint="eastAsia"/>
          <w:u w:val="none"/>
          <w:lang w:val="en-US" w:eastAsia="zh-CN"/>
        </w:rPr>
        <w:t>询比</w:t>
      </w:r>
      <w:r>
        <w:rPr>
          <w:rFonts w:hint="default"/>
          <w:lang w:val="en-US" w:eastAsia="zh-CN"/>
        </w:rPr>
        <w:t>采购文件的全部内容，愿意以含税总报价（元）</w:t>
      </w:r>
      <w:r>
        <w:rPr>
          <w:rFonts w:hint="default"/>
          <w:u w:val="single"/>
          <w:lang w:val="en-US" w:eastAsia="zh-CN"/>
        </w:rPr>
        <w:t xml:space="preserve">       </w:t>
      </w:r>
      <w:r>
        <w:rPr>
          <w:rFonts w:hint="default"/>
          <w:lang w:val="en-US" w:eastAsia="zh-CN"/>
        </w:rPr>
        <w:t>（大写</w:t>
      </w:r>
      <w:r>
        <w:rPr>
          <w:rFonts w:hint="default"/>
          <w:u w:val="single"/>
          <w:lang w:val="en-US" w:eastAsia="zh-CN"/>
        </w:rPr>
        <w:t xml:space="preserve">      </w:t>
      </w:r>
      <w:r>
        <w:rPr>
          <w:rFonts w:hint="default"/>
          <w:lang w:val="en-US" w:eastAsia="zh-CN"/>
        </w:rPr>
        <w:t>）的报价完成本项目，并按合同约定履行义务。</w:t>
      </w:r>
    </w:p>
    <w:p w14:paraId="7A10B43C">
      <w:pPr>
        <w:rPr>
          <w:rFonts w:hint="default"/>
          <w:lang w:val="en-US" w:eastAsia="zh-CN"/>
        </w:rPr>
      </w:pPr>
      <w:r>
        <w:rPr>
          <w:rFonts w:hint="default"/>
          <w:lang w:val="en-US" w:eastAsia="zh-CN"/>
        </w:rPr>
        <w:t>2.我方的</w:t>
      </w:r>
      <w:r>
        <w:rPr>
          <w:rFonts w:hint="eastAsia"/>
          <w:lang w:val="en-US" w:eastAsia="zh-CN"/>
        </w:rPr>
        <w:t>响应文件</w:t>
      </w:r>
      <w:r>
        <w:rPr>
          <w:rFonts w:hint="default"/>
          <w:lang w:val="en-US" w:eastAsia="zh-CN"/>
        </w:rPr>
        <w:t>包括下列内容：</w:t>
      </w:r>
    </w:p>
    <w:p w14:paraId="5789CDBE">
      <w:pPr>
        <w:rPr>
          <w:rFonts w:hint="default"/>
          <w:lang w:val="en-US" w:eastAsia="zh-CN"/>
        </w:rPr>
      </w:pPr>
      <w:r>
        <w:rPr>
          <w:rFonts w:hint="eastAsia"/>
          <w:lang w:val="en-US" w:eastAsia="zh-CN"/>
        </w:rPr>
        <w:t>（1）报价一览表；</w:t>
      </w:r>
    </w:p>
    <w:p w14:paraId="69F68F76">
      <w:pPr>
        <w:rPr>
          <w:rFonts w:hint="default"/>
          <w:lang w:val="en-US" w:eastAsia="zh-CN"/>
        </w:rPr>
      </w:pPr>
      <w:r>
        <w:rPr>
          <w:rFonts w:hint="default"/>
          <w:lang w:val="en-US" w:eastAsia="zh-CN"/>
        </w:rPr>
        <w:t>（</w:t>
      </w:r>
      <w:r>
        <w:rPr>
          <w:rFonts w:hint="eastAsia"/>
          <w:lang w:val="en-US" w:eastAsia="zh-CN"/>
        </w:rPr>
        <w:t>2</w:t>
      </w:r>
      <w:r>
        <w:rPr>
          <w:rFonts w:hint="default"/>
          <w:lang w:val="en-US" w:eastAsia="zh-CN"/>
        </w:rPr>
        <w:t>）报价函；</w:t>
      </w:r>
    </w:p>
    <w:p w14:paraId="4B43B0AB">
      <w:pPr>
        <w:rPr>
          <w:rFonts w:hint="default"/>
          <w:lang w:val="en-US" w:eastAsia="zh-CN"/>
        </w:rPr>
      </w:pPr>
      <w:r>
        <w:rPr>
          <w:rFonts w:hint="default"/>
          <w:lang w:val="en-US" w:eastAsia="zh-CN"/>
        </w:rPr>
        <w:t>（</w:t>
      </w:r>
      <w:r>
        <w:rPr>
          <w:rFonts w:hint="eastAsia"/>
          <w:lang w:val="en-US" w:eastAsia="zh-CN"/>
        </w:rPr>
        <w:t>3</w:t>
      </w:r>
      <w:r>
        <w:rPr>
          <w:rFonts w:hint="default"/>
          <w:lang w:val="en-US" w:eastAsia="zh-CN"/>
        </w:rPr>
        <w:t>）法定代表人（负责人）身份证明或法定代表人（负责人）授权委托书；</w:t>
      </w:r>
    </w:p>
    <w:p w14:paraId="1C02140D">
      <w:pPr>
        <w:rPr>
          <w:rFonts w:hint="default"/>
          <w:lang w:val="en-US" w:eastAsia="zh-CN"/>
        </w:rPr>
      </w:pPr>
      <w:r>
        <w:rPr>
          <w:rFonts w:hint="default"/>
          <w:lang w:val="en-US" w:eastAsia="zh-CN"/>
        </w:rPr>
        <w:t>（</w:t>
      </w:r>
      <w:r>
        <w:rPr>
          <w:rFonts w:hint="eastAsia"/>
          <w:lang w:val="en-US" w:eastAsia="zh-CN"/>
        </w:rPr>
        <w:t>4</w:t>
      </w:r>
      <w:r>
        <w:rPr>
          <w:rFonts w:hint="default"/>
          <w:lang w:val="en-US" w:eastAsia="zh-CN"/>
        </w:rPr>
        <w:t>）</w:t>
      </w:r>
      <w:r>
        <w:rPr>
          <w:rFonts w:hint="eastAsia"/>
          <w:lang w:val="en-US" w:eastAsia="zh-CN"/>
        </w:rPr>
        <w:t>供应商</w:t>
      </w:r>
      <w:r>
        <w:rPr>
          <w:rFonts w:hint="default"/>
          <w:lang w:val="en-US" w:eastAsia="zh-CN"/>
        </w:rPr>
        <w:t>基本情况表；</w:t>
      </w:r>
    </w:p>
    <w:p w14:paraId="6F38D0C0">
      <w:pPr>
        <w:rPr>
          <w:rFonts w:hint="default"/>
          <w:lang w:val="en-US" w:eastAsia="zh-CN"/>
        </w:rPr>
      </w:pPr>
      <w:r>
        <w:rPr>
          <w:rFonts w:hint="default"/>
          <w:lang w:val="en-US" w:eastAsia="zh-CN"/>
        </w:rPr>
        <w:t>（</w:t>
      </w:r>
      <w:r>
        <w:rPr>
          <w:rFonts w:hint="eastAsia"/>
          <w:lang w:val="en-US" w:eastAsia="zh-CN"/>
        </w:rPr>
        <w:t>5</w:t>
      </w:r>
      <w:r>
        <w:rPr>
          <w:rFonts w:hint="default"/>
          <w:lang w:val="en-US" w:eastAsia="zh-CN"/>
        </w:rPr>
        <w:t>）商务文件；</w:t>
      </w:r>
    </w:p>
    <w:p w14:paraId="5E5F3BA0">
      <w:pPr>
        <w:rPr>
          <w:rFonts w:hint="default" w:ascii="Times New Roman" w:hAnsi="Times New Roman"/>
          <w:lang w:val="en-US" w:eastAsia="zh-CN"/>
        </w:rPr>
      </w:pPr>
      <w:r>
        <w:rPr>
          <w:rFonts w:hint="eastAsia" w:ascii="Times New Roman" w:hAnsi="Times New Roman"/>
          <w:lang w:val="en-US" w:eastAsia="zh-CN"/>
        </w:rPr>
        <w:t>（</w:t>
      </w:r>
      <w:r>
        <w:rPr>
          <w:rFonts w:hint="eastAsia"/>
          <w:lang w:val="en-US" w:eastAsia="zh-CN"/>
        </w:rPr>
        <w:t>6</w:t>
      </w:r>
      <w:r>
        <w:rPr>
          <w:rFonts w:hint="eastAsia" w:ascii="Times New Roman" w:hAnsi="Times New Roman"/>
          <w:lang w:val="en-US" w:eastAsia="zh-CN"/>
        </w:rPr>
        <w:t>）技术文件；</w:t>
      </w:r>
    </w:p>
    <w:p w14:paraId="7B6D71E5">
      <w:pPr>
        <w:rPr>
          <w:rFonts w:hint="default"/>
          <w:lang w:val="en-US" w:eastAsia="zh-CN"/>
        </w:rPr>
      </w:pPr>
      <w:r>
        <w:rPr>
          <w:rFonts w:hint="default"/>
          <w:lang w:val="en-US" w:eastAsia="zh-CN"/>
        </w:rPr>
        <w:t>（</w:t>
      </w:r>
      <w:r>
        <w:rPr>
          <w:rFonts w:hint="eastAsia"/>
          <w:lang w:val="en-US" w:eastAsia="zh-CN"/>
        </w:rPr>
        <w:t>7</w:t>
      </w:r>
      <w:r>
        <w:rPr>
          <w:rFonts w:hint="default"/>
          <w:lang w:val="en-US" w:eastAsia="zh-CN"/>
        </w:rPr>
        <w:t>）</w:t>
      </w:r>
      <w:r>
        <w:rPr>
          <w:rFonts w:hint="eastAsia"/>
          <w:lang w:val="en-US" w:eastAsia="zh-CN"/>
        </w:rPr>
        <w:t>供应商</w:t>
      </w:r>
      <w:r>
        <w:rPr>
          <w:rFonts w:hint="default"/>
          <w:lang w:val="en-US" w:eastAsia="zh-CN"/>
        </w:rPr>
        <w:t>应提供的其他资料。</w:t>
      </w:r>
    </w:p>
    <w:p w14:paraId="5EF63AF6">
      <w:pPr>
        <w:rPr>
          <w:rFonts w:hint="default"/>
          <w:lang w:val="en-US" w:eastAsia="zh-CN"/>
        </w:rPr>
      </w:pPr>
      <w:r>
        <w:rPr>
          <w:rFonts w:hint="eastAsia"/>
          <w:lang w:val="en-US" w:eastAsia="zh-CN"/>
        </w:rPr>
        <w:t>3.</w:t>
      </w:r>
      <w:r>
        <w:rPr>
          <w:rFonts w:hint="default"/>
          <w:lang w:val="en-US" w:eastAsia="zh-CN"/>
        </w:rPr>
        <w:t>我方已仔细阅读询比采购文件及补充通知（如有），对其全部条款无异议，不以此为由要求免除任何责任。</w:t>
      </w:r>
    </w:p>
    <w:p w14:paraId="75EF4ADA">
      <w:pPr>
        <w:rPr>
          <w:rFonts w:hint="default" w:ascii="Times New Roman" w:hAnsi="Times New Roman"/>
          <w:lang w:val="en-US" w:eastAsia="zh-CN"/>
        </w:rPr>
      </w:pPr>
      <w:r>
        <w:rPr>
          <w:rFonts w:hint="eastAsia" w:ascii="Times New Roman" w:hAnsi="Times New Roman"/>
          <w:lang w:val="en-US" w:eastAsia="zh-CN"/>
        </w:rPr>
        <w:t>4.</w:t>
      </w:r>
      <w:r>
        <w:rPr>
          <w:rFonts w:hint="default" w:ascii="Times New Roman" w:hAnsi="Times New Roman"/>
          <w:lang w:val="en-US" w:eastAsia="zh-CN"/>
        </w:rPr>
        <w:t>我方</w:t>
      </w:r>
      <w:r>
        <w:rPr>
          <w:rFonts w:hint="eastAsia"/>
          <w:lang w:val="en-US" w:eastAsia="zh-CN"/>
        </w:rPr>
        <w:t>响应文件</w:t>
      </w:r>
      <w:r>
        <w:rPr>
          <w:rFonts w:hint="default" w:ascii="Times New Roman" w:hAnsi="Times New Roman"/>
          <w:lang w:val="en-US" w:eastAsia="zh-CN"/>
        </w:rPr>
        <w:t>有效期为自提交截止之日起90日（根据供应商须知可延长），有效期内不撤销</w:t>
      </w:r>
      <w:r>
        <w:rPr>
          <w:rFonts w:hint="eastAsia"/>
          <w:lang w:val="en-US" w:eastAsia="zh-CN"/>
        </w:rPr>
        <w:t>响应文件</w:t>
      </w:r>
      <w:r>
        <w:rPr>
          <w:rFonts w:hint="default" w:ascii="Times New Roman" w:hAnsi="Times New Roman"/>
          <w:lang w:val="en-US" w:eastAsia="zh-CN"/>
        </w:rPr>
        <w:t>。</w:t>
      </w:r>
    </w:p>
    <w:p w14:paraId="02198738">
      <w:pPr>
        <w:rPr>
          <w:rFonts w:hint="default"/>
          <w:lang w:val="en-US" w:eastAsia="zh-CN"/>
        </w:rPr>
      </w:pPr>
      <w:r>
        <w:rPr>
          <w:rFonts w:hint="eastAsia"/>
          <w:lang w:val="en-US" w:eastAsia="zh-CN"/>
        </w:rPr>
        <w:t>5.</w:t>
      </w:r>
      <w:r>
        <w:rPr>
          <w:rFonts w:hint="default"/>
          <w:lang w:val="en-US" w:eastAsia="zh-CN"/>
        </w:rPr>
        <w:t>我方承诺，如成交，将按询比</w:t>
      </w:r>
      <w:r>
        <w:rPr>
          <w:rFonts w:hint="eastAsia"/>
          <w:lang w:val="en-US" w:eastAsia="zh-CN"/>
        </w:rPr>
        <w:t>采购</w:t>
      </w:r>
      <w:r>
        <w:rPr>
          <w:rFonts w:hint="default"/>
          <w:lang w:val="en-US" w:eastAsia="zh-CN"/>
        </w:rPr>
        <w:t>文件及贵方接受的格式与贵方签订项目协议，并对项目协议条款和条件的全部承诺已在</w:t>
      </w:r>
      <w:r>
        <w:rPr>
          <w:rFonts w:hint="eastAsia"/>
          <w:lang w:val="en-US" w:eastAsia="zh-CN"/>
        </w:rPr>
        <w:t>响应文件</w:t>
      </w:r>
      <w:r>
        <w:rPr>
          <w:rFonts w:hint="default"/>
          <w:lang w:val="en-US" w:eastAsia="zh-CN"/>
        </w:rPr>
        <w:t>中明确。</w:t>
      </w:r>
    </w:p>
    <w:p w14:paraId="5840E078">
      <w:pPr>
        <w:rPr>
          <w:rFonts w:hint="default" w:ascii="Times New Roman" w:hAnsi="Times New Roman"/>
          <w:lang w:val="en-US" w:eastAsia="zh-CN"/>
        </w:rPr>
      </w:pPr>
      <w:r>
        <w:rPr>
          <w:rFonts w:hint="eastAsia"/>
          <w:lang w:val="en-US" w:eastAsia="zh-CN"/>
        </w:rPr>
        <w:t>6.</w:t>
      </w:r>
      <w:r>
        <w:rPr>
          <w:rFonts w:hint="default"/>
          <w:lang w:val="en-US" w:eastAsia="zh-CN"/>
        </w:rPr>
        <w:t>我方保证本</w:t>
      </w:r>
      <w:r>
        <w:rPr>
          <w:rFonts w:hint="eastAsia"/>
          <w:lang w:val="en-US" w:eastAsia="zh-CN"/>
        </w:rPr>
        <w:t>响应文件</w:t>
      </w:r>
      <w:r>
        <w:rPr>
          <w:rFonts w:hint="default"/>
          <w:lang w:val="en-US" w:eastAsia="zh-CN"/>
        </w:rPr>
        <w:t>独立完成，未与其他供应商以限制竞争为目的进行协商、合作或达成谅解。</w:t>
      </w:r>
    </w:p>
    <w:p w14:paraId="7D7382F6">
      <w:pPr>
        <w:rPr>
          <w:rFonts w:hint="default"/>
          <w:lang w:val="en-US" w:eastAsia="zh-CN"/>
        </w:rPr>
      </w:pPr>
      <w:r>
        <w:rPr>
          <w:rFonts w:hint="eastAsia"/>
          <w:lang w:val="en-US" w:eastAsia="zh-CN"/>
        </w:rPr>
        <w:t>7.</w:t>
      </w:r>
      <w:r>
        <w:rPr>
          <w:rFonts w:hint="default"/>
          <w:lang w:val="en-US" w:eastAsia="zh-CN"/>
        </w:rPr>
        <w:t>我方证实，本</w:t>
      </w:r>
      <w:r>
        <w:rPr>
          <w:rFonts w:hint="eastAsia"/>
          <w:lang w:val="en-US" w:eastAsia="zh-CN"/>
        </w:rPr>
        <w:t>响应文件</w:t>
      </w:r>
      <w:r>
        <w:rPr>
          <w:rFonts w:hint="default"/>
          <w:lang w:val="en-US" w:eastAsia="zh-CN"/>
        </w:rPr>
        <w:t>中所有陈述和资料完整、真实、准确。</w:t>
      </w:r>
    </w:p>
    <w:p w14:paraId="293484F5">
      <w:pPr>
        <w:rPr>
          <w:rFonts w:hint="default"/>
          <w:lang w:val="en-US" w:eastAsia="zh-CN"/>
        </w:rPr>
      </w:pPr>
    </w:p>
    <w:p w14:paraId="5A2ED4BC">
      <w:pPr>
        <w:rPr>
          <w:rFonts w:hint="default"/>
          <w:lang w:val="en-US" w:eastAsia="zh-CN"/>
        </w:rPr>
      </w:pPr>
      <w:r>
        <w:rPr>
          <w:rFonts w:hint="eastAsia"/>
          <w:lang w:val="en-US" w:eastAsia="zh-CN"/>
        </w:rPr>
        <w:t>供应商</w:t>
      </w:r>
      <w:r>
        <w:rPr>
          <w:rFonts w:hint="default"/>
          <w:lang w:val="en-US" w:eastAsia="zh-CN"/>
        </w:rPr>
        <w:t>（盖章）：</w:t>
      </w:r>
      <w:r>
        <w:rPr>
          <w:rFonts w:hint="default"/>
          <w:u w:val="single"/>
          <w:lang w:val="en-US" w:eastAsia="zh-CN"/>
        </w:rPr>
        <w:t xml:space="preserve">                          </w:t>
      </w:r>
    </w:p>
    <w:p w14:paraId="55319A2C">
      <w:pPr>
        <w:rPr>
          <w:rFonts w:hint="default"/>
          <w:lang w:val="en-US" w:eastAsia="zh-CN"/>
        </w:rPr>
      </w:pPr>
      <w:r>
        <w:rPr>
          <w:rFonts w:hint="default"/>
          <w:lang w:val="en-US" w:eastAsia="zh-CN"/>
        </w:rPr>
        <w:t>法定代表人（负责人）或授权代理人（签字或盖章）：</w:t>
      </w:r>
      <w:r>
        <w:rPr>
          <w:rFonts w:hint="default"/>
          <w:u w:val="single"/>
          <w:lang w:val="en-US" w:eastAsia="zh-CN"/>
        </w:rPr>
        <w:t xml:space="preserve">                     </w:t>
      </w:r>
    </w:p>
    <w:p w14:paraId="14C5F31D">
      <w:pPr>
        <w:rPr>
          <w:rFonts w:hint="default"/>
          <w:lang w:val="en-US" w:eastAsia="zh-CN"/>
        </w:rPr>
      </w:pPr>
      <w:r>
        <w:rPr>
          <w:rFonts w:hint="default"/>
          <w:lang w:val="en-US" w:eastAsia="zh-CN"/>
        </w:rPr>
        <w:t>职    务：</w:t>
      </w:r>
      <w:r>
        <w:rPr>
          <w:rFonts w:hint="default"/>
          <w:u w:val="single"/>
          <w:lang w:val="en-US" w:eastAsia="zh-CN"/>
        </w:rPr>
        <w:t xml:space="preserve">                          </w:t>
      </w:r>
    </w:p>
    <w:p w14:paraId="1E5E9643">
      <w:pPr>
        <w:rPr>
          <w:rFonts w:hint="default"/>
          <w:lang w:val="en-US" w:eastAsia="zh-CN"/>
        </w:rPr>
      </w:pPr>
      <w:r>
        <w:rPr>
          <w:rFonts w:hint="default"/>
          <w:lang w:val="en-US" w:eastAsia="zh-CN"/>
        </w:rPr>
        <w:t>电话号码：</w:t>
      </w:r>
      <w:r>
        <w:rPr>
          <w:rFonts w:hint="default"/>
          <w:u w:val="single"/>
          <w:lang w:val="en-US" w:eastAsia="zh-CN"/>
        </w:rPr>
        <w:t xml:space="preserve">                          </w:t>
      </w:r>
    </w:p>
    <w:p w14:paraId="5FF876C2">
      <w:pPr>
        <w:rPr>
          <w:rFonts w:hint="default"/>
          <w:lang w:val="en-US" w:eastAsia="zh-CN"/>
        </w:rPr>
      </w:pPr>
      <w:r>
        <w:rPr>
          <w:rFonts w:hint="default"/>
          <w:lang w:val="en-US" w:eastAsia="zh-CN"/>
        </w:rPr>
        <w:t>传真号码：</w:t>
      </w:r>
      <w:r>
        <w:rPr>
          <w:rFonts w:hint="default"/>
          <w:u w:val="single"/>
          <w:lang w:val="en-US" w:eastAsia="zh-CN"/>
        </w:rPr>
        <w:t xml:space="preserve">                          </w:t>
      </w:r>
    </w:p>
    <w:p w14:paraId="3E173FB6">
      <w:pPr>
        <w:rPr>
          <w:rFonts w:hint="default"/>
          <w:lang w:val="en-US" w:eastAsia="zh-CN"/>
        </w:rPr>
      </w:pPr>
      <w:r>
        <w:rPr>
          <w:rFonts w:hint="default"/>
          <w:lang w:val="en-US" w:eastAsia="zh-CN"/>
        </w:rPr>
        <w:t>电子邮件：</w:t>
      </w:r>
      <w:r>
        <w:rPr>
          <w:rFonts w:hint="default"/>
          <w:u w:val="single"/>
          <w:lang w:val="en-US" w:eastAsia="zh-CN"/>
        </w:rPr>
        <w:t xml:space="preserve">                          </w:t>
      </w:r>
    </w:p>
    <w:p w14:paraId="40DC3786">
      <w:pPr>
        <w:rPr>
          <w:rFonts w:hint="default"/>
          <w:lang w:val="en-US" w:eastAsia="zh-CN"/>
        </w:rPr>
      </w:pPr>
      <w:r>
        <w:rPr>
          <w:rFonts w:hint="default"/>
          <w:lang w:val="en-US" w:eastAsia="zh-CN"/>
        </w:rPr>
        <w:t>公司地址：</w:t>
      </w:r>
      <w:r>
        <w:rPr>
          <w:rFonts w:hint="default"/>
          <w:u w:val="single"/>
          <w:lang w:val="en-US" w:eastAsia="zh-CN"/>
        </w:rPr>
        <w:t xml:space="preserve">                          </w:t>
      </w:r>
    </w:p>
    <w:p w14:paraId="32CD3E29">
      <w:pPr>
        <w:rPr>
          <w:rFonts w:hint="default"/>
          <w:lang w:val="en-US" w:eastAsia="zh-CN"/>
        </w:rPr>
      </w:pPr>
      <w:r>
        <w:rPr>
          <w:rFonts w:hint="default"/>
          <w:lang w:val="en-US" w:eastAsia="zh-CN"/>
        </w:rPr>
        <w:t>邮政编码：</w:t>
      </w:r>
      <w:r>
        <w:rPr>
          <w:rFonts w:hint="default"/>
          <w:u w:val="single"/>
          <w:lang w:val="en-US" w:eastAsia="zh-CN"/>
        </w:rPr>
        <w:t xml:space="preserve">                          </w:t>
      </w:r>
    </w:p>
    <w:p w14:paraId="412DA08C">
      <w:pPr>
        <w:rPr>
          <w:rFonts w:hint="default"/>
          <w:lang w:val="en-US" w:eastAsia="zh-CN"/>
        </w:rPr>
      </w:pPr>
      <w:r>
        <w:rPr>
          <w:rFonts w:hint="default"/>
          <w:lang w:val="en-US" w:eastAsia="zh-CN"/>
        </w:rPr>
        <w:t>日期：</w:t>
      </w:r>
      <w:r>
        <w:rPr>
          <w:rFonts w:hint="default"/>
          <w:u w:val="single"/>
          <w:lang w:val="en-US" w:eastAsia="zh-CN"/>
        </w:rPr>
        <w:t xml:space="preserve">        </w:t>
      </w:r>
      <w:r>
        <w:rPr>
          <w:rFonts w:hint="default"/>
          <w:lang w:val="en-US" w:eastAsia="zh-CN"/>
        </w:rPr>
        <w:t>年</w:t>
      </w:r>
      <w:r>
        <w:rPr>
          <w:rFonts w:hint="default"/>
          <w:u w:val="single"/>
          <w:lang w:val="en-US" w:eastAsia="zh-CN"/>
        </w:rPr>
        <w:t xml:space="preserve">      </w:t>
      </w:r>
      <w:r>
        <w:rPr>
          <w:rFonts w:hint="default"/>
          <w:lang w:val="en-US" w:eastAsia="zh-CN"/>
        </w:rPr>
        <w:t>月</w:t>
      </w:r>
      <w:r>
        <w:rPr>
          <w:rFonts w:hint="default"/>
          <w:u w:val="single"/>
          <w:lang w:val="en-US" w:eastAsia="zh-CN"/>
        </w:rPr>
        <w:t xml:space="preserve">       </w:t>
      </w:r>
      <w:r>
        <w:rPr>
          <w:rFonts w:hint="default"/>
          <w:lang w:val="en-US" w:eastAsia="zh-CN"/>
        </w:rPr>
        <w:t>日</w:t>
      </w:r>
    </w:p>
    <w:p w14:paraId="5E0BF532">
      <w:pPr>
        <w:rPr>
          <w:rFonts w:hint="default"/>
          <w:lang w:val="en-US" w:eastAsia="zh-CN"/>
        </w:rPr>
      </w:pPr>
      <w:r>
        <w:rPr>
          <w:rFonts w:hint="default"/>
          <w:lang w:val="en-US" w:eastAsia="zh-CN"/>
        </w:rPr>
        <w:br w:type="page"/>
      </w:r>
    </w:p>
    <w:p w14:paraId="591CA4C0">
      <w:pPr>
        <w:keepNext w:val="0"/>
        <w:keepLines w:val="0"/>
        <w:pageBreakBefore w:val="0"/>
        <w:widowControl w:val="0"/>
        <w:kinsoku/>
        <w:wordWrap/>
        <w:overflowPunct/>
        <w:topLinePunct w:val="0"/>
        <w:autoSpaceDE/>
        <w:autoSpaceDN/>
        <w:bidi w:val="0"/>
        <w:adjustRightInd/>
        <w:snapToGrid/>
        <w:ind w:firstLine="0" w:firstLineChars="0"/>
        <w:jc w:val="center"/>
        <w:textAlignment w:val="auto"/>
        <w:outlineLvl w:val="1"/>
        <w:rPr>
          <w:rFonts w:hint="default"/>
          <w:b/>
          <w:bCs/>
          <w:lang w:val="en-US" w:eastAsia="zh-CN"/>
        </w:rPr>
      </w:pPr>
      <w:bookmarkStart w:id="43" w:name="_Toc16703"/>
      <w:bookmarkStart w:id="44" w:name="_Toc13161"/>
      <w:r>
        <w:rPr>
          <w:rFonts w:hint="default"/>
          <w:b/>
          <w:bCs/>
          <w:lang w:val="en-US" w:eastAsia="zh-CN"/>
        </w:rPr>
        <w:t>二、法定代表人（负责人）身份证明或法定代表人（负责人）授权书</w:t>
      </w:r>
      <w:bookmarkEnd w:id="43"/>
      <w:bookmarkEnd w:id="44"/>
    </w:p>
    <w:p w14:paraId="64DAF7C9">
      <w:pPr>
        <w:keepNext w:val="0"/>
        <w:keepLines w:val="0"/>
        <w:pageBreakBefore w:val="0"/>
        <w:widowControl w:val="0"/>
        <w:kinsoku/>
        <w:wordWrap/>
        <w:overflowPunct/>
        <w:topLinePunct w:val="0"/>
        <w:autoSpaceDE/>
        <w:autoSpaceDN/>
        <w:bidi w:val="0"/>
        <w:adjustRightInd/>
        <w:snapToGrid/>
        <w:ind w:firstLine="0" w:firstLineChars="0"/>
        <w:jc w:val="center"/>
        <w:textAlignment w:val="auto"/>
        <w:outlineLvl w:val="1"/>
        <w:rPr>
          <w:rFonts w:hint="default"/>
          <w:b/>
          <w:bCs/>
          <w:lang w:val="en-US" w:eastAsia="zh-CN"/>
        </w:rPr>
      </w:pPr>
      <w:bookmarkStart w:id="45" w:name="_Toc2887"/>
      <w:bookmarkStart w:id="46" w:name="_Toc30530"/>
      <w:r>
        <w:rPr>
          <w:rFonts w:hint="default"/>
          <w:b/>
          <w:bCs/>
          <w:lang w:val="en-US" w:eastAsia="zh-CN"/>
        </w:rPr>
        <w:t>法定代表人（负责人）身份证明书</w:t>
      </w:r>
      <w:bookmarkEnd w:id="45"/>
      <w:bookmarkEnd w:id="46"/>
    </w:p>
    <w:p w14:paraId="1E335FE0">
      <w:pPr>
        <w:rPr>
          <w:rFonts w:hint="default"/>
          <w:lang w:val="en-US" w:eastAsia="zh-CN"/>
        </w:rPr>
      </w:pPr>
    </w:p>
    <w:p w14:paraId="324CD41F">
      <w:pPr>
        <w:rPr>
          <w:rFonts w:hint="default"/>
          <w:lang w:val="en-US" w:eastAsia="zh-CN"/>
        </w:rPr>
      </w:pPr>
      <w:r>
        <w:rPr>
          <w:rFonts w:hint="eastAsia"/>
          <w:lang w:val="en-US" w:eastAsia="zh-CN"/>
        </w:rPr>
        <w:t>供应商</w:t>
      </w:r>
      <w:r>
        <w:rPr>
          <w:rFonts w:hint="default"/>
          <w:lang w:val="en-US" w:eastAsia="zh-CN"/>
        </w:rPr>
        <w:t>名称：</w:t>
      </w:r>
      <w:r>
        <w:rPr>
          <w:rFonts w:hint="default"/>
          <w:u w:val="single"/>
          <w:lang w:val="en-US" w:eastAsia="zh-CN"/>
        </w:rPr>
        <w:t xml:space="preserve">                              </w:t>
      </w:r>
    </w:p>
    <w:p w14:paraId="1D3CEC4D">
      <w:pPr>
        <w:rPr>
          <w:rFonts w:hint="default"/>
          <w:lang w:val="en-US" w:eastAsia="zh-CN"/>
        </w:rPr>
      </w:pPr>
      <w:r>
        <w:rPr>
          <w:rFonts w:hint="default"/>
          <w:lang w:val="en-US" w:eastAsia="zh-CN"/>
        </w:rPr>
        <w:t>单位性质：</w:t>
      </w:r>
      <w:r>
        <w:rPr>
          <w:rFonts w:hint="default"/>
          <w:u w:val="single"/>
          <w:lang w:val="en-US" w:eastAsia="zh-CN"/>
        </w:rPr>
        <w:t xml:space="preserve">                              </w:t>
      </w:r>
    </w:p>
    <w:p w14:paraId="4B8D267A">
      <w:pPr>
        <w:rPr>
          <w:rFonts w:hint="default"/>
          <w:lang w:val="en-US" w:eastAsia="zh-CN"/>
        </w:rPr>
      </w:pPr>
      <w:r>
        <w:rPr>
          <w:rFonts w:hint="default"/>
          <w:lang w:val="en-US" w:eastAsia="zh-CN"/>
        </w:rPr>
        <w:t>地址：</w:t>
      </w:r>
      <w:r>
        <w:rPr>
          <w:rFonts w:hint="default"/>
          <w:u w:val="single"/>
          <w:lang w:val="en-US" w:eastAsia="zh-CN"/>
        </w:rPr>
        <w:t xml:space="preserve">                              </w:t>
      </w:r>
    </w:p>
    <w:p w14:paraId="3591D3DF">
      <w:pPr>
        <w:rPr>
          <w:rFonts w:hint="default"/>
          <w:lang w:val="en-US" w:eastAsia="zh-CN"/>
        </w:rPr>
      </w:pPr>
      <w:r>
        <w:rPr>
          <w:rFonts w:hint="default"/>
          <w:lang w:val="en-US" w:eastAsia="zh-CN"/>
        </w:rPr>
        <w:t>成立时间：</w:t>
      </w:r>
      <w:r>
        <w:rPr>
          <w:rFonts w:hint="default"/>
          <w:u w:val="single"/>
          <w:lang w:val="en-US" w:eastAsia="zh-CN"/>
        </w:rPr>
        <w:t xml:space="preserve">       </w:t>
      </w:r>
      <w:r>
        <w:rPr>
          <w:rFonts w:hint="default"/>
          <w:lang w:val="en-US" w:eastAsia="zh-CN"/>
        </w:rPr>
        <w:t>年</w:t>
      </w:r>
      <w:r>
        <w:rPr>
          <w:rFonts w:hint="default"/>
          <w:u w:val="single"/>
          <w:lang w:val="en-US" w:eastAsia="zh-CN"/>
        </w:rPr>
        <w:t xml:space="preserve">    </w:t>
      </w:r>
      <w:r>
        <w:rPr>
          <w:rFonts w:hint="default"/>
          <w:lang w:val="en-US" w:eastAsia="zh-CN"/>
        </w:rPr>
        <w:t>月</w:t>
      </w:r>
      <w:r>
        <w:rPr>
          <w:rFonts w:hint="default"/>
          <w:u w:val="single"/>
          <w:lang w:val="en-US" w:eastAsia="zh-CN"/>
        </w:rPr>
        <w:t xml:space="preserve">     </w:t>
      </w:r>
      <w:r>
        <w:rPr>
          <w:rFonts w:hint="default"/>
          <w:lang w:val="en-US" w:eastAsia="zh-CN"/>
        </w:rPr>
        <w:t>日</w:t>
      </w:r>
    </w:p>
    <w:p w14:paraId="12DDDD9D">
      <w:pPr>
        <w:rPr>
          <w:rFonts w:hint="default"/>
          <w:lang w:val="en-US" w:eastAsia="zh-CN"/>
        </w:rPr>
      </w:pPr>
      <w:r>
        <w:rPr>
          <w:rFonts w:hint="default"/>
          <w:lang w:val="en-US" w:eastAsia="zh-CN"/>
        </w:rPr>
        <w:t>经营期限：</w:t>
      </w:r>
      <w:r>
        <w:rPr>
          <w:rFonts w:hint="default"/>
          <w:u w:val="single"/>
          <w:lang w:val="en-US" w:eastAsia="zh-CN"/>
        </w:rPr>
        <w:t xml:space="preserve">                              </w:t>
      </w:r>
    </w:p>
    <w:p w14:paraId="6BA51E8D">
      <w:pPr>
        <w:rPr>
          <w:rFonts w:hint="default"/>
          <w:lang w:val="en-US" w:eastAsia="zh-CN"/>
        </w:rPr>
      </w:pPr>
      <w:r>
        <w:rPr>
          <w:rFonts w:hint="default"/>
          <w:lang w:val="en-US" w:eastAsia="zh-CN"/>
        </w:rPr>
        <w:t>姓名：</w:t>
      </w:r>
      <w:r>
        <w:rPr>
          <w:rFonts w:hint="default"/>
          <w:u w:val="single"/>
          <w:lang w:val="en-US" w:eastAsia="zh-CN"/>
        </w:rPr>
        <w:t xml:space="preserve">                   </w:t>
      </w:r>
      <w:r>
        <w:rPr>
          <w:rFonts w:hint="default"/>
          <w:lang w:val="en-US" w:eastAsia="zh-CN"/>
        </w:rPr>
        <w:t>性别：</w:t>
      </w:r>
      <w:r>
        <w:rPr>
          <w:rFonts w:hint="default"/>
          <w:u w:val="single"/>
          <w:lang w:val="en-US" w:eastAsia="zh-CN"/>
        </w:rPr>
        <w:t xml:space="preserve">                 </w:t>
      </w:r>
      <w:r>
        <w:rPr>
          <w:rFonts w:hint="default"/>
          <w:lang w:val="en-US" w:eastAsia="zh-CN"/>
        </w:rPr>
        <w:t>年龄：</w:t>
      </w:r>
      <w:r>
        <w:rPr>
          <w:rFonts w:hint="default"/>
          <w:u w:val="single"/>
          <w:lang w:val="en-US" w:eastAsia="zh-CN"/>
        </w:rPr>
        <w:t xml:space="preserve">            </w:t>
      </w:r>
    </w:p>
    <w:p w14:paraId="2CFDE773">
      <w:pPr>
        <w:rPr>
          <w:rFonts w:hint="default"/>
          <w:lang w:val="en-US" w:eastAsia="zh-CN"/>
        </w:rPr>
      </w:pPr>
      <w:r>
        <w:rPr>
          <w:rFonts w:hint="default"/>
          <w:lang w:val="en-US" w:eastAsia="zh-CN"/>
        </w:rPr>
        <w:t>职务：</w:t>
      </w:r>
      <w:r>
        <w:rPr>
          <w:rFonts w:hint="default"/>
          <w:u w:val="single"/>
          <w:lang w:val="en-US" w:eastAsia="zh-CN"/>
        </w:rPr>
        <w:t xml:space="preserve">                              </w:t>
      </w:r>
    </w:p>
    <w:p w14:paraId="4FC93A95">
      <w:pPr>
        <w:rPr>
          <w:rFonts w:hint="default"/>
          <w:lang w:val="en-US" w:eastAsia="zh-CN"/>
        </w:rPr>
      </w:pPr>
      <w:r>
        <w:rPr>
          <w:rFonts w:hint="default"/>
          <w:lang w:val="en-US" w:eastAsia="zh-CN"/>
        </w:rPr>
        <w:t>系</w:t>
      </w:r>
      <w:r>
        <w:rPr>
          <w:rFonts w:hint="default"/>
          <w:u w:val="single"/>
          <w:lang w:val="en-US" w:eastAsia="zh-CN"/>
        </w:rPr>
        <w:t xml:space="preserve">                           </w:t>
      </w:r>
      <w:r>
        <w:rPr>
          <w:rFonts w:hint="default"/>
          <w:lang w:val="en-US" w:eastAsia="zh-CN"/>
        </w:rPr>
        <w:t>（</w:t>
      </w:r>
      <w:r>
        <w:rPr>
          <w:rFonts w:hint="eastAsia"/>
          <w:lang w:val="en-US" w:eastAsia="zh-CN"/>
        </w:rPr>
        <w:t>供应商</w:t>
      </w:r>
      <w:r>
        <w:rPr>
          <w:rFonts w:hint="default"/>
          <w:lang w:val="en-US" w:eastAsia="zh-CN"/>
        </w:rPr>
        <w:t>名称）的法定代表人（负责人）。</w:t>
      </w:r>
    </w:p>
    <w:p w14:paraId="377C8EDB">
      <w:pPr>
        <w:rPr>
          <w:rFonts w:hint="default" w:ascii="Times New Roman" w:hAnsi="Times New Roman" w:cs="Times New Roman"/>
          <w:color w:val="auto"/>
          <w:kern w:val="0"/>
          <w:sz w:val="24"/>
          <w:highlight w:val="none"/>
        </w:rPr>
      </w:pPr>
      <w:r>
        <w:rPr>
          <w:rFonts w:hint="default"/>
          <w:lang w:val="en-US" w:eastAsia="zh-CN"/>
        </w:rPr>
        <w:t>特此证明。</w:t>
      </w:r>
    </w:p>
    <w:p w14:paraId="16B65767">
      <w:pPr>
        <w:rPr>
          <w:rFonts w:hint="default"/>
          <w:b/>
          <w:bCs/>
          <w:lang w:val="en-US" w:eastAsia="zh-CN"/>
        </w:rPr>
      </w:pPr>
      <w:r>
        <w:rPr>
          <w:rFonts w:hint="default"/>
          <w:b/>
          <w:bCs/>
          <w:lang w:val="en-US" w:eastAsia="zh-CN"/>
        </w:rPr>
        <w:t>附：法定代表人（负责人）二代身份证复印件。</w:t>
      </w:r>
    </w:p>
    <w:tbl>
      <w:tblPr>
        <w:tblStyle w:val="18"/>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14:paraId="60815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0" w:hRule="atLeast"/>
        </w:trPr>
        <w:tc>
          <w:tcPr>
            <w:tcW w:w="9061" w:type="dxa"/>
            <w:noWrap w:val="0"/>
            <w:vAlign w:val="top"/>
          </w:tcPr>
          <w:p w14:paraId="45DC8BC4">
            <w:pPr>
              <w:pStyle w:val="6"/>
              <w:tabs>
                <w:tab w:val="left" w:pos="750"/>
              </w:tabs>
              <w:spacing w:line="360" w:lineRule="auto"/>
              <w:rPr>
                <w:rFonts w:hint="default" w:ascii="Times New Roman" w:hAnsi="Times New Roman" w:cs="Times New Roman"/>
                <w:color w:val="auto"/>
                <w:szCs w:val="21"/>
                <w:highlight w:val="none"/>
              </w:rPr>
            </w:pPr>
          </w:p>
        </w:tc>
      </w:tr>
    </w:tbl>
    <w:p w14:paraId="44350580">
      <w:pPr>
        <w:rPr>
          <w:rFonts w:hint="eastAsia"/>
          <w:lang w:val="en-US" w:eastAsia="zh-CN"/>
        </w:rPr>
      </w:pPr>
    </w:p>
    <w:p w14:paraId="4F47B263">
      <w:pPr>
        <w:rPr>
          <w:rFonts w:hint="default"/>
          <w:lang w:val="en-US" w:eastAsia="zh-CN"/>
        </w:rPr>
      </w:pPr>
      <w:r>
        <w:rPr>
          <w:rFonts w:hint="eastAsia"/>
          <w:lang w:val="en-US" w:eastAsia="zh-CN"/>
        </w:rPr>
        <w:t>供应商</w:t>
      </w:r>
      <w:r>
        <w:rPr>
          <w:rFonts w:hint="default"/>
          <w:lang w:val="en-US" w:eastAsia="zh-CN"/>
        </w:rPr>
        <w:t>（盖章）：</w:t>
      </w:r>
      <w:r>
        <w:rPr>
          <w:rFonts w:hint="default"/>
          <w:u w:val="single"/>
          <w:lang w:val="en-US" w:eastAsia="zh-CN"/>
        </w:rPr>
        <w:t xml:space="preserve">                   </w:t>
      </w:r>
    </w:p>
    <w:p w14:paraId="49A8309B">
      <w:pPr>
        <w:ind w:firstLine="1440" w:firstLineChars="600"/>
        <w:rPr>
          <w:rFonts w:hint="default"/>
          <w:lang w:val="en-US" w:eastAsia="zh-CN"/>
        </w:rPr>
      </w:pPr>
      <w:r>
        <w:rPr>
          <w:rFonts w:hint="default"/>
          <w:lang w:val="en-US" w:eastAsia="zh-CN"/>
        </w:rPr>
        <w:t xml:space="preserve">年 </w:t>
      </w:r>
      <w:r>
        <w:rPr>
          <w:rFonts w:hint="eastAsia"/>
          <w:lang w:val="en-US" w:eastAsia="zh-CN"/>
        </w:rPr>
        <w:t xml:space="preserve"> </w:t>
      </w:r>
      <w:r>
        <w:rPr>
          <w:rFonts w:hint="default"/>
          <w:lang w:val="en-US" w:eastAsia="zh-CN"/>
        </w:rPr>
        <w:t>月  日</w:t>
      </w:r>
    </w:p>
    <w:p w14:paraId="2375732C">
      <w:pPr>
        <w:pStyle w:val="17"/>
        <w:rPr>
          <w:rFonts w:hint="default"/>
          <w:lang w:val="en-US" w:eastAsia="zh-CN"/>
        </w:rPr>
      </w:pPr>
    </w:p>
    <w:p w14:paraId="350A363E">
      <w:pPr>
        <w:rPr>
          <w:rFonts w:hint="default"/>
          <w:lang w:val="en-US" w:eastAsia="zh-CN"/>
        </w:rPr>
      </w:pPr>
      <w:r>
        <w:rPr>
          <w:rFonts w:hint="default"/>
          <w:lang w:val="en-US" w:eastAsia="zh-CN"/>
        </w:rPr>
        <w:t>注：适用于法定代表人（负责人）</w:t>
      </w:r>
      <w:r>
        <w:rPr>
          <w:rFonts w:hint="eastAsia"/>
          <w:lang w:val="en-US" w:eastAsia="zh-CN"/>
        </w:rPr>
        <w:t>递交响应文件</w:t>
      </w:r>
      <w:r>
        <w:rPr>
          <w:rFonts w:hint="default"/>
          <w:lang w:val="en-US" w:eastAsia="zh-CN"/>
        </w:rPr>
        <w:t>时。法定代表人（负责人）</w:t>
      </w:r>
      <w:r>
        <w:rPr>
          <w:rFonts w:hint="eastAsia"/>
          <w:lang w:val="en-US" w:eastAsia="zh-CN"/>
        </w:rPr>
        <w:t>递交响应文件</w:t>
      </w:r>
      <w:r>
        <w:rPr>
          <w:rFonts w:hint="default"/>
          <w:lang w:val="en-US" w:eastAsia="zh-CN"/>
        </w:rPr>
        <w:t>另需手持该证明书原件、有效身份证件原件。</w:t>
      </w:r>
      <w:r>
        <w:rPr>
          <w:rFonts w:hint="default"/>
          <w:lang w:val="en-US" w:eastAsia="zh-CN"/>
        </w:rPr>
        <w:br w:type="page"/>
      </w:r>
    </w:p>
    <w:p w14:paraId="743096E8">
      <w:pPr>
        <w:keepNext w:val="0"/>
        <w:keepLines w:val="0"/>
        <w:pageBreakBefore w:val="0"/>
        <w:widowControl w:val="0"/>
        <w:kinsoku/>
        <w:wordWrap/>
        <w:overflowPunct/>
        <w:topLinePunct w:val="0"/>
        <w:autoSpaceDE/>
        <w:autoSpaceDN/>
        <w:bidi w:val="0"/>
        <w:adjustRightInd/>
        <w:snapToGrid/>
        <w:ind w:firstLine="0" w:firstLineChars="0"/>
        <w:jc w:val="center"/>
        <w:textAlignment w:val="auto"/>
        <w:outlineLvl w:val="9"/>
        <w:rPr>
          <w:rFonts w:hint="default"/>
          <w:b/>
          <w:bCs/>
          <w:lang w:val="en-US" w:eastAsia="zh-CN"/>
        </w:rPr>
      </w:pPr>
      <w:r>
        <w:rPr>
          <w:rFonts w:hint="default"/>
          <w:b/>
          <w:bCs/>
          <w:lang w:val="en-US" w:eastAsia="zh-CN"/>
        </w:rPr>
        <w:t>法定代表人（负责人）授权委托书</w:t>
      </w:r>
    </w:p>
    <w:p w14:paraId="043E2EF2">
      <w:pPr>
        <w:rPr>
          <w:rFonts w:hint="default"/>
          <w:lang w:val="en-US" w:eastAsia="zh-CN"/>
        </w:rPr>
      </w:pPr>
    </w:p>
    <w:p w14:paraId="138925A5">
      <w:pPr>
        <w:rPr>
          <w:rFonts w:hint="default"/>
          <w:lang w:val="en-US" w:eastAsia="zh-CN"/>
        </w:rPr>
      </w:pPr>
      <w:r>
        <w:rPr>
          <w:rFonts w:hint="default"/>
          <w:lang w:val="en-US" w:eastAsia="zh-CN"/>
        </w:rPr>
        <w:t>本人</w:t>
      </w:r>
      <w:r>
        <w:rPr>
          <w:rFonts w:hint="default"/>
          <w:u w:val="single"/>
          <w:lang w:val="en-US" w:eastAsia="zh-CN"/>
        </w:rPr>
        <w:t xml:space="preserve">       </w:t>
      </w:r>
      <w:r>
        <w:rPr>
          <w:rFonts w:hint="default"/>
          <w:lang w:val="en-US" w:eastAsia="zh-CN"/>
        </w:rPr>
        <w:t>（姓名）系</w:t>
      </w:r>
      <w:r>
        <w:rPr>
          <w:rFonts w:hint="default"/>
          <w:u w:val="single"/>
          <w:lang w:val="en-US" w:eastAsia="zh-CN"/>
        </w:rPr>
        <w:t xml:space="preserve">            </w:t>
      </w:r>
      <w:r>
        <w:rPr>
          <w:rFonts w:hint="default"/>
          <w:lang w:val="en-US" w:eastAsia="zh-CN"/>
        </w:rPr>
        <w:t>（</w:t>
      </w:r>
      <w:r>
        <w:rPr>
          <w:rFonts w:hint="eastAsia"/>
          <w:lang w:val="en-US" w:eastAsia="zh-CN"/>
        </w:rPr>
        <w:t>供应商</w:t>
      </w:r>
      <w:r>
        <w:rPr>
          <w:rFonts w:hint="default"/>
          <w:lang w:val="en-US" w:eastAsia="zh-CN"/>
        </w:rPr>
        <w:t>名称）的法定代表人（负责人），现委托</w:t>
      </w:r>
      <w:r>
        <w:rPr>
          <w:rFonts w:hint="default"/>
          <w:u w:val="single"/>
          <w:lang w:val="en-US" w:eastAsia="zh-CN"/>
        </w:rPr>
        <w:t xml:space="preserve">     </w:t>
      </w:r>
      <w:r>
        <w:rPr>
          <w:rFonts w:hint="default"/>
          <w:lang w:val="en-US" w:eastAsia="zh-CN"/>
        </w:rPr>
        <w:t>（姓名）为我方代理人。代理人根据授权，以我方名义签署、澄清、说明、补正、递交、撤回、修改</w:t>
      </w:r>
      <w:r>
        <w:rPr>
          <w:rFonts w:hint="default"/>
          <w:u w:val="single"/>
          <w:lang w:val="en-US" w:eastAsia="zh-CN"/>
        </w:rPr>
        <w:t xml:space="preserve">          （项目名称）</w:t>
      </w:r>
      <w:r>
        <w:rPr>
          <w:rFonts w:hint="eastAsia"/>
          <w:lang w:val="en-US" w:eastAsia="zh-CN"/>
        </w:rPr>
        <w:t>响应文件</w:t>
      </w:r>
      <w:r>
        <w:rPr>
          <w:rFonts w:hint="default"/>
          <w:lang w:val="en-US" w:eastAsia="zh-CN"/>
        </w:rPr>
        <w:t>、签订合同和处理有关事宜，其法律后果由我方承担。</w:t>
      </w:r>
    </w:p>
    <w:p w14:paraId="2EEBAAD1">
      <w:pPr>
        <w:rPr>
          <w:rFonts w:hint="default"/>
          <w:lang w:val="en-US" w:eastAsia="zh-CN"/>
        </w:rPr>
      </w:pPr>
      <w:r>
        <w:rPr>
          <w:rFonts w:hint="default"/>
          <w:lang w:val="en-US" w:eastAsia="zh-CN"/>
        </w:rPr>
        <w:t>委托期限：</w:t>
      </w:r>
      <w:r>
        <w:rPr>
          <w:rFonts w:hint="default"/>
          <w:u w:val="single"/>
          <w:lang w:val="en-US" w:eastAsia="zh-CN"/>
        </w:rPr>
        <w:t xml:space="preserve">      年  月  日—     年  月  日</w:t>
      </w:r>
    </w:p>
    <w:p w14:paraId="112C7632">
      <w:pPr>
        <w:rPr>
          <w:rFonts w:hint="default"/>
          <w:lang w:val="en-US" w:eastAsia="zh-CN"/>
        </w:rPr>
      </w:pPr>
      <w:r>
        <w:rPr>
          <w:rFonts w:hint="default"/>
          <w:lang w:val="en-US" w:eastAsia="zh-CN"/>
        </w:rPr>
        <w:t>代理人无转委托权。</w:t>
      </w:r>
    </w:p>
    <w:p w14:paraId="1B8B263E">
      <w:pPr>
        <w:rPr>
          <w:rFonts w:hint="default"/>
          <w:lang w:val="en-US" w:eastAsia="zh-CN"/>
        </w:rPr>
      </w:pPr>
      <w:r>
        <w:rPr>
          <w:rFonts w:hint="default"/>
          <w:lang w:val="en-US" w:eastAsia="zh-CN"/>
        </w:rPr>
        <w:t>附：授权代理人身份证复印件</w:t>
      </w:r>
    </w:p>
    <w:tbl>
      <w:tblPr>
        <w:tblStyle w:val="18"/>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14:paraId="5EAC4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5" w:hRule="atLeast"/>
        </w:trPr>
        <w:tc>
          <w:tcPr>
            <w:tcW w:w="9061" w:type="dxa"/>
            <w:noWrap w:val="0"/>
            <w:vAlign w:val="top"/>
          </w:tcPr>
          <w:p w14:paraId="43FEBF41">
            <w:pPr>
              <w:pStyle w:val="6"/>
              <w:tabs>
                <w:tab w:val="left" w:pos="750"/>
              </w:tabs>
              <w:spacing w:line="360" w:lineRule="auto"/>
              <w:rPr>
                <w:rFonts w:hint="default" w:ascii="Times New Roman" w:hAnsi="Times New Roman" w:cs="Times New Roman"/>
                <w:color w:val="auto"/>
                <w:szCs w:val="21"/>
                <w:highlight w:val="none"/>
              </w:rPr>
            </w:pPr>
          </w:p>
        </w:tc>
      </w:tr>
    </w:tbl>
    <w:p w14:paraId="02DB3E8E">
      <w:pPr>
        <w:rPr>
          <w:rFonts w:hint="default"/>
          <w:lang w:val="en-US" w:eastAsia="zh-CN"/>
        </w:rPr>
      </w:pPr>
      <w:r>
        <w:rPr>
          <w:rFonts w:hint="eastAsia"/>
          <w:lang w:val="en-US" w:eastAsia="zh-CN"/>
        </w:rPr>
        <w:t>供应商</w:t>
      </w:r>
      <w:r>
        <w:rPr>
          <w:rFonts w:hint="default"/>
          <w:lang w:val="en-US" w:eastAsia="zh-CN"/>
        </w:rPr>
        <w:t>（盖章）：</w:t>
      </w:r>
      <w:r>
        <w:rPr>
          <w:rFonts w:hint="default"/>
          <w:u w:val="single"/>
          <w:lang w:val="en-US" w:eastAsia="zh-CN"/>
        </w:rPr>
        <w:t xml:space="preserve">                   </w:t>
      </w:r>
    </w:p>
    <w:p w14:paraId="2E2BCF57">
      <w:pPr>
        <w:rPr>
          <w:rFonts w:hint="default"/>
          <w:lang w:val="en-US" w:eastAsia="zh-CN"/>
        </w:rPr>
      </w:pPr>
      <w:r>
        <w:rPr>
          <w:rFonts w:hint="default"/>
          <w:lang w:val="en-US" w:eastAsia="zh-CN"/>
        </w:rPr>
        <w:t>法定代表人（负责人）：</w:t>
      </w:r>
      <w:r>
        <w:rPr>
          <w:rFonts w:hint="default"/>
          <w:u w:val="single"/>
          <w:lang w:val="en-US" w:eastAsia="zh-CN"/>
        </w:rPr>
        <w:t xml:space="preserve">                   </w:t>
      </w:r>
      <w:r>
        <w:rPr>
          <w:rFonts w:hint="default"/>
          <w:lang w:val="en-US" w:eastAsia="zh-CN"/>
        </w:rPr>
        <w:t>（签字或盖章）</w:t>
      </w:r>
    </w:p>
    <w:p w14:paraId="093108BD">
      <w:pPr>
        <w:rPr>
          <w:rFonts w:hint="default"/>
          <w:u w:val="single"/>
          <w:lang w:val="en-US" w:eastAsia="zh-CN"/>
        </w:rPr>
      </w:pPr>
      <w:r>
        <w:rPr>
          <w:rFonts w:hint="default"/>
          <w:lang w:val="en-US" w:eastAsia="zh-CN"/>
        </w:rPr>
        <w:t>身份证号码：</w:t>
      </w:r>
      <w:r>
        <w:rPr>
          <w:rFonts w:hint="default"/>
          <w:u w:val="single"/>
          <w:lang w:val="en-US" w:eastAsia="zh-CN"/>
        </w:rPr>
        <w:t xml:space="preserve">                   </w:t>
      </w:r>
    </w:p>
    <w:p w14:paraId="6845C055">
      <w:pPr>
        <w:rPr>
          <w:rFonts w:hint="default"/>
          <w:lang w:val="en-US" w:eastAsia="zh-CN"/>
        </w:rPr>
      </w:pPr>
      <w:r>
        <w:rPr>
          <w:rFonts w:hint="default"/>
          <w:lang w:val="en-US" w:eastAsia="zh-CN"/>
        </w:rPr>
        <w:t>授权代理人：</w:t>
      </w:r>
      <w:r>
        <w:rPr>
          <w:rFonts w:hint="default"/>
          <w:u w:val="single"/>
          <w:lang w:val="en-US" w:eastAsia="zh-CN"/>
        </w:rPr>
        <w:t xml:space="preserve">                   </w:t>
      </w:r>
      <w:r>
        <w:rPr>
          <w:rFonts w:hint="default"/>
          <w:lang w:val="en-US" w:eastAsia="zh-CN"/>
        </w:rPr>
        <w:t>（签字或盖章）</w:t>
      </w:r>
    </w:p>
    <w:p w14:paraId="1A230806">
      <w:pPr>
        <w:rPr>
          <w:rFonts w:hint="default"/>
          <w:lang w:val="en-US" w:eastAsia="zh-CN"/>
        </w:rPr>
      </w:pPr>
      <w:r>
        <w:rPr>
          <w:rFonts w:hint="default"/>
          <w:lang w:val="en-US" w:eastAsia="zh-CN"/>
        </w:rPr>
        <w:t>身份证号码：</w:t>
      </w:r>
      <w:r>
        <w:rPr>
          <w:rFonts w:hint="default"/>
          <w:u w:val="single"/>
          <w:lang w:val="en-US" w:eastAsia="zh-CN"/>
        </w:rPr>
        <w:t xml:space="preserve">                   </w:t>
      </w:r>
    </w:p>
    <w:p w14:paraId="21DB9E0F">
      <w:pPr>
        <w:rPr>
          <w:rFonts w:hint="default"/>
          <w:lang w:val="en-US" w:eastAsia="zh-CN"/>
        </w:rPr>
      </w:pPr>
      <w:r>
        <w:rPr>
          <w:rFonts w:hint="default"/>
          <w:lang w:val="en-US" w:eastAsia="zh-CN"/>
        </w:rPr>
        <w:t>日期：</w:t>
      </w:r>
      <w:r>
        <w:rPr>
          <w:rFonts w:hint="default"/>
          <w:u w:val="single"/>
          <w:lang w:val="en-US" w:eastAsia="zh-CN"/>
        </w:rPr>
        <w:t xml:space="preserve">     </w:t>
      </w:r>
      <w:r>
        <w:rPr>
          <w:rFonts w:hint="default"/>
          <w:lang w:val="en-US" w:eastAsia="zh-CN"/>
        </w:rPr>
        <w:t>年</w:t>
      </w:r>
      <w:r>
        <w:rPr>
          <w:rFonts w:hint="default"/>
          <w:u w:val="single"/>
          <w:lang w:val="en-US" w:eastAsia="zh-CN"/>
        </w:rPr>
        <w:t xml:space="preserve">     </w:t>
      </w:r>
      <w:r>
        <w:rPr>
          <w:rFonts w:hint="default"/>
          <w:lang w:val="en-US" w:eastAsia="zh-CN"/>
        </w:rPr>
        <w:t>月</w:t>
      </w:r>
      <w:r>
        <w:rPr>
          <w:rFonts w:hint="default"/>
          <w:u w:val="single"/>
          <w:lang w:val="en-US" w:eastAsia="zh-CN"/>
        </w:rPr>
        <w:t xml:space="preserve">     </w:t>
      </w:r>
      <w:r>
        <w:rPr>
          <w:rFonts w:hint="default"/>
          <w:lang w:val="en-US" w:eastAsia="zh-CN"/>
        </w:rPr>
        <w:t>日</w:t>
      </w:r>
    </w:p>
    <w:p w14:paraId="534F118E">
      <w:pPr>
        <w:pStyle w:val="17"/>
        <w:rPr>
          <w:rFonts w:hint="default"/>
          <w:lang w:val="en-US" w:eastAsia="zh-CN"/>
        </w:rPr>
      </w:pPr>
    </w:p>
    <w:p w14:paraId="524A9F58">
      <w:pPr>
        <w:rPr>
          <w:rFonts w:hint="default"/>
          <w:lang w:val="en-US" w:eastAsia="zh-CN"/>
        </w:rPr>
      </w:pPr>
      <w:r>
        <w:rPr>
          <w:rFonts w:hint="default"/>
          <w:lang w:val="en-US" w:eastAsia="zh-CN"/>
        </w:rPr>
        <w:t>后附：法定代表人（负责人）身份证明书</w:t>
      </w:r>
    </w:p>
    <w:p w14:paraId="7629BA2F">
      <w:pPr>
        <w:pStyle w:val="17"/>
        <w:rPr>
          <w:rFonts w:hint="default"/>
          <w:lang w:val="en-US" w:eastAsia="zh-CN"/>
        </w:rPr>
      </w:pPr>
    </w:p>
    <w:p w14:paraId="3F1E3727">
      <w:pPr>
        <w:rPr>
          <w:rFonts w:hint="default"/>
          <w:lang w:val="en-US" w:eastAsia="zh-CN"/>
        </w:rPr>
      </w:pPr>
      <w:r>
        <w:rPr>
          <w:rFonts w:hint="default"/>
          <w:lang w:val="en-US" w:eastAsia="zh-CN"/>
        </w:rPr>
        <w:t>注：适用于授权代理人</w:t>
      </w:r>
      <w:r>
        <w:rPr>
          <w:rFonts w:hint="eastAsia"/>
          <w:lang w:val="en-US" w:eastAsia="zh-CN"/>
        </w:rPr>
        <w:t>递交响应文件</w:t>
      </w:r>
      <w:r>
        <w:rPr>
          <w:rFonts w:hint="default"/>
          <w:lang w:val="en-US" w:eastAsia="zh-CN"/>
        </w:rPr>
        <w:t>时。</w:t>
      </w:r>
      <w:r>
        <w:rPr>
          <w:rFonts w:hint="eastAsia"/>
          <w:lang w:val="en-US" w:eastAsia="zh-CN"/>
        </w:rPr>
        <w:t>递交响应文件</w:t>
      </w:r>
      <w:r>
        <w:rPr>
          <w:rFonts w:hint="default"/>
          <w:lang w:val="en-US" w:eastAsia="zh-CN"/>
        </w:rPr>
        <w:t>时授权代理人另须单独手持一份委托书原件、有效身份证件原件、法定代表人（负责人）身份证明书原件。</w:t>
      </w:r>
      <w:r>
        <w:rPr>
          <w:rFonts w:hint="default"/>
          <w:lang w:val="en-US" w:eastAsia="zh-CN"/>
        </w:rPr>
        <w:br w:type="page"/>
      </w:r>
    </w:p>
    <w:p w14:paraId="7519E72A">
      <w:pPr>
        <w:keepNext w:val="0"/>
        <w:keepLines w:val="0"/>
        <w:pageBreakBefore w:val="0"/>
        <w:widowControl w:val="0"/>
        <w:kinsoku/>
        <w:wordWrap/>
        <w:overflowPunct/>
        <w:topLinePunct w:val="0"/>
        <w:autoSpaceDE/>
        <w:autoSpaceDN/>
        <w:bidi w:val="0"/>
        <w:adjustRightInd/>
        <w:snapToGrid/>
        <w:ind w:firstLine="0" w:firstLineChars="0"/>
        <w:jc w:val="center"/>
        <w:textAlignment w:val="auto"/>
        <w:outlineLvl w:val="1"/>
        <w:rPr>
          <w:rFonts w:hint="eastAsia" w:ascii="Times New Roman" w:hAnsi="Times New Roman"/>
          <w:b/>
          <w:bCs/>
          <w:lang w:val="en-US" w:eastAsia="zh-CN"/>
        </w:rPr>
      </w:pPr>
      <w:bookmarkStart w:id="47" w:name="_Toc3754"/>
      <w:bookmarkStart w:id="48" w:name="_Toc12809"/>
      <w:r>
        <w:rPr>
          <w:rFonts w:hint="eastAsia" w:ascii="Times New Roman" w:hAnsi="Times New Roman"/>
          <w:b/>
          <w:bCs/>
          <w:lang w:val="en-US" w:eastAsia="zh-CN"/>
        </w:rPr>
        <w:t>三、商务文件</w:t>
      </w:r>
      <w:bookmarkEnd w:id="47"/>
      <w:bookmarkEnd w:id="48"/>
    </w:p>
    <w:p w14:paraId="6A19928D">
      <w:pPr>
        <w:keepNext w:val="0"/>
        <w:keepLines w:val="0"/>
        <w:pageBreakBefore w:val="0"/>
        <w:widowControl w:val="0"/>
        <w:kinsoku/>
        <w:wordWrap/>
        <w:overflowPunct/>
        <w:topLinePunct w:val="0"/>
        <w:autoSpaceDE/>
        <w:autoSpaceDN/>
        <w:bidi w:val="0"/>
        <w:adjustRightInd/>
        <w:snapToGrid/>
        <w:ind w:firstLine="0" w:firstLineChars="0"/>
        <w:jc w:val="center"/>
        <w:textAlignment w:val="auto"/>
        <w:outlineLvl w:val="9"/>
        <w:rPr>
          <w:rFonts w:hint="default" w:ascii="Times New Roman" w:hAnsi="Times New Roman"/>
          <w:b/>
          <w:bCs/>
          <w:lang w:val="en-US" w:eastAsia="zh-CN"/>
        </w:rPr>
      </w:pPr>
      <w:r>
        <w:rPr>
          <w:rFonts w:hint="eastAsia" w:ascii="Times New Roman" w:hAnsi="Times New Roman"/>
          <w:b/>
          <w:bCs/>
          <w:lang w:val="en-US" w:eastAsia="zh-CN"/>
        </w:rPr>
        <w:t>（一）供应商基本情况表</w:t>
      </w:r>
    </w:p>
    <w:tbl>
      <w:tblPr>
        <w:tblStyle w:val="18"/>
        <w:tblW w:w="9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6"/>
        <w:gridCol w:w="1805"/>
        <w:gridCol w:w="2458"/>
        <w:gridCol w:w="468"/>
        <w:gridCol w:w="1048"/>
        <w:gridCol w:w="1696"/>
      </w:tblGrid>
      <w:tr w14:paraId="50022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1586" w:type="dxa"/>
            <w:noWrap w:val="0"/>
            <w:vAlign w:val="center"/>
          </w:tcPr>
          <w:p w14:paraId="46C3F353">
            <w:pPr>
              <w:keepNext w:val="0"/>
              <w:keepLines w:val="0"/>
              <w:pageBreakBefore w:val="0"/>
              <w:widowControl/>
              <w:kinsoku/>
              <w:wordWrap w:val="0"/>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方正仿宋_GBK" w:cs="Times New Roman"/>
                <w:sz w:val="21"/>
                <w:szCs w:val="21"/>
                <w:highlight w:val="none"/>
                <w:lang w:bidi="en-US"/>
              </w:rPr>
            </w:pPr>
            <w:r>
              <w:rPr>
                <w:rFonts w:hint="default" w:ascii="Times New Roman" w:hAnsi="Times New Roman" w:eastAsia="方正仿宋_GBK" w:cs="Times New Roman"/>
                <w:sz w:val="21"/>
                <w:szCs w:val="21"/>
                <w:highlight w:val="none"/>
                <w:lang w:bidi="en-US"/>
              </w:rPr>
              <w:t>企业名称</w:t>
            </w:r>
          </w:p>
        </w:tc>
        <w:tc>
          <w:tcPr>
            <w:tcW w:w="7475" w:type="dxa"/>
            <w:gridSpan w:val="5"/>
            <w:noWrap w:val="0"/>
            <w:vAlign w:val="center"/>
          </w:tcPr>
          <w:p w14:paraId="432434E6">
            <w:pPr>
              <w:keepNext w:val="0"/>
              <w:keepLines w:val="0"/>
              <w:pageBreakBefore w:val="0"/>
              <w:widowControl/>
              <w:kinsoku/>
              <w:wordWrap w:val="0"/>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方正仿宋_GBK" w:cs="Times New Roman"/>
                <w:sz w:val="21"/>
                <w:szCs w:val="21"/>
                <w:highlight w:val="none"/>
                <w:lang w:bidi="en-US"/>
              </w:rPr>
            </w:pPr>
          </w:p>
        </w:tc>
      </w:tr>
      <w:tr w14:paraId="7B160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586" w:type="dxa"/>
            <w:noWrap w:val="0"/>
            <w:vAlign w:val="center"/>
          </w:tcPr>
          <w:p w14:paraId="2B79E958">
            <w:pPr>
              <w:keepNext w:val="0"/>
              <w:keepLines w:val="0"/>
              <w:pageBreakBefore w:val="0"/>
              <w:widowControl/>
              <w:kinsoku/>
              <w:wordWrap w:val="0"/>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方正仿宋_GBK" w:cs="Times New Roman"/>
                <w:sz w:val="21"/>
                <w:szCs w:val="21"/>
                <w:highlight w:val="none"/>
                <w:lang w:bidi="en-US"/>
              </w:rPr>
            </w:pPr>
            <w:r>
              <w:rPr>
                <w:rFonts w:hint="default" w:ascii="Times New Roman" w:hAnsi="Times New Roman" w:eastAsia="方正仿宋_GBK" w:cs="Times New Roman"/>
                <w:sz w:val="21"/>
                <w:szCs w:val="21"/>
                <w:highlight w:val="none"/>
                <w:lang w:bidi="en-US"/>
              </w:rPr>
              <w:t>经济类型</w:t>
            </w:r>
          </w:p>
        </w:tc>
        <w:tc>
          <w:tcPr>
            <w:tcW w:w="1805" w:type="dxa"/>
            <w:noWrap w:val="0"/>
            <w:vAlign w:val="center"/>
          </w:tcPr>
          <w:p w14:paraId="62587B91">
            <w:pPr>
              <w:keepNext w:val="0"/>
              <w:keepLines w:val="0"/>
              <w:pageBreakBefore w:val="0"/>
              <w:widowControl/>
              <w:kinsoku/>
              <w:wordWrap w:val="0"/>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方正仿宋_GBK" w:cs="Times New Roman"/>
                <w:sz w:val="21"/>
                <w:szCs w:val="21"/>
                <w:highlight w:val="none"/>
                <w:lang w:bidi="en-US"/>
              </w:rPr>
            </w:pPr>
          </w:p>
        </w:tc>
        <w:tc>
          <w:tcPr>
            <w:tcW w:w="3974" w:type="dxa"/>
            <w:gridSpan w:val="3"/>
            <w:noWrap w:val="0"/>
            <w:vAlign w:val="center"/>
          </w:tcPr>
          <w:p w14:paraId="736F2084">
            <w:pPr>
              <w:keepNext w:val="0"/>
              <w:keepLines w:val="0"/>
              <w:pageBreakBefore w:val="0"/>
              <w:widowControl/>
              <w:kinsoku/>
              <w:wordWrap w:val="0"/>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方正仿宋_GBK" w:cs="Times New Roman"/>
                <w:sz w:val="21"/>
                <w:szCs w:val="21"/>
                <w:highlight w:val="none"/>
                <w:lang w:bidi="en-US"/>
              </w:rPr>
            </w:pPr>
            <w:r>
              <w:rPr>
                <w:rFonts w:hint="default" w:ascii="Times New Roman" w:hAnsi="Times New Roman" w:eastAsia="方正仿宋_GBK" w:cs="Times New Roman"/>
                <w:sz w:val="21"/>
                <w:szCs w:val="21"/>
                <w:highlight w:val="none"/>
                <w:lang w:bidi="en-US"/>
              </w:rPr>
              <w:t>法定代表人</w:t>
            </w:r>
          </w:p>
        </w:tc>
        <w:tc>
          <w:tcPr>
            <w:tcW w:w="1696" w:type="dxa"/>
            <w:noWrap w:val="0"/>
            <w:vAlign w:val="center"/>
          </w:tcPr>
          <w:p w14:paraId="190337FB">
            <w:pPr>
              <w:keepNext w:val="0"/>
              <w:keepLines w:val="0"/>
              <w:pageBreakBefore w:val="0"/>
              <w:widowControl/>
              <w:kinsoku/>
              <w:wordWrap w:val="0"/>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方正仿宋_GBK" w:cs="Times New Roman"/>
                <w:sz w:val="21"/>
                <w:szCs w:val="21"/>
                <w:highlight w:val="none"/>
                <w:lang w:bidi="en-US"/>
              </w:rPr>
            </w:pPr>
          </w:p>
        </w:tc>
      </w:tr>
      <w:tr w14:paraId="5A2C7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jc w:val="center"/>
        </w:trPr>
        <w:tc>
          <w:tcPr>
            <w:tcW w:w="1586" w:type="dxa"/>
            <w:noWrap w:val="0"/>
            <w:vAlign w:val="center"/>
          </w:tcPr>
          <w:p w14:paraId="7967D7E5">
            <w:pPr>
              <w:keepNext w:val="0"/>
              <w:keepLines w:val="0"/>
              <w:pageBreakBefore w:val="0"/>
              <w:widowControl/>
              <w:kinsoku/>
              <w:wordWrap w:val="0"/>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方正仿宋_GBK" w:cs="Times New Roman"/>
                <w:sz w:val="21"/>
                <w:szCs w:val="21"/>
                <w:highlight w:val="none"/>
                <w:lang w:val="en-US" w:eastAsia="zh-CN" w:bidi="en-US"/>
              </w:rPr>
            </w:pPr>
            <w:r>
              <w:rPr>
                <w:rFonts w:hint="default" w:ascii="Times New Roman" w:hAnsi="Times New Roman" w:eastAsia="方正仿宋_GBK" w:cs="Times New Roman"/>
                <w:sz w:val="21"/>
                <w:szCs w:val="21"/>
                <w:highlight w:val="none"/>
                <w:lang w:bidi="en-US"/>
              </w:rPr>
              <w:t>单位</w:t>
            </w:r>
            <w:r>
              <w:rPr>
                <w:rFonts w:hint="default" w:ascii="Times New Roman" w:hAnsi="Times New Roman" w:eastAsia="方正仿宋_GBK" w:cs="Times New Roman"/>
                <w:sz w:val="21"/>
                <w:szCs w:val="21"/>
                <w:highlight w:val="none"/>
                <w:lang w:val="en-US" w:eastAsia="zh-CN" w:bidi="en-US"/>
              </w:rPr>
              <w:t>简介</w:t>
            </w:r>
          </w:p>
        </w:tc>
        <w:tc>
          <w:tcPr>
            <w:tcW w:w="7475" w:type="dxa"/>
            <w:gridSpan w:val="5"/>
            <w:noWrap w:val="0"/>
            <w:vAlign w:val="center"/>
          </w:tcPr>
          <w:p w14:paraId="065CD002">
            <w:pPr>
              <w:keepNext w:val="0"/>
              <w:keepLines w:val="0"/>
              <w:pageBreakBefore w:val="0"/>
              <w:widowControl/>
              <w:kinsoku/>
              <w:wordWrap w:val="0"/>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方正仿宋_GBK" w:cs="Times New Roman"/>
                <w:sz w:val="21"/>
                <w:szCs w:val="21"/>
                <w:highlight w:val="none"/>
                <w:lang w:bidi="en-US"/>
              </w:rPr>
            </w:pPr>
          </w:p>
        </w:tc>
      </w:tr>
      <w:tr w14:paraId="52625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86" w:type="dxa"/>
            <w:vMerge w:val="restart"/>
            <w:noWrap w:val="0"/>
            <w:vAlign w:val="center"/>
          </w:tcPr>
          <w:p w14:paraId="02FC43A0">
            <w:pPr>
              <w:keepNext w:val="0"/>
              <w:keepLines w:val="0"/>
              <w:pageBreakBefore w:val="0"/>
              <w:widowControl/>
              <w:kinsoku/>
              <w:wordWrap w:val="0"/>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方正仿宋_GBK" w:cs="Times New Roman"/>
                <w:sz w:val="21"/>
                <w:szCs w:val="21"/>
                <w:highlight w:val="none"/>
                <w:lang w:bidi="en-US"/>
              </w:rPr>
            </w:pPr>
            <w:r>
              <w:rPr>
                <w:rFonts w:hint="default" w:ascii="Times New Roman" w:hAnsi="Times New Roman" w:eastAsia="方正仿宋_GBK" w:cs="Times New Roman"/>
                <w:sz w:val="21"/>
                <w:szCs w:val="21"/>
                <w:highlight w:val="none"/>
                <w:lang w:bidi="en-US"/>
              </w:rPr>
              <w:t>单位概况</w:t>
            </w:r>
          </w:p>
        </w:tc>
        <w:tc>
          <w:tcPr>
            <w:tcW w:w="1805" w:type="dxa"/>
            <w:noWrap w:val="0"/>
            <w:vAlign w:val="center"/>
          </w:tcPr>
          <w:p w14:paraId="2D3E09CC">
            <w:pPr>
              <w:keepNext w:val="0"/>
              <w:keepLines w:val="0"/>
              <w:pageBreakBefore w:val="0"/>
              <w:widowControl/>
              <w:kinsoku/>
              <w:wordWrap w:val="0"/>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方正仿宋_GBK" w:cs="Times New Roman"/>
                <w:sz w:val="21"/>
                <w:szCs w:val="21"/>
                <w:highlight w:val="none"/>
                <w:lang w:bidi="en-US"/>
              </w:rPr>
            </w:pPr>
            <w:r>
              <w:rPr>
                <w:rFonts w:hint="default" w:ascii="Times New Roman" w:hAnsi="Times New Roman" w:eastAsia="方正仿宋_GBK" w:cs="Times New Roman"/>
                <w:sz w:val="21"/>
                <w:szCs w:val="21"/>
                <w:highlight w:val="none"/>
                <w:lang w:bidi="en-US"/>
              </w:rPr>
              <w:t>职工总人数</w:t>
            </w:r>
          </w:p>
        </w:tc>
        <w:tc>
          <w:tcPr>
            <w:tcW w:w="2926" w:type="dxa"/>
            <w:gridSpan w:val="2"/>
            <w:noWrap w:val="0"/>
            <w:vAlign w:val="center"/>
          </w:tcPr>
          <w:p w14:paraId="3CBF6045">
            <w:pPr>
              <w:keepNext w:val="0"/>
              <w:keepLines w:val="0"/>
              <w:pageBreakBefore w:val="0"/>
              <w:widowControl/>
              <w:kinsoku/>
              <w:wordWrap w:val="0"/>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方正仿宋_GBK" w:cs="Times New Roman"/>
                <w:sz w:val="21"/>
                <w:szCs w:val="21"/>
                <w:highlight w:val="none"/>
                <w:lang w:bidi="en-US"/>
              </w:rPr>
            </w:pPr>
            <w:r>
              <w:rPr>
                <w:rFonts w:hint="default" w:ascii="Times New Roman" w:hAnsi="Times New Roman" w:eastAsia="方正仿宋_GBK" w:cs="Times New Roman"/>
                <w:sz w:val="21"/>
                <w:szCs w:val="21"/>
                <w:highlight w:val="none"/>
                <w:lang w:bidi="en-US"/>
              </w:rPr>
              <w:t>人</w:t>
            </w:r>
          </w:p>
        </w:tc>
        <w:tc>
          <w:tcPr>
            <w:tcW w:w="1048" w:type="dxa"/>
            <w:noWrap w:val="0"/>
            <w:vAlign w:val="center"/>
          </w:tcPr>
          <w:p w14:paraId="341F5D29">
            <w:pPr>
              <w:keepNext w:val="0"/>
              <w:keepLines w:val="0"/>
              <w:pageBreakBefore w:val="0"/>
              <w:widowControl/>
              <w:kinsoku/>
              <w:wordWrap w:val="0"/>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方正仿宋_GBK" w:cs="Times New Roman"/>
                <w:sz w:val="21"/>
                <w:szCs w:val="21"/>
                <w:highlight w:val="none"/>
                <w:lang w:bidi="en-US"/>
              </w:rPr>
            </w:pPr>
            <w:r>
              <w:rPr>
                <w:rFonts w:hint="default" w:ascii="Times New Roman" w:hAnsi="Times New Roman" w:eastAsia="方正仿宋_GBK" w:cs="Times New Roman"/>
                <w:sz w:val="21"/>
                <w:szCs w:val="21"/>
                <w:highlight w:val="none"/>
                <w:lang w:bidi="en-US"/>
              </w:rPr>
              <w:t>专业</w:t>
            </w:r>
          </w:p>
          <w:p w14:paraId="5A4AF462">
            <w:pPr>
              <w:keepNext w:val="0"/>
              <w:keepLines w:val="0"/>
              <w:pageBreakBefore w:val="0"/>
              <w:widowControl/>
              <w:kinsoku/>
              <w:wordWrap w:val="0"/>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方正仿宋_GBK" w:cs="Times New Roman"/>
                <w:sz w:val="21"/>
                <w:szCs w:val="21"/>
                <w:highlight w:val="none"/>
                <w:lang w:bidi="en-US"/>
              </w:rPr>
            </w:pPr>
            <w:r>
              <w:rPr>
                <w:rFonts w:hint="default" w:ascii="Times New Roman" w:hAnsi="Times New Roman" w:eastAsia="方正仿宋_GBK" w:cs="Times New Roman"/>
                <w:sz w:val="21"/>
                <w:szCs w:val="21"/>
                <w:highlight w:val="none"/>
                <w:lang w:bidi="en-US"/>
              </w:rPr>
              <w:t>人员</w:t>
            </w:r>
          </w:p>
        </w:tc>
        <w:tc>
          <w:tcPr>
            <w:tcW w:w="1696" w:type="dxa"/>
            <w:noWrap w:val="0"/>
            <w:vAlign w:val="center"/>
          </w:tcPr>
          <w:p w14:paraId="56A81679">
            <w:pPr>
              <w:keepNext w:val="0"/>
              <w:keepLines w:val="0"/>
              <w:pageBreakBefore w:val="0"/>
              <w:widowControl/>
              <w:kinsoku/>
              <w:wordWrap w:val="0"/>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方正仿宋_GBK" w:cs="Times New Roman"/>
                <w:sz w:val="21"/>
                <w:szCs w:val="21"/>
                <w:highlight w:val="none"/>
                <w:lang w:bidi="en-US"/>
              </w:rPr>
            </w:pPr>
            <w:r>
              <w:rPr>
                <w:rFonts w:hint="default" w:ascii="Times New Roman" w:hAnsi="Times New Roman" w:eastAsia="方正仿宋_GBK" w:cs="Times New Roman"/>
                <w:sz w:val="21"/>
                <w:szCs w:val="21"/>
                <w:highlight w:val="none"/>
                <w:lang w:bidi="en-US"/>
              </w:rPr>
              <w:t>人</w:t>
            </w:r>
          </w:p>
        </w:tc>
      </w:tr>
      <w:tr w14:paraId="1D755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86" w:type="dxa"/>
            <w:vMerge w:val="continue"/>
            <w:noWrap w:val="0"/>
            <w:vAlign w:val="center"/>
          </w:tcPr>
          <w:p w14:paraId="35B14587">
            <w:pPr>
              <w:keepNext w:val="0"/>
              <w:keepLines w:val="0"/>
              <w:pageBreakBefore w:val="0"/>
              <w:widowControl/>
              <w:kinsoku/>
              <w:wordWrap w:val="0"/>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方正仿宋_GBK" w:cs="Times New Roman"/>
                <w:sz w:val="21"/>
                <w:szCs w:val="21"/>
                <w:highlight w:val="none"/>
                <w:lang w:bidi="en-US"/>
              </w:rPr>
            </w:pPr>
          </w:p>
        </w:tc>
        <w:tc>
          <w:tcPr>
            <w:tcW w:w="1805" w:type="dxa"/>
            <w:noWrap w:val="0"/>
            <w:vAlign w:val="center"/>
          </w:tcPr>
          <w:p w14:paraId="50538756">
            <w:pPr>
              <w:keepNext w:val="0"/>
              <w:keepLines w:val="0"/>
              <w:pageBreakBefore w:val="0"/>
              <w:widowControl/>
              <w:kinsoku/>
              <w:wordWrap w:val="0"/>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方正仿宋_GBK" w:cs="Times New Roman"/>
                <w:sz w:val="21"/>
                <w:szCs w:val="21"/>
                <w:highlight w:val="none"/>
                <w:lang w:bidi="en-US"/>
              </w:rPr>
            </w:pPr>
          </w:p>
        </w:tc>
        <w:tc>
          <w:tcPr>
            <w:tcW w:w="5670" w:type="dxa"/>
            <w:gridSpan w:val="4"/>
            <w:noWrap w:val="0"/>
            <w:vAlign w:val="center"/>
          </w:tcPr>
          <w:p w14:paraId="381E65F6">
            <w:pPr>
              <w:keepNext w:val="0"/>
              <w:keepLines w:val="0"/>
              <w:pageBreakBefore w:val="0"/>
              <w:widowControl/>
              <w:kinsoku/>
              <w:wordWrap w:val="0"/>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方正仿宋_GBK" w:cs="Times New Roman"/>
                <w:sz w:val="21"/>
                <w:szCs w:val="21"/>
                <w:highlight w:val="none"/>
                <w:lang w:bidi="en-US"/>
              </w:rPr>
            </w:pPr>
            <w:r>
              <w:rPr>
                <w:rFonts w:hint="default" w:ascii="Times New Roman" w:hAnsi="Times New Roman" w:eastAsia="方正仿宋_GBK" w:cs="Times New Roman"/>
                <w:sz w:val="21"/>
                <w:szCs w:val="21"/>
                <w:highlight w:val="none"/>
                <w:lang w:bidi="en-US"/>
              </w:rPr>
              <w:t>人</w:t>
            </w:r>
          </w:p>
        </w:tc>
      </w:tr>
      <w:tr w14:paraId="66E69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86" w:type="dxa"/>
            <w:vMerge w:val="continue"/>
            <w:noWrap w:val="0"/>
            <w:vAlign w:val="center"/>
          </w:tcPr>
          <w:p w14:paraId="53FA6F94">
            <w:pPr>
              <w:keepNext w:val="0"/>
              <w:keepLines w:val="0"/>
              <w:pageBreakBefore w:val="0"/>
              <w:widowControl/>
              <w:kinsoku/>
              <w:wordWrap w:val="0"/>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方正仿宋_GBK" w:cs="Times New Roman"/>
                <w:sz w:val="21"/>
                <w:szCs w:val="21"/>
                <w:highlight w:val="none"/>
                <w:lang w:bidi="en-US"/>
              </w:rPr>
            </w:pPr>
          </w:p>
        </w:tc>
        <w:tc>
          <w:tcPr>
            <w:tcW w:w="1805" w:type="dxa"/>
            <w:noWrap w:val="0"/>
            <w:vAlign w:val="center"/>
          </w:tcPr>
          <w:p w14:paraId="2019BB9E">
            <w:pPr>
              <w:keepNext w:val="0"/>
              <w:keepLines w:val="0"/>
              <w:pageBreakBefore w:val="0"/>
              <w:widowControl/>
              <w:kinsoku/>
              <w:wordWrap w:val="0"/>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方正仿宋_GBK" w:cs="Times New Roman"/>
                <w:sz w:val="21"/>
                <w:szCs w:val="21"/>
                <w:highlight w:val="none"/>
                <w:lang w:bidi="en-US"/>
              </w:rPr>
            </w:pPr>
          </w:p>
        </w:tc>
        <w:tc>
          <w:tcPr>
            <w:tcW w:w="5670" w:type="dxa"/>
            <w:gridSpan w:val="4"/>
            <w:noWrap w:val="0"/>
            <w:vAlign w:val="center"/>
          </w:tcPr>
          <w:p w14:paraId="5E692398">
            <w:pPr>
              <w:keepNext w:val="0"/>
              <w:keepLines w:val="0"/>
              <w:pageBreakBefore w:val="0"/>
              <w:widowControl/>
              <w:kinsoku/>
              <w:wordWrap w:val="0"/>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方正仿宋_GBK" w:cs="Times New Roman"/>
                <w:sz w:val="21"/>
                <w:szCs w:val="21"/>
                <w:highlight w:val="none"/>
                <w:lang w:bidi="en-US"/>
              </w:rPr>
            </w:pPr>
            <w:r>
              <w:rPr>
                <w:rFonts w:hint="default" w:ascii="Times New Roman" w:hAnsi="Times New Roman" w:eastAsia="方正仿宋_GBK" w:cs="Times New Roman"/>
                <w:sz w:val="21"/>
                <w:szCs w:val="21"/>
                <w:highlight w:val="none"/>
                <w:lang w:bidi="en-US"/>
              </w:rPr>
              <w:t>人</w:t>
            </w:r>
          </w:p>
        </w:tc>
      </w:tr>
      <w:tr w14:paraId="3A03F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86" w:type="dxa"/>
            <w:vMerge w:val="continue"/>
            <w:noWrap w:val="0"/>
            <w:vAlign w:val="center"/>
          </w:tcPr>
          <w:p w14:paraId="454B83C0">
            <w:pPr>
              <w:keepNext w:val="0"/>
              <w:keepLines w:val="0"/>
              <w:pageBreakBefore w:val="0"/>
              <w:widowControl/>
              <w:kinsoku/>
              <w:wordWrap w:val="0"/>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方正仿宋_GBK" w:cs="Times New Roman"/>
                <w:sz w:val="21"/>
                <w:szCs w:val="21"/>
                <w:highlight w:val="none"/>
                <w:lang w:bidi="en-US"/>
              </w:rPr>
            </w:pPr>
          </w:p>
        </w:tc>
        <w:tc>
          <w:tcPr>
            <w:tcW w:w="1805" w:type="dxa"/>
            <w:noWrap w:val="0"/>
            <w:vAlign w:val="center"/>
          </w:tcPr>
          <w:p w14:paraId="0628D204">
            <w:pPr>
              <w:keepNext w:val="0"/>
              <w:keepLines w:val="0"/>
              <w:pageBreakBefore w:val="0"/>
              <w:widowControl/>
              <w:kinsoku/>
              <w:wordWrap w:val="0"/>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方正仿宋_GBK" w:cs="Times New Roman"/>
                <w:sz w:val="21"/>
                <w:szCs w:val="21"/>
                <w:highlight w:val="none"/>
                <w:lang w:bidi="en-US"/>
              </w:rPr>
            </w:pPr>
            <w:r>
              <w:rPr>
                <w:rFonts w:hint="default" w:ascii="Times New Roman" w:hAnsi="Times New Roman" w:eastAsia="方正仿宋_GBK" w:cs="Times New Roman"/>
                <w:sz w:val="21"/>
                <w:szCs w:val="21"/>
                <w:highlight w:val="none"/>
                <w:lang w:bidi="en-US"/>
              </w:rPr>
              <w:t>…</w:t>
            </w:r>
          </w:p>
        </w:tc>
        <w:tc>
          <w:tcPr>
            <w:tcW w:w="5670" w:type="dxa"/>
            <w:gridSpan w:val="4"/>
            <w:noWrap w:val="0"/>
            <w:vAlign w:val="center"/>
          </w:tcPr>
          <w:p w14:paraId="5A556182">
            <w:pPr>
              <w:keepNext w:val="0"/>
              <w:keepLines w:val="0"/>
              <w:pageBreakBefore w:val="0"/>
              <w:widowControl/>
              <w:kinsoku/>
              <w:wordWrap w:val="0"/>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方正仿宋_GBK" w:cs="Times New Roman"/>
                <w:sz w:val="21"/>
                <w:szCs w:val="21"/>
                <w:highlight w:val="none"/>
                <w:lang w:bidi="en-US"/>
              </w:rPr>
            </w:pPr>
          </w:p>
        </w:tc>
      </w:tr>
      <w:tr w14:paraId="4445E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86" w:type="dxa"/>
            <w:vMerge w:val="restart"/>
            <w:noWrap w:val="0"/>
            <w:vAlign w:val="center"/>
          </w:tcPr>
          <w:p w14:paraId="41D14DAD">
            <w:pPr>
              <w:keepNext w:val="0"/>
              <w:keepLines w:val="0"/>
              <w:pageBreakBefore w:val="0"/>
              <w:widowControl/>
              <w:kinsoku/>
              <w:wordWrap w:val="0"/>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方正仿宋_GBK" w:cs="Times New Roman"/>
                <w:sz w:val="21"/>
                <w:szCs w:val="21"/>
                <w:highlight w:val="none"/>
                <w:lang w:bidi="en-US"/>
              </w:rPr>
            </w:pPr>
            <w:r>
              <w:rPr>
                <w:rFonts w:hint="default" w:ascii="Times New Roman" w:hAnsi="Times New Roman" w:eastAsia="方正仿宋_GBK" w:cs="Times New Roman"/>
                <w:sz w:val="21"/>
                <w:szCs w:val="21"/>
                <w:highlight w:val="none"/>
                <w:lang w:bidi="en-US"/>
              </w:rPr>
              <w:t>经营指标</w:t>
            </w:r>
          </w:p>
        </w:tc>
        <w:tc>
          <w:tcPr>
            <w:tcW w:w="1805" w:type="dxa"/>
            <w:noWrap w:val="0"/>
            <w:vAlign w:val="center"/>
          </w:tcPr>
          <w:p w14:paraId="36388DEB">
            <w:pPr>
              <w:keepNext w:val="0"/>
              <w:keepLines w:val="0"/>
              <w:pageBreakBefore w:val="0"/>
              <w:widowControl/>
              <w:kinsoku/>
              <w:wordWrap w:val="0"/>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方正仿宋_GBK" w:cs="Times New Roman"/>
                <w:sz w:val="21"/>
                <w:szCs w:val="21"/>
                <w:highlight w:val="none"/>
                <w:lang w:bidi="en-US"/>
              </w:rPr>
            </w:pPr>
            <w:r>
              <w:rPr>
                <w:rFonts w:hint="default" w:ascii="Times New Roman" w:hAnsi="Times New Roman" w:eastAsia="方正仿宋_GBK" w:cs="Times New Roman"/>
                <w:sz w:val="21"/>
                <w:szCs w:val="21"/>
                <w:highlight w:val="none"/>
                <w:lang w:bidi="en-US"/>
              </w:rPr>
              <w:t>年度</w:t>
            </w:r>
          </w:p>
        </w:tc>
        <w:tc>
          <w:tcPr>
            <w:tcW w:w="2458" w:type="dxa"/>
            <w:noWrap w:val="0"/>
            <w:vAlign w:val="center"/>
          </w:tcPr>
          <w:p w14:paraId="449B1307">
            <w:pPr>
              <w:keepNext w:val="0"/>
              <w:keepLines w:val="0"/>
              <w:pageBreakBefore w:val="0"/>
              <w:widowControl/>
              <w:kinsoku/>
              <w:wordWrap w:val="0"/>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方正仿宋_GBK" w:cs="Times New Roman"/>
                <w:sz w:val="21"/>
                <w:szCs w:val="21"/>
                <w:highlight w:val="none"/>
                <w:lang w:bidi="en-US"/>
              </w:rPr>
            </w:pPr>
            <w:r>
              <w:rPr>
                <w:rFonts w:hint="default" w:ascii="Times New Roman" w:hAnsi="Times New Roman" w:eastAsia="方正仿宋_GBK" w:cs="Times New Roman"/>
                <w:sz w:val="21"/>
                <w:szCs w:val="21"/>
                <w:highlight w:val="none"/>
                <w:lang w:bidi="en-US"/>
              </w:rPr>
              <w:t>营业收入（万元）</w:t>
            </w:r>
          </w:p>
        </w:tc>
        <w:tc>
          <w:tcPr>
            <w:tcW w:w="3212" w:type="dxa"/>
            <w:gridSpan w:val="3"/>
            <w:noWrap w:val="0"/>
            <w:vAlign w:val="center"/>
          </w:tcPr>
          <w:p w14:paraId="67741F64">
            <w:pPr>
              <w:keepNext w:val="0"/>
              <w:keepLines w:val="0"/>
              <w:pageBreakBefore w:val="0"/>
              <w:widowControl/>
              <w:kinsoku/>
              <w:wordWrap w:val="0"/>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方正仿宋_GBK" w:cs="Times New Roman"/>
                <w:sz w:val="21"/>
                <w:szCs w:val="21"/>
                <w:highlight w:val="none"/>
                <w:lang w:bidi="en-US"/>
              </w:rPr>
            </w:pPr>
            <w:r>
              <w:rPr>
                <w:rFonts w:hint="default" w:ascii="Times New Roman" w:hAnsi="Times New Roman" w:eastAsia="方正仿宋_GBK" w:cs="Times New Roman"/>
                <w:sz w:val="21"/>
                <w:szCs w:val="21"/>
                <w:highlight w:val="none"/>
                <w:lang w:bidi="en-US"/>
              </w:rPr>
              <w:t>利润（万元）</w:t>
            </w:r>
          </w:p>
        </w:tc>
      </w:tr>
      <w:tr w14:paraId="0AC63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86" w:type="dxa"/>
            <w:vMerge w:val="continue"/>
            <w:noWrap w:val="0"/>
            <w:vAlign w:val="center"/>
          </w:tcPr>
          <w:p w14:paraId="59F1D032">
            <w:pPr>
              <w:keepNext w:val="0"/>
              <w:keepLines w:val="0"/>
              <w:pageBreakBefore w:val="0"/>
              <w:widowControl/>
              <w:kinsoku/>
              <w:wordWrap w:val="0"/>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方正仿宋_GBK" w:cs="Times New Roman"/>
                <w:sz w:val="21"/>
                <w:szCs w:val="21"/>
                <w:highlight w:val="none"/>
                <w:lang w:bidi="en-US"/>
              </w:rPr>
            </w:pPr>
          </w:p>
        </w:tc>
        <w:tc>
          <w:tcPr>
            <w:tcW w:w="1805" w:type="dxa"/>
            <w:noWrap w:val="0"/>
            <w:vAlign w:val="center"/>
          </w:tcPr>
          <w:p w14:paraId="45A5C0B7">
            <w:pPr>
              <w:keepNext w:val="0"/>
              <w:keepLines w:val="0"/>
              <w:pageBreakBefore w:val="0"/>
              <w:widowControl/>
              <w:kinsoku/>
              <w:wordWrap w:val="0"/>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方正仿宋_GBK" w:cs="Times New Roman"/>
                <w:sz w:val="21"/>
                <w:szCs w:val="21"/>
                <w:highlight w:val="none"/>
                <w:lang w:bidi="en-US"/>
              </w:rPr>
            </w:pPr>
          </w:p>
        </w:tc>
        <w:tc>
          <w:tcPr>
            <w:tcW w:w="2458" w:type="dxa"/>
            <w:noWrap w:val="0"/>
            <w:vAlign w:val="center"/>
          </w:tcPr>
          <w:p w14:paraId="530DBC4F">
            <w:pPr>
              <w:keepNext w:val="0"/>
              <w:keepLines w:val="0"/>
              <w:pageBreakBefore w:val="0"/>
              <w:widowControl/>
              <w:kinsoku/>
              <w:wordWrap w:val="0"/>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方正仿宋_GBK" w:cs="Times New Roman"/>
                <w:sz w:val="21"/>
                <w:szCs w:val="21"/>
                <w:highlight w:val="none"/>
                <w:lang w:bidi="en-US"/>
              </w:rPr>
            </w:pPr>
          </w:p>
        </w:tc>
        <w:tc>
          <w:tcPr>
            <w:tcW w:w="3212" w:type="dxa"/>
            <w:gridSpan w:val="3"/>
            <w:noWrap w:val="0"/>
            <w:vAlign w:val="center"/>
          </w:tcPr>
          <w:p w14:paraId="5B5E8F7B">
            <w:pPr>
              <w:keepNext w:val="0"/>
              <w:keepLines w:val="0"/>
              <w:pageBreakBefore w:val="0"/>
              <w:widowControl/>
              <w:kinsoku/>
              <w:wordWrap w:val="0"/>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方正仿宋_GBK" w:cs="Times New Roman"/>
                <w:sz w:val="21"/>
                <w:szCs w:val="21"/>
                <w:highlight w:val="none"/>
                <w:lang w:bidi="en-US"/>
              </w:rPr>
            </w:pPr>
          </w:p>
        </w:tc>
      </w:tr>
      <w:tr w14:paraId="5A56D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86" w:type="dxa"/>
            <w:vMerge w:val="continue"/>
            <w:noWrap w:val="0"/>
            <w:vAlign w:val="center"/>
          </w:tcPr>
          <w:p w14:paraId="2079A8C9">
            <w:pPr>
              <w:keepNext w:val="0"/>
              <w:keepLines w:val="0"/>
              <w:pageBreakBefore w:val="0"/>
              <w:widowControl/>
              <w:kinsoku/>
              <w:wordWrap w:val="0"/>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方正仿宋_GBK" w:cs="Times New Roman"/>
                <w:sz w:val="21"/>
                <w:szCs w:val="21"/>
                <w:highlight w:val="none"/>
                <w:lang w:bidi="en-US"/>
              </w:rPr>
            </w:pPr>
          </w:p>
        </w:tc>
        <w:tc>
          <w:tcPr>
            <w:tcW w:w="1805" w:type="dxa"/>
            <w:noWrap w:val="0"/>
            <w:vAlign w:val="center"/>
          </w:tcPr>
          <w:p w14:paraId="0C93C6FE">
            <w:pPr>
              <w:keepNext w:val="0"/>
              <w:keepLines w:val="0"/>
              <w:pageBreakBefore w:val="0"/>
              <w:widowControl/>
              <w:kinsoku/>
              <w:wordWrap w:val="0"/>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方正仿宋_GBK" w:cs="Times New Roman"/>
                <w:sz w:val="21"/>
                <w:szCs w:val="21"/>
                <w:highlight w:val="none"/>
                <w:lang w:bidi="en-US"/>
              </w:rPr>
            </w:pPr>
          </w:p>
        </w:tc>
        <w:tc>
          <w:tcPr>
            <w:tcW w:w="2458" w:type="dxa"/>
            <w:noWrap w:val="0"/>
            <w:vAlign w:val="center"/>
          </w:tcPr>
          <w:p w14:paraId="4BC6B3DA">
            <w:pPr>
              <w:keepNext w:val="0"/>
              <w:keepLines w:val="0"/>
              <w:pageBreakBefore w:val="0"/>
              <w:widowControl/>
              <w:kinsoku/>
              <w:wordWrap w:val="0"/>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方正仿宋_GBK" w:cs="Times New Roman"/>
                <w:sz w:val="21"/>
                <w:szCs w:val="21"/>
                <w:highlight w:val="none"/>
                <w:lang w:bidi="en-US"/>
              </w:rPr>
            </w:pPr>
          </w:p>
        </w:tc>
        <w:tc>
          <w:tcPr>
            <w:tcW w:w="3212" w:type="dxa"/>
            <w:gridSpan w:val="3"/>
            <w:noWrap w:val="0"/>
            <w:vAlign w:val="center"/>
          </w:tcPr>
          <w:p w14:paraId="252C0B60">
            <w:pPr>
              <w:keepNext w:val="0"/>
              <w:keepLines w:val="0"/>
              <w:pageBreakBefore w:val="0"/>
              <w:widowControl/>
              <w:kinsoku/>
              <w:wordWrap w:val="0"/>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方正仿宋_GBK" w:cs="Times New Roman"/>
                <w:sz w:val="21"/>
                <w:szCs w:val="21"/>
                <w:highlight w:val="none"/>
                <w:lang w:bidi="en-US"/>
              </w:rPr>
            </w:pPr>
          </w:p>
        </w:tc>
      </w:tr>
      <w:tr w14:paraId="5E1C7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86" w:type="dxa"/>
            <w:vMerge w:val="continue"/>
            <w:noWrap w:val="0"/>
            <w:vAlign w:val="center"/>
          </w:tcPr>
          <w:p w14:paraId="7605921B">
            <w:pPr>
              <w:keepNext w:val="0"/>
              <w:keepLines w:val="0"/>
              <w:pageBreakBefore w:val="0"/>
              <w:widowControl/>
              <w:kinsoku/>
              <w:wordWrap w:val="0"/>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方正仿宋_GBK" w:cs="Times New Roman"/>
                <w:sz w:val="21"/>
                <w:szCs w:val="21"/>
                <w:highlight w:val="none"/>
                <w:lang w:bidi="en-US"/>
              </w:rPr>
            </w:pPr>
          </w:p>
        </w:tc>
        <w:tc>
          <w:tcPr>
            <w:tcW w:w="1805" w:type="dxa"/>
            <w:noWrap w:val="0"/>
            <w:vAlign w:val="center"/>
          </w:tcPr>
          <w:p w14:paraId="603A1CDA">
            <w:pPr>
              <w:keepNext w:val="0"/>
              <w:keepLines w:val="0"/>
              <w:pageBreakBefore w:val="0"/>
              <w:widowControl/>
              <w:kinsoku/>
              <w:wordWrap w:val="0"/>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方正仿宋_GBK" w:cs="Times New Roman"/>
                <w:sz w:val="21"/>
                <w:szCs w:val="21"/>
                <w:highlight w:val="none"/>
                <w:lang w:bidi="en-US"/>
              </w:rPr>
            </w:pPr>
          </w:p>
        </w:tc>
        <w:tc>
          <w:tcPr>
            <w:tcW w:w="2458" w:type="dxa"/>
            <w:noWrap w:val="0"/>
            <w:vAlign w:val="center"/>
          </w:tcPr>
          <w:p w14:paraId="442F3967">
            <w:pPr>
              <w:keepNext w:val="0"/>
              <w:keepLines w:val="0"/>
              <w:pageBreakBefore w:val="0"/>
              <w:widowControl/>
              <w:kinsoku/>
              <w:wordWrap w:val="0"/>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方正仿宋_GBK" w:cs="Times New Roman"/>
                <w:sz w:val="21"/>
                <w:szCs w:val="21"/>
                <w:highlight w:val="none"/>
                <w:lang w:bidi="en-US"/>
              </w:rPr>
            </w:pPr>
          </w:p>
        </w:tc>
        <w:tc>
          <w:tcPr>
            <w:tcW w:w="3212" w:type="dxa"/>
            <w:gridSpan w:val="3"/>
            <w:noWrap w:val="0"/>
            <w:vAlign w:val="center"/>
          </w:tcPr>
          <w:p w14:paraId="68CFF237">
            <w:pPr>
              <w:keepNext w:val="0"/>
              <w:keepLines w:val="0"/>
              <w:pageBreakBefore w:val="0"/>
              <w:widowControl/>
              <w:kinsoku/>
              <w:wordWrap w:val="0"/>
              <w:overflowPunct/>
              <w:topLinePunct w:val="0"/>
              <w:autoSpaceDE/>
              <w:autoSpaceDN/>
              <w:bidi w:val="0"/>
              <w:adjustRightInd/>
              <w:snapToGrid w:val="0"/>
              <w:spacing w:line="320" w:lineRule="exact"/>
              <w:ind w:firstLine="0" w:firstLineChars="0"/>
              <w:jc w:val="center"/>
              <w:textAlignment w:val="auto"/>
              <w:rPr>
                <w:rFonts w:hint="default" w:ascii="Times New Roman" w:hAnsi="Times New Roman" w:eastAsia="方正仿宋_GBK" w:cs="Times New Roman"/>
                <w:sz w:val="21"/>
                <w:szCs w:val="21"/>
                <w:highlight w:val="none"/>
                <w:lang w:bidi="en-US"/>
              </w:rPr>
            </w:pPr>
          </w:p>
        </w:tc>
      </w:tr>
    </w:tbl>
    <w:p w14:paraId="664A3FA1">
      <w:pPr>
        <w:rPr>
          <w:rFonts w:hint="default"/>
          <w:lang w:val="en-US" w:eastAsia="zh-CN"/>
        </w:rPr>
      </w:pPr>
      <w:r>
        <w:rPr>
          <w:rFonts w:hint="eastAsia"/>
          <w:lang w:val="en-US" w:eastAsia="zh-CN"/>
        </w:rPr>
        <w:t>附</w:t>
      </w:r>
      <w:r>
        <w:rPr>
          <w:rFonts w:hint="default"/>
          <w:lang w:val="en-US" w:eastAsia="zh-CN"/>
        </w:rPr>
        <w:t>：</w:t>
      </w:r>
    </w:p>
    <w:p w14:paraId="01AF71F6">
      <w:pPr>
        <w:rPr>
          <w:rFonts w:hint="default"/>
          <w:lang w:val="en-US" w:eastAsia="zh-CN"/>
        </w:rPr>
      </w:pPr>
      <w:r>
        <w:rPr>
          <w:rFonts w:hint="eastAsia"/>
          <w:lang w:val="en-US" w:eastAsia="zh-CN"/>
        </w:rPr>
        <w:t>1.</w:t>
      </w:r>
      <w:r>
        <w:rPr>
          <w:rFonts w:hint="default"/>
          <w:lang w:val="en-US" w:eastAsia="zh-CN"/>
        </w:rPr>
        <w:t>营业执照或其他类型法人机构法定证明文件等证书证明材料扫描件/复印件。</w:t>
      </w:r>
    </w:p>
    <w:p w14:paraId="2B72E1DC">
      <w:pPr>
        <w:rPr>
          <w:rFonts w:hint="default" w:ascii="Times New Roman" w:hAnsi="Times New Roman"/>
          <w:lang w:val="en-US" w:eastAsia="zh-CN"/>
        </w:rPr>
      </w:pPr>
      <w:r>
        <w:rPr>
          <w:rFonts w:hint="eastAsia" w:ascii="Times New Roman" w:hAnsi="Times New Roman"/>
          <w:lang w:val="en-US" w:eastAsia="zh-CN"/>
        </w:rPr>
        <w:t>2.</w:t>
      </w:r>
      <w:r>
        <w:rPr>
          <w:rFonts w:hint="default" w:ascii="Times New Roman" w:hAnsi="Times New Roman"/>
          <w:lang w:val="en-US" w:eastAsia="zh-CN"/>
        </w:rPr>
        <w:t>资质证书扫描件</w:t>
      </w:r>
      <w:r>
        <w:rPr>
          <w:rFonts w:hint="eastAsia" w:ascii="Times New Roman" w:hAnsi="Times New Roman"/>
          <w:lang w:val="en-US" w:eastAsia="zh-CN"/>
        </w:rPr>
        <w:t>（如要求）</w:t>
      </w:r>
      <w:r>
        <w:rPr>
          <w:rFonts w:hint="default" w:ascii="Times New Roman" w:hAnsi="Times New Roman"/>
          <w:lang w:val="en-US" w:eastAsia="zh-CN"/>
        </w:rPr>
        <w:t>。</w:t>
      </w:r>
    </w:p>
    <w:p w14:paraId="1145B0CE">
      <w:pPr>
        <w:rPr>
          <w:rFonts w:hint="default"/>
          <w:lang w:val="en-US" w:eastAsia="zh-CN"/>
        </w:rPr>
      </w:pPr>
      <w:r>
        <w:rPr>
          <w:rFonts w:hint="default"/>
          <w:lang w:val="en-US" w:eastAsia="zh-CN"/>
        </w:rPr>
        <w:t>3</w:t>
      </w:r>
      <w:r>
        <w:rPr>
          <w:rFonts w:hint="eastAsia"/>
          <w:lang w:val="en-US" w:eastAsia="zh-CN"/>
        </w:rPr>
        <w:t>.</w:t>
      </w:r>
      <w:r>
        <w:rPr>
          <w:rFonts w:hint="default"/>
          <w:lang w:val="en-US" w:eastAsia="zh-CN"/>
        </w:rPr>
        <w:t>变更材料</w:t>
      </w:r>
      <w:r>
        <w:rPr>
          <w:rFonts w:hint="eastAsia"/>
          <w:lang w:val="en-US" w:eastAsia="zh-CN"/>
        </w:rPr>
        <w:t>（如有）</w:t>
      </w:r>
      <w:r>
        <w:rPr>
          <w:rFonts w:hint="default"/>
          <w:lang w:val="en-US" w:eastAsia="zh-CN"/>
        </w:rPr>
        <w:t>及其它证明材料扫描件。</w:t>
      </w:r>
    </w:p>
    <w:p w14:paraId="486EDA4A">
      <w:pPr>
        <w:pStyle w:val="17"/>
        <w:rPr>
          <w:rFonts w:hint="default"/>
          <w:lang w:val="en-US" w:eastAsia="zh-CN"/>
        </w:rPr>
      </w:pPr>
    </w:p>
    <w:p w14:paraId="03D68A23">
      <w:pPr>
        <w:rPr>
          <w:rFonts w:hint="eastAsia"/>
          <w:lang w:val="en-US" w:eastAsia="zh-CN"/>
        </w:rPr>
      </w:pPr>
      <w:r>
        <w:rPr>
          <w:rFonts w:hint="eastAsia"/>
          <w:lang w:val="en-US" w:eastAsia="zh-CN"/>
        </w:rPr>
        <w:t>供应商</w:t>
      </w:r>
      <w:r>
        <w:rPr>
          <w:rFonts w:hint="default"/>
          <w:lang w:val="en-US" w:eastAsia="zh-CN"/>
        </w:rPr>
        <w:t>（盖章）：</w:t>
      </w:r>
      <w:r>
        <w:rPr>
          <w:rFonts w:hint="default"/>
          <w:u w:val="single"/>
          <w:lang w:val="en-US" w:eastAsia="zh-CN"/>
        </w:rPr>
        <w:t xml:space="preserve">                   </w:t>
      </w:r>
    </w:p>
    <w:p w14:paraId="7B5B65BF">
      <w:pPr>
        <w:rPr>
          <w:rFonts w:hint="default"/>
          <w:lang w:val="en-US" w:eastAsia="zh-CN"/>
        </w:rPr>
      </w:pPr>
      <w:r>
        <w:rPr>
          <w:rFonts w:hint="default"/>
          <w:lang w:val="en-US" w:eastAsia="zh-CN"/>
        </w:rPr>
        <w:t>法定代表人（负责人）或授权代理人（签字或盖章）：</w:t>
      </w:r>
      <w:r>
        <w:rPr>
          <w:rFonts w:hint="default"/>
          <w:u w:val="single"/>
          <w:lang w:val="en-US" w:eastAsia="zh-CN"/>
        </w:rPr>
        <w:t xml:space="preserve">                     </w:t>
      </w:r>
    </w:p>
    <w:p w14:paraId="73488F31">
      <w:pPr>
        <w:rPr>
          <w:rFonts w:hint="default"/>
          <w:lang w:val="en-US" w:eastAsia="zh-CN"/>
        </w:rPr>
      </w:pPr>
      <w:r>
        <w:rPr>
          <w:rFonts w:hint="default"/>
          <w:lang w:val="en-US" w:eastAsia="zh-CN"/>
        </w:rPr>
        <w:t>年   月   日</w:t>
      </w:r>
    </w:p>
    <w:p w14:paraId="5B00B310">
      <w:pPr>
        <w:rPr>
          <w:rFonts w:hint="default"/>
          <w:lang w:val="en-US" w:eastAsia="zh-CN"/>
        </w:rPr>
      </w:pPr>
    </w:p>
    <w:p w14:paraId="4FF29E2B">
      <w:pPr>
        <w:rPr>
          <w:rFonts w:hint="default"/>
          <w:lang w:val="en-US" w:eastAsia="zh-CN"/>
        </w:rPr>
      </w:pPr>
    </w:p>
    <w:p w14:paraId="5749025B">
      <w:pPr>
        <w:rPr>
          <w:rFonts w:hint="default"/>
          <w:lang w:val="en-US" w:eastAsia="zh-CN"/>
        </w:rPr>
      </w:pPr>
      <w:r>
        <w:rPr>
          <w:rFonts w:hint="default"/>
          <w:lang w:val="en-US" w:eastAsia="zh-CN"/>
        </w:rPr>
        <w:br w:type="page"/>
      </w:r>
    </w:p>
    <w:p w14:paraId="10F45DD7">
      <w:pPr>
        <w:keepNext w:val="0"/>
        <w:keepLines w:val="0"/>
        <w:pageBreakBefore w:val="0"/>
        <w:widowControl w:val="0"/>
        <w:kinsoku/>
        <w:wordWrap/>
        <w:overflowPunct/>
        <w:topLinePunct w:val="0"/>
        <w:autoSpaceDE/>
        <w:autoSpaceDN/>
        <w:bidi w:val="0"/>
        <w:adjustRightInd/>
        <w:snapToGrid/>
        <w:ind w:firstLine="0" w:firstLineChars="0"/>
        <w:jc w:val="center"/>
        <w:textAlignment w:val="auto"/>
        <w:outlineLvl w:val="9"/>
        <w:rPr>
          <w:rFonts w:hint="eastAsia" w:ascii="Times New Roman" w:hAnsi="Times New Roman"/>
          <w:b/>
          <w:bCs/>
          <w:lang w:val="en-US" w:eastAsia="zh-CN"/>
        </w:rPr>
      </w:pPr>
      <w:r>
        <w:rPr>
          <w:rFonts w:hint="eastAsia" w:ascii="Times New Roman" w:hAnsi="Times New Roman"/>
          <w:b/>
          <w:bCs/>
          <w:lang w:val="en-US" w:eastAsia="zh-CN"/>
        </w:rPr>
        <w:t>（二）拟在本项目投入主要人员情况</w:t>
      </w:r>
    </w:p>
    <w:tbl>
      <w:tblPr>
        <w:tblStyle w:val="18"/>
        <w:tblW w:w="851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84"/>
        <w:gridCol w:w="885"/>
        <w:gridCol w:w="1762"/>
        <w:gridCol w:w="2348"/>
        <w:gridCol w:w="2640"/>
      </w:tblGrid>
      <w:tr w14:paraId="32F8B6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blHeader/>
          <w:jc w:val="center"/>
        </w:trPr>
        <w:tc>
          <w:tcPr>
            <w:tcW w:w="884" w:type="dxa"/>
            <w:noWrap w:val="0"/>
            <w:vAlign w:val="center"/>
          </w:tcPr>
          <w:p w14:paraId="03CAEEC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_GBK" w:cs="Times New Roman"/>
                <w:b/>
                <w:color w:val="auto"/>
                <w:kern w:val="0"/>
                <w:sz w:val="21"/>
                <w:szCs w:val="21"/>
                <w:highlight w:val="none"/>
              </w:rPr>
            </w:pPr>
            <w:r>
              <w:rPr>
                <w:rFonts w:hint="default" w:ascii="Times New Roman" w:hAnsi="Times New Roman" w:eastAsia="方正仿宋_GBK" w:cs="Times New Roman"/>
                <w:b/>
                <w:color w:val="auto"/>
                <w:kern w:val="0"/>
                <w:sz w:val="21"/>
                <w:szCs w:val="21"/>
                <w:highlight w:val="none"/>
              </w:rPr>
              <w:t>姓名</w:t>
            </w:r>
          </w:p>
        </w:tc>
        <w:tc>
          <w:tcPr>
            <w:tcW w:w="885" w:type="dxa"/>
            <w:noWrap w:val="0"/>
            <w:vAlign w:val="center"/>
          </w:tcPr>
          <w:p w14:paraId="4608C51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_GBK" w:cs="Times New Roman"/>
                <w:b/>
                <w:color w:val="auto"/>
                <w:kern w:val="0"/>
                <w:sz w:val="21"/>
                <w:szCs w:val="21"/>
                <w:highlight w:val="none"/>
              </w:rPr>
            </w:pPr>
            <w:r>
              <w:rPr>
                <w:rFonts w:hint="default" w:ascii="Times New Roman" w:hAnsi="Times New Roman" w:eastAsia="方正仿宋_GBK" w:cs="Times New Roman"/>
                <w:b/>
                <w:color w:val="auto"/>
                <w:kern w:val="0"/>
                <w:sz w:val="21"/>
                <w:szCs w:val="21"/>
                <w:highlight w:val="none"/>
              </w:rPr>
              <w:t>年龄</w:t>
            </w:r>
          </w:p>
        </w:tc>
        <w:tc>
          <w:tcPr>
            <w:tcW w:w="1762" w:type="dxa"/>
            <w:noWrap w:val="0"/>
            <w:vAlign w:val="center"/>
          </w:tcPr>
          <w:p w14:paraId="79C4C4A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_GBK" w:cs="Times New Roman"/>
                <w:b/>
                <w:color w:val="auto"/>
                <w:kern w:val="0"/>
                <w:sz w:val="21"/>
                <w:szCs w:val="21"/>
                <w:highlight w:val="none"/>
              </w:rPr>
            </w:pPr>
            <w:r>
              <w:rPr>
                <w:rFonts w:hint="default" w:ascii="Times New Roman" w:hAnsi="Times New Roman" w:eastAsia="方正仿宋_GBK" w:cs="Times New Roman"/>
                <w:b/>
                <w:color w:val="auto"/>
                <w:kern w:val="0"/>
                <w:sz w:val="21"/>
                <w:szCs w:val="21"/>
                <w:highlight w:val="none"/>
              </w:rPr>
              <w:t>拟任职务</w:t>
            </w:r>
          </w:p>
        </w:tc>
        <w:tc>
          <w:tcPr>
            <w:tcW w:w="2348" w:type="dxa"/>
            <w:noWrap w:val="0"/>
            <w:vAlign w:val="center"/>
          </w:tcPr>
          <w:p w14:paraId="276D9C1E">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_GBK" w:cs="Times New Roman"/>
                <w:b/>
                <w:color w:val="auto"/>
                <w:kern w:val="0"/>
                <w:sz w:val="21"/>
                <w:szCs w:val="21"/>
                <w:highlight w:val="none"/>
              </w:rPr>
            </w:pPr>
            <w:r>
              <w:rPr>
                <w:rFonts w:hint="default" w:ascii="Times New Roman" w:hAnsi="Times New Roman" w:eastAsia="方正仿宋_GBK" w:cs="Times New Roman"/>
                <w:b/>
                <w:color w:val="auto"/>
                <w:kern w:val="0"/>
                <w:sz w:val="21"/>
                <w:szCs w:val="21"/>
                <w:highlight w:val="none"/>
              </w:rPr>
              <w:t>专业类别及年限</w:t>
            </w:r>
          </w:p>
        </w:tc>
        <w:tc>
          <w:tcPr>
            <w:tcW w:w="2640" w:type="dxa"/>
            <w:noWrap w:val="0"/>
            <w:vAlign w:val="center"/>
          </w:tcPr>
          <w:p w14:paraId="2A7B9DA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_GBK" w:cs="Times New Roman"/>
                <w:b/>
                <w:color w:val="auto"/>
                <w:kern w:val="0"/>
                <w:sz w:val="21"/>
                <w:szCs w:val="21"/>
                <w:highlight w:val="none"/>
              </w:rPr>
            </w:pPr>
            <w:r>
              <w:rPr>
                <w:rFonts w:hint="default" w:ascii="Times New Roman" w:hAnsi="Times New Roman" w:eastAsia="方正仿宋_GBK" w:cs="Times New Roman"/>
                <w:b/>
                <w:color w:val="auto"/>
                <w:kern w:val="0"/>
                <w:sz w:val="21"/>
                <w:szCs w:val="21"/>
                <w:highlight w:val="none"/>
              </w:rPr>
              <w:t>参与类似项目业绩</w:t>
            </w:r>
          </w:p>
        </w:tc>
      </w:tr>
      <w:tr w14:paraId="749ED4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84" w:type="dxa"/>
            <w:noWrap w:val="0"/>
            <w:vAlign w:val="center"/>
          </w:tcPr>
          <w:p w14:paraId="1A39D33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_GBK" w:cs="Times New Roman"/>
                <w:color w:val="auto"/>
                <w:kern w:val="0"/>
                <w:sz w:val="21"/>
                <w:szCs w:val="21"/>
                <w:highlight w:val="none"/>
              </w:rPr>
            </w:pPr>
          </w:p>
        </w:tc>
        <w:tc>
          <w:tcPr>
            <w:tcW w:w="885" w:type="dxa"/>
            <w:noWrap w:val="0"/>
            <w:vAlign w:val="center"/>
          </w:tcPr>
          <w:p w14:paraId="236EC01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_GBK" w:cs="Times New Roman"/>
                <w:color w:val="auto"/>
                <w:kern w:val="0"/>
                <w:sz w:val="21"/>
                <w:szCs w:val="21"/>
                <w:highlight w:val="none"/>
              </w:rPr>
            </w:pPr>
          </w:p>
        </w:tc>
        <w:tc>
          <w:tcPr>
            <w:tcW w:w="1762" w:type="dxa"/>
            <w:noWrap w:val="0"/>
            <w:vAlign w:val="center"/>
          </w:tcPr>
          <w:p w14:paraId="6BE0B4D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_GBK" w:cs="Times New Roman"/>
                <w:color w:val="auto"/>
                <w:kern w:val="0"/>
                <w:sz w:val="21"/>
                <w:szCs w:val="21"/>
                <w:highlight w:val="none"/>
              </w:rPr>
            </w:pPr>
            <w:r>
              <w:rPr>
                <w:rFonts w:hint="default" w:ascii="Times New Roman" w:hAnsi="Times New Roman" w:eastAsia="方正仿宋_GBK" w:cs="Times New Roman"/>
                <w:color w:val="auto"/>
                <w:kern w:val="0"/>
                <w:sz w:val="21"/>
                <w:szCs w:val="21"/>
                <w:highlight w:val="none"/>
                <w:lang w:val="en-US" w:eastAsia="zh-CN"/>
              </w:rPr>
              <w:t>项目负责人</w:t>
            </w:r>
          </w:p>
        </w:tc>
        <w:tc>
          <w:tcPr>
            <w:tcW w:w="2348" w:type="dxa"/>
            <w:noWrap w:val="0"/>
            <w:vAlign w:val="center"/>
          </w:tcPr>
          <w:p w14:paraId="2B1C5E6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_GBK" w:cs="Times New Roman"/>
                <w:color w:val="auto"/>
                <w:kern w:val="0"/>
                <w:sz w:val="21"/>
                <w:szCs w:val="21"/>
                <w:highlight w:val="none"/>
              </w:rPr>
            </w:pPr>
          </w:p>
        </w:tc>
        <w:tc>
          <w:tcPr>
            <w:tcW w:w="2640" w:type="dxa"/>
            <w:noWrap w:val="0"/>
            <w:vAlign w:val="center"/>
          </w:tcPr>
          <w:p w14:paraId="40D9255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_GBK" w:cs="Times New Roman"/>
                <w:color w:val="auto"/>
                <w:kern w:val="0"/>
                <w:sz w:val="21"/>
                <w:szCs w:val="21"/>
                <w:highlight w:val="none"/>
              </w:rPr>
            </w:pPr>
          </w:p>
        </w:tc>
      </w:tr>
      <w:tr w14:paraId="4B9ED1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84" w:type="dxa"/>
            <w:noWrap w:val="0"/>
            <w:vAlign w:val="center"/>
          </w:tcPr>
          <w:p w14:paraId="1E40E1F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_GBK" w:cs="Times New Roman"/>
                <w:color w:val="auto"/>
                <w:kern w:val="0"/>
                <w:sz w:val="21"/>
                <w:szCs w:val="21"/>
                <w:highlight w:val="none"/>
              </w:rPr>
            </w:pPr>
          </w:p>
        </w:tc>
        <w:tc>
          <w:tcPr>
            <w:tcW w:w="885" w:type="dxa"/>
            <w:noWrap w:val="0"/>
            <w:vAlign w:val="center"/>
          </w:tcPr>
          <w:p w14:paraId="150F98B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_GBK" w:cs="Times New Roman"/>
                <w:color w:val="auto"/>
                <w:kern w:val="0"/>
                <w:sz w:val="21"/>
                <w:szCs w:val="21"/>
                <w:highlight w:val="none"/>
              </w:rPr>
            </w:pPr>
          </w:p>
        </w:tc>
        <w:tc>
          <w:tcPr>
            <w:tcW w:w="1762" w:type="dxa"/>
            <w:noWrap w:val="0"/>
            <w:vAlign w:val="center"/>
          </w:tcPr>
          <w:p w14:paraId="13D010F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_GBK" w:cs="Times New Roman"/>
                <w:color w:val="auto"/>
                <w:kern w:val="0"/>
                <w:sz w:val="21"/>
                <w:szCs w:val="21"/>
                <w:highlight w:val="none"/>
              </w:rPr>
            </w:pPr>
          </w:p>
        </w:tc>
        <w:tc>
          <w:tcPr>
            <w:tcW w:w="2348" w:type="dxa"/>
            <w:noWrap w:val="0"/>
            <w:vAlign w:val="center"/>
          </w:tcPr>
          <w:p w14:paraId="3BCDBB4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_GBK" w:cs="Times New Roman"/>
                <w:color w:val="auto"/>
                <w:kern w:val="0"/>
                <w:sz w:val="21"/>
                <w:szCs w:val="21"/>
                <w:highlight w:val="none"/>
              </w:rPr>
            </w:pPr>
          </w:p>
        </w:tc>
        <w:tc>
          <w:tcPr>
            <w:tcW w:w="2640" w:type="dxa"/>
            <w:noWrap w:val="0"/>
            <w:vAlign w:val="center"/>
          </w:tcPr>
          <w:p w14:paraId="491F800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_GBK" w:cs="Times New Roman"/>
                <w:color w:val="auto"/>
                <w:kern w:val="0"/>
                <w:sz w:val="21"/>
                <w:szCs w:val="21"/>
                <w:highlight w:val="none"/>
              </w:rPr>
            </w:pPr>
          </w:p>
        </w:tc>
      </w:tr>
      <w:tr w14:paraId="1DF53B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84" w:type="dxa"/>
            <w:noWrap w:val="0"/>
            <w:vAlign w:val="center"/>
          </w:tcPr>
          <w:p w14:paraId="014CB83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_GBK" w:cs="Times New Roman"/>
                <w:color w:val="auto"/>
                <w:kern w:val="0"/>
                <w:sz w:val="21"/>
                <w:szCs w:val="21"/>
                <w:highlight w:val="none"/>
              </w:rPr>
            </w:pPr>
          </w:p>
        </w:tc>
        <w:tc>
          <w:tcPr>
            <w:tcW w:w="885" w:type="dxa"/>
            <w:noWrap w:val="0"/>
            <w:vAlign w:val="center"/>
          </w:tcPr>
          <w:p w14:paraId="534F414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_GBK" w:cs="Times New Roman"/>
                <w:color w:val="auto"/>
                <w:kern w:val="0"/>
                <w:sz w:val="21"/>
                <w:szCs w:val="21"/>
                <w:highlight w:val="none"/>
              </w:rPr>
            </w:pPr>
          </w:p>
        </w:tc>
        <w:tc>
          <w:tcPr>
            <w:tcW w:w="1762" w:type="dxa"/>
            <w:noWrap w:val="0"/>
            <w:vAlign w:val="center"/>
          </w:tcPr>
          <w:p w14:paraId="4EF258C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_GBK" w:cs="Times New Roman"/>
                <w:color w:val="auto"/>
                <w:kern w:val="0"/>
                <w:sz w:val="21"/>
                <w:szCs w:val="21"/>
                <w:highlight w:val="none"/>
              </w:rPr>
            </w:pPr>
          </w:p>
        </w:tc>
        <w:tc>
          <w:tcPr>
            <w:tcW w:w="2348" w:type="dxa"/>
            <w:noWrap w:val="0"/>
            <w:vAlign w:val="center"/>
          </w:tcPr>
          <w:p w14:paraId="3A31834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_GBK" w:cs="Times New Roman"/>
                <w:color w:val="auto"/>
                <w:kern w:val="0"/>
                <w:sz w:val="21"/>
                <w:szCs w:val="21"/>
                <w:highlight w:val="none"/>
              </w:rPr>
            </w:pPr>
          </w:p>
        </w:tc>
        <w:tc>
          <w:tcPr>
            <w:tcW w:w="2640" w:type="dxa"/>
            <w:noWrap w:val="0"/>
            <w:vAlign w:val="center"/>
          </w:tcPr>
          <w:p w14:paraId="6056B12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_GBK" w:cs="Times New Roman"/>
                <w:color w:val="auto"/>
                <w:kern w:val="0"/>
                <w:sz w:val="21"/>
                <w:szCs w:val="21"/>
                <w:highlight w:val="none"/>
              </w:rPr>
            </w:pPr>
          </w:p>
        </w:tc>
      </w:tr>
      <w:tr w14:paraId="32DE8B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84" w:type="dxa"/>
            <w:noWrap w:val="0"/>
            <w:vAlign w:val="center"/>
          </w:tcPr>
          <w:p w14:paraId="08957AE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_GBK" w:cs="Times New Roman"/>
                <w:color w:val="auto"/>
                <w:kern w:val="0"/>
                <w:sz w:val="21"/>
                <w:szCs w:val="21"/>
                <w:highlight w:val="none"/>
              </w:rPr>
            </w:pPr>
            <w:r>
              <w:rPr>
                <w:rFonts w:hint="default" w:ascii="Times New Roman" w:hAnsi="Times New Roman" w:eastAsia="方正仿宋_GBK" w:cs="Times New Roman"/>
                <w:color w:val="auto"/>
                <w:kern w:val="0"/>
                <w:sz w:val="21"/>
                <w:szCs w:val="21"/>
                <w:highlight w:val="none"/>
              </w:rPr>
              <w:t>……</w:t>
            </w:r>
          </w:p>
        </w:tc>
        <w:tc>
          <w:tcPr>
            <w:tcW w:w="885" w:type="dxa"/>
            <w:noWrap w:val="0"/>
            <w:vAlign w:val="center"/>
          </w:tcPr>
          <w:p w14:paraId="1714199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_GBK" w:cs="Times New Roman"/>
                <w:color w:val="auto"/>
                <w:kern w:val="0"/>
                <w:sz w:val="21"/>
                <w:szCs w:val="21"/>
                <w:highlight w:val="none"/>
              </w:rPr>
            </w:pPr>
          </w:p>
        </w:tc>
        <w:tc>
          <w:tcPr>
            <w:tcW w:w="1762" w:type="dxa"/>
            <w:noWrap w:val="0"/>
            <w:vAlign w:val="center"/>
          </w:tcPr>
          <w:p w14:paraId="166D0DF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_GBK" w:cs="Times New Roman"/>
                <w:color w:val="auto"/>
                <w:kern w:val="0"/>
                <w:sz w:val="21"/>
                <w:szCs w:val="21"/>
                <w:highlight w:val="none"/>
              </w:rPr>
            </w:pPr>
          </w:p>
        </w:tc>
        <w:tc>
          <w:tcPr>
            <w:tcW w:w="2348" w:type="dxa"/>
            <w:noWrap w:val="0"/>
            <w:vAlign w:val="center"/>
          </w:tcPr>
          <w:p w14:paraId="5816A87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_GBK" w:cs="Times New Roman"/>
                <w:color w:val="auto"/>
                <w:kern w:val="0"/>
                <w:sz w:val="21"/>
                <w:szCs w:val="21"/>
                <w:highlight w:val="none"/>
              </w:rPr>
            </w:pPr>
          </w:p>
        </w:tc>
        <w:tc>
          <w:tcPr>
            <w:tcW w:w="2640" w:type="dxa"/>
            <w:noWrap w:val="0"/>
            <w:vAlign w:val="center"/>
          </w:tcPr>
          <w:p w14:paraId="66CC845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default" w:ascii="Times New Roman" w:hAnsi="Times New Roman" w:eastAsia="方正仿宋_GBK" w:cs="Times New Roman"/>
                <w:color w:val="auto"/>
                <w:kern w:val="0"/>
                <w:sz w:val="21"/>
                <w:szCs w:val="21"/>
                <w:highlight w:val="none"/>
              </w:rPr>
            </w:pPr>
          </w:p>
        </w:tc>
      </w:tr>
    </w:tbl>
    <w:p w14:paraId="21ADC5B3">
      <w:pPr>
        <w:rPr>
          <w:rFonts w:hint="default"/>
          <w:lang w:val="en-US" w:eastAsia="zh-CN"/>
        </w:rPr>
      </w:pPr>
      <w:r>
        <w:rPr>
          <w:rFonts w:hint="default"/>
          <w:lang w:val="en-US" w:eastAsia="zh-CN"/>
        </w:rPr>
        <w:t>注：</w:t>
      </w:r>
    </w:p>
    <w:p w14:paraId="4CBA2488">
      <w:pPr>
        <w:rPr>
          <w:rFonts w:hint="default"/>
          <w:lang w:val="en-US" w:eastAsia="zh-CN"/>
        </w:rPr>
      </w:pPr>
      <w:r>
        <w:rPr>
          <w:rFonts w:hint="default"/>
          <w:lang w:val="en-US" w:eastAsia="zh-CN"/>
        </w:rPr>
        <w:t>1</w:t>
      </w:r>
      <w:r>
        <w:rPr>
          <w:rFonts w:hint="eastAsia"/>
          <w:lang w:val="en-US" w:eastAsia="zh-CN"/>
        </w:rPr>
        <w:t>.</w:t>
      </w:r>
      <w:r>
        <w:rPr>
          <w:rFonts w:hint="default"/>
          <w:lang w:val="en-US" w:eastAsia="zh-CN"/>
        </w:rPr>
        <w:t>分别列入拟投入本项目的团队人员，排在第一位的为项目负责人。</w:t>
      </w:r>
    </w:p>
    <w:p w14:paraId="689B7D34">
      <w:pPr>
        <w:rPr>
          <w:rFonts w:hint="default"/>
          <w:lang w:val="en-US" w:eastAsia="zh-CN"/>
        </w:rPr>
      </w:pPr>
      <w:r>
        <w:rPr>
          <w:rFonts w:hint="eastAsia"/>
          <w:lang w:val="en-US" w:eastAsia="zh-CN"/>
        </w:rPr>
        <w:t>2.</w:t>
      </w:r>
      <w:r>
        <w:rPr>
          <w:rFonts w:hint="default"/>
          <w:lang w:val="en-US" w:eastAsia="zh-CN"/>
        </w:rPr>
        <w:t>其他专业人员附相关证件复印件，包括身份证、毕业证（如有）、职称证书（如有）及注册执业资格证书（如有）等。</w:t>
      </w:r>
    </w:p>
    <w:p w14:paraId="475331B7">
      <w:pPr>
        <w:rPr>
          <w:rFonts w:hint="eastAsia"/>
          <w:lang w:val="en-US" w:eastAsia="zh-CN"/>
        </w:rPr>
      </w:pPr>
      <w:r>
        <w:rPr>
          <w:rFonts w:hint="eastAsia"/>
          <w:lang w:val="en-US" w:eastAsia="zh-CN"/>
        </w:rPr>
        <w:t>3.以上人员须为本单位人员，提供人员证书（如要求）及社保证明。</w:t>
      </w:r>
    </w:p>
    <w:p w14:paraId="6F7D5EE6">
      <w:pPr>
        <w:rPr>
          <w:rFonts w:hint="eastAsia"/>
          <w:lang w:val="en-US" w:eastAsia="zh-CN"/>
        </w:rPr>
      </w:pPr>
      <w:r>
        <w:rPr>
          <w:rFonts w:hint="eastAsia"/>
          <w:lang w:val="en-US" w:eastAsia="zh-CN"/>
        </w:rPr>
        <w:br w:type="page"/>
      </w:r>
    </w:p>
    <w:p w14:paraId="6F43C5F6">
      <w:pPr>
        <w:keepNext w:val="0"/>
        <w:keepLines w:val="0"/>
        <w:pageBreakBefore w:val="0"/>
        <w:widowControl w:val="0"/>
        <w:kinsoku/>
        <w:wordWrap/>
        <w:overflowPunct/>
        <w:topLinePunct w:val="0"/>
        <w:autoSpaceDE/>
        <w:autoSpaceDN/>
        <w:bidi w:val="0"/>
        <w:adjustRightInd/>
        <w:snapToGrid/>
        <w:ind w:firstLine="0" w:firstLineChars="0"/>
        <w:jc w:val="center"/>
        <w:textAlignment w:val="auto"/>
        <w:outlineLvl w:val="9"/>
        <w:rPr>
          <w:rFonts w:hint="eastAsia" w:ascii="Times New Roman" w:hAnsi="Times New Roman"/>
          <w:b/>
          <w:bCs/>
          <w:lang w:val="en-US" w:eastAsia="zh-CN"/>
        </w:rPr>
      </w:pPr>
      <w:r>
        <w:rPr>
          <w:rFonts w:hint="eastAsia" w:ascii="Times New Roman" w:hAnsi="Times New Roman"/>
          <w:b/>
          <w:bCs/>
          <w:lang w:val="en-US" w:eastAsia="zh-CN"/>
        </w:rPr>
        <w:t>（三）项目业绩情况表</w:t>
      </w:r>
    </w:p>
    <w:tbl>
      <w:tblPr>
        <w:tblStyle w:val="18"/>
        <w:tblW w:w="851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38"/>
        <w:gridCol w:w="1380"/>
        <w:gridCol w:w="1650"/>
        <w:gridCol w:w="1920"/>
        <w:gridCol w:w="2731"/>
      </w:tblGrid>
      <w:tr w14:paraId="1A82B8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blHeader/>
          <w:jc w:val="center"/>
        </w:trPr>
        <w:tc>
          <w:tcPr>
            <w:tcW w:w="838" w:type="dxa"/>
            <w:noWrap w:val="0"/>
            <w:vAlign w:val="center"/>
          </w:tcPr>
          <w:p w14:paraId="087E78F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方正仿宋_GBK" w:hAnsi="方正仿宋_GBK" w:eastAsia="方正仿宋_GBK" w:cs="方正仿宋_GBK"/>
                <w:b/>
                <w:color w:val="auto"/>
                <w:kern w:val="0"/>
                <w:sz w:val="21"/>
                <w:szCs w:val="21"/>
                <w:highlight w:val="none"/>
              </w:rPr>
            </w:pPr>
            <w:r>
              <w:rPr>
                <w:rFonts w:hint="eastAsia" w:ascii="方正仿宋_GBK" w:hAnsi="方正仿宋_GBK" w:eastAsia="方正仿宋_GBK" w:cs="方正仿宋_GBK"/>
                <w:b/>
                <w:color w:val="auto"/>
                <w:kern w:val="0"/>
                <w:sz w:val="21"/>
                <w:szCs w:val="21"/>
                <w:highlight w:val="none"/>
              </w:rPr>
              <w:t>序号</w:t>
            </w:r>
          </w:p>
        </w:tc>
        <w:tc>
          <w:tcPr>
            <w:tcW w:w="1380" w:type="dxa"/>
            <w:noWrap w:val="0"/>
            <w:vAlign w:val="center"/>
          </w:tcPr>
          <w:p w14:paraId="1EBFDA0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方正仿宋_GBK" w:hAnsi="方正仿宋_GBK" w:eastAsia="方正仿宋_GBK" w:cs="方正仿宋_GBK"/>
                <w:b/>
                <w:color w:val="auto"/>
                <w:kern w:val="0"/>
                <w:sz w:val="21"/>
                <w:szCs w:val="21"/>
                <w:highlight w:val="none"/>
              </w:rPr>
            </w:pPr>
            <w:r>
              <w:rPr>
                <w:rFonts w:hint="eastAsia" w:ascii="方正仿宋_GBK" w:hAnsi="方正仿宋_GBK" w:eastAsia="方正仿宋_GBK" w:cs="方正仿宋_GBK"/>
                <w:b/>
                <w:color w:val="auto"/>
                <w:kern w:val="0"/>
                <w:sz w:val="21"/>
                <w:szCs w:val="21"/>
                <w:highlight w:val="none"/>
              </w:rPr>
              <w:t>项目名称</w:t>
            </w:r>
          </w:p>
        </w:tc>
        <w:tc>
          <w:tcPr>
            <w:tcW w:w="1650" w:type="dxa"/>
            <w:noWrap w:val="0"/>
            <w:vAlign w:val="center"/>
          </w:tcPr>
          <w:p w14:paraId="78ADF92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方正仿宋_GBK" w:hAnsi="方正仿宋_GBK" w:eastAsia="方正仿宋_GBK" w:cs="方正仿宋_GBK"/>
                <w:b/>
                <w:color w:val="auto"/>
                <w:kern w:val="0"/>
                <w:sz w:val="21"/>
                <w:szCs w:val="21"/>
                <w:highlight w:val="none"/>
              </w:rPr>
            </w:pPr>
            <w:r>
              <w:rPr>
                <w:rFonts w:hint="eastAsia" w:ascii="方正仿宋_GBK" w:hAnsi="方正仿宋_GBK" w:eastAsia="方正仿宋_GBK" w:cs="方正仿宋_GBK"/>
                <w:b/>
                <w:color w:val="auto"/>
                <w:kern w:val="0"/>
                <w:sz w:val="21"/>
                <w:szCs w:val="21"/>
                <w:highlight w:val="none"/>
              </w:rPr>
              <w:t>采购方名称</w:t>
            </w:r>
          </w:p>
        </w:tc>
        <w:tc>
          <w:tcPr>
            <w:tcW w:w="1920" w:type="dxa"/>
            <w:noWrap w:val="0"/>
            <w:vAlign w:val="center"/>
          </w:tcPr>
          <w:p w14:paraId="44A159C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方正仿宋_GBK" w:hAnsi="方正仿宋_GBK" w:eastAsia="方正仿宋_GBK" w:cs="方正仿宋_GBK"/>
                <w:b/>
                <w:color w:val="auto"/>
                <w:kern w:val="0"/>
                <w:sz w:val="21"/>
                <w:szCs w:val="21"/>
                <w:highlight w:val="none"/>
              </w:rPr>
            </w:pPr>
            <w:r>
              <w:rPr>
                <w:rFonts w:hint="eastAsia" w:ascii="方正仿宋_GBK" w:hAnsi="方正仿宋_GBK" w:eastAsia="方正仿宋_GBK" w:cs="方正仿宋_GBK"/>
                <w:b/>
                <w:color w:val="auto"/>
                <w:kern w:val="0"/>
                <w:sz w:val="21"/>
                <w:szCs w:val="21"/>
                <w:highlight w:val="none"/>
              </w:rPr>
              <w:t>合同签订时间</w:t>
            </w:r>
          </w:p>
        </w:tc>
        <w:tc>
          <w:tcPr>
            <w:tcW w:w="2731" w:type="dxa"/>
            <w:noWrap w:val="0"/>
            <w:vAlign w:val="center"/>
          </w:tcPr>
          <w:p w14:paraId="06DA870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方正仿宋_GBK" w:hAnsi="方正仿宋_GBK" w:eastAsia="方正仿宋_GBK" w:cs="方正仿宋_GBK"/>
                <w:b/>
                <w:color w:val="auto"/>
                <w:kern w:val="0"/>
                <w:sz w:val="21"/>
                <w:szCs w:val="21"/>
                <w:highlight w:val="none"/>
              </w:rPr>
            </w:pPr>
            <w:r>
              <w:rPr>
                <w:rFonts w:hint="eastAsia" w:ascii="方正仿宋_GBK" w:hAnsi="方正仿宋_GBK" w:eastAsia="方正仿宋_GBK" w:cs="方正仿宋_GBK"/>
                <w:b/>
                <w:color w:val="auto"/>
                <w:kern w:val="0"/>
                <w:sz w:val="21"/>
                <w:szCs w:val="21"/>
                <w:highlight w:val="none"/>
              </w:rPr>
              <w:t>采购方联系人及电话</w:t>
            </w:r>
          </w:p>
        </w:tc>
      </w:tr>
      <w:tr w14:paraId="46BC1D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38" w:type="dxa"/>
            <w:noWrap w:val="0"/>
            <w:vAlign w:val="center"/>
          </w:tcPr>
          <w:p w14:paraId="71B3F2D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方正仿宋_GBK" w:hAnsi="方正仿宋_GBK" w:eastAsia="方正仿宋_GBK" w:cs="方正仿宋_GBK"/>
                <w:color w:val="auto"/>
                <w:kern w:val="0"/>
                <w:sz w:val="21"/>
                <w:szCs w:val="21"/>
                <w:highlight w:val="none"/>
              </w:rPr>
            </w:pPr>
          </w:p>
        </w:tc>
        <w:tc>
          <w:tcPr>
            <w:tcW w:w="1380" w:type="dxa"/>
            <w:noWrap w:val="0"/>
            <w:vAlign w:val="center"/>
          </w:tcPr>
          <w:p w14:paraId="67DF69B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方正仿宋_GBK" w:hAnsi="方正仿宋_GBK" w:eastAsia="方正仿宋_GBK" w:cs="方正仿宋_GBK"/>
                <w:color w:val="auto"/>
                <w:kern w:val="0"/>
                <w:sz w:val="21"/>
                <w:szCs w:val="21"/>
                <w:highlight w:val="none"/>
              </w:rPr>
            </w:pPr>
          </w:p>
        </w:tc>
        <w:tc>
          <w:tcPr>
            <w:tcW w:w="1650" w:type="dxa"/>
            <w:noWrap w:val="0"/>
            <w:vAlign w:val="center"/>
          </w:tcPr>
          <w:p w14:paraId="4A17226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方正仿宋_GBK" w:hAnsi="方正仿宋_GBK" w:eastAsia="方正仿宋_GBK" w:cs="方正仿宋_GBK"/>
                <w:color w:val="auto"/>
                <w:kern w:val="0"/>
                <w:sz w:val="21"/>
                <w:szCs w:val="21"/>
                <w:highlight w:val="none"/>
              </w:rPr>
            </w:pPr>
          </w:p>
        </w:tc>
        <w:tc>
          <w:tcPr>
            <w:tcW w:w="1920" w:type="dxa"/>
            <w:noWrap w:val="0"/>
            <w:vAlign w:val="center"/>
          </w:tcPr>
          <w:p w14:paraId="4D2D93E7">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方正仿宋_GBK" w:hAnsi="方正仿宋_GBK" w:eastAsia="方正仿宋_GBK" w:cs="方正仿宋_GBK"/>
                <w:color w:val="auto"/>
                <w:kern w:val="0"/>
                <w:sz w:val="21"/>
                <w:szCs w:val="21"/>
                <w:highlight w:val="none"/>
              </w:rPr>
            </w:pPr>
          </w:p>
        </w:tc>
        <w:tc>
          <w:tcPr>
            <w:tcW w:w="2731" w:type="dxa"/>
            <w:noWrap w:val="0"/>
            <w:vAlign w:val="center"/>
          </w:tcPr>
          <w:p w14:paraId="2F36B1A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方正仿宋_GBK" w:hAnsi="方正仿宋_GBK" w:eastAsia="方正仿宋_GBK" w:cs="方正仿宋_GBK"/>
                <w:color w:val="auto"/>
                <w:kern w:val="0"/>
                <w:sz w:val="21"/>
                <w:szCs w:val="21"/>
                <w:highlight w:val="none"/>
              </w:rPr>
            </w:pPr>
          </w:p>
        </w:tc>
      </w:tr>
      <w:tr w14:paraId="18582A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38" w:type="dxa"/>
            <w:noWrap w:val="0"/>
            <w:vAlign w:val="center"/>
          </w:tcPr>
          <w:p w14:paraId="29543A2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方正仿宋_GBK" w:hAnsi="方正仿宋_GBK" w:eastAsia="方正仿宋_GBK" w:cs="方正仿宋_GBK"/>
                <w:color w:val="auto"/>
                <w:kern w:val="0"/>
                <w:sz w:val="21"/>
                <w:szCs w:val="21"/>
                <w:highlight w:val="none"/>
              </w:rPr>
            </w:pPr>
          </w:p>
        </w:tc>
        <w:tc>
          <w:tcPr>
            <w:tcW w:w="1380" w:type="dxa"/>
            <w:noWrap w:val="0"/>
            <w:vAlign w:val="center"/>
          </w:tcPr>
          <w:p w14:paraId="39D2313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方正仿宋_GBK" w:hAnsi="方正仿宋_GBK" w:eastAsia="方正仿宋_GBK" w:cs="方正仿宋_GBK"/>
                <w:color w:val="auto"/>
                <w:kern w:val="0"/>
                <w:sz w:val="21"/>
                <w:szCs w:val="21"/>
                <w:highlight w:val="none"/>
              </w:rPr>
            </w:pPr>
          </w:p>
        </w:tc>
        <w:tc>
          <w:tcPr>
            <w:tcW w:w="1650" w:type="dxa"/>
            <w:noWrap w:val="0"/>
            <w:vAlign w:val="center"/>
          </w:tcPr>
          <w:p w14:paraId="04FA7B4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方正仿宋_GBK" w:hAnsi="方正仿宋_GBK" w:eastAsia="方正仿宋_GBK" w:cs="方正仿宋_GBK"/>
                <w:color w:val="auto"/>
                <w:kern w:val="0"/>
                <w:sz w:val="21"/>
                <w:szCs w:val="21"/>
                <w:highlight w:val="none"/>
              </w:rPr>
            </w:pPr>
          </w:p>
        </w:tc>
        <w:tc>
          <w:tcPr>
            <w:tcW w:w="1920" w:type="dxa"/>
            <w:noWrap w:val="0"/>
            <w:vAlign w:val="center"/>
          </w:tcPr>
          <w:p w14:paraId="6E42A0F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方正仿宋_GBK" w:hAnsi="方正仿宋_GBK" w:eastAsia="方正仿宋_GBK" w:cs="方正仿宋_GBK"/>
                <w:color w:val="auto"/>
                <w:kern w:val="0"/>
                <w:sz w:val="21"/>
                <w:szCs w:val="21"/>
                <w:highlight w:val="none"/>
              </w:rPr>
            </w:pPr>
          </w:p>
        </w:tc>
        <w:tc>
          <w:tcPr>
            <w:tcW w:w="2731" w:type="dxa"/>
            <w:noWrap w:val="0"/>
            <w:vAlign w:val="center"/>
          </w:tcPr>
          <w:p w14:paraId="65FBAEC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方正仿宋_GBK" w:hAnsi="方正仿宋_GBK" w:eastAsia="方正仿宋_GBK" w:cs="方正仿宋_GBK"/>
                <w:color w:val="auto"/>
                <w:kern w:val="0"/>
                <w:sz w:val="21"/>
                <w:szCs w:val="21"/>
                <w:highlight w:val="none"/>
              </w:rPr>
            </w:pPr>
          </w:p>
        </w:tc>
      </w:tr>
      <w:tr w14:paraId="0F8B4C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38" w:type="dxa"/>
            <w:noWrap w:val="0"/>
            <w:vAlign w:val="center"/>
          </w:tcPr>
          <w:p w14:paraId="63B1B15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方正仿宋_GBK" w:hAnsi="方正仿宋_GBK" w:eastAsia="方正仿宋_GBK" w:cs="方正仿宋_GBK"/>
                <w:color w:val="auto"/>
                <w:kern w:val="0"/>
                <w:sz w:val="21"/>
                <w:szCs w:val="21"/>
                <w:highlight w:val="none"/>
              </w:rPr>
            </w:pPr>
          </w:p>
        </w:tc>
        <w:tc>
          <w:tcPr>
            <w:tcW w:w="1380" w:type="dxa"/>
            <w:noWrap w:val="0"/>
            <w:vAlign w:val="center"/>
          </w:tcPr>
          <w:p w14:paraId="19E2E8AD">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方正仿宋_GBK" w:hAnsi="方正仿宋_GBK" w:eastAsia="方正仿宋_GBK" w:cs="方正仿宋_GBK"/>
                <w:color w:val="auto"/>
                <w:kern w:val="0"/>
                <w:sz w:val="21"/>
                <w:szCs w:val="21"/>
                <w:highlight w:val="none"/>
              </w:rPr>
            </w:pPr>
          </w:p>
        </w:tc>
        <w:tc>
          <w:tcPr>
            <w:tcW w:w="1650" w:type="dxa"/>
            <w:noWrap w:val="0"/>
            <w:vAlign w:val="center"/>
          </w:tcPr>
          <w:p w14:paraId="4AD430C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方正仿宋_GBK" w:hAnsi="方正仿宋_GBK" w:eastAsia="方正仿宋_GBK" w:cs="方正仿宋_GBK"/>
                <w:color w:val="auto"/>
                <w:kern w:val="0"/>
                <w:sz w:val="21"/>
                <w:szCs w:val="21"/>
                <w:highlight w:val="none"/>
              </w:rPr>
            </w:pPr>
          </w:p>
        </w:tc>
        <w:tc>
          <w:tcPr>
            <w:tcW w:w="1920" w:type="dxa"/>
            <w:noWrap w:val="0"/>
            <w:vAlign w:val="center"/>
          </w:tcPr>
          <w:p w14:paraId="6737404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方正仿宋_GBK" w:hAnsi="方正仿宋_GBK" w:eastAsia="方正仿宋_GBK" w:cs="方正仿宋_GBK"/>
                <w:color w:val="auto"/>
                <w:kern w:val="0"/>
                <w:sz w:val="21"/>
                <w:szCs w:val="21"/>
                <w:highlight w:val="none"/>
              </w:rPr>
            </w:pPr>
          </w:p>
        </w:tc>
        <w:tc>
          <w:tcPr>
            <w:tcW w:w="2731" w:type="dxa"/>
            <w:noWrap w:val="0"/>
            <w:vAlign w:val="center"/>
          </w:tcPr>
          <w:p w14:paraId="571B981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方正仿宋_GBK" w:hAnsi="方正仿宋_GBK" w:eastAsia="方正仿宋_GBK" w:cs="方正仿宋_GBK"/>
                <w:color w:val="auto"/>
                <w:kern w:val="0"/>
                <w:sz w:val="21"/>
                <w:szCs w:val="21"/>
                <w:highlight w:val="none"/>
              </w:rPr>
            </w:pPr>
          </w:p>
        </w:tc>
      </w:tr>
      <w:tr w14:paraId="418B34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38" w:type="dxa"/>
            <w:noWrap w:val="0"/>
            <w:vAlign w:val="center"/>
          </w:tcPr>
          <w:p w14:paraId="63E5344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方正仿宋_GBK" w:hAnsi="方正仿宋_GBK" w:eastAsia="方正仿宋_GBK" w:cs="方正仿宋_GBK"/>
                <w:color w:val="auto"/>
                <w:kern w:val="0"/>
                <w:sz w:val="21"/>
                <w:szCs w:val="21"/>
                <w:highlight w:val="none"/>
              </w:rPr>
            </w:pPr>
          </w:p>
        </w:tc>
        <w:tc>
          <w:tcPr>
            <w:tcW w:w="1380" w:type="dxa"/>
            <w:noWrap w:val="0"/>
            <w:vAlign w:val="center"/>
          </w:tcPr>
          <w:p w14:paraId="0200602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方正仿宋_GBK" w:hAnsi="方正仿宋_GBK" w:eastAsia="方正仿宋_GBK" w:cs="方正仿宋_GBK"/>
                <w:color w:val="auto"/>
                <w:kern w:val="0"/>
                <w:sz w:val="21"/>
                <w:szCs w:val="21"/>
                <w:highlight w:val="none"/>
              </w:rPr>
            </w:pPr>
          </w:p>
        </w:tc>
        <w:tc>
          <w:tcPr>
            <w:tcW w:w="1650" w:type="dxa"/>
            <w:noWrap w:val="0"/>
            <w:vAlign w:val="center"/>
          </w:tcPr>
          <w:p w14:paraId="0C054F8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方正仿宋_GBK" w:hAnsi="方正仿宋_GBK" w:eastAsia="方正仿宋_GBK" w:cs="方正仿宋_GBK"/>
                <w:color w:val="auto"/>
                <w:kern w:val="0"/>
                <w:sz w:val="21"/>
                <w:szCs w:val="21"/>
                <w:highlight w:val="none"/>
              </w:rPr>
            </w:pPr>
          </w:p>
        </w:tc>
        <w:tc>
          <w:tcPr>
            <w:tcW w:w="1920" w:type="dxa"/>
            <w:noWrap w:val="0"/>
            <w:vAlign w:val="center"/>
          </w:tcPr>
          <w:p w14:paraId="5A822DC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方正仿宋_GBK" w:hAnsi="方正仿宋_GBK" w:eastAsia="方正仿宋_GBK" w:cs="方正仿宋_GBK"/>
                <w:color w:val="auto"/>
                <w:kern w:val="0"/>
                <w:sz w:val="21"/>
                <w:szCs w:val="21"/>
                <w:highlight w:val="none"/>
              </w:rPr>
            </w:pPr>
          </w:p>
        </w:tc>
        <w:tc>
          <w:tcPr>
            <w:tcW w:w="2731" w:type="dxa"/>
            <w:noWrap w:val="0"/>
            <w:vAlign w:val="center"/>
          </w:tcPr>
          <w:p w14:paraId="4ED8305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方正仿宋_GBK" w:hAnsi="方正仿宋_GBK" w:eastAsia="方正仿宋_GBK" w:cs="方正仿宋_GBK"/>
                <w:color w:val="auto"/>
                <w:kern w:val="0"/>
                <w:sz w:val="21"/>
                <w:szCs w:val="21"/>
                <w:highlight w:val="none"/>
              </w:rPr>
            </w:pPr>
          </w:p>
        </w:tc>
      </w:tr>
      <w:tr w14:paraId="602D56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838" w:type="dxa"/>
            <w:noWrap w:val="0"/>
            <w:vAlign w:val="center"/>
          </w:tcPr>
          <w:p w14:paraId="299EF92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方正仿宋_GBK" w:hAnsi="方正仿宋_GBK" w:eastAsia="方正仿宋_GBK" w:cs="方正仿宋_GBK"/>
                <w:color w:val="auto"/>
                <w:kern w:val="0"/>
                <w:sz w:val="21"/>
                <w:szCs w:val="21"/>
                <w:highlight w:val="none"/>
              </w:rPr>
            </w:pPr>
            <w:r>
              <w:rPr>
                <w:rFonts w:hint="eastAsia" w:ascii="方正仿宋_GBK" w:hAnsi="方正仿宋_GBK" w:eastAsia="方正仿宋_GBK" w:cs="方正仿宋_GBK"/>
                <w:color w:val="auto"/>
                <w:kern w:val="0"/>
                <w:sz w:val="21"/>
                <w:szCs w:val="21"/>
                <w:highlight w:val="none"/>
              </w:rPr>
              <w:t>...</w:t>
            </w:r>
          </w:p>
        </w:tc>
        <w:tc>
          <w:tcPr>
            <w:tcW w:w="1380" w:type="dxa"/>
            <w:noWrap w:val="0"/>
            <w:vAlign w:val="center"/>
          </w:tcPr>
          <w:p w14:paraId="49B503C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方正仿宋_GBK" w:hAnsi="方正仿宋_GBK" w:eastAsia="方正仿宋_GBK" w:cs="方正仿宋_GBK"/>
                <w:color w:val="auto"/>
                <w:kern w:val="0"/>
                <w:sz w:val="21"/>
                <w:szCs w:val="21"/>
                <w:highlight w:val="none"/>
              </w:rPr>
            </w:pPr>
          </w:p>
        </w:tc>
        <w:tc>
          <w:tcPr>
            <w:tcW w:w="1650" w:type="dxa"/>
            <w:noWrap w:val="0"/>
            <w:vAlign w:val="center"/>
          </w:tcPr>
          <w:p w14:paraId="0EADC6CF">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方正仿宋_GBK" w:hAnsi="方正仿宋_GBK" w:eastAsia="方正仿宋_GBK" w:cs="方正仿宋_GBK"/>
                <w:color w:val="auto"/>
                <w:kern w:val="0"/>
                <w:sz w:val="21"/>
                <w:szCs w:val="21"/>
                <w:highlight w:val="none"/>
              </w:rPr>
            </w:pPr>
          </w:p>
        </w:tc>
        <w:tc>
          <w:tcPr>
            <w:tcW w:w="1920" w:type="dxa"/>
            <w:noWrap w:val="0"/>
            <w:vAlign w:val="center"/>
          </w:tcPr>
          <w:p w14:paraId="65F9103A">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方正仿宋_GBK" w:hAnsi="方正仿宋_GBK" w:eastAsia="方正仿宋_GBK" w:cs="方正仿宋_GBK"/>
                <w:color w:val="auto"/>
                <w:kern w:val="0"/>
                <w:sz w:val="21"/>
                <w:szCs w:val="21"/>
                <w:highlight w:val="none"/>
              </w:rPr>
            </w:pPr>
          </w:p>
        </w:tc>
        <w:tc>
          <w:tcPr>
            <w:tcW w:w="2731" w:type="dxa"/>
            <w:noWrap w:val="0"/>
            <w:vAlign w:val="center"/>
          </w:tcPr>
          <w:p w14:paraId="1C2A633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center"/>
              <w:textAlignment w:val="auto"/>
              <w:rPr>
                <w:rFonts w:hint="eastAsia" w:ascii="方正仿宋_GBK" w:hAnsi="方正仿宋_GBK" w:eastAsia="方正仿宋_GBK" w:cs="方正仿宋_GBK"/>
                <w:color w:val="auto"/>
                <w:kern w:val="0"/>
                <w:sz w:val="21"/>
                <w:szCs w:val="21"/>
                <w:highlight w:val="none"/>
              </w:rPr>
            </w:pPr>
          </w:p>
        </w:tc>
      </w:tr>
    </w:tbl>
    <w:p w14:paraId="48DD12C2">
      <w:pPr>
        <w:rPr>
          <w:rFonts w:hint="default" w:ascii="Times New Roman" w:hAnsi="Times New Roman"/>
          <w:lang w:val="en-US" w:eastAsia="zh-CN"/>
        </w:rPr>
      </w:pPr>
      <w:r>
        <w:rPr>
          <w:rFonts w:hint="default" w:ascii="Times New Roman" w:hAnsi="Times New Roman"/>
          <w:lang w:val="en-US" w:eastAsia="zh-CN"/>
        </w:rPr>
        <w:t>注：提供项目业绩的详细证明材料，包括签订的服务合同首页、服务内容页、签署页，能反映签订时间、工作范围或工作内容。请将证明材料按汇总表中的项目名称对应后，依次附后，未提供业绩证明材料的视为无效业绩。</w:t>
      </w:r>
    </w:p>
    <w:p w14:paraId="2E927CE8">
      <w:pPr>
        <w:rPr>
          <w:rFonts w:hint="default" w:ascii="Times New Roman" w:hAnsi="Times New Roman"/>
          <w:lang w:val="en-US" w:eastAsia="zh-CN"/>
        </w:rPr>
      </w:pPr>
      <w:r>
        <w:rPr>
          <w:rFonts w:hint="default" w:ascii="Times New Roman" w:hAnsi="Times New Roman"/>
          <w:lang w:val="en-US" w:eastAsia="zh-CN"/>
        </w:rPr>
        <w:br w:type="page"/>
      </w:r>
    </w:p>
    <w:p w14:paraId="3B724D4F">
      <w:pPr>
        <w:keepNext w:val="0"/>
        <w:keepLines w:val="0"/>
        <w:pageBreakBefore w:val="0"/>
        <w:widowControl w:val="0"/>
        <w:kinsoku/>
        <w:wordWrap/>
        <w:overflowPunct/>
        <w:topLinePunct w:val="0"/>
        <w:autoSpaceDE/>
        <w:autoSpaceDN/>
        <w:bidi w:val="0"/>
        <w:adjustRightInd/>
        <w:snapToGrid/>
        <w:ind w:firstLine="0" w:firstLineChars="0"/>
        <w:jc w:val="center"/>
        <w:textAlignment w:val="auto"/>
        <w:outlineLvl w:val="9"/>
        <w:rPr>
          <w:rFonts w:hint="eastAsia" w:ascii="Times New Roman" w:hAnsi="Times New Roman"/>
          <w:b/>
          <w:bCs/>
          <w:lang w:val="en-US" w:eastAsia="zh-CN"/>
        </w:rPr>
      </w:pPr>
      <w:r>
        <w:rPr>
          <w:rFonts w:hint="eastAsia" w:ascii="Times New Roman" w:hAnsi="Times New Roman"/>
          <w:b/>
          <w:bCs/>
          <w:lang w:val="en-US" w:eastAsia="zh-CN"/>
        </w:rPr>
        <w:t>（</w:t>
      </w:r>
      <w:r>
        <w:rPr>
          <w:rFonts w:hint="eastAsia"/>
          <w:b/>
          <w:bCs/>
          <w:lang w:val="en-US" w:eastAsia="zh-CN"/>
        </w:rPr>
        <w:t>四</w:t>
      </w:r>
      <w:r>
        <w:rPr>
          <w:rFonts w:hint="eastAsia" w:ascii="Times New Roman" w:hAnsi="Times New Roman"/>
          <w:b/>
          <w:bCs/>
          <w:lang w:val="en-US" w:eastAsia="zh-CN"/>
        </w:rPr>
        <w:t>）企业信誉情况</w:t>
      </w:r>
    </w:p>
    <w:p w14:paraId="0BCEFAD4">
      <w:pPr>
        <w:rPr>
          <w:rFonts w:hint="eastAsia" w:ascii="Times New Roman" w:hAnsi="Times New Roman"/>
          <w:lang w:val="en-US" w:eastAsia="zh-CN"/>
        </w:rPr>
      </w:pPr>
      <w:r>
        <w:rPr>
          <w:rFonts w:hint="eastAsia" w:ascii="Times New Roman" w:hAnsi="Times New Roman"/>
          <w:lang w:val="en-US" w:eastAsia="zh-CN"/>
        </w:rPr>
        <w:t>企业信誉良好，未被列入“信用中国（http://www.creditchina.gov.cn/）”网站的“严重失信主体名单”；未被“中国执行信息公开网（http：//zxgk.court.gov.cn/）”纳入“失信被执行人名单”；存在严重失信行为的供应商不得参与本次询比，提供上述网站信用信息查询结果的网页截图或网页打印稿。</w:t>
      </w:r>
    </w:p>
    <w:p w14:paraId="01712F36">
      <w:pPr>
        <w:rPr>
          <w:rFonts w:hint="eastAsia" w:ascii="Times New Roman" w:hAnsi="Times New Roman"/>
          <w:lang w:val="en-US" w:eastAsia="zh-CN"/>
        </w:rPr>
      </w:pPr>
      <w:r>
        <w:rPr>
          <w:rFonts w:hint="eastAsia" w:ascii="Times New Roman" w:hAnsi="Times New Roman"/>
          <w:lang w:val="en-US" w:eastAsia="zh-CN"/>
        </w:rPr>
        <w:br w:type="page"/>
      </w:r>
    </w:p>
    <w:p w14:paraId="6F513232">
      <w:pPr>
        <w:keepNext w:val="0"/>
        <w:keepLines w:val="0"/>
        <w:pageBreakBefore w:val="0"/>
        <w:widowControl w:val="0"/>
        <w:kinsoku/>
        <w:wordWrap/>
        <w:overflowPunct/>
        <w:topLinePunct w:val="0"/>
        <w:autoSpaceDE/>
        <w:autoSpaceDN/>
        <w:bidi w:val="0"/>
        <w:adjustRightInd/>
        <w:snapToGrid/>
        <w:ind w:firstLine="0" w:firstLineChars="0"/>
        <w:jc w:val="center"/>
        <w:textAlignment w:val="auto"/>
        <w:outlineLvl w:val="9"/>
        <w:rPr>
          <w:rFonts w:hint="eastAsia" w:ascii="Times New Roman" w:hAnsi="Times New Roman"/>
          <w:b/>
          <w:bCs/>
          <w:lang w:val="en-US" w:eastAsia="zh-CN"/>
        </w:rPr>
      </w:pPr>
      <w:r>
        <w:rPr>
          <w:rFonts w:hint="eastAsia" w:ascii="Times New Roman" w:hAnsi="Times New Roman"/>
          <w:b/>
          <w:bCs/>
          <w:lang w:val="en-US" w:eastAsia="zh-CN"/>
        </w:rPr>
        <w:t>（</w:t>
      </w:r>
      <w:r>
        <w:rPr>
          <w:rFonts w:hint="eastAsia"/>
          <w:b/>
          <w:bCs/>
          <w:lang w:val="en-US" w:eastAsia="zh-CN"/>
        </w:rPr>
        <w:t>五</w:t>
      </w:r>
      <w:r>
        <w:rPr>
          <w:rFonts w:hint="eastAsia" w:ascii="Times New Roman" w:hAnsi="Times New Roman"/>
          <w:b/>
          <w:bCs/>
          <w:lang w:val="en-US" w:eastAsia="zh-CN"/>
        </w:rPr>
        <w:t>）企业财务情况</w:t>
      </w:r>
    </w:p>
    <w:p w14:paraId="4DD7460D">
      <w:pPr>
        <w:rPr>
          <w:rFonts w:hint="eastAsia"/>
          <w:lang w:val="en-US" w:eastAsia="zh-CN"/>
        </w:rPr>
      </w:pPr>
      <w:r>
        <w:rPr>
          <w:rFonts w:hint="eastAsia"/>
          <w:lang w:val="en-US" w:eastAsia="zh-CN"/>
        </w:rPr>
        <w:t>供应商应当具备健全完善的财务管理制度，财务状况良好。提供2025年度经第三方机构审计的财务审计报告及财务报表（财务报表仅提供资产负债表、利润表、现金流量表）；2025年后成立或者成立不满1年的，未达到财务审计要求的，可提供供应商自行编制的财务报表（包括资产负债表、利润表、现金流量表）并附财务情况说明。</w:t>
      </w:r>
    </w:p>
    <w:p w14:paraId="2342CB31">
      <w:pPr>
        <w:rPr>
          <w:rFonts w:hint="eastAsia"/>
          <w:lang w:val="en-US" w:eastAsia="zh-CN"/>
        </w:rPr>
      </w:pPr>
      <w:r>
        <w:rPr>
          <w:rFonts w:hint="eastAsia"/>
          <w:lang w:val="en-US" w:eastAsia="zh-CN"/>
        </w:rPr>
        <w:br w:type="page"/>
      </w:r>
    </w:p>
    <w:p w14:paraId="6699030D">
      <w:pPr>
        <w:keepNext w:val="0"/>
        <w:keepLines w:val="0"/>
        <w:pageBreakBefore w:val="0"/>
        <w:widowControl w:val="0"/>
        <w:kinsoku/>
        <w:wordWrap/>
        <w:overflowPunct/>
        <w:topLinePunct w:val="0"/>
        <w:autoSpaceDE/>
        <w:autoSpaceDN/>
        <w:bidi w:val="0"/>
        <w:adjustRightInd/>
        <w:snapToGrid/>
        <w:ind w:firstLine="0" w:firstLineChars="0"/>
        <w:jc w:val="center"/>
        <w:textAlignment w:val="auto"/>
        <w:outlineLvl w:val="9"/>
        <w:rPr>
          <w:rFonts w:hint="eastAsia" w:ascii="Times New Roman" w:hAnsi="Times New Roman"/>
          <w:b/>
          <w:bCs/>
          <w:lang w:val="en-US" w:eastAsia="zh-CN"/>
        </w:rPr>
      </w:pPr>
      <w:r>
        <w:rPr>
          <w:rFonts w:hint="eastAsia" w:ascii="Times New Roman" w:hAnsi="Times New Roman"/>
          <w:b/>
          <w:bCs/>
          <w:lang w:val="en-US" w:eastAsia="zh-CN"/>
        </w:rPr>
        <w:t>（</w:t>
      </w:r>
      <w:r>
        <w:rPr>
          <w:rFonts w:hint="eastAsia"/>
          <w:b/>
          <w:bCs/>
          <w:lang w:val="en-US" w:eastAsia="zh-CN"/>
        </w:rPr>
        <w:t>六</w:t>
      </w:r>
      <w:r>
        <w:rPr>
          <w:rFonts w:hint="eastAsia" w:ascii="Times New Roman" w:hAnsi="Times New Roman"/>
          <w:b/>
          <w:bCs/>
          <w:lang w:val="en-US" w:eastAsia="zh-CN"/>
        </w:rPr>
        <w:t>）关于不与关联企业共同参与本次采购活动的承诺书</w:t>
      </w:r>
    </w:p>
    <w:p w14:paraId="7A258B77">
      <w:pPr>
        <w:rPr>
          <w:rFonts w:hint="default"/>
          <w:lang w:val="en-US" w:eastAsia="zh-CN"/>
        </w:rPr>
      </w:pPr>
    </w:p>
    <w:p w14:paraId="44C9AB44">
      <w:pPr>
        <w:rPr>
          <w:rFonts w:hint="default"/>
          <w:lang w:val="en-US" w:eastAsia="zh-CN"/>
        </w:rPr>
      </w:pPr>
      <w:r>
        <w:rPr>
          <w:rFonts w:hint="default"/>
          <w:lang w:val="en-US" w:eastAsia="zh-CN"/>
        </w:rPr>
        <w:t>致：</w:t>
      </w:r>
      <w:r>
        <w:rPr>
          <w:rFonts w:hint="default"/>
          <w:u w:val="single"/>
          <w:lang w:val="en-US" w:eastAsia="zh-CN"/>
        </w:rPr>
        <w:t>云南能源资产运营管理有限公司</w:t>
      </w:r>
      <w:r>
        <w:rPr>
          <w:rFonts w:hint="default"/>
          <w:u w:val="none"/>
          <w:lang w:val="en-US" w:eastAsia="zh-CN"/>
        </w:rPr>
        <w:t>（采购人）</w:t>
      </w:r>
    </w:p>
    <w:p w14:paraId="3F981E3D">
      <w:pPr>
        <w:rPr>
          <w:rFonts w:hint="default"/>
          <w:lang w:val="en-US" w:eastAsia="zh-CN"/>
        </w:rPr>
      </w:pPr>
      <w:r>
        <w:rPr>
          <w:rFonts w:hint="default"/>
          <w:lang w:val="en-US" w:eastAsia="zh-CN"/>
        </w:rPr>
        <w:t>我公司郑重承诺如下：</w:t>
      </w:r>
    </w:p>
    <w:p w14:paraId="0006627F">
      <w:pPr>
        <w:rPr>
          <w:rFonts w:hint="default"/>
          <w:lang w:val="en-US" w:eastAsia="zh-CN"/>
        </w:rPr>
      </w:pPr>
      <w:r>
        <w:rPr>
          <w:rFonts w:hint="default"/>
          <w:lang w:val="en-US" w:eastAsia="zh-CN"/>
        </w:rPr>
        <w:t>我公司不存在</w:t>
      </w:r>
      <w:r>
        <w:rPr>
          <w:rFonts w:hint="eastAsia"/>
          <w:lang w:val="en-US" w:eastAsia="zh-CN"/>
        </w:rPr>
        <w:t>“</w:t>
      </w:r>
      <w:r>
        <w:rPr>
          <w:rFonts w:hint="default"/>
          <w:lang w:val="en-US" w:eastAsia="zh-CN"/>
        </w:rPr>
        <w:t>法定代表人或单位负责人为同一个的两个及两个以上法人，母公司、全资子公司及其控股公司，同时参与本次采购活动投标</w:t>
      </w:r>
      <w:r>
        <w:rPr>
          <w:rFonts w:hint="eastAsia"/>
          <w:lang w:val="en-US" w:eastAsia="zh-CN"/>
        </w:rPr>
        <w:t>”</w:t>
      </w:r>
      <w:r>
        <w:rPr>
          <w:rFonts w:hint="default"/>
          <w:lang w:val="en-US" w:eastAsia="zh-CN"/>
        </w:rPr>
        <w:t>及</w:t>
      </w:r>
      <w:r>
        <w:rPr>
          <w:rFonts w:hint="eastAsia"/>
          <w:lang w:val="en-US" w:eastAsia="zh-CN"/>
        </w:rPr>
        <w:t>“</w:t>
      </w:r>
      <w:r>
        <w:rPr>
          <w:rFonts w:hint="default"/>
          <w:lang w:val="en-US" w:eastAsia="zh-CN"/>
        </w:rPr>
        <w:t>相互间存在直接控股关系或间接控股关系或管理关系的两个及两个以上的公司，同时参与本次采购活动投标</w:t>
      </w:r>
      <w:r>
        <w:rPr>
          <w:rFonts w:hint="eastAsia"/>
          <w:lang w:val="en-US" w:eastAsia="zh-CN"/>
        </w:rPr>
        <w:t>”</w:t>
      </w:r>
      <w:r>
        <w:rPr>
          <w:rFonts w:hint="default"/>
          <w:lang w:val="en-US" w:eastAsia="zh-CN"/>
        </w:rPr>
        <w:t>的情形。</w:t>
      </w:r>
    </w:p>
    <w:p w14:paraId="3C93EF98">
      <w:pPr>
        <w:rPr>
          <w:rFonts w:hint="default"/>
          <w:lang w:val="en-US" w:eastAsia="zh-CN"/>
        </w:rPr>
      </w:pPr>
      <w:r>
        <w:rPr>
          <w:rFonts w:hint="default"/>
          <w:lang w:val="en-US" w:eastAsia="zh-CN"/>
        </w:rPr>
        <w:t>特此承诺。</w:t>
      </w:r>
    </w:p>
    <w:p w14:paraId="3950E01E">
      <w:pPr>
        <w:rPr>
          <w:rFonts w:hint="default"/>
          <w:lang w:val="en-US" w:eastAsia="zh-CN"/>
        </w:rPr>
      </w:pPr>
    </w:p>
    <w:p w14:paraId="343B7DBF">
      <w:pPr>
        <w:rPr>
          <w:rFonts w:hint="default"/>
          <w:lang w:val="en-US" w:eastAsia="zh-CN"/>
        </w:rPr>
      </w:pPr>
    </w:p>
    <w:p w14:paraId="75AE4F1F">
      <w:pPr>
        <w:rPr>
          <w:rFonts w:hint="eastAsia"/>
          <w:lang w:val="en-US" w:eastAsia="zh-CN"/>
        </w:rPr>
      </w:pPr>
      <w:r>
        <w:rPr>
          <w:rFonts w:hint="eastAsia"/>
          <w:lang w:val="en-US" w:eastAsia="zh-CN"/>
        </w:rPr>
        <w:t>供应商</w:t>
      </w:r>
      <w:r>
        <w:rPr>
          <w:rFonts w:hint="default"/>
          <w:lang w:val="en-US" w:eastAsia="zh-CN"/>
        </w:rPr>
        <w:t>（盖章）：</w:t>
      </w:r>
      <w:r>
        <w:rPr>
          <w:rFonts w:hint="default"/>
          <w:u w:val="single"/>
          <w:lang w:val="en-US" w:eastAsia="zh-CN"/>
        </w:rPr>
        <w:t xml:space="preserve">                   </w:t>
      </w:r>
    </w:p>
    <w:p w14:paraId="2442F6C3">
      <w:pPr>
        <w:rPr>
          <w:rFonts w:hint="default"/>
          <w:lang w:val="en-US" w:eastAsia="zh-CN"/>
        </w:rPr>
      </w:pPr>
      <w:r>
        <w:rPr>
          <w:rFonts w:hint="default"/>
          <w:lang w:val="en-US" w:eastAsia="zh-CN"/>
        </w:rPr>
        <w:t>法定代表人（负责人）或授权代理人（签字或盖章）：</w:t>
      </w:r>
      <w:r>
        <w:rPr>
          <w:rFonts w:hint="default"/>
          <w:u w:val="single"/>
          <w:lang w:val="en-US" w:eastAsia="zh-CN"/>
        </w:rPr>
        <w:t xml:space="preserve">                     </w:t>
      </w:r>
    </w:p>
    <w:p w14:paraId="57DEE0A7">
      <w:pPr>
        <w:rPr>
          <w:rFonts w:hint="default"/>
          <w:lang w:val="en-US" w:eastAsia="zh-CN"/>
        </w:rPr>
      </w:pPr>
      <w:r>
        <w:rPr>
          <w:rFonts w:hint="default"/>
          <w:lang w:val="en-US" w:eastAsia="zh-CN"/>
        </w:rPr>
        <w:t>年   月   日</w:t>
      </w:r>
    </w:p>
    <w:p w14:paraId="6D670877">
      <w:pPr>
        <w:rPr>
          <w:rFonts w:hint="default"/>
          <w:lang w:val="en-US" w:eastAsia="zh-CN"/>
        </w:rPr>
      </w:pPr>
      <w:r>
        <w:rPr>
          <w:rFonts w:hint="default"/>
          <w:lang w:val="en-US" w:eastAsia="zh-CN"/>
        </w:rPr>
        <w:br w:type="page"/>
      </w:r>
    </w:p>
    <w:p w14:paraId="02FCFE14">
      <w:pPr>
        <w:keepNext w:val="0"/>
        <w:keepLines w:val="0"/>
        <w:pageBreakBefore w:val="0"/>
        <w:widowControl w:val="0"/>
        <w:kinsoku/>
        <w:wordWrap/>
        <w:overflowPunct/>
        <w:topLinePunct w:val="0"/>
        <w:autoSpaceDE/>
        <w:autoSpaceDN/>
        <w:bidi w:val="0"/>
        <w:adjustRightInd/>
        <w:snapToGrid/>
        <w:ind w:firstLine="0" w:firstLineChars="0"/>
        <w:jc w:val="center"/>
        <w:textAlignment w:val="auto"/>
        <w:outlineLvl w:val="1"/>
        <w:rPr>
          <w:rFonts w:hint="eastAsia" w:ascii="Times New Roman" w:hAnsi="Times New Roman"/>
          <w:b/>
          <w:bCs/>
          <w:lang w:val="en-US" w:eastAsia="zh-CN"/>
        </w:rPr>
      </w:pPr>
      <w:bookmarkStart w:id="49" w:name="_Toc25167"/>
      <w:bookmarkStart w:id="50" w:name="_Toc4584"/>
      <w:r>
        <w:rPr>
          <w:rFonts w:hint="eastAsia" w:ascii="Times New Roman" w:hAnsi="Times New Roman"/>
          <w:b/>
          <w:bCs/>
          <w:lang w:val="en-US" w:eastAsia="zh-CN"/>
        </w:rPr>
        <w:t>四、技术文件</w:t>
      </w:r>
      <w:bookmarkEnd w:id="49"/>
      <w:bookmarkEnd w:id="50"/>
    </w:p>
    <w:p w14:paraId="5678E035">
      <w:pPr>
        <w:rPr>
          <w:rFonts w:hint="default" w:ascii="Times New Roman" w:hAnsi="Times New Roman"/>
          <w:lang w:val="en-US" w:eastAsia="zh-CN"/>
        </w:rPr>
      </w:pPr>
      <w:r>
        <w:rPr>
          <w:rFonts w:hint="default" w:ascii="Times New Roman" w:hAnsi="Times New Roman"/>
          <w:lang w:val="en-US" w:eastAsia="zh-CN"/>
        </w:rPr>
        <w:t>包括但不限于以下内容：</w:t>
      </w:r>
    </w:p>
    <w:p w14:paraId="44958D15">
      <w:pPr>
        <w:rPr>
          <w:rFonts w:hint="default" w:ascii="Times New Roman" w:hAnsi="Times New Roman"/>
          <w:lang w:val="en-US" w:eastAsia="zh-CN"/>
        </w:rPr>
      </w:pPr>
      <w:r>
        <w:rPr>
          <w:rFonts w:hint="default" w:ascii="Times New Roman" w:hAnsi="Times New Roman"/>
          <w:lang w:val="en-US" w:eastAsia="zh-CN"/>
        </w:rPr>
        <w:t>1.</w:t>
      </w:r>
      <w:r>
        <w:rPr>
          <w:rFonts w:hint="eastAsia" w:ascii="Times New Roman" w:hAnsi="Times New Roman"/>
          <w:lang w:val="en-US" w:eastAsia="zh-CN"/>
        </w:rPr>
        <w:t>服务方案</w:t>
      </w:r>
      <w:r>
        <w:rPr>
          <w:rFonts w:hint="default" w:ascii="Times New Roman" w:hAnsi="Times New Roman"/>
          <w:lang w:val="en-US" w:eastAsia="zh-CN"/>
        </w:rPr>
        <w:t>。</w:t>
      </w:r>
    </w:p>
    <w:p w14:paraId="78D9D199">
      <w:pPr>
        <w:rPr>
          <w:rFonts w:hint="default" w:ascii="Times New Roman" w:hAnsi="Times New Roman"/>
          <w:lang w:val="en-US" w:eastAsia="zh-CN"/>
        </w:rPr>
      </w:pPr>
      <w:r>
        <w:rPr>
          <w:rFonts w:hint="default" w:ascii="Times New Roman" w:hAnsi="Times New Roman"/>
          <w:lang w:val="en-US" w:eastAsia="zh-CN"/>
        </w:rPr>
        <w:t>2.</w:t>
      </w:r>
      <w:r>
        <w:rPr>
          <w:rFonts w:hint="eastAsia" w:ascii="Times New Roman" w:hAnsi="Times New Roman"/>
          <w:lang w:val="en-US" w:eastAsia="zh-CN"/>
        </w:rPr>
        <w:t>工作时间安排、协调机制及协调方案</w:t>
      </w:r>
      <w:r>
        <w:rPr>
          <w:rFonts w:hint="default" w:ascii="Times New Roman" w:hAnsi="Times New Roman"/>
          <w:lang w:val="en-US" w:eastAsia="zh-CN"/>
        </w:rPr>
        <w:t>。</w:t>
      </w:r>
    </w:p>
    <w:p w14:paraId="496A9E7C">
      <w:pPr>
        <w:rPr>
          <w:rFonts w:hint="default" w:ascii="Times New Roman" w:hAnsi="Times New Roman"/>
          <w:lang w:val="en-US" w:eastAsia="zh-CN"/>
        </w:rPr>
      </w:pPr>
      <w:r>
        <w:rPr>
          <w:rFonts w:hint="default" w:ascii="Times New Roman" w:hAnsi="Times New Roman"/>
          <w:lang w:val="en-US" w:eastAsia="zh-CN"/>
        </w:rPr>
        <w:t>3.</w:t>
      </w:r>
      <w:r>
        <w:rPr>
          <w:rFonts w:hint="eastAsia" w:ascii="Times New Roman" w:hAnsi="Times New Roman"/>
          <w:lang w:val="en-US" w:eastAsia="zh-CN"/>
        </w:rPr>
        <w:t>服务质量承诺及保证措施</w:t>
      </w:r>
      <w:r>
        <w:rPr>
          <w:rFonts w:hint="default" w:ascii="Times New Roman" w:hAnsi="Times New Roman"/>
          <w:lang w:val="en-US" w:eastAsia="zh-CN"/>
        </w:rPr>
        <w:t>。</w:t>
      </w:r>
    </w:p>
    <w:p w14:paraId="28F4AAE1">
      <w:pPr>
        <w:rPr>
          <w:rFonts w:hint="default" w:ascii="Times New Roman" w:hAnsi="Times New Roman"/>
          <w:lang w:val="en-US" w:eastAsia="zh-CN"/>
        </w:rPr>
      </w:pPr>
      <w:r>
        <w:rPr>
          <w:rFonts w:hint="default" w:ascii="Times New Roman" w:hAnsi="Times New Roman"/>
          <w:lang w:val="en-US" w:eastAsia="zh-CN"/>
        </w:rPr>
        <w:t>（以上格式自拟）</w:t>
      </w:r>
    </w:p>
    <w:p w14:paraId="5272D350">
      <w:pPr>
        <w:rPr>
          <w:rFonts w:hint="default" w:ascii="Times New Roman" w:hAnsi="Times New Roman"/>
          <w:lang w:val="en-US" w:eastAsia="zh-CN"/>
        </w:rPr>
      </w:pPr>
      <w:r>
        <w:rPr>
          <w:rFonts w:hint="default" w:ascii="Times New Roman" w:hAnsi="Times New Roman"/>
          <w:lang w:val="en-US" w:eastAsia="zh-CN"/>
        </w:rPr>
        <w:br w:type="page"/>
      </w:r>
    </w:p>
    <w:p w14:paraId="65AE3031">
      <w:pPr>
        <w:keepNext w:val="0"/>
        <w:keepLines w:val="0"/>
        <w:pageBreakBefore w:val="0"/>
        <w:widowControl w:val="0"/>
        <w:kinsoku/>
        <w:wordWrap/>
        <w:overflowPunct/>
        <w:topLinePunct w:val="0"/>
        <w:autoSpaceDE/>
        <w:autoSpaceDN/>
        <w:bidi w:val="0"/>
        <w:adjustRightInd/>
        <w:snapToGrid/>
        <w:ind w:firstLine="0" w:firstLineChars="0"/>
        <w:jc w:val="center"/>
        <w:textAlignment w:val="auto"/>
        <w:outlineLvl w:val="1"/>
        <w:rPr>
          <w:rFonts w:hint="eastAsia" w:ascii="Times New Roman" w:hAnsi="Times New Roman"/>
          <w:b/>
          <w:bCs/>
          <w:lang w:val="en-US" w:eastAsia="zh-CN"/>
        </w:rPr>
      </w:pPr>
      <w:bookmarkStart w:id="51" w:name="_Toc4535"/>
      <w:bookmarkStart w:id="52" w:name="_Toc3530"/>
      <w:r>
        <w:rPr>
          <w:rFonts w:hint="eastAsia" w:ascii="Times New Roman" w:hAnsi="Times New Roman"/>
          <w:b/>
          <w:bCs/>
          <w:lang w:val="en-US" w:eastAsia="zh-CN"/>
        </w:rPr>
        <w:t>五、供应商应提供的其</w:t>
      </w:r>
      <w:r>
        <w:rPr>
          <w:rFonts w:hint="eastAsia"/>
          <w:b/>
          <w:bCs/>
          <w:lang w:val="en-US" w:eastAsia="zh-CN"/>
        </w:rPr>
        <w:t>他</w:t>
      </w:r>
      <w:r>
        <w:rPr>
          <w:rFonts w:hint="eastAsia" w:ascii="Times New Roman" w:hAnsi="Times New Roman"/>
          <w:b/>
          <w:bCs/>
          <w:lang w:val="en-US" w:eastAsia="zh-CN"/>
        </w:rPr>
        <w:t>资料</w:t>
      </w:r>
      <w:bookmarkEnd w:id="51"/>
      <w:bookmarkEnd w:id="52"/>
    </w:p>
    <w:p w14:paraId="349D41F2">
      <w:pPr>
        <w:rPr>
          <w:rFonts w:hint="default" w:ascii="Times New Roman" w:hAnsi="Times New Roman"/>
          <w:lang w:val="en-US" w:eastAsia="zh-CN"/>
        </w:rPr>
      </w:pPr>
      <w:r>
        <w:rPr>
          <w:rFonts w:hint="eastAsia" w:ascii="Times New Roman" w:hAnsi="Times New Roman"/>
          <w:lang w:val="en-US" w:eastAsia="zh-CN"/>
        </w:rPr>
        <w:t>询比采购</w:t>
      </w:r>
      <w:r>
        <w:rPr>
          <w:rFonts w:hint="default" w:ascii="Times New Roman" w:hAnsi="Times New Roman"/>
          <w:lang w:val="en-US" w:eastAsia="zh-CN"/>
        </w:rPr>
        <w:t>文件规定及</w:t>
      </w:r>
      <w:r>
        <w:rPr>
          <w:rFonts w:hint="eastAsia" w:ascii="Times New Roman" w:hAnsi="Times New Roman"/>
          <w:lang w:val="en-US" w:eastAsia="zh-CN"/>
        </w:rPr>
        <w:t>供应商</w:t>
      </w:r>
      <w:r>
        <w:rPr>
          <w:rFonts w:hint="default" w:ascii="Times New Roman" w:hAnsi="Times New Roman"/>
          <w:lang w:val="en-US" w:eastAsia="zh-CN"/>
        </w:rPr>
        <w:t>认为应提供的</w:t>
      </w:r>
      <w:r>
        <w:rPr>
          <w:rFonts w:hint="eastAsia" w:ascii="Times New Roman" w:hAnsi="Times New Roman"/>
          <w:b w:val="0"/>
          <w:bCs w:val="0"/>
          <w:lang w:val="en-US" w:eastAsia="zh-CN"/>
        </w:rPr>
        <w:t>其他</w:t>
      </w:r>
      <w:r>
        <w:rPr>
          <w:rFonts w:hint="default" w:ascii="Times New Roman" w:hAnsi="Times New Roman"/>
          <w:lang w:val="en-US" w:eastAsia="zh-CN"/>
        </w:rPr>
        <w:t>资料。</w:t>
      </w:r>
    </w:p>
    <w:p w14:paraId="2C08AFEF">
      <w:pPr>
        <w:rPr>
          <w:rFonts w:hint="default" w:ascii="Times New Roman" w:hAnsi="Times New Roman"/>
          <w:lang w:val="en-US" w:eastAsia="zh-CN"/>
        </w:rPr>
      </w:pPr>
      <w:r>
        <w:rPr>
          <w:rFonts w:hint="default" w:ascii="Times New Roman" w:hAnsi="Times New Roman"/>
          <w:lang w:val="en-US" w:eastAsia="zh-CN"/>
        </w:rPr>
        <w:br w:type="page"/>
      </w:r>
    </w:p>
    <w:p w14:paraId="37F55AFC">
      <w:pPr>
        <w:rPr>
          <w:rFonts w:hint="default" w:ascii="Times New Roman" w:hAnsi="Times New Roman"/>
          <w:lang w:val="en-US" w:eastAsia="zh-CN"/>
        </w:rPr>
        <w:sectPr>
          <w:pgSz w:w="11906" w:h="16838"/>
          <w:pgMar w:top="2098" w:right="1474" w:bottom="1984" w:left="1587" w:header="851" w:footer="992" w:gutter="0"/>
          <w:cols w:space="0" w:num="1"/>
          <w:rtlGutter w:val="0"/>
          <w:docGrid w:type="lines" w:linePitch="327" w:charSpace="0"/>
        </w:sectPr>
      </w:pPr>
    </w:p>
    <w:p w14:paraId="3BE617EF">
      <w:pPr>
        <w:pStyle w:val="3"/>
        <w:bidi w:val="0"/>
        <w:rPr>
          <w:rFonts w:hint="default"/>
          <w:lang w:val="en-US" w:eastAsia="zh-CN"/>
        </w:rPr>
      </w:pPr>
      <w:bookmarkStart w:id="53" w:name="_Toc16339"/>
      <w:bookmarkStart w:id="54" w:name="_Toc23717"/>
      <w:r>
        <w:rPr>
          <w:rFonts w:hint="default"/>
          <w:lang w:val="en-US" w:eastAsia="zh-CN"/>
        </w:rPr>
        <w:t>第六章 合同条款及格式</w:t>
      </w:r>
      <w:bookmarkEnd w:id="53"/>
      <w:bookmarkEnd w:id="54"/>
    </w:p>
    <w:p w14:paraId="0D952E49">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b/>
          <w:bCs/>
          <w:lang w:val="en-US" w:eastAsia="zh-CN"/>
        </w:rPr>
      </w:pPr>
      <w:r>
        <w:rPr>
          <w:rFonts w:hint="default"/>
          <w:b/>
          <w:bCs/>
          <w:lang w:val="en-US" w:eastAsia="zh-CN"/>
        </w:rPr>
        <w:t>甲方合同编号：</w:t>
      </w:r>
    </w:p>
    <w:p w14:paraId="041CF2E8">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b/>
          <w:bCs/>
          <w:lang w:val="en-US" w:eastAsia="zh-CN"/>
        </w:rPr>
      </w:pPr>
      <w:r>
        <w:rPr>
          <w:rFonts w:hint="default"/>
          <w:b/>
          <w:bCs/>
          <w:lang w:val="en-US" w:eastAsia="zh-CN"/>
        </w:rPr>
        <w:t>乙方合同编号：</w:t>
      </w:r>
    </w:p>
    <w:p w14:paraId="280D319A">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b/>
          <w:bCs/>
          <w:lang w:val="en-US" w:eastAsia="zh-CN"/>
        </w:rPr>
      </w:pPr>
      <w:r>
        <w:rPr>
          <w:rFonts w:hint="eastAsia"/>
          <w:b/>
          <w:bCs/>
          <w:lang w:val="en-US" w:eastAsia="zh-CN"/>
        </w:rPr>
        <w:t>丙</w:t>
      </w:r>
      <w:r>
        <w:rPr>
          <w:rFonts w:hint="default"/>
          <w:b/>
          <w:bCs/>
          <w:lang w:val="en-US" w:eastAsia="zh-CN"/>
        </w:rPr>
        <w:t>方合同编号：</w:t>
      </w:r>
    </w:p>
    <w:p w14:paraId="2618CF2C">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lang w:val="en-US" w:eastAsia="zh-CN"/>
        </w:rPr>
      </w:pPr>
      <w:r>
        <w:rPr>
          <w:rFonts w:hint="eastAsia"/>
          <w:b/>
          <w:bCs/>
          <w:lang w:val="en-US" w:eastAsia="zh-CN"/>
        </w:rPr>
        <w:t>丁</w:t>
      </w:r>
      <w:r>
        <w:rPr>
          <w:rFonts w:hint="default"/>
          <w:b/>
          <w:bCs/>
          <w:lang w:val="en-US" w:eastAsia="zh-CN"/>
        </w:rPr>
        <w:t>方合同编号：</w:t>
      </w:r>
    </w:p>
    <w:p w14:paraId="09A2EA1F">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b/>
          <w:bCs/>
          <w:lang w:val="en-US" w:eastAsia="zh-CN"/>
        </w:rPr>
      </w:pPr>
    </w:p>
    <w:p w14:paraId="11D83D5B">
      <w:pPr>
        <w:ind w:left="0" w:leftChars="0" w:firstLine="0" w:firstLineChars="0"/>
        <w:rPr>
          <w:rFonts w:hint="default"/>
          <w:lang w:val="en-US" w:eastAsia="zh-CN"/>
        </w:rPr>
      </w:pPr>
    </w:p>
    <w:p w14:paraId="359DBEE6">
      <w:pPr>
        <w:ind w:left="0" w:leftChars="0" w:firstLine="0" w:firstLineChars="0"/>
        <w:rPr>
          <w:rFonts w:hint="default"/>
          <w:lang w:val="en-US" w:eastAsia="zh-CN"/>
        </w:rPr>
      </w:pPr>
    </w:p>
    <w:p w14:paraId="6BCD6395">
      <w:pPr>
        <w:ind w:left="0" w:leftChars="0" w:firstLine="0" w:firstLineChars="0"/>
        <w:rPr>
          <w:rFonts w:hint="default"/>
          <w:lang w:val="en-US" w:eastAsia="zh-CN"/>
        </w:rPr>
      </w:pPr>
    </w:p>
    <w:p w14:paraId="081763F4">
      <w:pPr>
        <w:keepNext w:val="0"/>
        <w:keepLines w:val="0"/>
        <w:pageBreakBefore w:val="0"/>
        <w:widowControl w:val="0"/>
        <w:kinsoku/>
        <w:wordWrap/>
        <w:overflowPunct/>
        <w:topLinePunct w:val="0"/>
        <w:autoSpaceDE/>
        <w:autoSpaceDN/>
        <w:bidi w:val="0"/>
        <w:adjustRightInd/>
        <w:snapToGrid/>
        <w:spacing w:line="800" w:lineRule="exact"/>
        <w:ind w:firstLine="0" w:firstLineChars="0"/>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云南能源资产运营管理有限公司及所属公司投资性房地产价值评估服务合同</w:t>
      </w:r>
    </w:p>
    <w:p w14:paraId="214DE52E">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方正小标宋_GBK" w:hAnsi="方正小标宋_GBK" w:eastAsia="方正小标宋_GBK" w:cs="方正小标宋_GBK"/>
          <w:sz w:val="36"/>
          <w:szCs w:val="36"/>
          <w:lang w:val="en-US" w:eastAsia="zh-CN"/>
        </w:rPr>
      </w:pPr>
    </w:p>
    <w:p w14:paraId="4CBC00AB">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方正小标宋_GBK" w:hAnsi="方正小标宋_GBK" w:eastAsia="方正小标宋_GBK" w:cs="方正小标宋_GBK"/>
          <w:sz w:val="36"/>
          <w:szCs w:val="36"/>
          <w:lang w:val="en-US" w:eastAsia="zh-CN"/>
        </w:rPr>
      </w:pPr>
    </w:p>
    <w:p w14:paraId="07171D3F">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方正小标宋_GBK" w:hAnsi="方正小标宋_GBK" w:eastAsia="方正小标宋_GBK" w:cs="方正小标宋_GBK"/>
          <w:sz w:val="36"/>
          <w:szCs w:val="36"/>
          <w:lang w:val="en-US" w:eastAsia="zh-CN"/>
        </w:rPr>
      </w:pPr>
    </w:p>
    <w:p w14:paraId="15C9BF48">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宋体" w:cs="Times New Roman"/>
          <w:b/>
          <w:bCs/>
          <w:color w:val="auto"/>
          <w:sz w:val="28"/>
          <w:szCs w:val="28"/>
          <w:highlight w:val="none"/>
          <w:lang w:eastAsia="zh-CN"/>
        </w:rPr>
      </w:pPr>
      <w:r>
        <w:rPr>
          <w:rFonts w:hint="default" w:ascii="Times New Roman" w:hAnsi="Times New Roman" w:cs="Times New Roman"/>
          <w:b/>
          <w:bCs/>
          <w:color w:val="auto"/>
          <w:sz w:val="28"/>
          <w:szCs w:val="28"/>
          <w:highlight w:val="none"/>
          <w:lang w:eastAsia="zh-CN"/>
        </w:rPr>
        <w:t>甲方（委托人）</w:t>
      </w:r>
      <w:r>
        <w:rPr>
          <w:rFonts w:hint="default" w:ascii="Times New Roman" w:hAnsi="Times New Roman" w:cs="Times New Roman"/>
          <w:b/>
          <w:bCs/>
          <w:color w:val="auto"/>
          <w:sz w:val="28"/>
          <w:szCs w:val="28"/>
          <w:highlight w:val="none"/>
        </w:rPr>
        <w:t>：</w:t>
      </w:r>
      <w:r>
        <w:rPr>
          <w:rFonts w:hint="default" w:ascii="Times New Roman" w:hAnsi="Times New Roman" w:cs="Times New Roman"/>
          <w:b/>
          <w:bCs/>
          <w:color w:val="auto"/>
          <w:sz w:val="28"/>
          <w:szCs w:val="28"/>
          <w:highlight w:val="none"/>
          <w:lang w:eastAsia="zh-CN"/>
        </w:rPr>
        <w:t>云南能源资产运营管理有限公司</w:t>
      </w:r>
    </w:p>
    <w:p w14:paraId="07A23ED7">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cs="Times New Roman"/>
          <w:b/>
          <w:bCs/>
          <w:color w:val="auto"/>
          <w:sz w:val="28"/>
          <w:szCs w:val="28"/>
          <w:highlight w:val="none"/>
        </w:rPr>
      </w:pPr>
      <w:r>
        <w:rPr>
          <w:rFonts w:hint="default" w:ascii="Times New Roman" w:hAnsi="Times New Roman" w:cs="Times New Roman"/>
          <w:b/>
          <w:bCs/>
          <w:color w:val="auto"/>
          <w:sz w:val="28"/>
          <w:szCs w:val="28"/>
          <w:highlight w:val="none"/>
          <w:lang w:eastAsia="zh-CN"/>
        </w:rPr>
        <w:t>乙方（委托人）</w:t>
      </w:r>
      <w:r>
        <w:rPr>
          <w:rFonts w:hint="default" w:ascii="Times New Roman" w:hAnsi="Times New Roman" w:cs="Times New Roman"/>
          <w:b/>
          <w:bCs/>
          <w:color w:val="auto"/>
          <w:sz w:val="28"/>
          <w:szCs w:val="28"/>
          <w:highlight w:val="none"/>
        </w:rPr>
        <w:t>：云南能投红河电力储能园区开发有限公司</w:t>
      </w:r>
    </w:p>
    <w:p w14:paraId="78D046C1">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cs="Times New Roman"/>
          <w:b/>
          <w:bCs/>
          <w:color w:val="auto"/>
          <w:sz w:val="28"/>
          <w:szCs w:val="28"/>
          <w:highlight w:val="none"/>
          <w:lang w:eastAsia="zh-CN"/>
        </w:rPr>
      </w:pPr>
      <w:r>
        <w:rPr>
          <w:rFonts w:hint="eastAsia" w:cs="Times New Roman"/>
          <w:b/>
          <w:bCs/>
          <w:color w:val="auto"/>
          <w:sz w:val="28"/>
          <w:szCs w:val="28"/>
          <w:highlight w:val="none"/>
          <w:lang w:val="en-US" w:eastAsia="zh-CN"/>
        </w:rPr>
        <w:t>丙</w:t>
      </w:r>
      <w:r>
        <w:rPr>
          <w:rFonts w:hint="default" w:ascii="Times New Roman" w:hAnsi="Times New Roman" w:cs="Times New Roman"/>
          <w:b/>
          <w:bCs/>
          <w:color w:val="auto"/>
          <w:sz w:val="28"/>
          <w:szCs w:val="28"/>
          <w:highlight w:val="none"/>
          <w:lang w:eastAsia="zh-CN"/>
        </w:rPr>
        <w:t>方（委托人）：云南居正健康管理有限公司</w:t>
      </w:r>
    </w:p>
    <w:p w14:paraId="4C1F13E8">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cs="Times New Roman"/>
          <w:b/>
          <w:bCs/>
          <w:color w:val="auto"/>
          <w:sz w:val="28"/>
          <w:szCs w:val="28"/>
          <w:highlight w:val="none"/>
          <w:lang w:eastAsia="zh-CN"/>
        </w:rPr>
      </w:pPr>
      <w:r>
        <w:rPr>
          <w:rFonts w:hint="eastAsia" w:cs="Times New Roman"/>
          <w:b/>
          <w:bCs/>
          <w:color w:val="auto"/>
          <w:sz w:val="28"/>
          <w:szCs w:val="28"/>
          <w:highlight w:val="none"/>
          <w:lang w:val="en-US" w:eastAsia="zh-CN"/>
        </w:rPr>
        <w:t>丁</w:t>
      </w:r>
      <w:r>
        <w:rPr>
          <w:rFonts w:hint="default" w:ascii="Times New Roman" w:hAnsi="Times New Roman" w:cs="Times New Roman"/>
          <w:b/>
          <w:bCs/>
          <w:color w:val="auto"/>
          <w:sz w:val="28"/>
          <w:szCs w:val="28"/>
          <w:highlight w:val="none"/>
          <w:lang w:eastAsia="zh-CN"/>
        </w:rPr>
        <w:t>方（受托人）：</w:t>
      </w:r>
    </w:p>
    <w:p w14:paraId="39563B32">
      <w:pPr>
        <w:pStyle w:val="17"/>
        <w:rPr>
          <w:rFonts w:hint="default"/>
          <w:lang w:eastAsia="zh-CN"/>
        </w:rPr>
      </w:pPr>
    </w:p>
    <w:p w14:paraId="74C00ABD">
      <w:pPr>
        <w:spacing w:line="360" w:lineRule="auto"/>
        <w:ind w:left="0" w:leftChars="0" w:firstLine="0" w:firstLineChars="0"/>
        <w:jc w:val="center"/>
        <w:rPr>
          <w:rFonts w:hint="default" w:ascii="Times New Roman" w:hAnsi="Times New Roman" w:eastAsia="宋体" w:cs="Times New Roman"/>
          <w:b/>
          <w:bCs/>
          <w:color w:val="auto"/>
          <w:sz w:val="28"/>
          <w:szCs w:val="28"/>
          <w:highlight w:val="none"/>
          <w:lang w:val="en-US" w:eastAsia="zh-CN"/>
        </w:rPr>
      </w:pPr>
      <w:r>
        <w:rPr>
          <w:rFonts w:hint="default" w:ascii="Times New Roman" w:hAnsi="Times New Roman" w:cs="Times New Roman"/>
          <w:b/>
          <w:bCs/>
          <w:color w:val="auto"/>
          <w:sz w:val="28"/>
          <w:szCs w:val="28"/>
          <w:highlight w:val="none"/>
        </w:rPr>
        <w:t>合</w:t>
      </w:r>
      <w:r>
        <w:rPr>
          <w:rFonts w:hint="default" w:ascii="Times New Roman" w:hAnsi="Times New Roman" w:cs="Times New Roman"/>
          <w:b/>
          <w:bCs/>
          <w:color w:val="auto"/>
          <w:sz w:val="28"/>
          <w:szCs w:val="28"/>
          <w:highlight w:val="none"/>
          <w:lang w:val="en-US" w:eastAsia="zh-CN"/>
        </w:rPr>
        <w:t xml:space="preserve"> </w:t>
      </w:r>
      <w:r>
        <w:rPr>
          <w:rFonts w:hint="default" w:ascii="Times New Roman" w:hAnsi="Times New Roman" w:cs="Times New Roman"/>
          <w:b/>
          <w:bCs/>
          <w:color w:val="auto"/>
          <w:sz w:val="28"/>
          <w:szCs w:val="28"/>
          <w:highlight w:val="none"/>
        </w:rPr>
        <w:t>同</w:t>
      </w:r>
      <w:r>
        <w:rPr>
          <w:rFonts w:hint="default" w:ascii="Times New Roman" w:hAnsi="Times New Roman" w:cs="Times New Roman"/>
          <w:b/>
          <w:bCs/>
          <w:color w:val="auto"/>
          <w:sz w:val="28"/>
          <w:szCs w:val="28"/>
          <w:highlight w:val="none"/>
          <w:lang w:val="en-US" w:eastAsia="zh-CN"/>
        </w:rPr>
        <w:t xml:space="preserve"> </w:t>
      </w:r>
      <w:r>
        <w:rPr>
          <w:rFonts w:hint="default" w:ascii="Times New Roman" w:hAnsi="Times New Roman" w:cs="Times New Roman"/>
          <w:b/>
          <w:bCs/>
          <w:color w:val="auto"/>
          <w:sz w:val="28"/>
          <w:szCs w:val="28"/>
          <w:highlight w:val="none"/>
        </w:rPr>
        <w:t>签</w:t>
      </w:r>
      <w:r>
        <w:rPr>
          <w:rFonts w:hint="default" w:ascii="Times New Roman" w:hAnsi="Times New Roman" w:cs="Times New Roman"/>
          <w:b/>
          <w:bCs/>
          <w:color w:val="auto"/>
          <w:sz w:val="28"/>
          <w:szCs w:val="28"/>
          <w:highlight w:val="none"/>
          <w:lang w:val="en-US" w:eastAsia="zh-CN"/>
        </w:rPr>
        <w:t xml:space="preserve"> </w:t>
      </w:r>
      <w:r>
        <w:rPr>
          <w:rFonts w:hint="default" w:ascii="Times New Roman" w:hAnsi="Times New Roman" w:cs="Times New Roman"/>
          <w:b/>
          <w:bCs/>
          <w:color w:val="auto"/>
          <w:sz w:val="28"/>
          <w:szCs w:val="28"/>
          <w:highlight w:val="none"/>
        </w:rPr>
        <w:t>订</w:t>
      </w:r>
      <w:r>
        <w:rPr>
          <w:rFonts w:hint="default" w:ascii="Times New Roman" w:hAnsi="Times New Roman" w:cs="Times New Roman"/>
          <w:b/>
          <w:bCs/>
          <w:color w:val="auto"/>
          <w:sz w:val="28"/>
          <w:szCs w:val="28"/>
          <w:highlight w:val="none"/>
          <w:lang w:val="en-US" w:eastAsia="zh-CN"/>
        </w:rPr>
        <w:t xml:space="preserve"> </w:t>
      </w:r>
      <w:r>
        <w:rPr>
          <w:rFonts w:hint="default" w:ascii="Times New Roman" w:hAnsi="Times New Roman" w:cs="Times New Roman"/>
          <w:b/>
          <w:bCs/>
          <w:color w:val="auto"/>
          <w:sz w:val="28"/>
          <w:szCs w:val="28"/>
          <w:highlight w:val="none"/>
        </w:rPr>
        <w:t>地：</w:t>
      </w:r>
      <w:r>
        <w:rPr>
          <w:rFonts w:hint="default" w:ascii="Times New Roman" w:hAnsi="Times New Roman" w:cs="Times New Roman"/>
          <w:b/>
          <w:bCs/>
          <w:color w:val="auto"/>
          <w:sz w:val="28"/>
          <w:szCs w:val="28"/>
          <w:highlight w:val="none"/>
          <w:lang w:eastAsia="zh-CN"/>
        </w:rPr>
        <w:t>云南</w:t>
      </w:r>
      <w:r>
        <w:rPr>
          <w:rFonts w:hint="default" w:ascii="Times New Roman" w:hAnsi="Times New Roman" w:cs="Times New Roman"/>
          <w:b/>
          <w:bCs/>
          <w:color w:val="auto"/>
          <w:sz w:val="28"/>
          <w:szCs w:val="28"/>
          <w:highlight w:val="none"/>
          <w:lang w:val="en-US" w:eastAsia="zh-CN"/>
        </w:rPr>
        <w:t xml:space="preserve">  昆明</w:t>
      </w:r>
    </w:p>
    <w:p w14:paraId="617CF91E">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default" w:ascii="Times New Roman" w:hAnsi="Times New Roman" w:cs="Times New Roman"/>
          <w:b/>
          <w:bCs/>
          <w:color w:val="auto"/>
          <w:sz w:val="28"/>
          <w:szCs w:val="28"/>
          <w:highlight w:val="none"/>
        </w:rPr>
      </w:pPr>
      <w:r>
        <w:rPr>
          <w:rFonts w:hint="default" w:ascii="Times New Roman" w:hAnsi="Times New Roman" w:cs="Times New Roman"/>
          <w:b/>
          <w:bCs/>
          <w:color w:val="auto"/>
          <w:sz w:val="28"/>
          <w:szCs w:val="28"/>
          <w:highlight w:val="none"/>
        </w:rPr>
        <w:t>202</w:t>
      </w:r>
      <w:r>
        <w:rPr>
          <w:rFonts w:hint="eastAsia" w:ascii="Times New Roman" w:hAnsi="Times New Roman" w:cs="Times New Roman"/>
          <w:b/>
          <w:bCs/>
          <w:color w:val="auto"/>
          <w:sz w:val="28"/>
          <w:szCs w:val="28"/>
          <w:highlight w:val="none"/>
          <w:lang w:val="en-US" w:eastAsia="zh-CN"/>
        </w:rPr>
        <w:t>6</w:t>
      </w:r>
      <w:r>
        <w:rPr>
          <w:rFonts w:hint="default" w:ascii="Times New Roman" w:hAnsi="Times New Roman" w:cs="Times New Roman"/>
          <w:b/>
          <w:bCs/>
          <w:color w:val="auto"/>
          <w:sz w:val="28"/>
          <w:szCs w:val="28"/>
          <w:highlight w:val="none"/>
        </w:rPr>
        <w:t>年</w:t>
      </w:r>
      <w:r>
        <w:rPr>
          <w:rFonts w:hint="eastAsia" w:cs="Times New Roman"/>
          <w:b/>
          <w:bCs/>
          <w:color w:val="auto"/>
          <w:sz w:val="28"/>
          <w:szCs w:val="28"/>
          <w:highlight w:val="none"/>
          <w:lang w:val="en-US" w:eastAsia="zh-CN"/>
        </w:rPr>
        <w:t>10</w:t>
      </w:r>
      <w:r>
        <w:rPr>
          <w:rFonts w:hint="default" w:ascii="Times New Roman" w:hAnsi="Times New Roman" w:cs="Times New Roman"/>
          <w:b/>
          <w:bCs/>
          <w:color w:val="auto"/>
          <w:sz w:val="28"/>
          <w:szCs w:val="28"/>
          <w:highlight w:val="none"/>
        </w:rPr>
        <w:t>月  日</w:t>
      </w:r>
      <w:r>
        <w:rPr>
          <w:rFonts w:hint="default" w:ascii="Times New Roman" w:hAnsi="Times New Roman" w:cs="Times New Roman"/>
          <w:b/>
          <w:bCs/>
          <w:color w:val="auto"/>
          <w:sz w:val="28"/>
          <w:szCs w:val="28"/>
          <w:highlight w:val="none"/>
        </w:rPr>
        <w:br w:type="page"/>
      </w:r>
    </w:p>
    <w:p w14:paraId="484AC3E4">
      <w:pPr>
        <w:rPr>
          <w:rFonts w:hint="default" w:ascii="Times New Roman" w:hAnsi="Times New Roman"/>
          <w:lang w:val="en-US" w:eastAsia="zh-CN"/>
        </w:rPr>
      </w:pPr>
      <w:r>
        <w:rPr>
          <w:rFonts w:hint="default" w:ascii="Times New Roman" w:hAnsi="Times New Roman"/>
          <w:b/>
          <w:bCs/>
          <w:lang w:val="en-US" w:eastAsia="zh-CN"/>
        </w:rPr>
        <w:t>甲方（委托人）：</w:t>
      </w:r>
      <w:r>
        <w:rPr>
          <w:rFonts w:hint="default" w:ascii="Times New Roman" w:hAnsi="Times New Roman"/>
          <w:u w:val="single"/>
          <w:lang w:val="en-US" w:eastAsia="zh-CN"/>
        </w:rPr>
        <w:t>云南能源资产运营管理有限公司</w:t>
      </w:r>
    </w:p>
    <w:p w14:paraId="0B2207C5">
      <w:pPr>
        <w:rPr>
          <w:rFonts w:hint="default" w:ascii="Times New Roman" w:hAnsi="Times New Roman"/>
          <w:lang w:val="en-US" w:eastAsia="zh-CN"/>
        </w:rPr>
      </w:pPr>
      <w:r>
        <w:rPr>
          <w:rFonts w:hint="default" w:ascii="Times New Roman" w:hAnsi="Times New Roman"/>
          <w:b/>
          <w:bCs/>
          <w:lang w:val="en-US" w:eastAsia="zh-CN"/>
        </w:rPr>
        <w:t>乙方（委托人）：</w:t>
      </w:r>
      <w:r>
        <w:rPr>
          <w:rFonts w:hint="default" w:ascii="Times New Roman" w:hAnsi="Times New Roman"/>
          <w:u w:val="single"/>
          <w:lang w:val="en-US" w:eastAsia="zh-CN"/>
        </w:rPr>
        <w:t>云南能投红河电力储能园区开发有限公司</w:t>
      </w:r>
    </w:p>
    <w:p w14:paraId="224C8F60">
      <w:pPr>
        <w:rPr>
          <w:rFonts w:hint="default" w:ascii="Times New Roman" w:hAnsi="Times New Roman"/>
          <w:lang w:val="en-US" w:eastAsia="zh-CN"/>
        </w:rPr>
      </w:pPr>
      <w:r>
        <w:rPr>
          <w:rFonts w:hint="default" w:ascii="Times New Roman" w:hAnsi="Times New Roman"/>
          <w:b/>
          <w:bCs/>
          <w:lang w:val="en-US" w:eastAsia="zh-CN"/>
        </w:rPr>
        <w:t>丙方（委托人）：</w:t>
      </w:r>
      <w:r>
        <w:rPr>
          <w:rFonts w:hint="default" w:ascii="Times New Roman" w:hAnsi="Times New Roman"/>
          <w:u w:val="single"/>
          <w:lang w:val="en-US" w:eastAsia="zh-CN"/>
        </w:rPr>
        <w:t>云南居正健康管理有限公司</w:t>
      </w:r>
    </w:p>
    <w:p w14:paraId="45F9554B">
      <w:pPr>
        <w:rPr>
          <w:rFonts w:hint="default" w:ascii="Times New Roman" w:hAnsi="Times New Roman"/>
          <w:lang w:val="en-US" w:eastAsia="zh-CN"/>
        </w:rPr>
      </w:pPr>
      <w:r>
        <w:rPr>
          <w:rFonts w:hint="default" w:ascii="Times New Roman" w:hAnsi="Times New Roman"/>
          <w:b/>
          <w:bCs/>
          <w:lang w:val="en-US" w:eastAsia="zh-CN"/>
        </w:rPr>
        <w:t>丁方（受托人）：</w:t>
      </w:r>
      <w:r>
        <w:rPr>
          <w:rFonts w:hint="default" w:ascii="Times New Roman" w:hAnsi="Times New Roman"/>
          <w:u w:val="single"/>
          <w:lang w:val="en-US" w:eastAsia="zh-CN"/>
        </w:rPr>
        <w:t xml:space="preserve">                        </w:t>
      </w:r>
    </w:p>
    <w:p w14:paraId="507E0C8D">
      <w:pPr>
        <w:pStyle w:val="17"/>
        <w:rPr>
          <w:rFonts w:hint="default"/>
          <w:lang w:val="en-US" w:eastAsia="zh-CN"/>
        </w:rPr>
      </w:pPr>
    </w:p>
    <w:p w14:paraId="047A337F">
      <w:pPr>
        <w:rPr>
          <w:rFonts w:hint="default" w:ascii="Times New Roman" w:hAnsi="Times New Roman"/>
          <w:lang w:val="en-US" w:eastAsia="zh-CN"/>
        </w:rPr>
      </w:pPr>
      <w:r>
        <w:rPr>
          <w:rFonts w:hint="default" w:ascii="Times New Roman" w:hAnsi="Times New Roman"/>
          <w:b/>
          <w:bCs/>
          <w:lang w:val="en-US" w:eastAsia="zh-CN"/>
        </w:rPr>
        <w:t>一、委托项目名称：</w:t>
      </w:r>
      <w:r>
        <w:rPr>
          <w:rFonts w:hint="default" w:ascii="Times New Roman" w:hAnsi="Times New Roman"/>
          <w:lang w:val="en-US" w:eastAsia="zh-CN"/>
        </w:rPr>
        <w:t>云南能源资产运营管理有限公司及所属公司投资性房地产资产价值评估项目。</w:t>
      </w:r>
    </w:p>
    <w:p w14:paraId="5C9B5901">
      <w:pPr>
        <w:rPr>
          <w:rFonts w:hint="default" w:ascii="Times New Roman" w:hAnsi="Times New Roman"/>
          <w:lang w:val="en-US" w:eastAsia="zh-CN"/>
        </w:rPr>
      </w:pPr>
      <w:r>
        <w:rPr>
          <w:rFonts w:hint="default" w:ascii="Times New Roman" w:hAnsi="Times New Roman"/>
          <w:b/>
          <w:bCs/>
          <w:lang w:val="en-US" w:eastAsia="zh-CN"/>
        </w:rPr>
        <w:t>二、评估目的：</w:t>
      </w:r>
      <w:r>
        <w:rPr>
          <w:rFonts w:hint="default" w:ascii="Times New Roman" w:hAnsi="Times New Roman"/>
          <w:lang w:val="en-US" w:eastAsia="zh-CN"/>
        </w:rPr>
        <w:t>对云南能源资产运营管理有限公司及所属公司投资性房地产资产价值评估。</w:t>
      </w:r>
    </w:p>
    <w:p w14:paraId="7BC35505">
      <w:pPr>
        <w:rPr>
          <w:rFonts w:hint="default" w:ascii="Times New Roman" w:hAnsi="Times New Roman"/>
          <w:b/>
          <w:bCs/>
          <w:lang w:val="en-US" w:eastAsia="zh-CN"/>
        </w:rPr>
      </w:pPr>
      <w:r>
        <w:rPr>
          <w:rFonts w:hint="default" w:ascii="Times New Roman" w:hAnsi="Times New Roman"/>
          <w:b/>
          <w:bCs/>
          <w:lang w:val="en-US" w:eastAsia="zh-CN"/>
        </w:rPr>
        <w:t>三、评估对象和评估范围：</w:t>
      </w:r>
    </w:p>
    <w:tbl>
      <w:tblPr>
        <w:tblStyle w:val="18"/>
        <w:tblpPr w:leftFromText="180" w:rightFromText="180" w:vertAnchor="text" w:horzAnchor="page" w:tblpX="1533" w:tblpY="399"/>
        <w:tblOverlap w:val="never"/>
        <w:tblW w:w="906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98"/>
        <w:gridCol w:w="7183"/>
        <w:gridCol w:w="1180"/>
      </w:tblGrid>
      <w:tr w14:paraId="0F473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98" w:type="dxa"/>
            <w:tcBorders>
              <w:top w:val="single" w:color="000000" w:sz="4" w:space="0"/>
              <w:left w:val="single" w:color="000000" w:sz="4" w:space="0"/>
              <w:bottom w:val="single" w:color="000000" w:sz="4" w:space="0"/>
              <w:right w:val="single" w:color="000000" w:sz="4" w:space="0"/>
            </w:tcBorders>
            <w:noWrap/>
            <w:vAlign w:val="center"/>
          </w:tcPr>
          <w:p w14:paraId="421B81F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ascii="方正楷体_GB2312" w:hAnsi="方正楷体_GB2312" w:eastAsia="方正楷体_GB2312" w:cs="方正楷体_GB2312"/>
                <w:b/>
                <w:bCs/>
                <w:i w:val="0"/>
                <w:iCs w:val="0"/>
                <w:color w:val="000000"/>
                <w:sz w:val="24"/>
                <w:szCs w:val="24"/>
                <w:u w:val="none"/>
              </w:rPr>
            </w:pPr>
            <w:r>
              <w:rPr>
                <w:rFonts w:hint="eastAsia" w:ascii="方正楷体_GB2312" w:hAnsi="方正楷体_GB2312" w:eastAsia="方正楷体_GB2312" w:cs="方正楷体_GB2312"/>
                <w:b/>
                <w:bCs/>
                <w:i w:val="0"/>
                <w:iCs w:val="0"/>
                <w:color w:val="000000"/>
                <w:kern w:val="0"/>
                <w:sz w:val="24"/>
                <w:szCs w:val="24"/>
                <w:u w:val="none"/>
                <w:lang w:val="en-US" w:eastAsia="zh-CN" w:bidi="ar"/>
              </w:rPr>
              <w:t>序号</w:t>
            </w:r>
          </w:p>
        </w:tc>
        <w:tc>
          <w:tcPr>
            <w:tcW w:w="7183" w:type="dxa"/>
            <w:tcBorders>
              <w:top w:val="single" w:color="000000" w:sz="4" w:space="0"/>
              <w:left w:val="single" w:color="000000" w:sz="4" w:space="0"/>
              <w:bottom w:val="single" w:color="000000" w:sz="4" w:space="0"/>
              <w:right w:val="single" w:color="000000" w:sz="4" w:space="0"/>
            </w:tcBorders>
            <w:noWrap w:val="0"/>
            <w:vAlign w:val="center"/>
          </w:tcPr>
          <w:p w14:paraId="737F61F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方正楷体_GB2312" w:hAnsi="方正楷体_GB2312" w:eastAsia="方正楷体_GB2312" w:cs="方正楷体_GB2312"/>
                <w:b/>
                <w:bCs/>
                <w:i w:val="0"/>
                <w:iCs w:val="0"/>
                <w:color w:val="000000"/>
                <w:sz w:val="24"/>
                <w:szCs w:val="24"/>
                <w:u w:val="none"/>
              </w:rPr>
            </w:pPr>
            <w:r>
              <w:rPr>
                <w:rFonts w:hint="eastAsia" w:ascii="方正楷体_GB2312" w:hAnsi="方正楷体_GB2312" w:eastAsia="方正楷体_GB2312" w:cs="方正楷体_GB2312"/>
                <w:b/>
                <w:bCs/>
                <w:i w:val="0"/>
                <w:iCs w:val="0"/>
                <w:color w:val="000000"/>
                <w:kern w:val="0"/>
                <w:sz w:val="24"/>
                <w:szCs w:val="24"/>
                <w:u w:val="none"/>
                <w:lang w:val="en-US" w:eastAsia="zh-CN" w:bidi="ar"/>
              </w:rPr>
              <w:t>评估标的物</w:t>
            </w:r>
          </w:p>
        </w:tc>
        <w:tc>
          <w:tcPr>
            <w:tcW w:w="1180" w:type="dxa"/>
            <w:tcBorders>
              <w:top w:val="single" w:color="000000" w:sz="4" w:space="0"/>
              <w:left w:val="single" w:color="000000" w:sz="4" w:space="0"/>
              <w:bottom w:val="single" w:color="000000" w:sz="4" w:space="0"/>
              <w:right w:val="single" w:color="000000" w:sz="4" w:space="0"/>
            </w:tcBorders>
            <w:noWrap/>
            <w:vAlign w:val="center"/>
          </w:tcPr>
          <w:p w14:paraId="4113D29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方正楷体_GB2312" w:hAnsi="方正楷体_GB2312" w:eastAsia="方正楷体_GB2312" w:cs="方正楷体_GB2312"/>
                <w:b/>
                <w:bCs/>
                <w:i w:val="0"/>
                <w:iCs w:val="0"/>
                <w:color w:val="000000"/>
                <w:sz w:val="24"/>
                <w:szCs w:val="24"/>
                <w:u w:val="none"/>
              </w:rPr>
            </w:pPr>
            <w:r>
              <w:rPr>
                <w:rFonts w:hint="eastAsia" w:ascii="方正楷体_GB2312" w:hAnsi="方正楷体_GB2312" w:eastAsia="方正楷体_GB2312" w:cs="方正楷体_GB2312"/>
                <w:b/>
                <w:bCs/>
                <w:i w:val="0"/>
                <w:iCs w:val="0"/>
                <w:color w:val="000000"/>
                <w:kern w:val="0"/>
                <w:sz w:val="24"/>
                <w:szCs w:val="24"/>
                <w:u w:val="none"/>
                <w:lang w:val="en-US" w:eastAsia="zh-CN" w:bidi="ar"/>
              </w:rPr>
              <w:t>评估目的</w:t>
            </w:r>
          </w:p>
        </w:tc>
      </w:tr>
      <w:tr w14:paraId="042C2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98" w:type="dxa"/>
            <w:tcBorders>
              <w:top w:val="single" w:color="000000" w:sz="4" w:space="0"/>
              <w:left w:val="single" w:color="000000" w:sz="4" w:space="0"/>
              <w:bottom w:val="single" w:color="000000" w:sz="4" w:space="0"/>
              <w:right w:val="single" w:color="000000" w:sz="4" w:space="0"/>
            </w:tcBorders>
            <w:noWrap/>
            <w:vAlign w:val="center"/>
          </w:tcPr>
          <w:p w14:paraId="0855328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方正楷体_GB2312" w:hAnsi="方正楷体_GB2312" w:eastAsia="方正楷体_GB2312" w:cs="方正楷体_GB2312"/>
                <w:i w:val="0"/>
                <w:iCs w:val="0"/>
                <w:color w:val="000000"/>
                <w:sz w:val="20"/>
                <w:szCs w:val="20"/>
                <w:u w:val="none"/>
              </w:rPr>
            </w:pPr>
            <w:r>
              <w:rPr>
                <w:rFonts w:hint="eastAsia" w:ascii="方正楷体_GB2312" w:hAnsi="方正楷体_GB2312" w:eastAsia="方正楷体_GB2312" w:cs="方正楷体_GB2312"/>
                <w:i w:val="0"/>
                <w:iCs w:val="0"/>
                <w:color w:val="000000"/>
                <w:kern w:val="0"/>
                <w:sz w:val="20"/>
                <w:szCs w:val="20"/>
                <w:u w:val="none"/>
                <w:lang w:val="en-US" w:eastAsia="zh-CN" w:bidi="ar"/>
              </w:rPr>
              <w:t>1</w:t>
            </w:r>
          </w:p>
        </w:tc>
        <w:tc>
          <w:tcPr>
            <w:tcW w:w="7183" w:type="dxa"/>
            <w:tcBorders>
              <w:top w:val="single" w:color="000000" w:sz="4" w:space="0"/>
              <w:left w:val="single" w:color="000000" w:sz="4" w:space="0"/>
              <w:bottom w:val="single" w:color="000000" w:sz="4" w:space="0"/>
              <w:right w:val="single" w:color="000000" w:sz="4" w:space="0"/>
            </w:tcBorders>
            <w:noWrap w:val="0"/>
            <w:vAlign w:val="center"/>
          </w:tcPr>
          <w:p w14:paraId="76F0860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方正楷体_GB2312" w:hAnsi="方正楷体_GB2312" w:eastAsia="方正楷体_GB2312" w:cs="方正楷体_GB2312"/>
                <w:i w:val="0"/>
                <w:iCs w:val="0"/>
                <w:color w:val="000000"/>
                <w:sz w:val="20"/>
                <w:szCs w:val="20"/>
                <w:u w:val="none"/>
              </w:rPr>
            </w:pPr>
            <w:r>
              <w:rPr>
                <w:rFonts w:hint="eastAsia" w:ascii="方正楷体_GB2312" w:hAnsi="方正楷体_GB2312" w:eastAsia="方正楷体_GB2312" w:cs="方正楷体_GB2312"/>
                <w:i w:val="0"/>
                <w:iCs w:val="0"/>
                <w:color w:val="000000"/>
                <w:kern w:val="0"/>
                <w:sz w:val="20"/>
                <w:szCs w:val="20"/>
                <w:u w:val="none"/>
                <w:lang w:val="en-US" w:eastAsia="zh-CN" w:bidi="ar"/>
              </w:rPr>
              <w:t>云电投电力装配工业基地6#号地块综合办公楼、地下仓库及6-1#至6-16#厂房，共计18项，建筑面积153,080.16平方米（云南能源资产运营管理有限公司）</w:t>
            </w:r>
          </w:p>
        </w:tc>
        <w:tc>
          <w:tcPr>
            <w:tcW w:w="1180" w:type="dxa"/>
            <w:tcBorders>
              <w:top w:val="single" w:color="000000" w:sz="4" w:space="0"/>
              <w:left w:val="single" w:color="000000" w:sz="4" w:space="0"/>
              <w:bottom w:val="single" w:color="000000" w:sz="4" w:space="0"/>
              <w:right w:val="single" w:color="000000" w:sz="4" w:space="0"/>
            </w:tcBorders>
            <w:noWrap/>
            <w:vAlign w:val="center"/>
          </w:tcPr>
          <w:p w14:paraId="04C8047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方正楷体_GB2312" w:hAnsi="方正楷体_GB2312" w:eastAsia="方正楷体_GB2312" w:cs="方正楷体_GB2312"/>
                <w:i w:val="0"/>
                <w:iCs w:val="0"/>
                <w:color w:val="000000"/>
                <w:sz w:val="20"/>
                <w:szCs w:val="20"/>
                <w:u w:val="none"/>
              </w:rPr>
            </w:pPr>
            <w:r>
              <w:rPr>
                <w:rFonts w:hint="eastAsia" w:ascii="方正楷体_GB2312" w:hAnsi="方正楷体_GB2312" w:eastAsia="方正楷体_GB2312" w:cs="方正楷体_GB2312"/>
                <w:i w:val="0"/>
                <w:iCs w:val="0"/>
                <w:color w:val="000000"/>
                <w:kern w:val="0"/>
                <w:sz w:val="20"/>
                <w:szCs w:val="20"/>
                <w:u w:val="none"/>
                <w:lang w:val="en-US" w:eastAsia="zh-CN" w:bidi="ar"/>
              </w:rPr>
              <w:t>价值评估</w:t>
            </w:r>
          </w:p>
        </w:tc>
      </w:tr>
      <w:tr w14:paraId="78BA0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98" w:type="dxa"/>
            <w:tcBorders>
              <w:top w:val="single" w:color="000000" w:sz="4" w:space="0"/>
              <w:left w:val="single" w:color="000000" w:sz="4" w:space="0"/>
              <w:bottom w:val="single" w:color="000000" w:sz="4" w:space="0"/>
              <w:right w:val="single" w:color="000000" w:sz="4" w:space="0"/>
            </w:tcBorders>
            <w:noWrap/>
            <w:vAlign w:val="center"/>
          </w:tcPr>
          <w:p w14:paraId="172E8AB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方正楷体_GB2312" w:hAnsi="方正楷体_GB2312" w:eastAsia="方正楷体_GB2312" w:cs="方正楷体_GB2312"/>
                <w:i w:val="0"/>
                <w:iCs w:val="0"/>
                <w:color w:val="000000"/>
                <w:sz w:val="20"/>
                <w:szCs w:val="20"/>
                <w:u w:val="none"/>
              </w:rPr>
            </w:pPr>
            <w:r>
              <w:rPr>
                <w:rFonts w:hint="eastAsia" w:ascii="方正楷体_GB2312" w:hAnsi="方正楷体_GB2312" w:eastAsia="方正楷体_GB2312" w:cs="方正楷体_GB2312"/>
                <w:i w:val="0"/>
                <w:iCs w:val="0"/>
                <w:color w:val="000000"/>
                <w:kern w:val="0"/>
                <w:sz w:val="20"/>
                <w:szCs w:val="20"/>
                <w:u w:val="none"/>
                <w:lang w:val="en-US" w:eastAsia="zh-CN" w:bidi="ar"/>
              </w:rPr>
              <w:t>2</w:t>
            </w:r>
          </w:p>
        </w:tc>
        <w:tc>
          <w:tcPr>
            <w:tcW w:w="7183" w:type="dxa"/>
            <w:tcBorders>
              <w:top w:val="single" w:color="000000" w:sz="4" w:space="0"/>
              <w:left w:val="single" w:color="000000" w:sz="4" w:space="0"/>
              <w:bottom w:val="single" w:color="000000" w:sz="4" w:space="0"/>
              <w:right w:val="single" w:color="000000" w:sz="4" w:space="0"/>
            </w:tcBorders>
            <w:noWrap w:val="0"/>
            <w:vAlign w:val="center"/>
          </w:tcPr>
          <w:p w14:paraId="61EAD93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方正楷体_GB2312" w:hAnsi="方正楷体_GB2312" w:eastAsia="方正楷体_GB2312" w:cs="方正楷体_GB2312"/>
                <w:i w:val="0"/>
                <w:iCs w:val="0"/>
                <w:color w:val="000000"/>
                <w:sz w:val="20"/>
                <w:szCs w:val="20"/>
                <w:u w:val="none"/>
              </w:rPr>
            </w:pPr>
            <w:r>
              <w:rPr>
                <w:rFonts w:hint="eastAsia" w:ascii="方正楷体_GB2312" w:hAnsi="方正楷体_GB2312" w:eastAsia="方正楷体_GB2312" w:cs="方正楷体_GB2312"/>
                <w:i w:val="0"/>
                <w:iCs w:val="0"/>
                <w:color w:val="000000"/>
                <w:kern w:val="0"/>
                <w:sz w:val="20"/>
                <w:szCs w:val="20"/>
                <w:u w:val="none"/>
                <w:lang w:val="en-US" w:eastAsia="zh-CN" w:bidi="ar"/>
              </w:rPr>
              <w:t>云电投电力装配工业基地8#号地块二期1幢-4幢、配套5幢商业楼、配套6幢商业及写字楼、地下室1层-2层，社区用房、门卫室共计11项，建筑面积合计119,501.19平方米（云南能源资产运营管理有限公司）</w:t>
            </w:r>
          </w:p>
        </w:tc>
        <w:tc>
          <w:tcPr>
            <w:tcW w:w="1180" w:type="dxa"/>
            <w:tcBorders>
              <w:top w:val="single" w:color="000000" w:sz="4" w:space="0"/>
              <w:left w:val="single" w:color="000000" w:sz="4" w:space="0"/>
              <w:bottom w:val="single" w:color="000000" w:sz="4" w:space="0"/>
              <w:right w:val="single" w:color="000000" w:sz="4" w:space="0"/>
            </w:tcBorders>
            <w:noWrap/>
            <w:vAlign w:val="center"/>
          </w:tcPr>
          <w:p w14:paraId="232D7F4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方正楷体_GB2312" w:hAnsi="方正楷体_GB2312" w:eastAsia="方正楷体_GB2312" w:cs="方正楷体_GB2312"/>
                <w:i w:val="0"/>
                <w:iCs w:val="0"/>
                <w:color w:val="000000"/>
                <w:sz w:val="20"/>
                <w:szCs w:val="20"/>
                <w:u w:val="none"/>
              </w:rPr>
            </w:pPr>
            <w:r>
              <w:rPr>
                <w:rFonts w:hint="eastAsia" w:ascii="方正楷体_GB2312" w:hAnsi="方正楷体_GB2312" w:eastAsia="方正楷体_GB2312" w:cs="方正楷体_GB2312"/>
                <w:i w:val="0"/>
                <w:iCs w:val="0"/>
                <w:color w:val="000000"/>
                <w:kern w:val="0"/>
                <w:sz w:val="20"/>
                <w:szCs w:val="20"/>
                <w:u w:val="none"/>
                <w:lang w:val="en-US" w:eastAsia="zh-CN" w:bidi="ar"/>
              </w:rPr>
              <w:t>价值评估</w:t>
            </w:r>
          </w:p>
        </w:tc>
      </w:tr>
      <w:tr w14:paraId="0E9A5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98" w:type="dxa"/>
            <w:tcBorders>
              <w:top w:val="single" w:color="000000" w:sz="4" w:space="0"/>
              <w:left w:val="single" w:color="000000" w:sz="4" w:space="0"/>
              <w:bottom w:val="single" w:color="000000" w:sz="4" w:space="0"/>
              <w:right w:val="single" w:color="000000" w:sz="4" w:space="0"/>
            </w:tcBorders>
            <w:noWrap/>
            <w:vAlign w:val="center"/>
          </w:tcPr>
          <w:p w14:paraId="7F49E4D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方正楷体_GB2312" w:hAnsi="方正楷体_GB2312" w:eastAsia="方正楷体_GB2312" w:cs="方正楷体_GB2312"/>
                <w:i w:val="0"/>
                <w:iCs w:val="0"/>
                <w:color w:val="000000"/>
                <w:sz w:val="20"/>
                <w:szCs w:val="20"/>
                <w:u w:val="none"/>
              </w:rPr>
            </w:pPr>
            <w:r>
              <w:rPr>
                <w:rFonts w:hint="eastAsia" w:ascii="方正楷体_GB2312" w:hAnsi="方正楷体_GB2312" w:eastAsia="方正楷体_GB2312" w:cs="方正楷体_GB2312"/>
                <w:i w:val="0"/>
                <w:iCs w:val="0"/>
                <w:color w:val="000000"/>
                <w:kern w:val="0"/>
                <w:sz w:val="20"/>
                <w:szCs w:val="20"/>
                <w:u w:val="none"/>
                <w:lang w:val="en-US" w:eastAsia="zh-CN" w:bidi="ar"/>
              </w:rPr>
              <w:t>3</w:t>
            </w:r>
          </w:p>
        </w:tc>
        <w:tc>
          <w:tcPr>
            <w:tcW w:w="7183" w:type="dxa"/>
            <w:tcBorders>
              <w:top w:val="single" w:color="000000" w:sz="4" w:space="0"/>
              <w:left w:val="single" w:color="000000" w:sz="4" w:space="0"/>
              <w:bottom w:val="single" w:color="000000" w:sz="4" w:space="0"/>
              <w:right w:val="single" w:color="000000" w:sz="4" w:space="0"/>
            </w:tcBorders>
            <w:noWrap w:val="0"/>
            <w:vAlign w:val="center"/>
          </w:tcPr>
          <w:p w14:paraId="316F2E8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方正楷体_GB2312" w:hAnsi="方正楷体_GB2312" w:eastAsia="方正楷体_GB2312" w:cs="方正楷体_GB2312"/>
                <w:i w:val="0"/>
                <w:iCs w:val="0"/>
                <w:color w:val="000000"/>
                <w:sz w:val="20"/>
                <w:szCs w:val="20"/>
                <w:u w:val="none"/>
              </w:rPr>
            </w:pPr>
            <w:r>
              <w:rPr>
                <w:rFonts w:hint="eastAsia" w:ascii="方正楷体_GB2312" w:hAnsi="方正楷体_GB2312" w:eastAsia="方正楷体_GB2312" w:cs="方正楷体_GB2312"/>
                <w:i w:val="0"/>
                <w:iCs w:val="0"/>
                <w:color w:val="000000"/>
                <w:kern w:val="0"/>
                <w:sz w:val="20"/>
                <w:szCs w:val="20"/>
                <w:u w:val="none"/>
                <w:lang w:val="en-US" w:eastAsia="zh-CN" w:bidi="ar"/>
              </w:rPr>
              <w:t>昆明市西山区日新路广福城A10地块，共计62项建筑面积27,686.01平方米（云南居正健康管理有限公司）</w:t>
            </w:r>
          </w:p>
        </w:tc>
        <w:tc>
          <w:tcPr>
            <w:tcW w:w="1180" w:type="dxa"/>
            <w:tcBorders>
              <w:top w:val="single" w:color="000000" w:sz="4" w:space="0"/>
              <w:left w:val="single" w:color="000000" w:sz="4" w:space="0"/>
              <w:bottom w:val="single" w:color="000000" w:sz="4" w:space="0"/>
              <w:right w:val="single" w:color="000000" w:sz="4" w:space="0"/>
            </w:tcBorders>
            <w:noWrap/>
            <w:vAlign w:val="center"/>
          </w:tcPr>
          <w:p w14:paraId="1D6C8F2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方正楷体_GB2312" w:hAnsi="方正楷体_GB2312" w:eastAsia="方正楷体_GB2312" w:cs="方正楷体_GB2312"/>
                <w:i w:val="0"/>
                <w:iCs w:val="0"/>
                <w:color w:val="000000"/>
                <w:sz w:val="20"/>
                <w:szCs w:val="20"/>
                <w:u w:val="none"/>
              </w:rPr>
            </w:pPr>
            <w:r>
              <w:rPr>
                <w:rFonts w:hint="eastAsia" w:ascii="方正楷体_GB2312" w:hAnsi="方正楷体_GB2312" w:eastAsia="方正楷体_GB2312" w:cs="方正楷体_GB2312"/>
                <w:i w:val="0"/>
                <w:iCs w:val="0"/>
                <w:color w:val="000000"/>
                <w:kern w:val="0"/>
                <w:sz w:val="20"/>
                <w:szCs w:val="20"/>
                <w:u w:val="none"/>
                <w:lang w:val="en-US" w:eastAsia="zh-CN" w:bidi="ar"/>
              </w:rPr>
              <w:t>价值评估</w:t>
            </w:r>
          </w:p>
        </w:tc>
      </w:tr>
      <w:tr w14:paraId="35ADE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98" w:type="dxa"/>
            <w:tcBorders>
              <w:top w:val="single" w:color="000000" w:sz="4" w:space="0"/>
              <w:left w:val="single" w:color="000000" w:sz="4" w:space="0"/>
              <w:bottom w:val="single" w:color="000000" w:sz="4" w:space="0"/>
              <w:right w:val="single" w:color="000000" w:sz="4" w:space="0"/>
            </w:tcBorders>
            <w:noWrap/>
            <w:vAlign w:val="center"/>
          </w:tcPr>
          <w:p w14:paraId="144ADF3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方正楷体_GB2312" w:hAnsi="方正楷体_GB2312" w:eastAsia="方正楷体_GB2312" w:cs="方正楷体_GB2312"/>
                <w:i w:val="0"/>
                <w:iCs w:val="0"/>
                <w:color w:val="000000"/>
                <w:sz w:val="20"/>
                <w:szCs w:val="20"/>
                <w:u w:val="none"/>
              </w:rPr>
            </w:pPr>
            <w:r>
              <w:rPr>
                <w:rFonts w:hint="eastAsia" w:ascii="方正楷体_GB2312" w:hAnsi="方正楷体_GB2312" w:eastAsia="方正楷体_GB2312" w:cs="方正楷体_GB2312"/>
                <w:i w:val="0"/>
                <w:iCs w:val="0"/>
                <w:color w:val="000000"/>
                <w:kern w:val="0"/>
                <w:sz w:val="20"/>
                <w:szCs w:val="20"/>
                <w:u w:val="none"/>
                <w:lang w:val="en-US" w:eastAsia="zh-CN" w:bidi="ar"/>
              </w:rPr>
              <w:t>4</w:t>
            </w:r>
          </w:p>
        </w:tc>
        <w:tc>
          <w:tcPr>
            <w:tcW w:w="7183" w:type="dxa"/>
            <w:tcBorders>
              <w:top w:val="single" w:color="000000" w:sz="4" w:space="0"/>
              <w:left w:val="single" w:color="000000" w:sz="4" w:space="0"/>
              <w:bottom w:val="single" w:color="000000" w:sz="4" w:space="0"/>
              <w:right w:val="single" w:color="000000" w:sz="4" w:space="0"/>
            </w:tcBorders>
            <w:noWrap w:val="0"/>
            <w:vAlign w:val="center"/>
          </w:tcPr>
          <w:p w14:paraId="6477DA3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方正楷体_GB2312" w:hAnsi="方正楷体_GB2312" w:eastAsia="方正楷体_GB2312" w:cs="方正楷体_GB2312"/>
                <w:i w:val="0"/>
                <w:iCs w:val="0"/>
                <w:color w:val="000000"/>
                <w:sz w:val="20"/>
                <w:szCs w:val="20"/>
                <w:u w:val="none"/>
              </w:rPr>
            </w:pPr>
            <w:r>
              <w:rPr>
                <w:rFonts w:hint="eastAsia" w:ascii="方正楷体_GB2312" w:hAnsi="方正楷体_GB2312" w:eastAsia="方正楷体_GB2312" w:cs="方正楷体_GB2312"/>
                <w:i w:val="0"/>
                <w:iCs w:val="0"/>
                <w:color w:val="000000"/>
                <w:kern w:val="0"/>
                <w:sz w:val="20"/>
                <w:szCs w:val="20"/>
                <w:u w:val="none"/>
                <w:lang w:val="en-US" w:eastAsia="zh-CN" w:bidi="ar"/>
              </w:rPr>
              <w:t>蒙自市园区4号路东侧标准厂房北侧云南能投蒙自经开区产业园（一期）2幢-27幢，建筑面积87,977.97平方米（云南能投红河电力储能园区开发有限公司）</w:t>
            </w:r>
          </w:p>
        </w:tc>
        <w:tc>
          <w:tcPr>
            <w:tcW w:w="1180" w:type="dxa"/>
            <w:tcBorders>
              <w:top w:val="single" w:color="000000" w:sz="4" w:space="0"/>
              <w:left w:val="single" w:color="000000" w:sz="4" w:space="0"/>
              <w:bottom w:val="single" w:color="000000" w:sz="4" w:space="0"/>
              <w:right w:val="single" w:color="000000" w:sz="4" w:space="0"/>
            </w:tcBorders>
            <w:noWrap/>
            <w:vAlign w:val="center"/>
          </w:tcPr>
          <w:p w14:paraId="6106492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方正楷体_GB2312" w:hAnsi="方正楷体_GB2312" w:eastAsia="方正楷体_GB2312" w:cs="方正楷体_GB2312"/>
                <w:i w:val="0"/>
                <w:iCs w:val="0"/>
                <w:color w:val="000000"/>
                <w:sz w:val="20"/>
                <w:szCs w:val="20"/>
                <w:u w:val="none"/>
              </w:rPr>
            </w:pPr>
            <w:r>
              <w:rPr>
                <w:rFonts w:hint="eastAsia" w:ascii="方正楷体_GB2312" w:hAnsi="方正楷体_GB2312" w:eastAsia="方正楷体_GB2312" w:cs="方正楷体_GB2312"/>
                <w:i w:val="0"/>
                <w:iCs w:val="0"/>
                <w:color w:val="000000"/>
                <w:kern w:val="0"/>
                <w:sz w:val="20"/>
                <w:szCs w:val="20"/>
                <w:u w:val="none"/>
                <w:lang w:val="en-US" w:eastAsia="zh-CN" w:bidi="ar"/>
              </w:rPr>
              <w:t>价值评估</w:t>
            </w:r>
          </w:p>
        </w:tc>
      </w:tr>
      <w:tr w14:paraId="06C76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98" w:type="dxa"/>
            <w:tcBorders>
              <w:top w:val="single" w:color="000000" w:sz="4" w:space="0"/>
              <w:left w:val="single" w:color="000000" w:sz="4" w:space="0"/>
              <w:bottom w:val="single" w:color="000000" w:sz="4" w:space="0"/>
              <w:right w:val="single" w:color="000000" w:sz="4" w:space="0"/>
            </w:tcBorders>
            <w:noWrap/>
            <w:vAlign w:val="center"/>
          </w:tcPr>
          <w:p w14:paraId="220C581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方正楷体_GB2312" w:hAnsi="方正楷体_GB2312" w:eastAsia="方正楷体_GB2312" w:cs="方正楷体_GB2312"/>
                <w:i w:val="0"/>
                <w:iCs w:val="0"/>
                <w:color w:val="000000"/>
                <w:sz w:val="20"/>
                <w:szCs w:val="20"/>
                <w:u w:val="none"/>
              </w:rPr>
            </w:pPr>
            <w:r>
              <w:rPr>
                <w:rFonts w:hint="eastAsia" w:ascii="方正楷体_GB2312" w:hAnsi="方正楷体_GB2312" w:eastAsia="方正楷体_GB2312" w:cs="方正楷体_GB2312"/>
                <w:i w:val="0"/>
                <w:iCs w:val="0"/>
                <w:color w:val="000000"/>
                <w:kern w:val="0"/>
                <w:sz w:val="20"/>
                <w:szCs w:val="20"/>
                <w:u w:val="none"/>
                <w:lang w:val="en-US" w:eastAsia="zh-CN" w:bidi="ar"/>
              </w:rPr>
              <w:t>5</w:t>
            </w:r>
          </w:p>
        </w:tc>
        <w:tc>
          <w:tcPr>
            <w:tcW w:w="7183" w:type="dxa"/>
            <w:tcBorders>
              <w:top w:val="single" w:color="000000" w:sz="4" w:space="0"/>
              <w:left w:val="single" w:color="000000" w:sz="4" w:space="0"/>
              <w:bottom w:val="single" w:color="000000" w:sz="4" w:space="0"/>
              <w:right w:val="single" w:color="000000" w:sz="4" w:space="0"/>
            </w:tcBorders>
            <w:noWrap w:val="0"/>
            <w:vAlign w:val="center"/>
          </w:tcPr>
          <w:p w14:paraId="11FF61E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方正楷体_GB2312" w:hAnsi="方正楷体_GB2312" w:eastAsia="方正楷体_GB2312" w:cs="方正楷体_GB2312"/>
                <w:i w:val="0"/>
                <w:iCs w:val="0"/>
                <w:color w:val="000000"/>
                <w:sz w:val="20"/>
                <w:szCs w:val="20"/>
                <w:u w:val="none"/>
              </w:rPr>
            </w:pPr>
            <w:r>
              <w:rPr>
                <w:rFonts w:hint="eastAsia" w:ascii="方正楷体_GB2312" w:hAnsi="方正楷体_GB2312" w:eastAsia="方正楷体_GB2312" w:cs="方正楷体_GB2312"/>
                <w:i w:val="0"/>
                <w:iCs w:val="0"/>
                <w:color w:val="000000"/>
                <w:kern w:val="0"/>
                <w:sz w:val="20"/>
                <w:szCs w:val="20"/>
                <w:u w:val="none"/>
                <w:lang w:val="en-US" w:eastAsia="zh-CN" w:bidi="ar"/>
              </w:rPr>
              <w:t>蒙自市天马路延长线南侧综合保税区云南能投红河综保区产业园新建（一期）1幢4层-5层办公楼、2幢办公楼、3幢1层仓库、4幢、5幢1层-3层仓库、6幢1层-3层仓库、7幢1层-3层仓库、8幢1层-3层仓库、9幢1层-3层仓库、10幢1层-3层工业、11幢1层-3层工业、12幢-1层及1层-3层仓库，建筑面积154,234.58平方米（云南能投红河电力储能园区开发有限公司）</w:t>
            </w:r>
          </w:p>
        </w:tc>
        <w:tc>
          <w:tcPr>
            <w:tcW w:w="1180" w:type="dxa"/>
            <w:tcBorders>
              <w:top w:val="single" w:color="000000" w:sz="4" w:space="0"/>
              <w:left w:val="single" w:color="000000" w:sz="4" w:space="0"/>
              <w:bottom w:val="single" w:color="000000" w:sz="4" w:space="0"/>
              <w:right w:val="single" w:color="000000" w:sz="4" w:space="0"/>
            </w:tcBorders>
            <w:noWrap/>
            <w:vAlign w:val="center"/>
          </w:tcPr>
          <w:p w14:paraId="3F85FBE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方正楷体_GB2312" w:hAnsi="方正楷体_GB2312" w:eastAsia="方正楷体_GB2312" w:cs="方正楷体_GB2312"/>
                <w:i w:val="0"/>
                <w:iCs w:val="0"/>
                <w:color w:val="000000"/>
                <w:sz w:val="20"/>
                <w:szCs w:val="20"/>
                <w:u w:val="none"/>
              </w:rPr>
            </w:pPr>
            <w:r>
              <w:rPr>
                <w:rFonts w:hint="eastAsia" w:ascii="方正楷体_GB2312" w:hAnsi="方正楷体_GB2312" w:eastAsia="方正楷体_GB2312" w:cs="方正楷体_GB2312"/>
                <w:i w:val="0"/>
                <w:iCs w:val="0"/>
                <w:color w:val="000000"/>
                <w:kern w:val="0"/>
                <w:sz w:val="20"/>
                <w:szCs w:val="20"/>
                <w:u w:val="none"/>
                <w:lang w:val="en-US" w:eastAsia="zh-CN" w:bidi="ar"/>
              </w:rPr>
              <w:t>价值评估</w:t>
            </w:r>
          </w:p>
        </w:tc>
      </w:tr>
      <w:tr w14:paraId="40D35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98" w:type="dxa"/>
            <w:tcBorders>
              <w:top w:val="single" w:color="000000" w:sz="4" w:space="0"/>
              <w:left w:val="single" w:color="000000" w:sz="4" w:space="0"/>
              <w:bottom w:val="single" w:color="000000" w:sz="4" w:space="0"/>
              <w:right w:val="single" w:color="000000" w:sz="4" w:space="0"/>
            </w:tcBorders>
            <w:noWrap/>
            <w:vAlign w:val="center"/>
          </w:tcPr>
          <w:p w14:paraId="7C884D6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方正楷体_GB2312" w:hAnsi="方正楷体_GB2312" w:eastAsia="方正楷体_GB2312" w:cs="方正楷体_GB2312"/>
                <w:i w:val="0"/>
                <w:iCs w:val="0"/>
                <w:color w:val="000000"/>
                <w:sz w:val="20"/>
                <w:szCs w:val="20"/>
                <w:u w:val="none"/>
              </w:rPr>
            </w:pPr>
            <w:r>
              <w:rPr>
                <w:rFonts w:hint="eastAsia" w:ascii="方正楷体_GB2312" w:hAnsi="方正楷体_GB2312" w:eastAsia="方正楷体_GB2312" w:cs="方正楷体_GB2312"/>
                <w:i w:val="0"/>
                <w:iCs w:val="0"/>
                <w:color w:val="000000"/>
                <w:kern w:val="0"/>
                <w:sz w:val="20"/>
                <w:szCs w:val="20"/>
                <w:u w:val="none"/>
                <w:lang w:val="en-US" w:eastAsia="zh-CN" w:bidi="ar"/>
              </w:rPr>
              <w:t>6</w:t>
            </w:r>
          </w:p>
        </w:tc>
        <w:tc>
          <w:tcPr>
            <w:tcW w:w="7183" w:type="dxa"/>
            <w:tcBorders>
              <w:top w:val="single" w:color="000000" w:sz="4" w:space="0"/>
              <w:left w:val="single" w:color="000000" w:sz="4" w:space="0"/>
              <w:bottom w:val="single" w:color="000000" w:sz="4" w:space="0"/>
              <w:right w:val="single" w:color="000000" w:sz="4" w:space="0"/>
            </w:tcBorders>
            <w:noWrap w:val="0"/>
            <w:vAlign w:val="center"/>
          </w:tcPr>
          <w:p w14:paraId="5C5092B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方正楷体_GB2312" w:hAnsi="方正楷体_GB2312" w:eastAsia="方正楷体_GB2312" w:cs="方正楷体_GB2312"/>
                <w:i w:val="0"/>
                <w:iCs w:val="0"/>
                <w:color w:val="000000"/>
                <w:sz w:val="20"/>
                <w:szCs w:val="20"/>
                <w:u w:val="none"/>
              </w:rPr>
            </w:pPr>
            <w:r>
              <w:rPr>
                <w:rFonts w:hint="eastAsia" w:ascii="方正楷体_GB2312" w:hAnsi="方正楷体_GB2312" w:eastAsia="方正楷体_GB2312" w:cs="方正楷体_GB2312"/>
                <w:i w:val="0"/>
                <w:iCs w:val="0"/>
                <w:color w:val="000000"/>
                <w:kern w:val="0"/>
                <w:sz w:val="20"/>
                <w:szCs w:val="20"/>
                <w:u w:val="none"/>
                <w:lang w:val="en-US" w:eastAsia="zh-CN" w:bidi="ar"/>
              </w:rPr>
              <w:t>云电投电力装配工业基地(8号地块一期)办公室1-3层101号、双创示范中心1-3层101号、1号门房地下室-1层水泵房、1号门房1层101号、2号门房1层101号、双创示范园水泵房-1-1层101号、地下车库、室外附属工程、建筑面积30,111.47平方米（云南能源资产运营管理有限公司）</w:t>
            </w:r>
          </w:p>
        </w:tc>
        <w:tc>
          <w:tcPr>
            <w:tcW w:w="1180" w:type="dxa"/>
            <w:tcBorders>
              <w:top w:val="single" w:color="000000" w:sz="4" w:space="0"/>
              <w:left w:val="single" w:color="000000" w:sz="4" w:space="0"/>
              <w:bottom w:val="single" w:color="000000" w:sz="4" w:space="0"/>
              <w:right w:val="single" w:color="000000" w:sz="4" w:space="0"/>
            </w:tcBorders>
            <w:noWrap/>
            <w:vAlign w:val="center"/>
          </w:tcPr>
          <w:p w14:paraId="02593B4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方正楷体_GB2312" w:hAnsi="方正楷体_GB2312" w:eastAsia="方正楷体_GB2312" w:cs="方正楷体_GB2312"/>
                <w:i w:val="0"/>
                <w:iCs w:val="0"/>
                <w:color w:val="000000"/>
                <w:sz w:val="20"/>
                <w:szCs w:val="20"/>
                <w:u w:val="none"/>
              </w:rPr>
            </w:pPr>
            <w:r>
              <w:rPr>
                <w:rFonts w:hint="eastAsia" w:ascii="方正楷体_GB2312" w:hAnsi="方正楷体_GB2312" w:eastAsia="方正楷体_GB2312" w:cs="方正楷体_GB2312"/>
                <w:i w:val="0"/>
                <w:iCs w:val="0"/>
                <w:color w:val="000000"/>
                <w:kern w:val="0"/>
                <w:sz w:val="20"/>
                <w:szCs w:val="20"/>
                <w:u w:val="none"/>
                <w:lang w:val="en-US" w:eastAsia="zh-CN" w:bidi="ar"/>
              </w:rPr>
              <w:t>价值评估</w:t>
            </w:r>
          </w:p>
        </w:tc>
      </w:tr>
    </w:tbl>
    <w:p w14:paraId="37A7142E">
      <w:pPr>
        <w:rPr>
          <w:rFonts w:hint="default" w:ascii="Times New Roman" w:hAnsi="Times New Roman"/>
          <w:lang w:val="en-US" w:eastAsia="zh-CN"/>
        </w:rPr>
      </w:pPr>
      <w:r>
        <w:rPr>
          <w:rFonts w:hint="default" w:ascii="Times New Roman" w:hAnsi="Times New Roman"/>
          <w:b/>
          <w:bCs/>
          <w:lang w:val="en-US" w:eastAsia="zh-CN"/>
        </w:rPr>
        <w:t>四、评估基准日：</w:t>
      </w:r>
      <w:r>
        <w:rPr>
          <w:rFonts w:hint="default" w:ascii="Times New Roman" w:hAnsi="Times New Roman"/>
          <w:u w:val="single"/>
          <w:lang w:val="en-US" w:eastAsia="zh-CN"/>
        </w:rPr>
        <w:t>2026年12月31日</w:t>
      </w:r>
    </w:p>
    <w:p w14:paraId="4A2D85BC">
      <w:pPr>
        <w:rPr>
          <w:rFonts w:hint="default" w:ascii="Times New Roman" w:hAnsi="Times New Roman"/>
          <w:lang w:val="en-US" w:eastAsia="zh-CN"/>
        </w:rPr>
      </w:pPr>
      <w:r>
        <w:rPr>
          <w:rFonts w:hint="default" w:ascii="Times New Roman" w:hAnsi="Times New Roman"/>
          <w:b/>
          <w:bCs/>
          <w:lang w:val="en-US" w:eastAsia="zh-CN"/>
        </w:rPr>
        <w:t>五、评估方法：</w:t>
      </w:r>
      <w:r>
        <w:rPr>
          <w:rFonts w:hint="default" w:ascii="Times New Roman" w:hAnsi="Times New Roman"/>
          <w:u w:val="single"/>
          <w:lang w:val="en-US" w:eastAsia="zh-CN"/>
        </w:rPr>
        <w:t>市场法、成本法、收益法。</w:t>
      </w:r>
    </w:p>
    <w:p w14:paraId="264AD312">
      <w:pPr>
        <w:rPr>
          <w:rFonts w:hint="default" w:ascii="Times New Roman" w:hAnsi="Times New Roman"/>
          <w:b/>
          <w:bCs/>
          <w:lang w:val="en-US" w:eastAsia="zh-CN"/>
        </w:rPr>
      </w:pPr>
      <w:r>
        <w:rPr>
          <w:rFonts w:hint="default" w:ascii="Times New Roman" w:hAnsi="Times New Roman"/>
          <w:b/>
          <w:bCs/>
          <w:lang w:val="en-US" w:eastAsia="zh-CN"/>
        </w:rPr>
        <w:t>六、评估业务完成期限</w:t>
      </w:r>
    </w:p>
    <w:p w14:paraId="34044FCC">
      <w:pPr>
        <w:rPr>
          <w:rFonts w:hint="eastAsia" w:ascii="Times New Roman" w:hAnsi="Times New Roman" w:eastAsia="方正仿宋_GBK"/>
          <w:lang w:val="en-US" w:eastAsia="zh-CN"/>
        </w:rPr>
      </w:pPr>
      <w:bookmarkStart w:id="55" w:name="auto_fouce_1"/>
      <w:r>
        <w:rPr>
          <w:rFonts w:hint="default" w:ascii="Times New Roman" w:hAnsi="Times New Roman"/>
          <w:lang w:val="en-US" w:eastAsia="zh-CN"/>
        </w:rPr>
        <w:t>根据资产评估工作的时间安排，由丁方提供所需材料相应清单，并且甲、乙、丙三方在材料移交时应当签收相应移交记录。甲、乙、丙方应于2026年12月20日前完成资产清查工作，并提供丁方评估所需的资产清查评估申报表、权属证明及其他相关资料。在正常情况下，丁方收到甲、乙、丙方应提供的全部评估资料后，组织评估人员在</w:t>
      </w:r>
      <w:r>
        <w:rPr>
          <w:rFonts w:hint="eastAsia"/>
          <w:lang w:val="en-US" w:eastAsia="zh-CN"/>
        </w:rPr>
        <w:t>15个工作日内</w:t>
      </w:r>
      <w:r>
        <w:rPr>
          <w:rFonts w:hint="default" w:ascii="Times New Roman" w:hAnsi="Times New Roman"/>
          <w:lang w:val="en-US" w:eastAsia="zh-CN"/>
        </w:rPr>
        <w:t>完成评估工作，并向甲、乙、丙方提交《资产评估报告》交换意见稿，经充分交换意见后，5天内以快递或自取等</w:t>
      </w:r>
      <w:r>
        <w:rPr>
          <w:rFonts w:hint="eastAsia"/>
          <w:lang w:val="en-US" w:eastAsia="zh-CN"/>
        </w:rPr>
        <w:t>方式</w:t>
      </w:r>
      <w:r>
        <w:rPr>
          <w:rFonts w:hint="default" w:ascii="Times New Roman" w:hAnsi="Times New Roman"/>
          <w:lang w:val="en-US" w:eastAsia="zh-CN"/>
        </w:rPr>
        <w:t>提交正式《资产评估报告》。</w:t>
      </w:r>
      <w:r>
        <w:rPr>
          <w:rFonts w:hint="eastAsia"/>
          <w:lang w:val="en-US" w:eastAsia="zh-CN"/>
        </w:rPr>
        <w:t>丁方</w:t>
      </w:r>
      <w:r>
        <w:rPr>
          <w:rFonts w:hint="default" w:ascii="Times New Roman" w:hAnsi="Times New Roman"/>
          <w:lang w:val="en-US" w:eastAsia="zh-CN"/>
        </w:rPr>
        <w:t>需配合完成评估备案工作，</w:t>
      </w:r>
      <w:r>
        <w:rPr>
          <w:rFonts w:hint="eastAsia"/>
          <w:lang w:val="en-US" w:eastAsia="zh-CN"/>
        </w:rPr>
        <w:t>并在</w:t>
      </w:r>
      <w:r>
        <w:rPr>
          <w:rFonts w:hint="default" w:ascii="Times New Roman" w:hAnsi="Times New Roman"/>
          <w:lang w:val="en-US" w:eastAsia="zh-CN"/>
        </w:rPr>
        <w:t>过程中快速响应，完成专家评审意见反馈及修订。若甲、乙、丙方不能</w:t>
      </w:r>
      <w:r>
        <w:rPr>
          <w:rFonts w:hint="eastAsia"/>
          <w:lang w:val="en-US" w:eastAsia="zh-CN"/>
        </w:rPr>
        <w:t>按期</w:t>
      </w:r>
      <w:r>
        <w:rPr>
          <w:rFonts w:hint="default" w:ascii="Times New Roman" w:hAnsi="Times New Roman"/>
          <w:lang w:val="en-US" w:eastAsia="zh-CN"/>
        </w:rPr>
        <w:t>提供资料，</w:t>
      </w:r>
      <w:r>
        <w:rPr>
          <w:rFonts w:hint="eastAsia"/>
          <w:lang w:val="en-US" w:eastAsia="zh-CN"/>
        </w:rPr>
        <w:t>应及时以书面形式通知</w:t>
      </w:r>
      <w:r>
        <w:rPr>
          <w:rFonts w:hint="default" w:ascii="Times New Roman" w:hAnsi="Times New Roman"/>
          <w:lang w:val="en-US" w:eastAsia="zh-CN"/>
        </w:rPr>
        <w:t>丁方</w:t>
      </w:r>
      <w:r>
        <w:rPr>
          <w:rFonts w:hint="eastAsia"/>
          <w:lang w:val="en-US" w:eastAsia="zh-CN"/>
        </w:rPr>
        <w:t>并说明具体原因；经确认属于甲、乙、丙方原因导致资料迟延的，丁方</w:t>
      </w:r>
      <w:r>
        <w:rPr>
          <w:rFonts w:hint="default" w:ascii="Times New Roman" w:hAnsi="Times New Roman"/>
          <w:lang w:val="en-US" w:eastAsia="zh-CN"/>
        </w:rPr>
        <w:t>提交报告的</w:t>
      </w:r>
      <w:r>
        <w:rPr>
          <w:rFonts w:hint="eastAsia"/>
          <w:lang w:val="en-US" w:eastAsia="zh-CN"/>
        </w:rPr>
        <w:t>期限</w:t>
      </w:r>
      <w:r>
        <w:rPr>
          <w:rFonts w:hint="default" w:ascii="Times New Roman" w:hAnsi="Times New Roman"/>
          <w:lang w:val="en-US" w:eastAsia="zh-CN"/>
        </w:rPr>
        <w:t>可</w:t>
      </w:r>
      <w:r>
        <w:rPr>
          <w:rFonts w:hint="eastAsia"/>
          <w:lang w:val="en-US" w:eastAsia="zh-CN"/>
        </w:rPr>
        <w:t>按照资料实际迟延天数相应</w:t>
      </w:r>
      <w:r>
        <w:rPr>
          <w:rFonts w:hint="default" w:ascii="Times New Roman" w:hAnsi="Times New Roman"/>
          <w:lang w:val="en-US" w:eastAsia="zh-CN"/>
        </w:rPr>
        <w:t>顺延。</w:t>
      </w:r>
      <w:r>
        <w:rPr>
          <w:rFonts w:hint="eastAsia"/>
          <w:lang w:val="en-US" w:eastAsia="zh-CN"/>
        </w:rPr>
        <w:t>若因丁方原因逾期提交《资产评估报告》，每逾期1日，丁方应按合同总金额的万分之四向甲、乙、丙方支付违约金；逾期超过7日的，甲、乙、丙方有权单方解除本合同，且无需向丁方支付任何费用，丁方已收取的费用应于合同解除之日起3日内全额退还。</w:t>
      </w:r>
      <w:bookmarkEnd w:id="55"/>
    </w:p>
    <w:p w14:paraId="2831ACBC">
      <w:pPr>
        <w:rPr>
          <w:rFonts w:hint="default" w:ascii="Times New Roman" w:hAnsi="Times New Roman"/>
          <w:b/>
          <w:bCs/>
          <w:lang w:val="en-US" w:eastAsia="zh-CN"/>
        </w:rPr>
      </w:pPr>
      <w:r>
        <w:rPr>
          <w:rFonts w:hint="default" w:ascii="Times New Roman" w:hAnsi="Times New Roman"/>
          <w:b/>
          <w:bCs/>
          <w:lang w:val="en-US" w:eastAsia="zh-CN"/>
        </w:rPr>
        <w:t>七、评估服务费及支付方式</w:t>
      </w:r>
    </w:p>
    <w:p w14:paraId="48759F1A">
      <w:pPr>
        <w:rPr>
          <w:rFonts w:hint="default" w:ascii="Times New Roman" w:hAnsi="Times New Roman"/>
          <w:lang w:val="en-US" w:eastAsia="zh-CN"/>
        </w:rPr>
      </w:pPr>
      <w:bookmarkStart w:id="56" w:name="tip_risk_bookmark_2"/>
      <w:r>
        <w:rPr>
          <w:rFonts w:hint="default" w:ascii="Times New Roman" w:hAnsi="Times New Roman"/>
          <w:lang w:val="en-US" w:eastAsia="zh-CN"/>
        </w:rPr>
        <w:t>1、根据国家规定、此次评估的特定目的及本项目评估工作的繁简程度，甲、乙、丙、丁方协商本次资产评估服务费总额为人民币（含税价）</w:t>
      </w:r>
      <w:r>
        <w:rPr>
          <w:rFonts w:hint="default" w:ascii="Times New Roman" w:hAnsi="Times New Roman"/>
          <w:b w:val="0"/>
          <w:bCs w:val="0"/>
          <w:u w:val="single"/>
          <w:lang w:val="en-US" w:eastAsia="zh-CN"/>
        </w:rPr>
        <w:t xml:space="preserve">        </w:t>
      </w:r>
      <w:r>
        <w:rPr>
          <w:rFonts w:hint="default" w:ascii="Times New Roman" w:hAnsi="Times New Roman"/>
          <w:lang w:val="en-US" w:eastAsia="zh-CN"/>
        </w:rPr>
        <w:t>元整（</w:t>
      </w:r>
      <w:r>
        <w:rPr>
          <w:rFonts w:hint="eastAsia"/>
          <w:lang w:val="en-US" w:eastAsia="zh-CN"/>
        </w:rPr>
        <w:t>¥</w:t>
      </w:r>
      <w:r>
        <w:rPr>
          <w:rFonts w:hint="default" w:ascii="Times New Roman" w:hAnsi="Times New Roman"/>
          <w:u w:val="single"/>
          <w:lang w:val="en-US" w:eastAsia="zh-CN"/>
        </w:rPr>
        <w:t xml:space="preserve">    </w:t>
      </w:r>
      <w:r>
        <w:rPr>
          <w:rFonts w:hint="default" w:ascii="Times New Roman" w:hAnsi="Times New Roman"/>
          <w:lang w:val="en-US" w:eastAsia="zh-CN"/>
        </w:rPr>
        <w:t>）。本次评估服务费用由被评估方支付，为包干服务费。丁方为完成本评估业务发生的所有费用由</w:t>
      </w:r>
      <w:r>
        <w:rPr>
          <w:rFonts w:hint="eastAsia"/>
          <w:lang w:val="en-US" w:eastAsia="zh-CN"/>
        </w:rPr>
        <w:t>丁</w:t>
      </w:r>
      <w:r>
        <w:rPr>
          <w:rFonts w:hint="default" w:ascii="Times New Roman" w:hAnsi="Times New Roman"/>
          <w:lang w:val="en-US" w:eastAsia="zh-CN"/>
        </w:rPr>
        <w:t>方自行</w:t>
      </w:r>
      <w:r>
        <w:rPr>
          <w:rFonts w:hint="default" w:ascii="Times New Roman" w:hAnsi="Times New Roman"/>
          <w:highlight w:val="none"/>
          <w:lang w:val="en-US" w:eastAsia="zh-CN"/>
        </w:rPr>
        <w:t>承担。</w:t>
      </w:r>
      <w:bookmarkEnd w:id="56"/>
    </w:p>
    <w:tbl>
      <w:tblPr>
        <w:tblStyle w:val="29"/>
        <w:tblW w:w="825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82"/>
        <w:gridCol w:w="2922"/>
        <w:gridCol w:w="2655"/>
      </w:tblGrid>
      <w:tr w14:paraId="5E5AE6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2682" w:type="dxa"/>
            <w:noWrap w:val="0"/>
            <w:vAlign w:val="center"/>
          </w:tcPr>
          <w:p w14:paraId="2A316A0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方正楷体_GB2312" w:hAnsi="方正楷体_GB2312" w:eastAsia="方正楷体_GB2312" w:cs="方正楷体_GB2312"/>
                <w:b/>
                <w:bCs/>
                <w:i w:val="0"/>
                <w:iCs w:val="0"/>
                <w:color w:val="000000"/>
                <w:kern w:val="0"/>
                <w:sz w:val="24"/>
                <w:szCs w:val="24"/>
                <w:u w:val="none"/>
                <w:lang w:val="en-US" w:eastAsia="zh-CN" w:bidi="ar"/>
              </w:rPr>
            </w:pPr>
            <w:bookmarkStart w:id="57" w:name="tip_risk_bookmark_3"/>
            <w:r>
              <w:rPr>
                <w:rFonts w:hint="eastAsia" w:ascii="方正楷体_GB2312" w:hAnsi="方正楷体_GB2312" w:eastAsia="方正楷体_GB2312" w:cs="方正楷体_GB2312"/>
                <w:b/>
                <w:bCs/>
                <w:i w:val="0"/>
                <w:iCs w:val="0"/>
                <w:color w:val="000000"/>
                <w:kern w:val="0"/>
                <w:sz w:val="24"/>
                <w:szCs w:val="24"/>
                <w:u w:val="none"/>
                <w:lang w:val="en-US" w:eastAsia="zh-CN" w:bidi="ar"/>
              </w:rPr>
              <w:t>合同金额分摊</w:t>
            </w:r>
          </w:p>
        </w:tc>
        <w:tc>
          <w:tcPr>
            <w:tcW w:w="2922" w:type="dxa"/>
            <w:noWrap w:val="0"/>
            <w:vAlign w:val="center"/>
          </w:tcPr>
          <w:p w14:paraId="4AF659B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方正楷体_GB2312" w:hAnsi="方正楷体_GB2312" w:eastAsia="方正楷体_GB2312" w:cs="方正楷体_GB2312"/>
                <w:b/>
                <w:bCs/>
                <w:i w:val="0"/>
                <w:iCs w:val="0"/>
                <w:color w:val="000000"/>
                <w:kern w:val="0"/>
                <w:sz w:val="24"/>
                <w:szCs w:val="24"/>
                <w:u w:val="none"/>
                <w:lang w:val="en-US" w:eastAsia="zh-CN" w:bidi="ar"/>
              </w:rPr>
            </w:pPr>
            <w:r>
              <w:rPr>
                <w:rFonts w:hint="eastAsia" w:ascii="方正楷体_GB2312" w:hAnsi="方正楷体_GB2312" w:eastAsia="方正楷体_GB2312" w:cs="方正楷体_GB2312"/>
                <w:b/>
                <w:bCs/>
                <w:i w:val="0"/>
                <w:iCs w:val="0"/>
                <w:color w:val="000000"/>
                <w:kern w:val="0"/>
                <w:sz w:val="24"/>
                <w:szCs w:val="24"/>
                <w:u w:val="none"/>
                <w:lang w:val="en-US" w:eastAsia="zh-CN" w:bidi="ar"/>
              </w:rPr>
              <w:t>评估目的</w:t>
            </w:r>
          </w:p>
        </w:tc>
        <w:tc>
          <w:tcPr>
            <w:tcW w:w="2655" w:type="dxa"/>
            <w:noWrap w:val="0"/>
            <w:vAlign w:val="center"/>
          </w:tcPr>
          <w:p w14:paraId="3CA2305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方正楷体_GB2312" w:hAnsi="方正楷体_GB2312" w:eastAsia="方正楷体_GB2312" w:cs="方正楷体_GB2312"/>
                <w:b/>
                <w:bCs/>
                <w:i w:val="0"/>
                <w:iCs w:val="0"/>
                <w:color w:val="000000"/>
                <w:kern w:val="0"/>
                <w:sz w:val="24"/>
                <w:szCs w:val="24"/>
                <w:u w:val="none"/>
                <w:lang w:val="en-US" w:eastAsia="zh-CN" w:bidi="ar"/>
              </w:rPr>
            </w:pPr>
            <w:r>
              <w:rPr>
                <w:rFonts w:hint="eastAsia" w:ascii="方正楷体_GB2312" w:hAnsi="方正楷体_GB2312" w:eastAsia="方正楷体_GB2312" w:cs="方正楷体_GB2312"/>
                <w:b/>
                <w:bCs/>
                <w:i w:val="0"/>
                <w:iCs w:val="0"/>
                <w:color w:val="000000"/>
                <w:kern w:val="0"/>
                <w:sz w:val="24"/>
                <w:szCs w:val="24"/>
                <w:u w:val="none"/>
                <w:lang w:val="en-US" w:eastAsia="zh-CN" w:bidi="ar"/>
              </w:rPr>
              <w:t>服务费</w:t>
            </w:r>
          </w:p>
        </w:tc>
      </w:tr>
      <w:tr w14:paraId="4C8F13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2682" w:type="dxa"/>
            <w:tcBorders>
              <w:bottom w:val="nil"/>
            </w:tcBorders>
            <w:noWrap w:val="0"/>
            <w:vAlign w:val="center"/>
          </w:tcPr>
          <w:p w14:paraId="12929D5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方正楷体_GB2312" w:hAnsi="方正楷体_GB2312" w:eastAsia="方正楷体_GB2312" w:cs="方正楷体_GB2312"/>
                <w:b w:val="0"/>
                <w:bCs w:val="0"/>
                <w:i w:val="0"/>
                <w:iCs w:val="0"/>
                <w:color w:val="000000"/>
                <w:kern w:val="0"/>
                <w:sz w:val="24"/>
                <w:szCs w:val="24"/>
                <w:u w:val="none"/>
                <w:lang w:val="en-US" w:eastAsia="zh-CN" w:bidi="ar"/>
              </w:rPr>
            </w:pPr>
            <w:bookmarkStart w:id="58" w:name="tip_risk_bookmark_4"/>
            <w:r>
              <w:rPr>
                <w:rFonts w:hint="eastAsia" w:ascii="方正楷体_GB2312" w:hAnsi="方正楷体_GB2312" w:eastAsia="方正楷体_GB2312" w:cs="方正楷体_GB2312"/>
                <w:b w:val="0"/>
                <w:bCs w:val="0"/>
                <w:i w:val="0"/>
                <w:iCs w:val="0"/>
                <w:color w:val="000000"/>
                <w:kern w:val="0"/>
                <w:sz w:val="24"/>
                <w:szCs w:val="24"/>
                <w:u w:val="none"/>
                <w:lang w:val="en-US" w:eastAsia="zh-CN" w:bidi="ar"/>
              </w:rPr>
              <w:t>云南能源资产运营管理有限公司</w:t>
            </w:r>
          </w:p>
        </w:tc>
        <w:tc>
          <w:tcPr>
            <w:tcW w:w="2922" w:type="dxa"/>
            <w:noWrap w:val="0"/>
            <w:vAlign w:val="center"/>
          </w:tcPr>
          <w:p w14:paraId="238F09D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方正楷体_GB2312" w:hAnsi="方正楷体_GB2312" w:eastAsia="方正楷体_GB2312" w:cs="方正楷体_GB2312"/>
                <w:b w:val="0"/>
                <w:bCs w:val="0"/>
                <w:i w:val="0"/>
                <w:iCs w:val="0"/>
                <w:color w:val="000000"/>
                <w:kern w:val="0"/>
                <w:sz w:val="24"/>
                <w:szCs w:val="24"/>
                <w:u w:val="none"/>
                <w:lang w:val="en-US" w:eastAsia="zh-CN" w:bidi="ar"/>
              </w:rPr>
            </w:pPr>
            <w:r>
              <w:rPr>
                <w:rFonts w:hint="eastAsia" w:ascii="方正楷体_GB2312" w:hAnsi="方正楷体_GB2312" w:eastAsia="方正楷体_GB2312" w:cs="方正楷体_GB2312"/>
                <w:b w:val="0"/>
                <w:bCs w:val="0"/>
                <w:i w:val="0"/>
                <w:iCs w:val="0"/>
                <w:color w:val="000000"/>
                <w:kern w:val="0"/>
                <w:sz w:val="24"/>
                <w:szCs w:val="24"/>
                <w:u w:val="none"/>
                <w:lang w:val="en-US" w:eastAsia="zh-CN" w:bidi="ar"/>
              </w:rPr>
              <w:t>资产价值评估</w:t>
            </w:r>
          </w:p>
        </w:tc>
        <w:tc>
          <w:tcPr>
            <w:tcW w:w="2655" w:type="dxa"/>
            <w:noWrap w:val="0"/>
            <w:vAlign w:val="center"/>
          </w:tcPr>
          <w:p w14:paraId="1728E59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方正楷体_GB2312" w:hAnsi="方正楷体_GB2312" w:eastAsia="方正楷体_GB2312" w:cs="方正楷体_GB2312"/>
                <w:b w:val="0"/>
                <w:bCs w:val="0"/>
                <w:i w:val="0"/>
                <w:iCs w:val="0"/>
                <w:color w:val="000000"/>
                <w:kern w:val="0"/>
                <w:sz w:val="24"/>
                <w:szCs w:val="24"/>
                <w:u w:val="none"/>
                <w:lang w:val="en-US" w:eastAsia="zh-CN" w:bidi="ar"/>
              </w:rPr>
            </w:pPr>
            <w:r>
              <w:rPr>
                <w:rFonts w:hint="default" w:ascii="Times New Roman" w:hAnsi="Times New Roman" w:eastAsia="方正仿宋_GBK" w:cs="Times New Roman"/>
                <w:b w:val="0"/>
                <w:bCs w:val="0"/>
                <w:i w:val="0"/>
                <w:iCs w:val="0"/>
                <w:color w:val="000000"/>
                <w:kern w:val="0"/>
                <w:sz w:val="24"/>
                <w:szCs w:val="24"/>
                <w:u w:val="none"/>
                <w:lang w:val="en-US" w:eastAsia="zh-CN" w:bidi="ar"/>
              </w:rPr>
              <w:t>xxxx</w:t>
            </w:r>
          </w:p>
        </w:tc>
      </w:tr>
      <w:bookmarkEnd w:id="57"/>
      <w:tr w14:paraId="2CCA20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2682" w:type="dxa"/>
            <w:tcBorders>
              <w:bottom w:val="nil"/>
            </w:tcBorders>
            <w:noWrap w:val="0"/>
            <w:vAlign w:val="center"/>
          </w:tcPr>
          <w:p w14:paraId="74B3A89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方正楷体_GB2312" w:hAnsi="方正楷体_GB2312" w:eastAsia="方正楷体_GB2312" w:cs="方正楷体_GB2312"/>
                <w:b w:val="0"/>
                <w:bCs w:val="0"/>
                <w:i w:val="0"/>
                <w:iCs w:val="0"/>
                <w:color w:val="000000"/>
                <w:kern w:val="0"/>
                <w:sz w:val="24"/>
                <w:szCs w:val="24"/>
                <w:u w:val="none"/>
                <w:lang w:val="en-US" w:eastAsia="zh-CN" w:bidi="ar"/>
              </w:rPr>
            </w:pPr>
            <w:r>
              <w:rPr>
                <w:rFonts w:hint="eastAsia" w:ascii="方正楷体_GB2312" w:hAnsi="方正楷体_GB2312" w:eastAsia="方正楷体_GB2312" w:cs="方正楷体_GB2312"/>
                <w:b w:val="0"/>
                <w:bCs w:val="0"/>
                <w:i w:val="0"/>
                <w:iCs w:val="0"/>
                <w:color w:val="000000"/>
                <w:kern w:val="0"/>
                <w:sz w:val="24"/>
                <w:szCs w:val="24"/>
                <w:u w:val="none"/>
                <w:lang w:val="en-US" w:eastAsia="zh-CN" w:bidi="ar"/>
              </w:rPr>
              <w:t>云南能投红河电力储能园区开发有限公司</w:t>
            </w:r>
          </w:p>
        </w:tc>
        <w:tc>
          <w:tcPr>
            <w:tcW w:w="2922" w:type="dxa"/>
            <w:noWrap w:val="0"/>
            <w:vAlign w:val="center"/>
          </w:tcPr>
          <w:p w14:paraId="7F30073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方正楷体_GB2312" w:hAnsi="方正楷体_GB2312" w:eastAsia="方正楷体_GB2312" w:cs="方正楷体_GB2312"/>
                <w:b w:val="0"/>
                <w:bCs w:val="0"/>
                <w:i w:val="0"/>
                <w:iCs w:val="0"/>
                <w:color w:val="000000"/>
                <w:kern w:val="0"/>
                <w:sz w:val="24"/>
                <w:szCs w:val="24"/>
                <w:u w:val="none"/>
                <w:lang w:val="en-US" w:eastAsia="zh-CN" w:bidi="ar"/>
              </w:rPr>
            </w:pPr>
            <w:r>
              <w:rPr>
                <w:rFonts w:hint="eastAsia" w:ascii="方正楷体_GB2312" w:hAnsi="方正楷体_GB2312" w:eastAsia="方正楷体_GB2312" w:cs="方正楷体_GB2312"/>
                <w:b w:val="0"/>
                <w:bCs w:val="0"/>
                <w:i w:val="0"/>
                <w:iCs w:val="0"/>
                <w:color w:val="000000"/>
                <w:kern w:val="0"/>
                <w:sz w:val="24"/>
                <w:szCs w:val="24"/>
                <w:u w:val="none"/>
                <w:lang w:val="en-US" w:eastAsia="zh-CN" w:bidi="ar"/>
              </w:rPr>
              <w:t>资产价值评估</w:t>
            </w:r>
          </w:p>
        </w:tc>
        <w:tc>
          <w:tcPr>
            <w:tcW w:w="2655" w:type="dxa"/>
            <w:noWrap w:val="0"/>
            <w:vAlign w:val="center"/>
          </w:tcPr>
          <w:p w14:paraId="65AAC79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方正楷体_GB2312" w:hAnsi="方正楷体_GB2312" w:eastAsia="方正楷体_GB2312" w:cs="方正楷体_GB2312"/>
                <w:b w:val="0"/>
                <w:bCs w:val="0"/>
                <w:i w:val="0"/>
                <w:iCs w:val="0"/>
                <w:color w:val="000000"/>
                <w:kern w:val="0"/>
                <w:sz w:val="24"/>
                <w:szCs w:val="24"/>
                <w:u w:val="none"/>
                <w:lang w:val="en-US" w:eastAsia="zh-CN" w:bidi="ar"/>
              </w:rPr>
            </w:pPr>
            <w:r>
              <w:rPr>
                <w:rFonts w:hint="eastAsia" w:ascii="Times New Roman" w:hAnsi="Times New Roman" w:eastAsia="方正仿宋_GBK" w:cs="Times New Roman"/>
                <w:b w:val="0"/>
                <w:bCs w:val="0"/>
                <w:i w:val="0"/>
                <w:iCs w:val="0"/>
                <w:color w:val="000000"/>
                <w:kern w:val="0"/>
                <w:sz w:val="24"/>
                <w:szCs w:val="24"/>
                <w:u w:val="none"/>
                <w:lang w:val="en-US" w:eastAsia="zh-CN" w:bidi="ar"/>
              </w:rPr>
              <w:t>xxxx</w:t>
            </w:r>
          </w:p>
        </w:tc>
      </w:tr>
      <w:tr w14:paraId="654139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2682" w:type="dxa"/>
            <w:tcBorders>
              <w:bottom w:val="nil"/>
            </w:tcBorders>
            <w:noWrap w:val="0"/>
            <w:vAlign w:val="center"/>
          </w:tcPr>
          <w:p w14:paraId="373DFF1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方正楷体_GB2312" w:hAnsi="方正楷体_GB2312" w:eastAsia="方正楷体_GB2312" w:cs="方正楷体_GB2312"/>
                <w:b w:val="0"/>
                <w:bCs w:val="0"/>
                <w:i w:val="0"/>
                <w:iCs w:val="0"/>
                <w:color w:val="000000"/>
                <w:kern w:val="0"/>
                <w:sz w:val="24"/>
                <w:szCs w:val="24"/>
                <w:u w:val="none"/>
                <w:lang w:val="en-US" w:eastAsia="zh-CN" w:bidi="ar"/>
              </w:rPr>
            </w:pPr>
            <w:bookmarkStart w:id="59" w:name="tip_risk_bookmark_5"/>
            <w:r>
              <w:rPr>
                <w:rFonts w:hint="eastAsia" w:ascii="方正楷体_GB2312" w:hAnsi="方正楷体_GB2312" w:eastAsia="方正楷体_GB2312" w:cs="方正楷体_GB2312"/>
                <w:b w:val="0"/>
                <w:bCs w:val="0"/>
                <w:i w:val="0"/>
                <w:iCs w:val="0"/>
                <w:color w:val="000000"/>
                <w:kern w:val="0"/>
                <w:sz w:val="24"/>
                <w:szCs w:val="24"/>
                <w:u w:val="none"/>
                <w:lang w:val="en-US" w:eastAsia="zh-CN" w:bidi="ar"/>
              </w:rPr>
              <w:t>云南居正健康管理有限公司</w:t>
            </w:r>
          </w:p>
        </w:tc>
        <w:tc>
          <w:tcPr>
            <w:tcW w:w="2922" w:type="dxa"/>
            <w:noWrap w:val="0"/>
            <w:vAlign w:val="center"/>
          </w:tcPr>
          <w:p w14:paraId="457D122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方正楷体_GB2312" w:hAnsi="方正楷体_GB2312" w:eastAsia="方正楷体_GB2312" w:cs="方正楷体_GB2312"/>
                <w:b w:val="0"/>
                <w:bCs w:val="0"/>
                <w:i w:val="0"/>
                <w:iCs w:val="0"/>
                <w:color w:val="000000"/>
                <w:kern w:val="0"/>
                <w:sz w:val="24"/>
                <w:szCs w:val="24"/>
                <w:u w:val="none"/>
                <w:lang w:val="en-US" w:eastAsia="zh-CN" w:bidi="ar"/>
              </w:rPr>
            </w:pPr>
            <w:r>
              <w:rPr>
                <w:rFonts w:hint="eastAsia" w:ascii="方正楷体_GB2312" w:hAnsi="方正楷体_GB2312" w:eastAsia="方正楷体_GB2312" w:cs="方正楷体_GB2312"/>
                <w:b w:val="0"/>
                <w:bCs w:val="0"/>
                <w:i w:val="0"/>
                <w:iCs w:val="0"/>
                <w:color w:val="000000"/>
                <w:kern w:val="0"/>
                <w:sz w:val="24"/>
                <w:szCs w:val="24"/>
                <w:u w:val="none"/>
                <w:lang w:val="en-US" w:eastAsia="zh-CN" w:bidi="ar"/>
              </w:rPr>
              <w:t>资产价值评估</w:t>
            </w:r>
          </w:p>
        </w:tc>
        <w:tc>
          <w:tcPr>
            <w:tcW w:w="2655" w:type="dxa"/>
            <w:noWrap w:val="0"/>
            <w:vAlign w:val="center"/>
          </w:tcPr>
          <w:p w14:paraId="2AF5E29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方正楷体_GB2312" w:hAnsi="方正楷体_GB2312" w:eastAsia="方正楷体_GB2312" w:cs="方正楷体_GB2312"/>
                <w:b w:val="0"/>
                <w:bCs w:val="0"/>
                <w:i w:val="0"/>
                <w:iCs w:val="0"/>
                <w:color w:val="000000"/>
                <w:kern w:val="0"/>
                <w:sz w:val="24"/>
                <w:szCs w:val="24"/>
                <w:u w:val="none"/>
                <w:lang w:val="en-US" w:eastAsia="zh-CN" w:bidi="ar"/>
              </w:rPr>
            </w:pPr>
            <w:r>
              <w:rPr>
                <w:rFonts w:hint="eastAsia" w:ascii="Times New Roman" w:hAnsi="Times New Roman" w:eastAsia="方正仿宋_GBK" w:cs="Times New Roman"/>
                <w:b w:val="0"/>
                <w:bCs w:val="0"/>
                <w:i w:val="0"/>
                <w:iCs w:val="0"/>
                <w:color w:val="000000"/>
                <w:kern w:val="0"/>
                <w:sz w:val="24"/>
                <w:szCs w:val="24"/>
                <w:u w:val="none"/>
                <w:lang w:val="en-US" w:eastAsia="zh-CN" w:bidi="ar"/>
              </w:rPr>
              <w:t>xxxx</w:t>
            </w:r>
          </w:p>
        </w:tc>
      </w:tr>
      <w:bookmarkEnd w:id="58"/>
      <w:tr w14:paraId="069CDA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trPr>
        <w:tc>
          <w:tcPr>
            <w:tcW w:w="2682" w:type="dxa"/>
            <w:noWrap w:val="0"/>
            <w:vAlign w:val="center"/>
          </w:tcPr>
          <w:p w14:paraId="34F065D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方正楷体_GB2312" w:hAnsi="方正楷体_GB2312" w:eastAsia="方正楷体_GB2312" w:cs="方正楷体_GB2312"/>
                <w:b w:val="0"/>
                <w:bCs w:val="0"/>
                <w:i w:val="0"/>
                <w:iCs w:val="0"/>
                <w:color w:val="000000"/>
                <w:kern w:val="0"/>
                <w:sz w:val="24"/>
                <w:szCs w:val="24"/>
                <w:u w:val="none"/>
                <w:lang w:val="en-US" w:eastAsia="zh-CN" w:bidi="ar"/>
              </w:rPr>
            </w:pPr>
            <w:r>
              <w:rPr>
                <w:rFonts w:hint="eastAsia" w:ascii="方正楷体_GB2312" w:hAnsi="方正楷体_GB2312" w:eastAsia="方正楷体_GB2312" w:cs="方正楷体_GB2312"/>
                <w:b w:val="0"/>
                <w:bCs w:val="0"/>
                <w:i w:val="0"/>
                <w:iCs w:val="0"/>
                <w:color w:val="000000"/>
                <w:kern w:val="0"/>
                <w:sz w:val="24"/>
                <w:szCs w:val="24"/>
                <w:u w:val="none"/>
                <w:lang w:val="en-US" w:eastAsia="zh-CN" w:bidi="ar"/>
              </w:rPr>
              <w:t>合计</w:t>
            </w:r>
          </w:p>
        </w:tc>
        <w:tc>
          <w:tcPr>
            <w:tcW w:w="5577" w:type="dxa"/>
            <w:gridSpan w:val="2"/>
            <w:noWrap w:val="0"/>
            <w:vAlign w:val="center"/>
          </w:tcPr>
          <w:p w14:paraId="39ED1BF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方正楷体_GB2312" w:hAnsi="方正楷体_GB2312" w:eastAsia="方正楷体_GB2312" w:cs="方正楷体_GB2312"/>
                <w:b w:val="0"/>
                <w:bCs w:val="0"/>
                <w:i w:val="0"/>
                <w:iCs w:val="0"/>
                <w:color w:val="000000"/>
                <w:kern w:val="0"/>
                <w:sz w:val="24"/>
                <w:szCs w:val="24"/>
                <w:u w:val="none"/>
                <w:lang w:val="en-US" w:eastAsia="zh-CN" w:bidi="ar"/>
              </w:rPr>
            </w:pPr>
            <w:r>
              <w:rPr>
                <w:rFonts w:hint="eastAsia" w:ascii="Times New Roman" w:hAnsi="Times New Roman" w:eastAsia="方正仿宋_GBK" w:cs="Times New Roman"/>
                <w:b w:val="0"/>
                <w:bCs w:val="0"/>
                <w:i w:val="0"/>
                <w:iCs w:val="0"/>
                <w:color w:val="000000"/>
                <w:kern w:val="0"/>
                <w:sz w:val="24"/>
                <w:szCs w:val="24"/>
                <w:u w:val="none"/>
                <w:lang w:val="en-US" w:eastAsia="zh-CN" w:bidi="ar"/>
              </w:rPr>
              <w:t>xxxx</w:t>
            </w:r>
          </w:p>
        </w:tc>
      </w:tr>
      <w:bookmarkEnd w:id="59"/>
    </w:tbl>
    <w:p w14:paraId="48CA0542">
      <w:pPr>
        <w:rPr>
          <w:rFonts w:hint="default" w:ascii="Times New Roman" w:hAnsi="Times New Roman"/>
          <w:highlight w:val="none"/>
          <w:lang w:val="en-US" w:eastAsia="zh-CN"/>
        </w:rPr>
      </w:pPr>
      <w:bookmarkStart w:id="60" w:name="auto_fouce_6"/>
      <w:r>
        <w:rPr>
          <w:rFonts w:hint="default" w:ascii="Times New Roman" w:hAnsi="Times New Roman"/>
          <w:highlight w:val="none"/>
          <w:lang w:val="en-US" w:eastAsia="zh-CN"/>
        </w:rPr>
        <w:t>2、支付方式：本合同经</w:t>
      </w:r>
      <w:r>
        <w:rPr>
          <w:rFonts w:hint="eastAsia"/>
          <w:highlight w:val="none"/>
          <w:lang w:val="en-US" w:eastAsia="zh-CN"/>
        </w:rPr>
        <w:t>甲、乙、丙、丁</w:t>
      </w:r>
      <w:r>
        <w:rPr>
          <w:rFonts w:hint="default" w:ascii="Times New Roman" w:hAnsi="Times New Roman"/>
          <w:highlight w:val="none"/>
          <w:lang w:val="en-US" w:eastAsia="zh-CN"/>
        </w:rPr>
        <w:t>四方签订并生效</w:t>
      </w:r>
      <w:r>
        <w:rPr>
          <w:rFonts w:hint="eastAsia"/>
          <w:highlight w:val="none"/>
          <w:lang w:val="en-US" w:eastAsia="zh-CN"/>
        </w:rPr>
        <w:t>后</w:t>
      </w:r>
      <w:r>
        <w:rPr>
          <w:rFonts w:hint="default" w:ascii="Times New Roman" w:hAnsi="Times New Roman"/>
          <w:highlight w:val="none"/>
          <w:lang w:val="en-US" w:eastAsia="zh-CN"/>
        </w:rPr>
        <w:t>，</w:t>
      </w:r>
      <w:r>
        <w:rPr>
          <w:rFonts w:hint="eastAsia"/>
          <w:highlight w:val="none"/>
          <w:lang w:val="en-US" w:eastAsia="zh-CN"/>
        </w:rPr>
        <w:t>按照实际</w:t>
      </w:r>
      <w:r>
        <w:rPr>
          <w:rFonts w:hint="default" w:ascii="Times New Roman" w:hAnsi="Times New Roman"/>
          <w:highlight w:val="none"/>
          <w:lang w:val="en-US" w:eastAsia="zh-CN"/>
        </w:rPr>
        <w:t>评估目的</w:t>
      </w:r>
      <w:r>
        <w:rPr>
          <w:rFonts w:hint="eastAsia"/>
          <w:highlight w:val="none"/>
          <w:lang w:val="en-US" w:eastAsia="zh-CN"/>
        </w:rPr>
        <w:t>适用相应付款方式。</w:t>
      </w:r>
      <w:r>
        <w:rPr>
          <w:rFonts w:hint="default" w:ascii="Times New Roman" w:hAnsi="Times New Roman"/>
          <w:highlight w:val="none"/>
          <w:lang w:val="en-US" w:eastAsia="zh-CN"/>
        </w:rPr>
        <w:t>资产价值评估类</w:t>
      </w:r>
      <w:r>
        <w:rPr>
          <w:rFonts w:hint="eastAsia"/>
          <w:highlight w:val="none"/>
          <w:lang w:val="en-US" w:eastAsia="zh-CN"/>
        </w:rPr>
        <w:t>项目，</w:t>
      </w:r>
      <w:r>
        <w:rPr>
          <w:rFonts w:hint="default" w:ascii="Times New Roman" w:hAnsi="Times New Roman"/>
          <w:highlight w:val="none"/>
          <w:lang w:val="en-US" w:eastAsia="zh-CN"/>
        </w:rPr>
        <w:t>丁方提交</w:t>
      </w:r>
      <w:r>
        <w:rPr>
          <w:rFonts w:hint="eastAsia"/>
          <w:highlight w:val="none"/>
          <w:lang w:val="en-US" w:eastAsia="zh-CN"/>
        </w:rPr>
        <w:t>经甲、乙、丙方验收合格的</w:t>
      </w:r>
      <w:r>
        <w:rPr>
          <w:rFonts w:hint="default" w:ascii="Times New Roman" w:hAnsi="Times New Roman"/>
          <w:highlight w:val="none"/>
          <w:lang w:val="en-US" w:eastAsia="zh-CN"/>
        </w:rPr>
        <w:t>报告初稿</w:t>
      </w:r>
      <w:r>
        <w:rPr>
          <w:rFonts w:hint="eastAsia"/>
          <w:highlight w:val="none"/>
          <w:lang w:val="en-US" w:eastAsia="zh-CN"/>
        </w:rPr>
        <w:t>（</w:t>
      </w:r>
      <w:r>
        <w:rPr>
          <w:rFonts w:hint="default" w:ascii="Times New Roman" w:hAnsi="Times New Roman"/>
          <w:highlight w:val="none"/>
          <w:lang w:val="en-US" w:eastAsia="zh-CN"/>
        </w:rPr>
        <w:t>初稿以盖章的评估明细表形式提交</w:t>
      </w:r>
      <w:r>
        <w:rPr>
          <w:rFonts w:hint="eastAsia"/>
          <w:highlight w:val="none"/>
          <w:lang w:val="en-US" w:eastAsia="zh-CN"/>
        </w:rPr>
        <w:t>）后</w:t>
      </w:r>
      <w:r>
        <w:rPr>
          <w:rFonts w:hint="default" w:ascii="Times New Roman" w:hAnsi="Times New Roman"/>
          <w:highlight w:val="none"/>
          <w:lang w:val="en-US" w:eastAsia="zh-CN"/>
        </w:rPr>
        <w:t>，甲、乙、丙方分别支付丁方</w:t>
      </w:r>
      <w:r>
        <w:rPr>
          <w:rFonts w:hint="eastAsia"/>
          <w:highlight w:val="none"/>
          <w:lang w:val="en-US" w:eastAsia="zh-CN"/>
        </w:rPr>
        <w:t>相应</w:t>
      </w:r>
      <w:r>
        <w:rPr>
          <w:rFonts w:hint="default" w:ascii="Times New Roman" w:hAnsi="Times New Roman"/>
          <w:highlight w:val="none"/>
          <w:lang w:val="en-US" w:eastAsia="zh-CN"/>
        </w:rPr>
        <w:t>评估服务费的40%</w:t>
      </w:r>
      <w:r>
        <w:rPr>
          <w:rFonts w:hint="eastAsia"/>
          <w:highlight w:val="none"/>
          <w:lang w:val="en-US" w:eastAsia="zh-CN"/>
        </w:rPr>
        <w:t>，</w:t>
      </w:r>
      <w:r>
        <w:rPr>
          <w:rFonts w:hint="default" w:ascii="Times New Roman" w:hAnsi="Times New Roman"/>
          <w:highlight w:val="none"/>
          <w:lang w:val="en-US" w:eastAsia="zh-CN"/>
        </w:rPr>
        <w:t>金额为¥</w:t>
      </w:r>
      <w:r>
        <w:rPr>
          <w:rFonts w:hint="default" w:ascii="Times New Roman" w:hAnsi="Times New Roman"/>
          <w:highlight w:val="none"/>
          <w:u w:val="single"/>
          <w:lang w:val="en-US" w:eastAsia="zh-CN"/>
        </w:rPr>
        <w:t>xxx</w:t>
      </w:r>
      <w:r>
        <w:rPr>
          <w:rFonts w:hint="eastAsia"/>
          <w:highlight w:val="none"/>
          <w:lang w:val="en-US" w:eastAsia="zh-CN"/>
        </w:rPr>
        <w:t>；丁方</w:t>
      </w:r>
      <w:r>
        <w:rPr>
          <w:rFonts w:hint="default" w:ascii="Times New Roman" w:hAnsi="Times New Roman"/>
          <w:highlight w:val="none"/>
          <w:lang w:val="en-US" w:eastAsia="zh-CN"/>
        </w:rPr>
        <w:t>提交</w:t>
      </w:r>
      <w:r>
        <w:rPr>
          <w:rFonts w:hint="eastAsia"/>
          <w:highlight w:val="none"/>
          <w:lang w:val="en-US" w:eastAsia="zh-CN"/>
        </w:rPr>
        <w:t>经甲、乙、丙方验收合格的</w:t>
      </w:r>
      <w:r>
        <w:rPr>
          <w:rFonts w:hint="default" w:ascii="Times New Roman" w:hAnsi="Times New Roman"/>
          <w:highlight w:val="none"/>
          <w:lang w:val="en-US" w:eastAsia="zh-CN"/>
        </w:rPr>
        <w:t>正式评估报告书</w:t>
      </w:r>
      <w:r>
        <w:rPr>
          <w:rFonts w:hint="eastAsia"/>
          <w:highlight w:val="none"/>
          <w:lang w:val="en-US" w:eastAsia="zh-CN"/>
        </w:rPr>
        <w:t>并配合甲、乙、丙方完成资产评估备案</w:t>
      </w:r>
      <w:r>
        <w:rPr>
          <w:rFonts w:hint="default" w:ascii="Times New Roman" w:hAnsi="Times New Roman"/>
          <w:highlight w:val="none"/>
          <w:lang w:val="en-US" w:eastAsia="zh-CN"/>
        </w:rPr>
        <w:t>后，甲、乙、丙方分别支付丁方</w:t>
      </w:r>
      <w:r>
        <w:rPr>
          <w:rFonts w:hint="eastAsia"/>
          <w:highlight w:val="none"/>
          <w:lang w:val="en-US" w:eastAsia="zh-CN"/>
        </w:rPr>
        <w:t>相应</w:t>
      </w:r>
      <w:r>
        <w:rPr>
          <w:rFonts w:hint="default" w:ascii="Times New Roman" w:hAnsi="Times New Roman"/>
          <w:highlight w:val="none"/>
          <w:lang w:val="en-US" w:eastAsia="zh-CN"/>
        </w:rPr>
        <w:t>评估服务费的60%</w:t>
      </w:r>
      <w:r>
        <w:rPr>
          <w:rFonts w:hint="eastAsia"/>
          <w:highlight w:val="none"/>
          <w:lang w:val="en-US" w:eastAsia="zh-CN"/>
        </w:rPr>
        <w:t>，</w:t>
      </w:r>
      <w:r>
        <w:rPr>
          <w:rFonts w:hint="default" w:ascii="Times New Roman" w:hAnsi="Times New Roman"/>
          <w:highlight w:val="none"/>
          <w:lang w:val="en-US" w:eastAsia="zh-CN"/>
        </w:rPr>
        <w:t>金额为¥</w:t>
      </w:r>
      <w:r>
        <w:rPr>
          <w:rFonts w:hint="default" w:ascii="Times New Roman" w:hAnsi="Times New Roman"/>
          <w:highlight w:val="none"/>
          <w:u w:val="single"/>
          <w:lang w:val="en-US" w:eastAsia="zh-CN"/>
        </w:rPr>
        <w:t>xxx</w:t>
      </w:r>
      <w:r>
        <w:rPr>
          <w:rFonts w:hint="eastAsia"/>
          <w:highlight w:val="none"/>
          <w:u w:val="single"/>
          <w:lang w:val="en-US" w:eastAsia="zh-CN"/>
        </w:rPr>
        <w:t>。</w:t>
      </w:r>
      <w:r>
        <w:rPr>
          <w:rFonts w:hint="default" w:ascii="Times New Roman" w:hAnsi="Times New Roman"/>
          <w:highlight w:val="none"/>
          <w:lang w:val="en-US" w:eastAsia="zh-CN"/>
        </w:rPr>
        <w:t>丁方</w:t>
      </w:r>
      <w:r>
        <w:rPr>
          <w:rFonts w:hint="eastAsia"/>
          <w:highlight w:val="none"/>
          <w:lang w:val="en-US" w:eastAsia="zh-CN"/>
        </w:rPr>
        <w:t>应在提交对应阶段成果后3日内</w:t>
      </w:r>
      <w:r>
        <w:rPr>
          <w:rFonts w:hint="default" w:ascii="Times New Roman" w:hAnsi="Times New Roman"/>
          <w:highlight w:val="none"/>
          <w:lang w:val="en-US" w:eastAsia="zh-CN"/>
        </w:rPr>
        <w:t>向甲、乙、丙方提供</w:t>
      </w:r>
      <w:r>
        <w:rPr>
          <w:rFonts w:hint="eastAsia"/>
          <w:highlight w:val="none"/>
          <w:lang w:val="en-US" w:eastAsia="zh-CN"/>
        </w:rPr>
        <w:t>与应付款项</w:t>
      </w:r>
      <w:r>
        <w:rPr>
          <w:rFonts w:hint="default" w:ascii="Times New Roman" w:hAnsi="Times New Roman"/>
          <w:highlight w:val="none"/>
          <w:lang w:val="en-US" w:eastAsia="zh-CN"/>
        </w:rPr>
        <w:t>等额</w:t>
      </w:r>
      <w:r>
        <w:rPr>
          <w:rFonts w:hint="eastAsia"/>
          <w:highlight w:val="none"/>
          <w:lang w:val="en-US" w:eastAsia="zh-CN"/>
        </w:rPr>
        <w:t>的</w:t>
      </w:r>
      <w:r>
        <w:rPr>
          <w:rFonts w:hint="default" w:ascii="Times New Roman" w:hAnsi="Times New Roman"/>
          <w:highlight w:val="none"/>
          <w:lang w:val="en-US" w:eastAsia="zh-CN"/>
        </w:rPr>
        <w:t>有效增值税专用发票</w:t>
      </w:r>
      <w:r>
        <w:rPr>
          <w:rFonts w:hint="eastAsia"/>
          <w:highlight w:val="none"/>
          <w:lang w:val="en-US" w:eastAsia="zh-CN"/>
        </w:rPr>
        <w:t>；丁方逾期提交发票的</w:t>
      </w:r>
      <w:r>
        <w:rPr>
          <w:rFonts w:hint="default" w:ascii="Times New Roman" w:hAnsi="Times New Roman"/>
          <w:highlight w:val="none"/>
          <w:lang w:val="en-US" w:eastAsia="zh-CN"/>
        </w:rPr>
        <w:t>，</w:t>
      </w:r>
      <w:r>
        <w:rPr>
          <w:rFonts w:hint="eastAsia"/>
          <w:highlight w:val="none"/>
          <w:lang w:val="en-US" w:eastAsia="zh-CN"/>
        </w:rPr>
        <w:t>付款期限相应顺延，</w:t>
      </w:r>
      <w:r>
        <w:rPr>
          <w:rFonts w:hint="default" w:ascii="Times New Roman" w:hAnsi="Times New Roman"/>
          <w:highlight w:val="none"/>
          <w:lang w:val="en-US" w:eastAsia="zh-CN"/>
        </w:rPr>
        <w:t>甲、乙、丙方</w:t>
      </w:r>
      <w:r>
        <w:rPr>
          <w:rFonts w:hint="eastAsia"/>
          <w:highlight w:val="none"/>
          <w:lang w:val="en-US" w:eastAsia="zh-CN"/>
        </w:rPr>
        <w:t>不承担逾期付款责任。甲、乙、丙方在收到符合约定的发票前，</w:t>
      </w:r>
      <w:r>
        <w:rPr>
          <w:rFonts w:hint="default" w:ascii="Times New Roman" w:hAnsi="Times New Roman"/>
          <w:highlight w:val="none"/>
          <w:lang w:val="en-US" w:eastAsia="zh-CN"/>
        </w:rPr>
        <w:t>有权暂不支付</w:t>
      </w:r>
      <w:r>
        <w:rPr>
          <w:rFonts w:hint="eastAsia"/>
          <w:highlight w:val="none"/>
          <w:lang w:val="en-US" w:eastAsia="zh-CN"/>
        </w:rPr>
        <w:t>相应款项</w:t>
      </w:r>
      <w:r>
        <w:rPr>
          <w:rFonts w:hint="default" w:ascii="Times New Roman" w:hAnsi="Times New Roman"/>
          <w:highlight w:val="none"/>
          <w:lang w:val="en-US" w:eastAsia="zh-CN"/>
        </w:rPr>
        <w:t>，丁方</w:t>
      </w:r>
      <w:r>
        <w:rPr>
          <w:rFonts w:hint="eastAsia"/>
          <w:highlight w:val="none"/>
          <w:lang w:val="en-US" w:eastAsia="zh-CN"/>
        </w:rPr>
        <w:t>仍</w:t>
      </w:r>
      <w:r>
        <w:rPr>
          <w:rFonts w:hint="default" w:ascii="Times New Roman" w:hAnsi="Times New Roman"/>
          <w:highlight w:val="none"/>
          <w:lang w:val="en-US" w:eastAsia="zh-CN"/>
        </w:rPr>
        <w:t>应继续履行合同。</w:t>
      </w:r>
      <w:bookmarkEnd w:id="60"/>
    </w:p>
    <w:p w14:paraId="649852AB">
      <w:pPr>
        <w:rPr>
          <w:rFonts w:hint="default" w:ascii="Times New Roman" w:hAnsi="Times New Roman"/>
          <w:highlight w:val="none"/>
          <w:lang w:val="en-US" w:eastAsia="zh-CN"/>
        </w:rPr>
      </w:pPr>
      <w:r>
        <w:rPr>
          <w:rFonts w:hint="default" w:ascii="Times New Roman" w:hAnsi="Times New Roman"/>
          <w:highlight w:val="none"/>
          <w:lang w:val="en-US" w:eastAsia="zh-CN"/>
        </w:rPr>
        <w:t>3、开票信息：</w:t>
      </w:r>
    </w:p>
    <w:p w14:paraId="0C7E2181">
      <w:pPr>
        <w:rPr>
          <w:rFonts w:hint="default" w:ascii="Times New Roman" w:hAnsi="Times New Roman"/>
          <w:highlight w:val="none"/>
          <w:lang w:val="en-US" w:eastAsia="zh-CN"/>
        </w:rPr>
      </w:pPr>
      <w:r>
        <w:rPr>
          <w:rFonts w:hint="default" w:ascii="Times New Roman" w:hAnsi="Times New Roman"/>
          <w:highlight w:val="none"/>
          <w:lang w:val="en-US" w:eastAsia="zh-CN"/>
        </w:rPr>
        <w:t>甲方开票信息如下：</w:t>
      </w:r>
    </w:p>
    <w:p w14:paraId="7DAE8F48">
      <w:pPr>
        <w:rPr>
          <w:rFonts w:hint="default" w:ascii="Times New Roman" w:hAnsi="Times New Roman"/>
          <w:lang w:val="en-US" w:eastAsia="zh-CN"/>
        </w:rPr>
      </w:pPr>
      <w:r>
        <w:rPr>
          <w:rFonts w:hint="default" w:ascii="Times New Roman" w:hAnsi="Times New Roman"/>
          <w:lang w:val="en-US" w:eastAsia="zh-CN"/>
        </w:rPr>
        <w:t>名称：云南能源资产运营管理有限公司</w:t>
      </w:r>
    </w:p>
    <w:p w14:paraId="1770772F">
      <w:pPr>
        <w:rPr>
          <w:rFonts w:hint="default" w:ascii="Times New Roman" w:hAnsi="Times New Roman"/>
          <w:lang w:val="en-US" w:eastAsia="zh-CN"/>
        </w:rPr>
      </w:pPr>
      <w:r>
        <w:rPr>
          <w:rFonts w:hint="default" w:ascii="Times New Roman" w:hAnsi="Times New Roman"/>
          <w:lang w:val="en-US" w:eastAsia="zh-CN"/>
        </w:rPr>
        <w:t>税号：91530100790289813L</w:t>
      </w:r>
    </w:p>
    <w:p w14:paraId="2450F001">
      <w:pPr>
        <w:rPr>
          <w:rFonts w:hint="default" w:ascii="Times New Roman" w:hAnsi="Times New Roman"/>
          <w:lang w:val="en-US" w:eastAsia="zh-CN"/>
        </w:rPr>
      </w:pPr>
      <w:r>
        <w:rPr>
          <w:rFonts w:hint="default" w:ascii="Times New Roman" w:hAnsi="Times New Roman"/>
          <w:lang w:val="en-US" w:eastAsia="zh-CN"/>
        </w:rPr>
        <w:t>单位地址：昆明经济技术开发区新加坡产业园I-6 、II-8  号地块</w:t>
      </w:r>
    </w:p>
    <w:p w14:paraId="409A5D06">
      <w:pPr>
        <w:rPr>
          <w:rFonts w:hint="default" w:ascii="Times New Roman" w:hAnsi="Times New Roman"/>
          <w:lang w:val="en-US" w:eastAsia="zh-CN"/>
        </w:rPr>
      </w:pPr>
      <w:r>
        <w:rPr>
          <w:rFonts w:hint="default" w:ascii="Times New Roman" w:hAnsi="Times New Roman"/>
          <w:lang w:val="en-US" w:eastAsia="zh-CN"/>
        </w:rPr>
        <w:t>电话号码：0871-5236768</w:t>
      </w:r>
    </w:p>
    <w:p w14:paraId="644E8EE5">
      <w:pPr>
        <w:rPr>
          <w:rFonts w:hint="default" w:ascii="Times New Roman" w:hAnsi="Times New Roman"/>
          <w:lang w:val="en-US" w:eastAsia="zh-CN"/>
        </w:rPr>
      </w:pPr>
      <w:r>
        <w:rPr>
          <w:rFonts w:hint="default" w:ascii="Times New Roman" w:hAnsi="Times New Roman"/>
          <w:lang w:val="en-US" w:eastAsia="zh-CN"/>
        </w:rPr>
        <w:t>开户银行：中国银行昆明呈贡支行</w:t>
      </w:r>
    </w:p>
    <w:p w14:paraId="63C7572A">
      <w:pPr>
        <w:rPr>
          <w:rFonts w:hint="default" w:ascii="Times New Roman" w:hAnsi="Times New Roman"/>
          <w:lang w:val="en-US" w:eastAsia="zh-CN"/>
        </w:rPr>
      </w:pPr>
      <w:r>
        <w:rPr>
          <w:rFonts w:hint="default" w:ascii="Times New Roman" w:hAnsi="Times New Roman"/>
          <w:lang w:val="en-US" w:eastAsia="zh-CN"/>
        </w:rPr>
        <w:t>银行账户：134020293150</w:t>
      </w:r>
    </w:p>
    <w:p w14:paraId="1EA3B744">
      <w:pPr>
        <w:rPr>
          <w:rFonts w:hint="default" w:ascii="Times New Roman" w:hAnsi="Times New Roman"/>
          <w:lang w:val="en-US" w:eastAsia="zh-CN"/>
        </w:rPr>
      </w:pPr>
    </w:p>
    <w:p w14:paraId="7EF07090">
      <w:pPr>
        <w:rPr>
          <w:rFonts w:hint="default" w:ascii="Times New Roman" w:hAnsi="Times New Roman"/>
          <w:lang w:val="en-US" w:eastAsia="zh-CN"/>
        </w:rPr>
      </w:pPr>
      <w:r>
        <w:rPr>
          <w:rFonts w:hint="default" w:ascii="Times New Roman" w:hAnsi="Times New Roman"/>
          <w:lang w:val="en-US" w:eastAsia="zh-CN"/>
        </w:rPr>
        <w:t>乙方开票信息如下：</w:t>
      </w:r>
    </w:p>
    <w:p w14:paraId="639C5121">
      <w:pPr>
        <w:rPr>
          <w:rFonts w:hint="default" w:ascii="Times New Roman" w:hAnsi="Times New Roman"/>
          <w:lang w:val="en-US" w:eastAsia="zh-CN"/>
        </w:rPr>
      </w:pPr>
      <w:r>
        <w:rPr>
          <w:rFonts w:hint="default" w:ascii="Times New Roman" w:hAnsi="Times New Roman"/>
          <w:lang w:val="en-US" w:eastAsia="zh-CN"/>
        </w:rPr>
        <w:t>名称：云南能投红河电力储能园区开发有限公司</w:t>
      </w:r>
    </w:p>
    <w:p w14:paraId="762C5D0D">
      <w:pPr>
        <w:rPr>
          <w:rFonts w:hint="default" w:ascii="Times New Roman" w:hAnsi="Times New Roman"/>
          <w:lang w:val="en-US" w:eastAsia="zh-CN"/>
        </w:rPr>
      </w:pPr>
      <w:r>
        <w:rPr>
          <w:rFonts w:hint="default" w:ascii="Times New Roman" w:hAnsi="Times New Roman"/>
          <w:lang w:val="en-US" w:eastAsia="zh-CN"/>
        </w:rPr>
        <w:t>税号：91532500329319404M</w:t>
      </w:r>
    </w:p>
    <w:p w14:paraId="54820802">
      <w:pPr>
        <w:rPr>
          <w:rFonts w:hint="default" w:ascii="Times New Roman" w:hAnsi="Times New Roman"/>
          <w:lang w:val="en-US" w:eastAsia="zh-CN"/>
        </w:rPr>
      </w:pPr>
      <w:r>
        <w:rPr>
          <w:rFonts w:hint="default" w:ascii="Times New Roman" w:hAnsi="Times New Roman"/>
          <w:lang w:val="en-US" w:eastAsia="zh-CN"/>
        </w:rPr>
        <w:t>单位地址：云南省红河州蒙自市红河综合保税区综合服务楼312办公室</w:t>
      </w:r>
    </w:p>
    <w:p w14:paraId="677B860E">
      <w:pPr>
        <w:rPr>
          <w:rFonts w:hint="default" w:ascii="Times New Roman" w:hAnsi="Times New Roman"/>
          <w:lang w:val="en-US" w:eastAsia="zh-CN"/>
        </w:rPr>
      </w:pPr>
      <w:r>
        <w:rPr>
          <w:rFonts w:hint="default" w:ascii="Times New Roman" w:hAnsi="Times New Roman"/>
          <w:lang w:val="en-US" w:eastAsia="zh-CN"/>
        </w:rPr>
        <w:t>电话号码：15752506271</w:t>
      </w:r>
    </w:p>
    <w:p w14:paraId="46839BF2">
      <w:pPr>
        <w:rPr>
          <w:rFonts w:hint="default" w:ascii="Times New Roman" w:hAnsi="Times New Roman"/>
          <w:lang w:val="en-US" w:eastAsia="zh-CN"/>
        </w:rPr>
      </w:pPr>
      <w:r>
        <w:rPr>
          <w:rFonts w:hint="default" w:ascii="Times New Roman" w:hAnsi="Times New Roman"/>
          <w:lang w:val="en-US" w:eastAsia="zh-CN"/>
        </w:rPr>
        <w:t>开户银行：中国银行红河州上海路支行</w:t>
      </w:r>
    </w:p>
    <w:p w14:paraId="7691239A">
      <w:pPr>
        <w:rPr>
          <w:rFonts w:hint="default" w:ascii="Times New Roman" w:hAnsi="Times New Roman"/>
          <w:lang w:val="en-US" w:eastAsia="zh-CN"/>
        </w:rPr>
      </w:pPr>
      <w:r>
        <w:rPr>
          <w:rFonts w:hint="default" w:ascii="Times New Roman" w:hAnsi="Times New Roman"/>
          <w:lang w:val="en-US" w:eastAsia="zh-CN"/>
        </w:rPr>
        <w:t xml:space="preserve">银行账号：134078473793 </w:t>
      </w:r>
    </w:p>
    <w:p w14:paraId="7787962D">
      <w:pPr>
        <w:rPr>
          <w:rFonts w:hint="default" w:ascii="Times New Roman" w:hAnsi="Times New Roman"/>
          <w:lang w:val="en-US" w:eastAsia="zh-CN"/>
        </w:rPr>
      </w:pPr>
    </w:p>
    <w:p w14:paraId="38C5024E">
      <w:pPr>
        <w:rPr>
          <w:rFonts w:hint="default" w:ascii="Times New Roman" w:hAnsi="Times New Roman"/>
          <w:lang w:val="en-US" w:eastAsia="zh-CN"/>
        </w:rPr>
      </w:pPr>
      <w:r>
        <w:rPr>
          <w:rFonts w:hint="default" w:ascii="Times New Roman" w:hAnsi="Times New Roman"/>
          <w:lang w:val="en-US" w:eastAsia="zh-CN"/>
        </w:rPr>
        <w:t>丙方开票信息如下：</w:t>
      </w:r>
    </w:p>
    <w:p w14:paraId="7BFFE9D3">
      <w:pPr>
        <w:rPr>
          <w:rFonts w:hint="default" w:ascii="Times New Roman" w:hAnsi="Times New Roman"/>
          <w:lang w:val="en-US" w:eastAsia="zh-CN"/>
        </w:rPr>
      </w:pPr>
      <w:r>
        <w:rPr>
          <w:rFonts w:hint="default" w:ascii="Times New Roman" w:hAnsi="Times New Roman"/>
          <w:lang w:val="en-US" w:eastAsia="zh-CN"/>
        </w:rPr>
        <w:t>名称：云南居正健康管理有限公司</w:t>
      </w:r>
    </w:p>
    <w:p w14:paraId="37E3E80A">
      <w:pPr>
        <w:rPr>
          <w:rFonts w:hint="default" w:ascii="Times New Roman" w:hAnsi="Times New Roman"/>
          <w:lang w:val="en-US" w:eastAsia="zh-CN"/>
        </w:rPr>
      </w:pPr>
      <w:r>
        <w:rPr>
          <w:rFonts w:hint="default" w:ascii="Times New Roman" w:hAnsi="Times New Roman"/>
          <w:lang w:val="en-US" w:eastAsia="zh-CN"/>
        </w:rPr>
        <w:t>税号：91530112MA6MYD5A2L</w:t>
      </w:r>
    </w:p>
    <w:p w14:paraId="7330927D">
      <w:pPr>
        <w:rPr>
          <w:rFonts w:hint="default" w:ascii="Times New Roman" w:hAnsi="Times New Roman"/>
          <w:lang w:val="en-US" w:eastAsia="zh-CN"/>
        </w:rPr>
      </w:pPr>
      <w:r>
        <w:rPr>
          <w:rFonts w:hint="default" w:ascii="Times New Roman" w:hAnsi="Times New Roman"/>
          <w:lang w:val="en-US" w:eastAsia="zh-CN"/>
        </w:rPr>
        <w:t>单位地址：云南省昆明市西山区前兴路前卫街道办事处办公大楼2楼211号</w:t>
      </w:r>
    </w:p>
    <w:p w14:paraId="089D3A4D">
      <w:pPr>
        <w:rPr>
          <w:rFonts w:hint="default" w:ascii="Times New Roman" w:hAnsi="Times New Roman"/>
          <w:lang w:val="en-US" w:eastAsia="zh-CN"/>
        </w:rPr>
      </w:pPr>
      <w:r>
        <w:rPr>
          <w:rFonts w:hint="default" w:ascii="Times New Roman" w:hAnsi="Times New Roman"/>
          <w:lang w:val="en-US" w:eastAsia="zh-CN"/>
        </w:rPr>
        <w:t>电话号码：0871-64981063</w:t>
      </w:r>
    </w:p>
    <w:p w14:paraId="43289389">
      <w:pPr>
        <w:rPr>
          <w:rFonts w:hint="default" w:ascii="Times New Roman" w:hAnsi="Times New Roman"/>
          <w:lang w:val="en-US" w:eastAsia="zh-CN"/>
        </w:rPr>
      </w:pPr>
      <w:r>
        <w:rPr>
          <w:rFonts w:hint="default" w:ascii="Times New Roman" w:hAnsi="Times New Roman"/>
          <w:lang w:val="en-US" w:eastAsia="zh-CN"/>
        </w:rPr>
        <w:t>开户银行：华夏银行股份有限公司昆明广福支行</w:t>
      </w:r>
    </w:p>
    <w:p w14:paraId="1BD54D89">
      <w:pPr>
        <w:rPr>
          <w:rFonts w:hint="default" w:ascii="Times New Roman" w:hAnsi="Times New Roman"/>
          <w:lang w:val="en-US" w:eastAsia="zh-CN"/>
        </w:rPr>
      </w:pPr>
      <w:r>
        <w:rPr>
          <w:rFonts w:hint="default" w:ascii="Times New Roman" w:hAnsi="Times New Roman"/>
          <w:lang w:val="en-US" w:eastAsia="zh-CN"/>
        </w:rPr>
        <w:t>银行账号：10752000000569457</w:t>
      </w:r>
    </w:p>
    <w:p w14:paraId="12A0F153">
      <w:pPr>
        <w:rPr>
          <w:rFonts w:hint="default" w:ascii="Times New Roman" w:hAnsi="Times New Roman"/>
          <w:lang w:val="en-US" w:eastAsia="zh-CN"/>
        </w:rPr>
      </w:pPr>
    </w:p>
    <w:p w14:paraId="46B88D26">
      <w:pPr>
        <w:rPr>
          <w:rFonts w:hint="default" w:ascii="Times New Roman" w:hAnsi="Times New Roman"/>
          <w:lang w:val="en-US" w:eastAsia="zh-CN"/>
        </w:rPr>
      </w:pPr>
      <w:bookmarkStart w:id="61" w:name="tip_risk_bookmark_7"/>
      <w:r>
        <w:rPr>
          <w:rFonts w:hint="default" w:ascii="Times New Roman" w:hAnsi="Times New Roman"/>
          <w:lang w:val="en-US" w:eastAsia="zh-CN"/>
        </w:rPr>
        <w:t>丁方账号如下：</w:t>
      </w:r>
    </w:p>
    <w:p w14:paraId="14610233">
      <w:pPr>
        <w:rPr>
          <w:rFonts w:hint="default" w:ascii="Times New Roman" w:hAnsi="Times New Roman"/>
          <w:lang w:val="en-US" w:eastAsia="zh-CN"/>
        </w:rPr>
      </w:pPr>
      <w:r>
        <w:rPr>
          <w:rFonts w:hint="default" w:ascii="Times New Roman" w:hAnsi="Times New Roman"/>
          <w:lang w:val="en-US" w:eastAsia="zh-CN"/>
        </w:rPr>
        <w:t xml:space="preserve">户    名： </w:t>
      </w:r>
    </w:p>
    <w:p w14:paraId="75CD4F50">
      <w:pPr>
        <w:rPr>
          <w:rFonts w:hint="default" w:ascii="Times New Roman" w:hAnsi="Times New Roman"/>
          <w:lang w:val="en-US" w:eastAsia="zh-CN"/>
        </w:rPr>
      </w:pPr>
      <w:r>
        <w:rPr>
          <w:rFonts w:hint="default" w:ascii="Times New Roman" w:hAnsi="Times New Roman"/>
          <w:lang w:val="en-US" w:eastAsia="zh-CN"/>
        </w:rPr>
        <w:t xml:space="preserve">开户银行： </w:t>
      </w:r>
    </w:p>
    <w:p w14:paraId="1C6B243D">
      <w:pPr>
        <w:rPr>
          <w:rFonts w:hint="default" w:ascii="Times New Roman" w:hAnsi="Times New Roman"/>
          <w:lang w:val="en-US" w:eastAsia="zh-CN"/>
        </w:rPr>
      </w:pPr>
      <w:r>
        <w:rPr>
          <w:rFonts w:hint="default" w:ascii="Times New Roman" w:hAnsi="Times New Roman"/>
          <w:lang w:val="en-US" w:eastAsia="zh-CN"/>
        </w:rPr>
        <w:t>开户账号：</w:t>
      </w:r>
      <w:bookmarkEnd w:id="61"/>
      <w:r>
        <w:rPr>
          <w:rFonts w:hint="default" w:ascii="Times New Roman" w:hAnsi="Times New Roman"/>
          <w:lang w:val="en-US" w:eastAsia="zh-CN"/>
        </w:rPr>
        <w:t xml:space="preserve"> </w:t>
      </w:r>
    </w:p>
    <w:p w14:paraId="73036A1A">
      <w:pPr>
        <w:rPr>
          <w:rFonts w:hint="default" w:ascii="Times New Roman" w:hAnsi="Times New Roman"/>
          <w:b/>
          <w:bCs/>
          <w:lang w:val="en-US" w:eastAsia="zh-CN"/>
        </w:rPr>
      </w:pPr>
      <w:r>
        <w:rPr>
          <w:rFonts w:hint="default" w:ascii="Times New Roman" w:hAnsi="Times New Roman"/>
          <w:b/>
          <w:bCs/>
          <w:lang w:val="en-US" w:eastAsia="zh-CN"/>
        </w:rPr>
        <w:t>八、丁方的责任</w:t>
      </w:r>
    </w:p>
    <w:p w14:paraId="4AEEC490">
      <w:pPr>
        <w:rPr>
          <w:rFonts w:hint="default" w:ascii="Times New Roman" w:hAnsi="Times New Roman"/>
          <w:lang w:val="en-US" w:eastAsia="zh-CN"/>
        </w:rPr>
      </w:pPr>
      <w:r>
        <w:rPr>
          <w:rFonts w:hint="eastAsia"/>
          <w:lang w:val="en-US" w:eastAsia="zh-CN"/>
        </w:rPr>
        <w:t>（一）</w:t>
      </w:r>
      <w:r>
        <w:rPr>
          <w:rFonts w:hint="default" w:ascii="Times New Roman" w:hAnsi="Times New Roman"/>
          <w:lang w:val="en-US" w:eastAsia="zh-CN"/>
        </w:rPr>
        <w:t>根据《财政部关于印发&lt;资产评估基本准则&gt;的通知》第二章“基本遵循”的规定，丁方开展资产评估业务应当遵守法律、行政法规的规定，坚持独立、客观、公正的原则；应当诚实守信，勤勉尽责，谨慎从业，遵守职业道德规范，自觉维护职业形象，不从事损害职业形象的活动；开展资产评估业务，应当独立进行分析和估算并形成专业意见，拒绝甲、乙、丙方或者其他相关当事人的干预，不得直接以预先设定的价值作为评估结论；资产评估专业人员应当具备相应的资产评估专业知识和实践经验，能够胜任所执行的资产评估业务，保持和提高专业能力。</w:t>
      </w:r>
    </w:p>
    <w:p w14:paraId="319E1DCB">
      <w:pPr>
        <w:rPr>
          <w:rFonts w:hint="default" w:ascii="Times New Roman" w:hAnsi="Times New Roman"/>
          <w:lang w:val="en-US" w:eastAsia="zh-CN"/>
        </w:rPr>
      </w:pPr>
      <w:r>
        <w:rPr>
          <w:rFonts w:hint="eastAsia"/>
          <w:lang w:val="en-US" w:eastAsia="zh-CN"/>
        </w:rPr>
        <w:t>（二）</w:t>
      </w:r>
      <w:r>
        <w:rPr>
          <w:rFonts w:hint="default" w:ascii="Times New Roman" w:hAnsi="Times New Roman"/>
          <w:lang w:val="en-US" w:eastAsia="zh-CN"/>
        </w:rPr>
        <w:t>甲、乙、丙方的责任</w:t>
      </w:r>
    </w:p>
    <w:p w14:paraId="72DD7952">
      <w:pPr>
        <w:rPr>
          <w:rFonts w:hint="default" w:ascii="Times New Roman" w:hAnsi="Times New Roman"/>
          <w:lang w:val="en-US" w:eastAsia="zh-CN"/>
        </w:rPr>
      </w:pPr>
      <w:r>
        <w:rPr>
          <w:rFonts w:hint="default" w:ascii="Times New Roman" w:hAnsi="Times New Roman"/>
          <w:lang w:val="en-US" w:eastAsia="zh-CN"/>
        </w:rPr>
        <w:t>1.及时提供评估所需要的全部资料，包括清查评估申报表、经济行为的批文、财务账簿凭证、产权证明文件、经济合同及其他有关资料，并督促被评估单位以签字、盖章或者其他方式确认所提供文件、资料的真实性、完整性和合法性。作为评估程序的一部分，甲、乙、丙方应向丁方提供由企业法人或授权代表签字、单位盖章的承诺函，以明确委托方和被评估方的前述责任。</w:t>
      </w:r>
    </w:p>
    <w:p w14:paraId="1F2CB568">
      <w:pPr>
        <w:rPr>
          <w:rFonts w:hint="default" w:ascii="Times New Roman" w:hAnsi="Times New Roman"/>
          <w:lang w:val="en-US" w:eastAsia="zh-CN"/>
        </w:rPr>
      </w:pPr>
      <w:r>
        <w:rPr>
          <w:rFonts w:hint="default" w:ascii="Times New Roman" w:hAnsi="Times New Roman"/>
          <w:lang w:val="en-US" w:eastAsia="zh-CN"/>
        </w:rPr>
        <w:t>2.密切配合丁方进行的评估工作，特别是在丁方进行现场勘察及其他资产抽查核实工作时，甲、乙、丙方应指定专业人员配合。</w:t>
      </w:r>
    </w:p>
    <w:p w14:paraId="092286E6">
      <w:pPr>
        <w:rPr>
          <w:rFonts w:hint="default" w:ascii="Times New Roman" w:hAnsi="Times New Roman"/>
          <w:lang w:val="en-US" w:eastAsia="zh-CN"/>
        </w:rPr>
      </w:pPr>
      <w:r>
        <w:rPr>
          <w:rFonts w:hint="default" w:ascii="Times New Roman" w:hAnsi="Times New Roman"/>
          <w:lang w:val="en-US" w:eastAsia="zh-CN"/>
        </w:rPr>
        <w:t>3.为丁方在工作过程中协调企业内部及与评估相关的其他各有关中介机构、外部管理部门的关系创造良好条件。</w:t>
      </w:r>
    </w:p>
    <w:p w14:paraId="3321085F">
      <w:pPr>
        <w:rPr>
          <w:rFonts w:hint="default" w:ascii="Times New Roman" w:hAnsi="Times New Roman"/>
          <w:lang w:val="en-US" w:eastAsia="zh-CN"/>
        </w:rPr>
      </w:pPr>
      <w:r>
        <w:rPr>
          <w:rFonts w:hint="default" w:ascii="Times New Roman" w:hAnsi="Times New Roman"/>
          <w:lang w:val="en-US" w:eastAsia="zh-CN"/>
        </w:rPr>
        <w:t>4.为丁方评估人员提供项目开展所需的适当的办公条件。</w:t>
      </w:r>
    </w:p>
    <w:p w14:paraId="60BEEA46">
      <w:pPr>
        <w:rPr>
          <w:rFonts w:hint="default" w:ascii="Times New Roman" w:hAnsi="Times New Roman"/>
          <w:lang w:val="en-US" w:eastAsia="zh-CN"/>
        </w:rPr>
      </w:pPr>
      <w:r>
        <w:rPr>
          <w:rFonts w:hint="eastAsia"/>
          <w:lang w:val="en-US" w:eastAsia="zh-CN"/>
        </w:rPr>
        <w:t>（三）</w:t>
      </w:r>
      <w:r>
        <w:rPr>
          <w:rFonts w:hint="default" w:ascii="Times New Roman" w:hAnsi="Times New Roman"/>
          <w:lang w:val="en-US" w:eastAsia="zh-CN"/>
        </w:rPr>
        <w:t>丁方的责任</w:t>
      </w:r>
    </w:p>
    <w:p w14:paraId="37D201FC">
      <w:pPr>
        <w:rPr>
          <w:rFonts w:hint="eastAsia" w:ascii="Times New Roman" w:hAnsi="Times New Roman" w:eastAsia="方正仿宋_GBK"/>
          <w:lang w:val="en-US" w:eastAsia="zh-CN"/>
        </w:rPr>
      </w:pPr>
      <w:bookmarkStart w:id="62" w:name="auto_fouce_8"/>
      <w:r>
        <w:rPr>
          <w:rFonts w:hint="default" w:ascii="Times New Roman" w:hAnsi="Times New Roman"/>
          <w:lang w:val="en-US" w:eastAsia="zh-CN"/>
        </w:rPr>
        <w:t>1、丁方保证签署和履行本合同所需的一切手续均已办妥并合法有效。丁方承诺拥有相关权限和资质，承诺遵照我国及地方颁布的相关法律法规、规范、规定等要求提供服务，服务内容符合国家标准、地方标准、行业标准，同时满足甲、乙、丙方的要求。在评估工作中，坚持独立、客观、公正的原则，认真执行法律和行政法规，对出具《资产评估报告》承担相应的法律责任。丁方对服务内容及成果的合法性、合理性、准确性、完整性、全面性负责。</w:t>
      </w:r>
      <w:r>
        <w:rPr>
          <w:rFonts w:hint="eastAsia"/>
          <w:lang w:val="en-US" w:eastAsia="zh-CN"/>
        </w:rPr>
        <w:t>因丁方出具的评估报告存在瑕疵或错误，导致甲、乙、丙方遭受行政处罚、国有资产流失认定或其他不利后果的，丁方应承担全部赔偿责任。</w:t>
      </w:r>
      <w:bookmarkEnd w:id="62"/>
    </w:p>
    <w:p w14:paraId="0931E891">
      <w:pPr>
        <w:rPr>
          <w:rFonts w:hint="default" w:ascii="Times New Roman" w:hAnsi="Times New Roman"/>
          <w:lang w:val="en-US" w:eastAsia="zh-CN"/>
        </w:rPr>
      </w:pPr>
      <w:bookmarkStart w:id="63" w:name="auto_fouce_9"/>
      <w:r>
        <w:rPr>
          <w:rFonts w:hint="default" w:ascii="Times New Roman" w:hAnsi="Times New Roman"/>
          <w:lang w:val="en-US" w:eastAsia="zh-CN"/>
        </w:rPr>
        <w:t>2、遵守职业道德，对本次经济行为甲、乙、丙方提供的内部资料和评估结果，严守秘密。丁方需保守甲、乙、丙方的商业秘密，妥善保管甲、乙、丙方所提供的资料，并在服务结束后按照移交记录所记录的清单全部交付甲、乙、丙方，丁方丢失、毁损相关资料的，甲、乙、丙方有权要求丁方赔偿损失；甲、乙、丙方所提供的资料中所涉及的知识产权均归甲、乙、丙方所有，丁方不得利用或转让、出售、泄露给第三人。若丁方的行为对甲、乙、丙方造成侵权或对甲、乙、丙方造成损失，丁方应向甲、乙、丙方赔偿所造成的一切损失，并向甲、乙、丙方支付本合同总价1%的违约金。</w:t>
      </w:r>
      <w:bookmarkEnd w:id="63"/>
    </w:p>
    <w:p w14:paraId="0F99BA24">
      <w:pPr>
        <w:rPr>
          <w:rFonts w:hint="eastAsia" w:ascii="Times New Roman" w:hAnsi="Times New Roman" w:eastAsia="方正仿宋_GBK"/>
          <w:lang w:val="en-US" w:eastAsia="zh-CN"/>
        </w:rPr>
      </w:pPr>
      <w:bookmarkStart w:id="64" w:name="auto_fouce_10"/>
      <w:r>
        <w:rPr>
          <w:rFonts w:hint="default" w:ascii="Times New Roman" w:hAnsi="Times New Roman"/>
          <w:lang w:val="en-US" w:eastAsia="zh-CN"/>
        </w:rPr>
        <w:t>3、丁方有义务指派专人指导甲、乙、丙方人员进行财产清查、编制资产清查评估申报表、搜集有关评估资料，并应做好与其他中介机构的协调工作。在合同服务期间，丁方发现甲、乙、丙方提供的资料、数据、文件等不符合合同规定</w:t>
      </w:r>
      <w:r>
        <w:rPr>
          <w:rFonts w:hint="eastAsia"/>
          <w:lang w:val="en-US" w:eastAsia="zh-CN"/>
        </w:rPr>
        <w:t>的</w:t>
      </w:r>
      <w:r>
        <w:rPr>
          <w:rFonts w:hint="default" w:ascii="Times New Roman" w:hAnsi="Times New Roman"/>
          <w:lang w:val="en-US" w:eastAsia="zh-CN"/>
        </w:rPr>
        <w:t>，应自发现之日起3个工作日内书面函告甲、乙、丙方</w:t>
      </w:r>
      <w:r>
        <w:rPr>
          <w:rFonts w:hint="eastAsia"/>
          <w:lang w:val="en-US" w:eastAsia="zh-CN"/>
        </w:rPr>
        <w:t>；逾期未书面函告的</w:t>
      </w:r>
      <w:r>
        <w:rPr>
          <w:rFonts w:hint="default" w:ascii="Times New Roman" w:hAnsi="Times New Roman"/>
          <w:lang w:val="en-US" w:eastAsia="zh-CN"/>
        </w:rPr>
        <w:t>，视为甲、乙、丙方向丁方提供的资料、数据、文件等符合合同约定。若</w:t>
      </w:r>
      <w:r>
        <w:rPr>
          <w:rFonts w:hint="eastAsia"/>
          <w:lang w:val="en-US" w:eastAsia="zh-CN"/>
        </w:rPr>
        <w:t>因丁方未及时履行审查、告知义务，</w:t>
      </w:r>
      <w:r>
        <w:rPr>
          <w:rFonts w:hint="default" w:ascii="Times New Roman" w:hAnsi="Times New Roman"/>
          <w:lang w:val="en-US" w:eastAsia="zh-CN"/>
        </w:rPr>
        <w:t>造成评估工作停滞、延误或不能履行的，丁方应向甲、乙、丙方承担合同总金额</w:t>
      </w:r>
      <w:r>
        <w:rPr>
          <w:rFonts w:hint="eastAsia"/>
          <w:lang w:val="en-US" w:eastAsia="zh-CN"/>
        </w:rPr>
        <w:t>1%</w:t>
      </w:r>
      <w:r>
        <w:rPr>
          <w:rFonts w:hint="default" w:ascii="Times New Roman" w:hAnsi="Times New Roman"/>
          <w:lang w:val="en-US" w:eastAsia="zh-CN"/>
        </w:rPr>
        <w:t>违约金，并赔偿</w:t>
      </w:r>
      <w:r>
        <w:rPr>
          <w:rFonts w:hint="eastAsia"/>
          <w:lang w:val="en-US" w:eastAsia="zh-CN"/>
        </w:rPr>
        <w:t>因此</w:t>
      </w:r>
      <w:r>
        <w:rPr>
          <w:rFonts w:hint="default" w:ascii="Times New Roman" w:hAnsi="Times New Roman"/>
          <w:lang w:val="en-US" w:eastAsia="zh-CN"/>
        </w:rPr>
        <w:t>给甲、乙、丙方造成的</w:t>
      </w:r>
      <w:r>
        <w:rPr>
          <w:rFonts w:hint="eastAsia"/>
          <w:lang w:val="en-US" w:eastAsia="zh-CN"/>
        </w:rPr>
        <w:t>全部</w:t>
      </w:r>
      <w:r>
        <w:rPr>
          <w:rFonts w:hint="default" w:ascii="Times New Roman" w:hAnsi="Times New Roman"/>
          <w:lang w:val="en-US" w:eastAsia="zh-CN"/>
        </w:rPr>
        <w:t>相关损失，同时甲、乙、丙方有权单方解除合同。</w:t>
      </w:r>
      <w:bookmarkEnd w:id="64"/>
    </w:p>
    <w:p w14:paraId="0A4B28A2">
      <w:pPr>
        <w:rPr>
          <w:rFonts w:hint="default" w:ascii="Times New Roman" w:hAnsi="Times New Roman"/>
          <w:lang w:val="en-US" w:eastAsia="zh-CN"/>
        </w:rPr>
      </w:pPr>
      <w:bookmarkStart w:id="65" w:name="auto_fouce_11"/>
      <w:r>
        <w:rPr>
          <w:rFonts w:hint="default" w:ascii="Times New Roman" w:hAnsi="Times New Roman"/>
          <w:lang w:val="en-US" w:eastAsia="zh-CN"/>
        </w:rPr>
        <w:t>4、丁方评估结论应当客观、真实，存在多种可行的评估方法时，丁方应及时告知甲、乙、丙方。因丁方评估结论</w:t>
      </w:r>
      <w:r>
        <w:rPr>
          <w:rFonts w:hint="eastAsia"/>
          <w:lang w:val="en-US" w:eastAsia="zh-CN"/>
        </w:rPr>
        <w:t>错误、失实或不符合备案要求</w:t>
      </w:r>
      <w:r>
        <w:rPr>
          <w:rFonts w:hint="default" w:ascii="Times New Roman" w:hAnsi="Times New Roman"/>
          <w:lang w:val="en-US" w:eastAsia="zh-CN"/>
        </w:rPr>
        <w:t>导致甲、乙、丙方发生</w:t>
      </w:r>
      <w:r>
        <w:rPr>
          <w:rFonts w:hint="eastAsia"/>
          <w:lang w:val="en-US" w:eastAsia="zh-CN"/>
        </w:rPr>
        <w:t>任何</w:t>
      </w:r>
      <w:r>
        <w:rPr>
          <w:rFonts w:hint="default" w:ascii="Times New Roman" w:hAnsi="Times New Roman"/>
          <w:lang w:val="en-US" w:eastAsia="zh-CN"/>
        </w:rPr>
        <w:t>损失</w:t>
      </w:r>
      <w:r>
        <w:rPr>
          <w:rFonts w:hint="eastAsia"/>
          <w:lang w:val="en-US" w:eastAsia="zh-CN"/>
        </w:rPr>
        <w:t>的</w:t>
      </w:r>
      <w:r>
        <w:rPr>
          <w:rFonts w:hint="default" w:ascii="Times New Roman" w:hAnsi="Times New Roman"/>
          <w:lang w:val="en-US" w:eastAsia="zh-CN"/>
        </w:rPr>
        <w:t>，丁方</w:t>
      </w:r>
      <w:r>
        <w:rPr>
          <w:rFonts w:hint="eastAsia"/>
          <w:lang w:val="en-US" w:eastAsia="zh-CN"/>
        </w:rPr>
        <w:t>应全额赔偿所有损失，同时</w:t>
      </w:r>
      <w:r>
        <w:rPr>
          <w:rFonts w:hint="default" w:ascii="Times New Roman" w:hAnsi="Times New Roman"/>
          <w:lang w:val="en-US" w:eastAsia="zh-CN"/>
        </w:rPr>
        <w:t>甲、乙、丙方有权</w:t>
      </w:r>
      <w:r>
        <w:rPr>
          <w:rFonts w:hint="eastAsia"/>
          <w:lang w:val="en-US" w:eastAsia="zh-CN"/>
        </w:rPr>
        <w:t>单</w:t>
      </w:r>
      <w:r>
        <w:rPr>
          <w:rFonts w:hint="default" w:ascii="Times New Roman" w:hAnsi="Times New Roman"/>
          <w:lang w:val="en-US" w:eastAsia="zh-CN"/>
        </w:rPr>
        <w:t>方</w:t>
      </w:r>
      <w:r>
        <w:rPr>
          <w:rFonts w:hint="eastAsia"/>
          <w:lang w:val="en-US" w:eastAsia="zh-CN"/>
        </w:rPr>
        <w:t>解除合同，不予支付任何费用</w:t>
      </w:r>
      <w:r>
        <w:rPr>
          <w:rFonts w:hint="default" w:ascii="Times New Roman" w:hAnsi="Times New Roman"/>
          <w:lang w:val="en-US" w:eastAsia="zh-CN"/>
        </w:rPr>
        <w:t>。</w:t>
      </w:r>
      <w:bookmarkEnd w:id="65"/>
    </w:p>
    <w:p w14:paraId="08CA8CFD">
      <w:pPr>
        <w:rPr>
          <w:rFonts w:hint="default" w:ascii="Times New Roman" w:hAnsi="Times New Roman"/>
          <w:lang w:val="en-US" w:eastAsia="zh-CN"/>
        </w:rPr>
      </w:pPr>
      <w:r>
        <w:rPr>
          <w:rFonts w:hint="default" w:ascii="Times New Roman" w:hAnsi="Times New Roman"/>
          <w:lang w:val="en-US" w:eastAsia="zh-CN"/>
        </w:rPr>
        <w:t>5、丁方对所完成的评估成果负责，如甲、乙、丙方对其中涉及的问题需要向丁方查证、询问时，丁方应对报告内容的合理性、合法性及甲、乙、丙方要求的内容做出说明。</w:t>
      </w:r>
    </w:p>
    <w:p w14:paraId="75174121">
      <w:pPr>
        <w:rPr>
          <w:rFonts w:hint="eastAsia" w:ascii="Times New Roman" w:hAnsi="Times New Roman" w:eastAsia="方正仿宋_GBK"/>
          <w:lang w:val="en-US" w:eastAsia="zh-CN"/>
        </w:rPr>
      </w:pPr>
      <w:r>
        <w:rPr>
          <w:rFonts w:hint="default" w:ascii="Times New Roman" w:hAnsi="Times New Roman"/>
          <w:lang w:val="en-US" w:eastAsia="zh-CN"/>
        </w:rPr>
        <w:t>6、丁方需对为履行本合同所派出的人员进行管理，并承担因此产生的费用，对派出人员遭受损失或给他人、甲、乙、丙方造成损失的，甲、乙、丙方不承担责任，由丁方承担所有责任。</w:t>
      </w:r>
    </w:p>
    <w:p w14:paraId="362EC04F">
      <w:pPr>
        <w:rPr>
          <w:rFonts w:hint="default" w:ascii="Times New Roman" w:hAnsi="Times New Roman"/>
          <w:b/>
          <w:bCs/>
          <w:lang w:val="en-US" w:eastAsia="zh-CN"/>
        </w:rPr>
      </w:pPr>
      <w:r>
        <w:rPr>
          <w:rFonts w:hint="default" w:ascii="Times New Roman" w:hAnsi="Times New Roman"/>
          <w:b/>
          <w:bCs/>
          <w:lang w:val="en-US" w:eastAsia="zh-CN"/>
        </w:rPr>
        <w:t>九、资产评估报告书的使用者及使用范围</w:t>
      </w:r>
    </w:p>
    <w:p w14:paraId="4086DF3E">
      <w:pPr>
        <w:rPr>
          <w:rFonts w:hint="default" w:ascii="Times New Roman" w:hAnsi="Times New Roman"/>
          <w:lang w:val="en-US" w:eastAsia="zh-CN"/>
        </w:rPr>
      </w:pPr>
      <w:r>
        <w:rPr>
          <w:rFonts w:hint="eastAsia"/>
          <w:lang w:val="en-US" w:eastAsia="zh-CN"/>
        </w:rPr>
        <w:t>（一）</w:t>
      </w:r>
      <w:r>
        <w:rPr>
          <w:rFonts w:hint="default" w:ascii="Times New Roman" w:hAnsi="Times New Roman"/>
          <w:lang w:val="en-US" w:eastAsia="zh-CN"/>
        </w:rPr>
        <w:t>本资产评估报告仅供委托人、国家法律、法规规定的评估报告使用者使用，其他任何机构和个人不能成为资产评估报告的使用人。</w:t>
      </w:r>
    </w:p>
    <w:p w14:paraId="34363F50">
      <w:pPr>
        <w:rPr>
          <w:rFonts w:hint="default" w:ascii="Times New Roman" w:hAnsi="Times New Roman"/>
          <w:lang w:val="en-US" w:eastAsia="zh-CN"/>
        </w:rPr>
      </w:pPr>
      <w:r>
        <w:rPr>
          <w:rFonts w:hint="eastAsia"/>
          <w:lang w:val="en-US" w:eastAsia="zh-CN"/>
        </w:rPr>
        <w:t>（二）</w:t>
      </w:r>
      <w:r>
        <w:rPr>
          <w:rFonts w:hint="default" w:ascii="Times New Roman" w:hAnsi="Times New Roman"/>
          <w:lang w:val="en-US" w:eastAsia="zh-CN"/>
        </w:rPr>
        <w:t>《资产评估报告》仅供上述使用者按照法律、行政法规规定和资产评估报告载明的使用目的及用途使用，该《资产评估报告》应满足甲方的使用目的，丁方对上述报告使用者不当使用所造成的后果不承担责任。</w:t>
      </w:r>
    </w:p>
    <w:p w14:paraId="792D73A2">
      <w:pPr>
        <w:rPr>
          <w:rFonts w:hint="default" w:ascii="Times New Roman" w:hAnsi="Times New Roman"/>
          <w:lang w:val="en-US" w:eastAsia="zh-CN"/>
        </w:rPr>
      </w:pPr>
      <w:r>
        <w:rPr>
          <w:rFonts w:hint="eastAsia"/>
          <w:lang w:val="en-US" w:eastAsia="zh-CN"/>
        </w:rPr>
        <w:t>（三）</w:t>
      </w:r>
      <w:r>
        <w:rPr>
          <w:rFonts w:hint="default" w:ascii="Times New Roman" w:hAnsi="Times New Roman"/>
          <w:lang w:val="en-US" w:eastAsia="zh-CN"/>
        </w:rPr>
        <w:t>委托人或者其他资产评估报告使用者应当在载明的评估结论使用有效期内使用资产评估报告。</w:t>
      </w:r>
    </w:p>
    <w:p w14:paraId="6A7E2B21">
      <w:pPr>
        <w:rPr>
          <w:rFonts w:hint="default" w:ascii="Times New Roman" w:hAnsi="Times New Roman"/>
          <w:lang w:val="en-US" w:eastAsia="zh-CN"/>
        </w:rPr>
      </w:pPr>
      <w:r>
        <w:rPr>
          <w:rFonts w:hint="eastAsia"/>
          <w:lang w:val="en-US" w:eastAsia="zh-CN"/>
        </w:rPr>
        <w:t>（四）</w:t>
      </w:r>
      <w:r>
        <w:rPr>
          <w:rFonts w:hint="default" w:ascii="Times New Roman" w:hAnsi="Times New Roman"/>
          <w:lang w:val="en-US" w:eastAsia="zh-CN"/>
        </w:rPr>
        <w:t>未经委托人书面许可，资产评估机构及其资产评估专业人员不得将资产评估报告的内容向第三方提供或者公开，法律、行政法规另有规定的除外。</w:t>
      </w:r>
    </w:p>
    <w:p w14:paraId="2B4688A9">
      <w:pPr>
        <w:rPr>
          <w:rFonts w:hint="default" w:ascii="Times New Roman" w:hAnsi="Times New Roman"/>
          <w:lang w:val="en-US" w:eastAsia="zh-CN"/>
        </w:rPr>
      </w:pPr>
      <w:r>
        <w:rPr>
          <w:rFonts w:hint="eastAsia"/>
          <w:lang w:val="en-US" w:eastAsia="zh-CN"/>
        </w:rPr>
        <w:t>（五）</w:t>
      </w:r>
      <w:r>
        <w:rPr>
          <w:rFonts w:hint="default" w:ascii="Times New Roman" w:hAnsi="Times New Roman"/>
          <w:lang w:val="en-US" w:eastAsia="zh-CN"/>
        </w:rPr>
        <w:t>未征得资产评估机构同意，资产评估报告的内容不得被摘抄、引用或者披露于公开媒体，法律、行政法规规定以及相关当事人另有约定的除外。</w:t>
      </w:r>
    </w:p>
    <w:p w14:paraId="45537398">
      <w:pPr>
        <w:rPr>
          <w:rFonts w:hint="default" w:ascii="Times New Roman" w:hAnsi="Times New Roman"/>
          <w:b/>
          <w:bCs/>
          <w:lang w:val="en-US" w:eastAsia="zh-CN"/>
        </w:rPr>
      </w:pPr>
      <w:r>
        <w:rPr>
          <w:rFonts w:hint="default" w:ascii="Times New Roman" w:hAnsi="Times New Roman"/>
          <w:b/>
          <w:bCs/>
          <w:lang w:val="en-US" w:eastAsia="zh-CN"/>
        </w:rPr>
        <w:t>十、委托合同的变更、中止、解除</w:t>
      </w:r>
    </w:p>
    <w:p w14:paraId="29959C2B">
      <w:pPr>
        <w:rPr>
          <w:rFonts w:hint="default" w:ascii="Times New Roman" w:hAnsi="Times New Roman"/>
          <w:lang w:val="en-US" w:eastAsia="zh-CN"/>
        </w:rPr>
      </w:pPr>
      <w:r>
        <w:rPr>
          <w:rFonts w:hint="eastAsia"/>
          <w:lang w:val="en-US" w:eastAsia="zh-CN"/>
        </w:rPr>
        <w:t>（一）</w:t>
      </w:r>
      <w:r>
        <w:rPr>
          <w:rFonts w:hint="default" w:ascii="Times New Roman" w:hAnsi="Times New Roman"/>
          <w:lang w:val="en-US" w:eastAsia="zh-CN"/>
        </w:rPr>
        <w:t>本委托合同签订后，甲、乙、丙、丁方发现相关事项约定不明确，或者履行评估程序受到限制需要增加、调整约定事项的，可以协商对委托合同相关条款进行变更，并签订补充协议或者重新签订委托合同。补充协议或者新的委托合同未达成前，本委托合同仍然有效。</w:t>
      </w:r>
    </w:p>
    <w:p w14:paraId="5CF32E25">
      <w:pPr>
        <w:rPr>
          <w:rFonts w:hint="default" w:ascii="Times New Roman" w:hAnsi="Times New Roman"/>
          <w:lang w:val="en-US" w:eastAsia="zh-CN"/>
        </w:rPr>
      </w:pPr>
      <w:r>
        <w:rPr>
          <w:rFonts w:hint="eastAsia"/>
          <w:lang w:val="en-US" w:eastAsia="zh-CN"/>
        </w:rPr>
        <w:t>（二）</w:t>
      </w:r>
      <w:r>
        <w:rPr>
          <w:rFonts w:hint="default" w:ascii="Times New Roman" w:hAnsi="Times New Roman"/>
          <w:lang w:val="en-US" w:eastAsia="zh-CN"/>
        </w:rPr>
        <w:t>本委托合同签订后，评估目的、评估对象、评估基准日发生变化，或者评估范围发生重大变化，甲、乙、丙、丁方应签订补充协议或者重新签订委托合同。</w:t>
      </w:r>
    </w:p>
    <w:p w14:paraId="06013757">
      <w:pPr>
        <w:rPr>
          <w:rFonts w:hint="eastAsia" w:ascii="Times New Roman" w:hAnsi="Times New Roman" w:eastAsia="方正仿宋_GBK"/>
          <w:lang w:val="en-US" w:eastAsia="zh-CN"/>
        </w:rPr>
      </w:pPr>
      <w:bookmarkStart w:id="66" w:name="auto_fouce_13"/>
      <w:r>
        <w:rPr>
          <w:rFonts w:hint="eastAsia"/>
          <w:lang w:val="en-US" w:eastAsia="zh-CN"/>
        </w:rPr>
        <w:t>（三）</w:t>
      </w:r>
      <w:r>
        <w:rPr>
          <w:rFonts w:hint="default" w:ascii="Times New Roman" w:hAnsi="Times New Roman"/>
          <w:lang w:val="en-US" w:eastAsia="zh-CN"/>
        </w:rPr>
        <w:t>非因丁方原因及不可抗力导致委托合同解除</w:t>
      </w:r>
      <w:r>
        <w:rPr>
          <w:rFonts w:hint="eastAsia"/>
          <w:lang w:val="en-US" w:eastAsia="zh-CN"/>
        </w:rPr>
        <w:t>的</w:t>
      </w:r>
      <w:r>
        <w:rPr>
          <w:rFonts w:hint="default" w:ascii="Times New Roman" w:hAnsi="Times New Roman"/>
          <w:lang w:val="en-US" w:eastAsia="zh-CN"/>
        </w:rPr>
        <w:t>，丁方已完成的工作</w:t>
      </w:r>
      <w:r>
        <w:rPr>
          <w:rFonts w:hint="eastAsia"/>
          <w:lang w:val="en-US" w:eastAsia="zh-CN"/>
        </w:rPr>
        <w:t>成果须经</w:t>
      </w:r>
      <w:r>
        <w:rPr>
          <w:rFonts w:hint="default" w:ascii="Times New Roman" w:hAnsi="Times New Roman"/>
          <w:lang w:val="en-US" w:eastAsia="zh-CN"/>
        </w:rPr>
        <w:t>甲、乙、丙方</w:t>
      </w:r>
      <w:r>
        <w:rPr>
          <w:rFonts w:hint="eastAsia"/>
          <w:lang w:val="en-US" w:eastAsia="zh-CN"/>
        </w:rPr>
        <w:t>验收合格后，按照已完成工作量占总工作量的比例核算</w:t>
      </w:r>
      <w:r>
        <w:rPr>
          <w:rFonts w:hint="default" w:ascii="Times New Roman" w:hAnsi="Times New Roman"/>
          <w:lang w:val="en-US" w:eastAsia="zh-CN"/>
        </w:rPr>
        <w:t>应收评估费。</w:t>
      </w:r>
      <w:r>
        <w:rPr>
          <w:rFonts w:hint="eastAsia"/>
          <w:lang w:val="en-US" w:eastAsia="zh-CN"/>
        </w:rPr>
        <w:t>已完成的工作成果未通过验收的，甲、乙、丙方不支付任何费用；丁方已收取费用的，应于3日内全额退还。</w:t>
      </w:r>
      <w:bookmarkEnd w:id="66"/>
    </w:p>
    <w:p w14:paraId="2C7E5CFE">
      <w:pPr>
        <w:rPr>
          <w:rFonts w:hint="default" w:ascii="Times New Roman" w:hAnsi="Times New Roman"/>
          <w:b/>
          <w:bCs/>
          <w:lang w:val="en-US" w:eastAsia="zh-CN"/>
        </w:rPr>
      </w:pPr>
      <w:r>
        <w:rPr>
          <w:rFonts w:hint="default" w:ascii="Times New Roman" w:hAnsi="Times New Roman"/>
          <w:b/>
          <w:bCs/>
          <w:lang w:val="en-US" w:eastAsia="zh-CN"/>
        </w:rPr>
        <w:t>十一、委托合同争议的解决</w:t>
      </w:r>
    </w:p>
    <w:p w14:paraId="666B3B46">
      <w:pPr>
        <w:rPr>
          <w:rFonts w:hint="default" w:ascii="Times New Roman" w:hAnsi="Times New Roman"/>
          <w:lang w:val="en-US" w:eastAsia="zh-CN"/>
        </w:rPr>
      </w:pPr>
      <w:bookmarkStart w:id="67" w:name="auto_fouce_15"/>
      <w:r>
        <w:rPr>
          <w:rFonts w:hint="default" w:ascii="Times New Roman" w:hAnsi="Times New Roman"/>
          <w:lang w:val="en-US" w:eastAsia="zh-CN"/>
        </w:rPr>
        <w:t>凡因本约定书或与本约定书有关的一切争议，甲、乙、丙、丁方应友好协商解决，协商不成的，各方均有权向甲方</w:t>
      </w:r>
      <w:r>
        <w:rPr>
          <w:rFonts w:hint="eastAsia"/>
          <w:lang w:val="en-US" w:eastAsia="zh-CN"/>
        </w:rPr>
        <w:t>（云南能源资产运营管理有限公司）</w:t>
      </w:r>
      <w:r>
        <w:rPr>
          <w:rFonts w:hint="default" w:ascii="Times New Roman" w:hAnsi="Times New Roman"/>
          <w:lang w:val="en-US" w:eastAsia="zh-CN"/>
        </w:rPr>
        <w:t>所在地有管辖权的人民法院提起诉讼。</w:t>
      </w:r>
      <w:bookmarkEnd w:id="67"/>
    </w:p>
    <w:p w14:paraId="3817CC2E">
      <w:pPr>
        <w:rPr>
          <w:rFonts w:hint="default" w:ascii="Times New Roman" w:hAnsi="Times New Roman"/>
          <w:b/>
          <w:bCs/>
          <w:lang w:val="en-US" w:eastAsia="zh-CN"/>
        </w:rPr>
      </w:pPr>
      <w:r>
        <w:rPr>
          <w:rFonts w:hint="default" w:ascii="Times New Roman" w:hAnsi="Times New Roman"/>
          <w:b/>
          <w:bCs/>
          <w:lang w:val="en-US" w:eastAsia="zh-CN"/>
        </w:rPr>
        <w:t>十二、委托合同的有效期限</w:t>
      </w:r>
    </w:p>
    <w:p w14:paraId="0C1695C9">
      <w:pPr>
        <w:rPr>
          <w:rFonts w:hint="default" w:ascii="Times New Roman" w:hAnsi="Times New Roman"/>
          <w:lang w:val="en-US" w:eastAsia="zh-CN"/>
        </w:rPr>
      </w:pPr>
      <w:r>
        <w:rPr>
          <w:rFonts w:hint="default" w:ascii="Times New Roman" w:hAnsi="Times New Roman"/>
          <w:lang w:val="en-US" w:eastAsia="zh-CN"/>
        </w:rPr>
        <w:t>本委托合同经甲、乙、丙、丁方签章、盖章后生效，约定事项全部完成后终止。</w:t>
      </w:r>
    </w:p>
    <w:p w14:paraId="5BB3CEFB">
      <w:pPr>
        <w:rPr>
          <w:rFonts w:hint="default" w:ascii="Times New Roman" w:hAnsi="Times New Roman"/>
          <w:b/>
          <w:bCs/>
          <w:lang w:val="en-US" w:eastAsia="zh-CN"/>
        </w:rPr>
      </w:pPr>
      <w:r>
        <w:rPr>
          <w:rFonts w:hint="default" w:ascii="Times New Roman" w:hAnsi="Times New Roman"/>
          <w:b/>
          <w:bCs/>
          <w:lang w:val="en-US" w:eastAsia="zh-CN"/>
        </w:rPr>
        <w:t>十三、违约责任</w:t>
      </w:r>
    </w:p>
    <w:p w14:paraId="1F2090C1">
      <w:pPr>
        <w:rPr>
          <w:rFonts w:hint="default" w:ascii="Times New Roman" w:hAnsi="Times New Roman"/>
          <w:lang w:val="en-US" w:eastAsia="zh-CN"/>
        </w:rPr>
      </w:pPr>
      <w:r>
        <w:rPr>
          <w:rFonts w:hint="default" w:ascii="Times New Roman" w:hAnsi="Times New Roman"/>
          <w:lang w:val="en-US" w:eastAsia="zh-CN"/>
        </w:rPr>
        <w:t>1、甲、乙、丙、丁四方按照《中华人民共和国民法典》的规定承担相应的违约责任。签约各方因不可抗力无法履行委托合同的，根据不可抗力的影响，部分或者全部免除责任，法律另有规定的除外。</w:t>
      </w:r>
    </w:p>
    <w:p w14:paraId="1203D990">
      <w:pPr>
        <w:rPr>
          <w:rFonts w:hint="default" w:ascii="Times New Roman" w:hAnsi="Times New Roman"/>
          <w:lang w:val="en-US" w:eastAsia="zh-CN"/>
        </w:rPr>
      </w:pPr>
      <w:bookmarkStart w:id="68" w:name="tip_risk_bookmark_16"/>
      <w:r>
        <w:rPr>
          <w:rFonts w:hint="default" w:ascii="Times New Roman" w:hAnsi="Times New Roman"/>
          <w:lang w:val="en-US" w:eastAsia="zh-CN"/>
        </w:rPr>
        <w:t>2、甲、乙、丙方和其他相关当事人如果拒绝提供或者不如实提供开展资产评估业务所需的权属证明、财务会计信息或者其他相关资料的，丁方有权拒绝履行资产评估委托合同。甲、乙、丙方未及时向丁方提供资产评估所需的文件、资料，或提供的文件和资料不真实，因此产生的不良后果由甲、乙、丙方负责，丁方不承担责任。</w:t>
      </w:r>
      <w:bookmarkEnd w:id="68"/>
    </w:p>
    <w:p w14:paraId="641740C7">
      <w:pPr>
        <w:rPr>
          <w:rFonts w:hint="default" w:ascii="Times New Roman" w:hAnsi="Times New Roman"/>
          <w:lang w:val="en-US" w:eastAsia="zh-CN"/>
        </w:rPr>
      </w:pPr>
      <w:bookmarkStart w:id="69" w:name="auto_fouce_17"/>
      <w:r>
        <w:rPr>
          <w:rFonts w:hint="default" w:ascii="Times New Roman" w:hAnsi="Times New Roman"/>
          <w:lang w:val="en-US" w:eastAsia="zh-CN"/>
        </w:rPr>
        <w:t>3、若丁方所提供服务不准确、不合理，导致甲、乙、丙方项目受阻，使甲、乙、丙方蒙受经济损失、项目进度滞后等损失的，丁方除负责采取补救措施、赔偿甲、乙、丙方所有损失外，丁方应当承担合同总金额1%的违约金，还应免收受损失部分的服务费用</w:t>
      </w:r>
      <w:r>
        <w:rPr>
          <w:rFonts w:hint="eastAsia"/>
          <w:lang w:val="en-US" w:eastAsia="zh-CN"/>
        </w:rPr>
        <w:t>，且不影响甲、乙、丙方依据本条主张违约金及损失赔偿的权利</w:t>
      </w:r>
      <w:r>
        <w:rPr>
          <w:rFonts w:hint="default" w:ascii="Times New Roman" w:hAnsi="Times New Roman"/>
          <w:lang w:val="en-US" w:eastAsia="zh-CN"/>
        </w:rPr>
        <w:t>。对于此损失赔偿，甲、乙、丙方有权在甲、乙、丙方向丁方的支付款项中扣除，若该赔偿不能以此方式全数扣回，甲、乙、丙方有权向丁方以债务方式追讨其余额部分，索赔过程中发生的一切费用均由丁方承担。</w:t>
      </w:r>
      <w:r>
        <w:rPr>
          <w:rFonts w:hint="eastAsia"/>
          <w:lang w:val="en-US" w:eastAsia="zh-CN"/>
        </w:rPr>
        <w:t>丁方应在收到甲、乙、丙方书面索赔通知之日起15日内完成赔偿支付，逾期支付的，每逾期一日按应付未付金额的万分之四向甲、乙、丙方支付逾期违约金。</w:t>
      </w:r>
      <w:r>
        <w:rPr>
          <w:rFonts w:hint="default" w:ascii="Times New Roman" w:hAnsi="Times New Roman"/>
          <w:lang w:val="en-US" w:eastAsia="zh-CN"/>
        </w:rPr>
        <w:t>追索费用包括但不限于律师费、诉讼费、公证费、保全费、保全担保费、评估费、鉴定费、差旅费等相关费用。</w:t>
      </w:r>
      <w:bookmarkEnd w:id="69"/>
    </w:p>
    <w:p w14:paraId="36B0FA70">
      <w:pPr>
        <w:rPr>
          <w:rFonts w:hint="default" w:ascii="Times New Roman" w:hAnsi="Times New Roman"/>
          <w:lang w:val="en-US" w:eastAsia="zh-CN"/>
        </w:rPr>
      </w:pPr>
      <w:bookmarkStart w:id="70" w:name="auto_fouce_18"/>
      <w:r>
        <w:rPr>
          <w:rFonts w:hint="default" w:ascii="Times New Roman" w:hAnsi="Times New Roman"/>
          <w:lang w:val="en-US" w:eastAsia="zh-CN"/>
        </w:rPr>
        <w:t>4、丁方应当按照本合同及相关法律法规规定的标准提交评估报告，若丁方提交的评估报告不符合标准的，甲、乙、丙方有权要求丁方立即采取重新出具、修改等措施予以补救并赔偿给甲、乙、丙方造成的损失，</w:t>
      </w:r>
      <w:r>
        <w:rPr>
          <w:rFonts w:hint="eastAsia"/>
          <w:lang w:val="en-US" w:eastAsia="zh-CN"/>
        </w:rPr>
        <w:t>丁方逾期完成补救的，每逾期一日应按合同总金额的万分之四向甲、乙、丙方支付违约金，</w:t>
      </w:r>
      <w:r>
        <w:rPr>
          <w:rFonts w:hint="default" w:ascii="Times New Roman" w:hAnsi="Times New Roman"/>
          <w:lang w:val="en-US" w:eastAsia="zh-CN"/>
        </w:rPr>
        <w:t>且不免除丁方逾期提交的违约责任；丁方拒绝补救或逾期补救或经补救后仍不符合标准的，甲、乙、丙方有权单方面解除本合同，并不予支付任何费用。</w:t>
      </w:r>
      <w:bookmarkEnd w:id="70"/>
    </w:p>
    <w:p w14:paraId="58940D71">
      <w:pPr>
        <w:rPr>
          <w:rFonts w:hint="default" w:ascii="Times New Roman" w:hAnsi="Times New Roman"/>
          <w:lang w:val="en-US" w:eastAsia="zh-CN"/>
        </w:rPr>
      </w:pPr>
      <w:r>
        <w:rPr>
          <w:rFonts w:hint="default" w:ascii="Times New Roman" w:hAnsi="Times New Roman"/>
          <w:lang w:val="en-US" w:eastAsia="zh-CN"/>
        </w:rPr>
        <w:t>5、丁方应当保证所提交的评估报告不存在侵犯任何第三方知识产权、合法权益的情况，否则，由此产生的一切后果由丁方自行承担；因此造成甲方损失的，甲、乙、丙方有权要求丁方赔偿损失。</w:t>
      </w:r>
    </w:p>
    <w:p w14:paraId="05B25FED">
      <w:pPr>
        <w:rPr>
          <w:rFonts w:hint="default" w:ascii="Times New Roman" w:hAnsi="Times New Roman"/>
          <w:lang w:val="en-US" w:eastAsia="zh-CN"/>
        </w:rPr>
      </w:pPr>
      <w:bookmarkStart w:id="71" w:name="auto_fouce_20"/>
      <w:r>
        <w:rPr>
          <w:rFonts w:hint="default" w:ascii="Times New Roman" w:hAnsi="Times New Roman"/>
          <w:lang w:val="en-US" w:eastAsia="zh-CN"/>
        </w:rPr>
        <w:t>6、本合同所指丁方违约给甲、乙、丙方造成的损失包括但不限于直接损失、间接损失、</w:t>
      </w:r>
      <w:r>
        <w:rPr>
          <w:rFonts w:hint="eastAsia"/>
          <w:lang w:val="en-US" w:eastAsia="zh-CN"/>
        </w:rPr>
        <w:t>预期利益损失，</w:t>
      </w:r>
      <w:r>
        <w:rPr>
          <w:rFonts w:hint="default" w:ascii="Times New Roman" w:hAnsi="Times New Roman"/>
          <w:lang w:val="en-US" w:eastAsia="zh-CN"/>
        </w:rPr>
        <w:t>以及甲、乙、丙方为维护自身合法权益而产生的诉讼费、保全费、保全担保/保险费、律师费、公告费、鉴定费、差旅费等相关费用。</w:t>
      </w:r>
      <w:bookmarkEnd w:id="71"/>
    </w:p>
    <w:p w14:paraId="03C8D8C5">
      <w:pPr>
        <w:rPr>
          <w:rFonts w:hint="eastAsia" w:ascii="Times New Roman" w:hAnsi="Times New Roman" w:eastAsia="方正仿宋_GBK"/>
          <w:color w:val="FF0000"/>
          <w:lang w:val="en-US" w:eastAsia="zh-CN"/>
        </w:rPr>
      </w:pPr>
      <w:r>
        <w:rPr>
          <w:rFonts w:hint="default" w:ascii="Times New Roman" w:hAnsi="Times New Roman"/>
          <w:lang w:val="en-US" w:eastAsia="zh-CN"/>
        </w:rPr>
        <w:t>7 、其他违约责任，本合同另有约定的按照相关约定执行，未约定的按照《中华人民共 和国民法典》等相关规定执行。</w:t>
      </w:r>
      <w:bookmarkStart w:id="72" w:name="auto_fouce_21"/>
    </w:p>
    <w:p w14:paraId="4925ECC7">
      <w:pPr>
        <w:rPr>
          <w:rFonts w:hint="eastAsia" w:ascii="Times New Roman" w:hAnsi="Times New Roman" w:eastAsia="方正仿宋_GBK"/>
          <w:lang w:val="en-US" w:eastAsia="zh-CN"/>
        </w:rPr>
      </w:pPr>
      <w:r>
        <w:rPr>
          <w:rFonts w:hint="eastAsia"/>
          <w:lang w:val="en-US" w:eastAsia="zh-CN"/>
        </w:rPr>
        <w:t>8、丁方未经甲、乙、丙方书面同意，擅自将本合同项下评估业务分包、转包给第三方的，甲、乙、丙方有权单方解除合同，丁方应退还已收取的全部服务费，并按合同总金额的20%向甲、乙、丙方支付违约金。</w:t>
      </w:r>
      <w:bookmarkEnd w:id="72"/>
    </w:p>
    <w:p w14:paraId="6AB9CF88">
      <w:pPr>
        <w:rPr>
          <w:rFonts w:hint="default" w:ascii="Times New Roman" w:hAnsi="Times New Roman"/>
          <w:b/>
          <w:bCs/>
          <w:lang w:val="en-US" w:eastAsia="zh-CN"/>
        </w:rPr>
      </w:pPr>
      <w:r>
        <w:rPr>
          <w:rFonts w:hint="default" w:ascii="Times New Roman" w:hAnsi="Times New Roman"/>
          <w:b/>
          <w:bCs/>
          <w:lang w:val="en-US" w:eastAsia="zh-CN"/>
        </w:rPr>
        <w:t>十四、对其他有关事项的约定</w:t>
      </w:r>
    </w:p>
    <w:p w14:paraId="55B8AA78">
      <w:pPr>
        <w:rPr>
          <w:rFonts w:hint="default" w:ascii="Times New Roman" w:hAnsi="Times New Roman"/>
          <w:lang w:val="en-US" w:eastAsia="zh-CN"/>
        </w:rPr>
      </w:pPr>
      <w:bookmarkStart w:id="73" w:name="auto_fouce_22"/>
      <w:r>
        <w:rPr>
          <w:rFonts w:hint="default" w:ascii="Times New Roman" w:hAnsi="Times New Roman"/>
          <w:lang w:val="en-US" w:eastAsia="zh-CN"/>
        </w:rPr>
        <w:t>本委托合同一式壹拾贰份，甲、乙、丙、丁方各</w:t>
      </w:r>
      <w:r>
        <w:rPr>
          <w:rFonts w:hint="eastAsia"/>
          <w:lang w:val="en-US" w:eastAsia="zh-CN"/>
        </w:rPr>
        <w:t>执</w:t>
      </w:r>
      <w:r>
        <w:rPr>
          <w:rFonts w:hint="default" w:ascii="Times New Roman" w:hAnsi="Times New Roman"/>
          <w:lang w:val="en-US" w:eastAsia="zh-CN"/>
        </w:rPr>
        <w:t>叁份。未尽事宜，由四方协商解决。在合同有效期内，</w:t>
      </w:r>
      <w:r>
        <w:rPr>
          <w:rFonts w:hint="eastAsia"/>
          <w:lang w:val="en-US" w:eastAsia="zh-CN"/>
        </w:rPr>
        <w:t>丁</w:t>
      </w:r>
      <w:r>
        <w:rPr>
          <w:rFonts w:hint="default" w:ascii="Times New Roman" w:hAnsi="Times New Roman"/>
          <w:lang w:val="en-US" w:eastAsia="zh-CN"/>
        </w:rPr>
        <w:t>方</w:t>
      </w:r>
      <w:r>
        <w:rPr>
          <w:rFonts w:hint="eastAsia"/>
          <w:lang w:val="en-US" w:eastAsia="zh-CN"/>
        </w:rPr>
        <w:t>的通讯地址、联系方式等</w:t>
      </w:r>
      <w:r>
        <w:rPr>
          <w:rFonts w:hint="default" w:ascii="Times New Roman" w:hAnsi="Times New Roman"/>
          <w:lang w:val="en-US" w:eastAsia="zh-CN"/>
        </w:rPr>
        <w:t>信息如有变更，应当于变更后</w:t>
      </w:r>
      <w:r>
        <w:rPr>
          <w:rFonts w:hint="eastAsia"/>
          <w:lang w:val="en-US" w:eastAsia="zh-CN"/>
        </w:rPr>
        <w:t>2</w:t>
      </w:r>
      <w:r>
        <w:rPr>
          <w:rFonts w:hint="default" w:ascii="Times New Roman" w:hAnsi="Times New Roman"/>
          <w:lang w:val="en-US" w:eastAsia="zh-CN"/>
        </w:rPr>
        <w:t>日内书</w:t>
      </w:r>
      <w:r>
        <w:rPr>
          <w:rFonts w:hint="eastAsia"/>
          <w:lang w:val="en-US" w:eastAsia="zh-CN"/>
        </w:rPr>
        <w:t>面</w:t>
      </w:r>
      <w:r>
        <w:rPr>
          <w:rFonts w:hint="default" w:ascii="Times New Roman" w:hAnsi="Times New Roman"/>
          <w:lang w:val="en-US" w:eastAsia="zh-CN"/>
        </w:rPr>
        <w:t>通知</w:t>
      </w:r>
      <w:r>
        <w:rPr>
          <w:rFonts w:hint="eastAsia"/>
          <w:lang w:val="en-US" w:eastAsia="zh-CN"/>
        </w:rPr>
        <w:t>甲</w:t>
      </w:r>
      <w:r>
        <w:rPr>
          <w:rFonts w:hint="default" w:ascii="Times New Roman" w:hAnsi="Times New Roman"/>
          <w:lang w:val="en-US" w:eastAsia="zh-CN"/>
        </w:rPr>
        <w:t>方</w:t>
      </w:r>
      <w:r>
        <w:rPr>
          <w:rFonts w:hint="eastAsia"/>
          <w:lang w:val="en-US" w:eastAsia="zh-CN"/>
        </w:rPr>
        <w:t>；</w:t>
      </w:r>
      <w:r>
        <w:rPr>
          <w:rFonts w:hint="default" w:ascii="Times New Roman" w:hAnsi="Times New Roman"/>
          <w:lang w:val="en-US" w:eastAsia="zh-CN"/>
        </w:rPr>
        <w:t>否则</w:t>
      </w:r>
      <w:r>
        <w:rPr>
          <w:rFonts w:hint="eastAsia"/>
          <w:lang w:val="en-US" w:eastAsia="zh-CN"/>
        </w:rPr>
        <w:t>，</w:t>
      </w:r>
      <w:r>
        <w:rPr>
          <w:rFonts w:hint="default" w:ascii="Times New Roman" w:hAnsi="Times New Roman"/>
          <w:lang w:val="en-US" w:eastAsia="zh-CN"/>
        </w:rPr>
        <w:t>发至本合同所列明的</w:t>
      </w:r>
      <w:r>
        <w:rPr>
          <w:rFonts w:hint="eastAsia"/>
          <w:lang w:val="en-US" w:eastAsia="zh-CN"/>
        </w:rPr>
        <w:t>丁方</w:t>
      </w:r>
      <w:r>
        <w:rPr>
          <w:rFonts w:hint="default" w:ascii="Times New Roman" w:hAnsi="Times New Roman"/>
          <w:lang w:val="en-US" w:eastAsia="zh-CN"/>
        </w:rPr>
        <w:t>通讯地址、</w:t>
      </w:r>
      <w:r>
        <w:rPr>
          <w:rFonts w:hint="eastAsia"/>
          <w:lang w:val="en-US" w:eastAsia="zh-CN"/>
        </w:rPr>
        <w:t>联</w:t>
      </w:r>
      <w:r>
        <w:rPr>
          <w:rFonts w:hint="default" w:ascii="Times New Roman" w:hAnsi="Times New Roman"/>
          <w:lang w:val="en-US" w:eastAsia="zh-CN"/>
        </w:rPr>
        <w:t>系</w:t>
      </w:r>
      <w:r>
        <w:rPr>
          <w:rFonts w:hint="eastAsia"/>
          <w:lang w:val="en-US" w:eastAsia="zh-CN"/>
        </w:rPr>
        <w:t>方式</w:t>
      </w:r>
      <w:r>
        <w:rPr>
          <w:rFonts w:hint="default" w:ascii="Times New Roman" w:hAnsi="Times New Roman"/>
          <w:lang w:val="en-US" w:eastAsia="zh-CN"/>
        </w:rPr>
        <w:t>的通知、文件、资料等，均视为有效送达</w:t>
      </w:r>
      <w:r>
        <w:rPr>
          <w:rFonts w:hint="eastAsia"/>
          <w:lang w:val="en-US" w:eastAsia="zh-CN"/>
        </w:rPr>
        <w:t>，由此产生</w:t>
      </w:r>
      <w:r>
        <w:rPr>
          <w:rFonts w:hint="default" w:ascii="Times New Roman" w:hAnsi="Times New Roman"/>
          <w:lang w:val="en-US" w:eastAsia="zh-CN"/>
        </w:rPr>
        <w:t>的</w:t>
      </w:r>
      <w:r>
        <w:rPr>
          <w:rFonts w:hint="eastAsia"/>
          <w:lang w:val="en-US" w:eastAsia="zh-CN"/>
        </w:rPr>
        <w:t>不利后果由</w:t>
      </w:r>
      <w:r>
        <w:rPr>
          <w:rFonts w:hint="default" w:ascii="Times New Roman" w:hAnsi="Times New Roman"/>
          <w:lang w:val="en-US" w:eastAsia="zh-CN"/>
        </w:rPr>
        <w:t>丁方</w:t>
      </w:r>
      <w:r>
        <w:rPr>
          <w:rFonts w:hint="eastAsia"/>
          <w:lang w:val="en-US" w:eastAsia="zh-CN"/>
        </w:rPr>
        <w:t>承担</w:t>
      </w:r>
      <w:r>
        <w:rPr>
          <w:rFonts w:hint="default" w:ascii="Times New Roman" w:hAnsi="Times New Roman"/>
          <w:lang w:val="en-US" w:eastAsia="zh-CN"/>
        </w:rPr>
        <w:t>。</w:t>
      </w:r>
      <w:bookmarkEnd w:id="73"/>
    </w:p>
    <w:sectPr>
      <w:pgSz w:w="11906" w:h="16838"/>
      <w:pgMar w:top="2098" w:right="1474" w:bottom="1984" w:left="1587" w:header="851" w:footer="992" w:gutter="0"/>
      <w:cols w:space="0" w:num="1"/>
      <w:rtlGutter w:val="0"/>
      <w:docGrid w:type="lines" w:linePitch="327"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embedRegular r:id="rId1" w:fontKey="{19795819-127B-458B-A5AA-2EFC6E271304}"/>
  </w:font>
  <w:font w:name="方正小标宋_GBK">
    <w:panose1 w:val="03000509000000000000"/>
    <w:charset w:val="86"/>
    <w:family w:val="script"/>
    <w:pitch w:val="default"/>
    <w:sig w:usb0="00000001" w:usb1="080E0000" w:usb2="00000000" w:usb3="00000000" w:csb0="00040000" w:csb1="00000000"/>
    <w:embedRegular r:id="rId2" w:fontKey="{3C2E7907-AE52-4E3B-8233-A42C949424CB}"/>
  </w:font>
  <w:font w:name="方正黑体_GBK">
    <w:panose1 w:val="03000509000000000000"/>
    <w:charset w:val="86"/>
    <w:family w:val="script"/>
    <w:pitch w:val="default"/>
    <w:sig w:usb0="00000001" w:usb1="080E0000" w:usb2="00000000" w:usb3="00000000" w:csb0="00040000" w:csb1="00000000"/>
    <w:embedRegular r:id="rId3" w:fontKey="{12494384-0D55-4522-B0B3-AAD947794267}"/>
  </w:font>
  <w:font w:name="方正楷体_GBK">
    <w:panose1 w:val="03000509000000000000"/>
    <w:charset w:val="86"/>
    <w:family w:val="script"/>
    <w:pitch w:val="default"/>
    <w:sig w:usb0="00000001" w:usb1="080E0000" w:usb2="00000000" w:usb3="00000000" w:csb0="00040000" w:csb1="00000000"/>
  </w:font>
  <w:font w:name="方正楷体_GB2312">
    <w:panose1 w:val="02000000000000000000"/>
    <w:charset w:val="86"/>
    <w:family w:val="auto"/>
    <w:pitch w:val="default"/>
    <w:sig w:usb0="A00002BF" w:usb1="184F6CFA" w:usb2="00000012" w:usb3="00000000" w:csb0="00040001" w:csb1="00000000"/>
    <w:embedRegular r:id="rId4" w:fontKey="{86220D5A-E447-4A85-9292-F32A7F078A29}"/>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E02FD">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783F71">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D85990">
                          <w:pPr>
                            <w:pStyle w:val="12"/>
                            <w:keepNext w:val="0"/>
                            <w:keepLines w:val="0"/>
                            <w:pageBreakBefore w:val="0"/>
                            <w:widowControl w:val="0"/>
                            <w:kinsoku/>
                            <w:wordWrap/>
                            <w:overflowPunct/>
                            <w:topLinePunct w:val="0"/>
                            <w:bidi w:val="0"/>
                            <w:adjustRightInd/>
                            <w:snapToGrid w:val="0"/>
                            <w:ind w:firstLine="0" w:firstLineChars="0"/>
                            <w:textAlignment w:val="auto"/>
                            <w:rPr>
                              <w:sz w:val="24"/>
                              <w:szCs w:val="40"/>
                            </w:rPr>
                          </w:pPr>
                          <w:r>
                            <w:rPr>
                              <w:sz w:val="24"/>
                              <w:szCs w:val="40"/>
                            </w:rPr>
                            <w:fldChar w:fldCharType="begin"/>
                          </w:r>
                          <w:r>
                            <w:rPr>
                              <w:sz w:val="24"/>
                              <w:szCs w:val="40"/>
                            </w:rPr>
                            <w:instrText xml:space="preserve"> PAGE  \* MERGEFORMAT </w:instrText>
                          </w:r>
                          <w:r>
                            <w:rPr>
                              <w:sz w:val="24"/>
                              <w:szCs w:val="40"/>
                            </w:rPr>
                            <w:fldChar w:fldCharType="separate"/>
                          </w:r>
                          <w:r>
                            <w:rPr>
                              <w:sz w:val="24"/>
                              <w:szCs w:val="40"/>
                            </w:rPr>
                            <w:t>2</w:t>
                          </w:r>
                          <w:r>
                            <w:rPr>
                              <w:sz w:val="24"/>
                              <w:szCs w:val="40"/>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0ED85990">
                    <w:pPr>
                      <w:pStyle w:val="12"/>
                      <w:keepNext w:val="0"/>
                      <w:keepLines w:val="0"/>
                      <w:pageBreakBefore w:val="0"/>
                      <w:widowControl w:val="0"/>
                      <w:kinsoku/>
                      <w:wordWrap/>
                      <w:overflowPunct/>
                      <w:topLinePunct w:val="0"/>
                      <w:bidi w:val="0"/>
                      <w:adjustRightInd/>
                      <w:snapToGrid w:val="0"/>
                      <w:ind w:firstLine="0" w:firstLineChars="0"/>
                      <w:textAlignment w:val="auto"/>
                      <w:rPr>
                        <w:sz w:val="24"/>
                        <w:szCs w:val="40"/>
                      </w:rPr>
                    </w:pPr>
                    <w:r>
                      <w:rPr>
                        <w:sz w:val="24"/>
                        <w:szCs w:val="40"/>
                      </w:rPr>
                      <w:fldChar w:fldCharType="begin"/>
                    </w:r>
                    <w:r>
                      <w:rPr>
                        <w:sz w:val="24"/>
                        <w:szCs w:val="40"/>
                      </w:rPr>
                      <w:instrText xml:space="preserve"> PAGE  \* MERGEFORMAT </w:instrText>
                    </w:r>
                    <w:r>
                      <w:rPr>
                        <w:sz w:val="24"/>
                        <w:szCs w:val="40"/>
                      </w:rPr>
                      <w:fldChar w:fldCharType="separate"/>
                    </w:r>
                    <w:r>
                      <w:rPr>
                        <w:sz w:val="24"/>
                        <w:szCs w:val="40"/>
                      </w:rPr>
                      <w:t>2</w:t>
                    </w:r>
                    <w:r>
                      <w:rPr>
                        <w:sz w:val="24"/>
                        <w:szCs w:val="40"/>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0F2B9A">
    <w:pPr>
      <w:pStyle w:val="1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0EF7CC">
    <w:pPr>
      <w:pStyle w:val="1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AB7A8FB"/>
    <w:multiLevelType w:val="singleLevel"/>
    <w:tmpl w:val="FAB7A8FB"/>
    <w:lvl w:ilvl="0" w:tentative="0">
      <w:start w:val="1"/>
      <w:numFmt w:val="decimal"/>
      <w:suff w:val="nothing"/>
      <w:lvlText w:val="（%1）"/>
      <w:lvlJc w:val="left"/>
    </w:lvl>
  </w:abstractNum>
  <w:abstractNum w:abstractNumId="1">
    <w:nsid w:val="64438ABA"/>
    <w:multiLevelType w:val="singleLevel"/>
    <w:tmpl w:val="64438ABA"/>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embedTrueTypeFonts/>
  <w:saveSubsetFonts/>
  <w:bordersDoNotSurroundHeader w:val="0"/>
  <w:bordersDoNotSurroundFooter w:val="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trackRevisions w:val="1"/>
  <w:documentProtection w:enforcement="0"/>
  <w:defaultTabStop w:val="420"/>
  <w:drawingGridVerticalSpacing w:val="164"/>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4473B"/>
    <w:rsid w:val="00044B21"/>
    <w:rsid w:val="00045DAF"/>
    <w:rsid w:val="00071D6A"/>
    <w:rsid w:val="00073776"/>
    <w:rsid w:val="000A353E"/>
    <w:rsid w:val="000B2B95"/>
    <w:rsid w:val="000D4ADA"/>
    <w:rsid w:val="000E08B6"/>
    <w:rsid w:val="000E1A0A"/>
    <w:rsid w:val="000E6DBA"/>
    <w:rsid w:val="000F0419"/>
    <w:rsid w:val="0012657E"/>
    <w:rsid w:val="001D4FAD"/>
    <w:rsid w:val="001D6BD5"/>
    <w:rsid w:val="001F7AE2"/>
    <w:rsid w:val="00213CB5"/>
    <w:rsid w:val="00227303"/>
    <w:rsid w:val="00240BBA"/>
    <w:rsid w:val="0025529B"/>
    <w:rsid w:val="00257F7D"/>
    <w:rsid w:val="0029221F"/>
    <w:rsid w:val="002C1D5C"/>
    <w:rsid w:val="00300276"/>
    <w:rsid w:val="00307B5E"/>
    <w:rsid w:val="00350671"/>
    <w:rsid w:val="00351E5D"/>
    <w:rsid w:val="0038361C"/>
    <w:rsid w:val="003836D8"/>
    <w:rsid w:val="003859E9"/>
    <w:rsid w:val="003863C4"/>
    <w:rsid w:val="003D7087"/>
    <w:rsid w:val="00404038"/>
    <w:rsid w:val="00433DF1"/>
    <w:rsid w:val="0043683E"/>
    <w:rsid w:val="00436998"/>
    <w:rsid w:val="00442C59"/>
    <w:rsid w:val="00446E67"/>
    <w:rsid w:val="00481C33"/>
    <w:rsid w:val="004908E8"/>
    <w:rsid w:val="00494DA4"/>
    <w:rsid w:val="004A13F6"/>
    <w:rsid w:val="004A1977"/>
    <w:rsid w:val="004A4082"/>
    <w:rsid w:val="004A5468"/>
    <w:rsid w:val="004A7AFD"/>
    <w:rsid w:val="004C461A"/>
    <w:rsid w:val="00545095"/>
    <w:rsid w:val="005520AF"/>
    <w:rsid w:val="00590C5B"/>
    <w:rsid w:val="00593D5C"/>
    <w:rsid w:val="0059583A"/>
    <w:rsid w:val="005B0767"/>
    <w:rsid w:val="005B13A7"/>
    <w:rsid w:val="005F7435"/>
    <w:rsid w:val="0060064F"/>
    <w:rsid w:val="0061109F"/>
    <w:rsid w:val="0061327B"/>
    <w:rsid w:val="00625B2D"/>
    <w:rsid w:val="00671BF8"/>
    <w:rsid w:val="006C6986"/>
    <w:rsid w:val="006C6E75"/>
    <w:rsid w:val="006D08CB"/>
    <w:rsid w:val="006D6BE2"/>
    <w:rsid w:val="006E715C"/>
    <w:rsid w:val="007244CF"/>
    <w:rsid w:val="007377BF"/>
    <w:rsid w:val="007C6DC7"/>
    <w:rsid w:val="007C6FEB"/>
    <w:rsid w:val="007D7A8F"/>
    <w:rsid w:val="007E4453"/>
    <w:rsid w:val="008227B6"/>
    <w:rsid w:val="008337B7"/>
    <w:rsid w:val="0085137A"/>
    <w:rsid w:val="00864586"/>
    <w:rsid w:val="00885A97"/>
    <w:rsid w:val="008920EC"/>
    <w:rsid w:val="008A4083"/>
    <w:rsid w:val="008B3711"/>
    <w:rsid w:val="008C6F96"/>
    <w:rsid w:val="008D762C"/>
    <w:rsid w:val="009118EE"/>
    <w:rsid w:val="00936139"/>
    <w:rsid w:val="00967F8F"/>
    <w:rsid w:val="00981F38"/>
    <w:rsid w:val="00990003"/>
    <w:rsid w:val="009A113C"/>
    <w:rsid w:val="009C1847"/>
    <w:rsid w:val="009C7D06"/>
    <w:rsid w:val="009F4575"/>
    <w:rsid w:val="009F4AFA"/>
    <w:rsid w:val="00A027C4"/>
    <w:rsid w:val="00A23341"/>
    <w:rsid w:val="00A26D91"/>
    <w:rsid w:val="00A45A7B"/>
    <w:rsid w:val="00A87EDE"/>
    <w:rsid w:val="00A962BA"/>
    <w:rsid w:val="00AA446C"/>
    <w:rsid w:val="00AD1BBD"/>
    <w:rsid w:val="00AD5EE7"/>
    <w:rsid w:val="00AF4950"/>
    <w:rsid w:val="00B1541D"/>
    <w:rsid w:val="00B16429"/>
    <w:rsid w:val="00B208DE"/>
    <w:rsid w:val="00B553EE"/>
    <w:rsid w:val="00B62BBB"/>
    <w:rsid w:val="00B63FC7"/>
    <w:rsid w:val="00B91A19"/>
    <w:rsid w:val="00BA1055"/>
    <w:rsid w:val="00BD0095"/>
    <w:rsid w:val="00C21999"/>
    <w:rsid w:val="00C51C42"/>
    <w:rsid w:val="00C56760"/>
    <w:rsid w:val="00C62C20"/>
    <w:rsid w:val="00C72D93"/>
    <w:rsid w:val="00C979B2"/>
    <w:rsid w:val="00CA14AC"/>
    <w:rsid w:val="00CB710B"/>
    <w:rsid w:val="00CF2315"/>
    <w:rsid w:val="00D0470E"/>
    <w:rsid w:val="00D8060B"/>
    <w:rsid w:val="00DA71A8"/>
    <w:rsid w:val="00E23EB5"/>
    <w:rsid w:val="00E25B66"/>
    <w:rsid w:val="00E33814"/>
    <w:rsid w:val="00E35013"/>
    <w:rsid w:val="00E47872"/>
    <w:rsid w:val="00EA46D1"/>
    <w:rsid w:val="00EE4BD5"/>
    <w:rsid w:val="00EF2615"/>
    <w:rsid w:val="00F131A1"/>
    <w:rsid w:val="00F55DD9"/>
    <w:rsid w:val="00F621A2"/>
    <w:rsid w:val="00F84BC7"/>
    <w:rsid w:val="00FB2066"/>
    <w:rsid w:val="01615A50"/>
    <w:rsid w:val="01EF43BB"/>
    <w:rsid w:val="022B52F2"/>
    <w:rsid w:val="02757B17"/>
    <w:rsid w:val="02781490"/>
    <w:rsid w:val="029E2E94"/>
    <w:rsid w:val="02D54924"/>
    <w:rsid w:val="02F973F6"/>
    <w:rsid w:val="033124A2"/>
    <w:rsid w:val="035B0276"/>
    <w:rsid w:val="038E557D"/>
    <w:rsid w:val="03F20308"/>
    <w:rsid w:val="03F4702C"/>
    <w:rsid w:val="03FB7EB5"/>
    <w:rsid w:val="0416409B"/>
    <w:rsid w:val="043F6098"/>
    <w:rsid w:val="044A30F0"/>
    <w:rsid w:val="045301F6"/>
    <w:rsid w:val="04A6582D"/>
    <w:rsid w:val="04A901CB"/>
    <w:rsid w:val="04B14F1D"/>
    <w:rsid w:val="04D22A2E"/>
    <w:rsid w:val="052460FB"/>
    <w:rsid w:val="05627265"/>
    <w:rsid w:val="05ED7A2F"/>
    <w:rsid w:val="060C3C0C"/>
    <w:rsid w:val="063E2ED0"/>
    <w:rsid w:val="0643551A"/>
    <w:rsid w:val="066B5B99"/>
    <w:rsid w:val="06931DBA"/>
    <w:rsid w:val="06AA0FF0"/>
    <w:rsid w:val="06E93094"/>
    <w:rsid w:val="071172F8"/>
    <w:rsid w:val="0721638A"/>
    <w:rsid w:val="0735538E"/>
    <w:rsid w:val="07405C09"/>
    <w:rsid w:val="076C2B3D"/>
    <w:rsid w:val="07780B4E"/>
    <w:rsid w:val="07BB058C"/>
    <w:rsid w:val="07C739AD"/>
    <w:rsid w:val="07DC193F"/>
    <w:rsid w:val="07E115E4"/>
    <w:rsid w:val="07E21FBD"/>
    <w:rsid w:val="07E547C8"/>
    <w:rsid w:val="085D7896"/>
    <w:rsid w:val="086E53D7"/>
    <w:rsid w:val="087B3FC1"/>
    <w:rsid w:val="08BE0699"/>
    <w:rsid w:val="08D11C8D"/>
    <w:rsid w:val="09300255"/>
    <w:rsid w:val="09490987"/>
    <w:rsid w:val="095F2F6D"/>
    <w:rsid w:val="0969226A"/>
    <w:rsid w:val="099E3CC2"/>
    <w:rsid w:val="09CC75E7"/>
    <w:rsid w:val="09F479B8"/>
    <w:rsid w:val="09FA1BCC"/>
    <w:rsid w:val="0A0F348E"/>
    <w:rsid w:val="0A107B41"/>
    <w:rsid w:val="0A6B1363"/>
    <w:rsid w:val="0A764C3F"/>
    <w:rsid w:val="0A7A39A7"/>
    <w:rsid w:val="0AC37E28"/>
    <w:rsid w:val="0AFD792C"/>
    <w:rsid w:val="0AFE5C2E"/>
    <w:rsid w:val="0B0E716C"/>
    <w:rsid w:val="0B132EAB"/>
    <w:rsid w:val="0B1A49A8"/>
    <w:rsid w:val="0B884C29"/>
    <w:rsid w:val="0BA53A2D"/>
    <w:rsid w:val="0BC45C5A"/>
    <w:rsid w:val="0BE81B6C"/>
    <w:rsid w:val="0BFB189F"/>
    <w:rsid w:val="0C1939C9"/>
    <w:rsid w:val="0C442D06"/>
    <w:rsid w:val="0C5A2DEE"/>
    <w:rsid w:val="0C896131"/>
    <w:rsid w:val="0C9F2153"/>
    <w:rsid w:val="0CE10EB6"/>
    <w:rsid w:val="0D0158A2"/>
    <w:rsid w:val="0D6E60A1"/>
    <w:rsid w:val="0D744115"/>
    <w:rsid w:val="0E374040"/>
    <w:rsid w:val="0E4D3F08"/>
    <w:rsid w:val="0EB67D00"/>
    <w:rsid w:val="0ED540B4"/>
    <w:rsid w:val="0EF118D1"/>
    <w:rsid w:val="0F0C791F"/>
    <w:rsid w:val="0F2A05B2"/>
    <w:rsid w:val="0F3B2D6B"/>
    <w:rsid w:val="0F582B65"/>
    <w:rsid w:val="0F831C1D"/>
    <w:rsid w:val="0FDEC275"/>
    <w:rsid w:val="0FF90FBE"/>
    <w:rsid w:val="1001144E"/>
    <w:rsid w:val="10295653"/>
    <w:rsid w:val="10390BE8"/>
    <w:rsid w:val="107439CE"/>
    <w:rsid w:val="108C1EAE"/>
    <w:rsid w:val="10B04C81"/>
    <w:rsid w:val="10F70AE6"/>
    <w:rsid w:val="10F80530"/>
    <w:rsid w:val="11023F06"/>
    <w:rsid w:val="118A126C"/>
    <w:rsid w:val="11AC65D4"/>
    <w:rsid w:val="11CB41D4"/>
    <w:rsid w:val="11DD37F5"/>
    <w:rsid w:val="11F612D3"/>
    <w:rsid w:val="126948BB"/>
    <w:rsid w:val="126A3B2F"/>
    <w:rsid w:val="127C3F7B"/>
    <w:rsid w:val="12940358"/>
    <w:rsid w:val="1296516D"/>
    <w:rsid w:val="12BF7172"/>
    <w:rsid w:val="12F901BB"/>
    <w:rsid w:val="1340228E"/>
    <w:rsid w:val="13556B18"/>
    <w:rsid w:val="13674B86"/>
    <w:rsid w:val="137169FE"/>
    <w:rsid w:val="13EE0770"/>
    <w:rsid w:val="147D3D03"/>
    <w:rsid w:val="148B2A61"/>
    <w:rsid w:val="14943218"/>
    <w:rsid w:val="14AC1BA8"/>
    <w:rsid w:val="14AF3ABC"/>
    <w:rsid w:val="14B26303"/>
    <w:rsid w:val="150B696D"/>
    <w:rsid w:val="15165F8A"/>
    <w:rsid w:val="156C125B"/>
    <w:rsid w:val="158660DC"/>
    <w:rsid w:val="159808ED"/>
    <w:rsid w:val="15B450DE"/>
    <w:rsid w:val="15B83744"/>
    <w:rsid w:val="15CE6BA7"/>
    <w:rsid w:val="15D33DF0"/>
    <w:rsid w:val="15DF08B8"/>
    <w:rsid w:val="15F70B98"/>
    <w:rsid w:val="1633267B"/>
    <w:rsid w:val="16574435"/>
    <w:rsid w:val="16770515"/>
    <w:rsid w:val="16BC2CDD"/>
    <w:rsid w:val="16CB2A44"/>
    <w:rsid w:val="16DB2B81"/>
    <w:rsid w:val="170E7DF5"/>
    <w:rsid w:val="17101F77"/>
    <w:rsid w:val="172E7996"/>
    <w:rsid w:val="17472FAA"/>
    <w:rsid w:val="174934DD"/>
    <w:rsid w:val="17685577"/>
    <w:rsid w:val="17760616"/>
    <w:rsid w:val="177D6FE7"/>
    <w:rsid w:val="17871CFD"/>
    <w:rsid w:val="181B0BD3"/>
    <w:rsid w:val="18380FB2"/>
    <w:rsid w:val="185C36C6"/>
    <w:rsid w:val="186E164B"/>
    <w:rsid w:val="187C4DAB"/>
    <w:rsid w:val="187F69D1"/>
    <w:rsid w:val="18A72C1F"/>
    <w:rsid w:val="18BD471F"/>
    <w:rsid w:val="18D517BF"/>
    <w:rsid w:val="18E03E23"/>
    <w:rsid w:val="18FB7F0C"/>
    <w:rsid w:val="190348A7"/>
    <w:rsid w:val="190B0D75"/>
    <w:rsid w:val="193D63F7"/>
    <w:rsid w:val="197E766C"/>
    <w:rsid w:val="199D21E8"/>
    <w:rsid w:val="1A0119B8"/>
    <w:rsid w:val="1A117A54"/>
    <w:rsid w:val="1A1D2586"/>
    <w:rsid w:val="1A4E480F"/>
    <w:rsid w:val="1A84517C"/>
    <w:rsid w:val="1A935399"/>
    <w:rsid w:val="1A9C0424"/>
    <w:rsid w:val="1A9C249F"/>
    <w:rsid w:val="1A9E6FD5"/>
    <w:rsid w:val="1AB958E3"/>
    <w:rsid w:val="1AC01D51"/>
    <w:rsid w:val="1AF731C9"/>
    <w:rsid w:val="1AFA553B"/>
    <w:rsid w:val="1B3513E8"/>
    <w:rsid w:val="1B3D71C1"/>
    <w:rsid w:val="1B47424D"/>
    <w:rsid w:val="1B4B2131"/>
    <w:rsid w:val="1B501924"/>
    <w:rsid w:val="1B62419A"/>
    <w:rsid w:val="1B8420C4"/>
    <w:rsid w:val="1B982FF3"/>
    <w:rsid w:val="1BDB3BA4"/>
    <w:rsid w:val="1BE05503"/>
    <w:rsid w:val="1C56042C"/>
    <w:rsid w:val="1C5A21E7"/>
    <w:rsid w:val="1C973C1C"/>
    <w:rsid w:val="1CBA4EFC"/>
    <w:rsid w:val="1D58265F"/>
    <w:rsid w:val="1D7248EE"/>
    <w:rsid w:val="1D7819D0"/>
    <w:rsid w:val="1D86563F"/>
    <w:rsid w:val="1D951A1A"/>
    <w:rsid w:val="1DBE2619"/>
    <w:rsid w:val="1DD2622D"/>
    <w:rsid w:val="1E6C03DB"/>
    <w:rsid w:val="1E705B13"/>
    <w:rsid w:val="1E890F8D"/>
    <w:rsid w:val="1E916E29"/>
    <w:rsid w:val="1E996BC3"/>
    <w:rsid w:val="1EAD566E"/>
    <w:rsid w:val="1ECD6AEC"/>
    <w:rsid w:val="1EE9607B"/>
    <w:rsid w:val="1F234F3D"/>
    <w:rsid w:val="1F2C034D"/>
    <w:rsid w:val="1F531875"/>
    <w:rsid w:val="1F5578A3"/>
    <w:rsid w:val="1F5C1999"/>
    <w:rsid w:val="1F925BDD"/>
    <w:rsid w:val="1F9870B8"/>
    <w:rsid w:val="1FC31B28"/>
    <w:rsid w:val="1FCF33BD"/>
    <w:rsid w:val="1FDC333E"/>
    <w:rsid w:val="200B122C"/>
    <w:rsid w:val="2013315D"/>
    <w:rsid w:val="2054720E"/>
    <w:rsid w:val="205F522A"/>
    <w:rsid w:val="2078425C"/>
    <w:rsid w:val="20D07F44"/>
    <w:rsid w:val="20D64231"/>
    <w:rsid w:val="20EA37A2"/>
    <w:rsid w:val="20FC4A96"/>
    <w:rsid w:val="213640C3"/>
    <w:rsid w:val="2167118E"/>
    <w:rsid w:val="21CC38AF"/>
    <w:rsid w:val="21E025D7"/>
    <w:rsid w:val="226B627C"/>
    <w:rsid w:val="22AE0FC2"/>
    <w:rsid w:val="22DD69CD"/>
    <w:rsid w:val="22EC262E"/>
    <w:rsid w:val="230B610D"/>
    <w:rsid w:val="2312765E"/>
    <w:rsid w:val="2359040B"/>
    <w:rsid w:val="2387194A"/>
    <w:rsid w:val="239A7550"/>
    <w:rsid w:val="23BA3996"/>
    <w:rsid w:val="23BC5F31"/>
    <w:rsid w:val="23C72304"/>
    <w:rsid w:val="23CA1CD3"/>
    <w:rsid w:val="23DD32F6"/>
    <w:rsid w:val="24356243"/>
    <w:rsid w:val="243E5F72"/>
    <w:rsid w:val="24502F21"/>
    <w:rsid w:val="246C2EE2"/>
    <w:rsid w:val="24A574FD"/>
    <w:rsid w:val="24A81363"/>
    <w:rsid w:val="24B05FD1"/>
    <w:rsid w:val="24BF64D4"/>
    <w:rsid w:val="24F72435"/>
    <w:rsid w:val="25070E5D"/>
    <w:rsid w:val="25072DB7"/>
    <w:rsid w:val="251A0B90"/>
    <w:rsid w:val="25415D2D"/>
    <w:rsid w:val="25594782"/>
    <w:rsid w:val="257D304D"/>
    <w:rsid w:val="25805811"/>
    <w:rsid w:val="25BF333D"/>
    <w:rsid w:val="25CE062E"/>
    <w:rsid w:val="25CF59C9"/>
    <w:rsid w:val="25F9400D"/>
    <w:rsid w:val="25FA6632"/>
    <w:rsid w:val="26041BE9"/>
    <w:rsid w:val="26C51673"/>
    <w:rsid w:val="26EF2F1C"/>
    <w:rsid w:val="27223D2C"/>
    <w:rsid w:val="27570DAA"/>
    <w:rsid w:val="281E59EC"/>
    <w:rsid w:val="283830DC"/>
    <w:rsid w:val="28720989"/>
    <w:rsid w:val="28E70DC4"/>
    <w:rsid w:val="292D772E"/>
    <w:rsid w:val="2940523A"/>
    <w:rsid w:val="295529F1"/>
    <w:rsid w:val="2956342B"/>
    <w:rsid w:val="296857BB"/>
    <w:rsid w:val="296B6BBA"/>
    <w:rsid w:val="29AC7351"/>
    <w:rsid w:val="29CE90FD"/>
    <w:rsid w:val="29E11C7D"/>
    <w:rsid w:val="2A4E6D14"/>
    <w:rsid w:val="2A73208C"/>
    <w:rsid w:val="2A75369A"/>
    <w:rsid w:val="2A7B3373"/>
    <w:rsid w:val="2A9D4760"/>
    <w:rsid w:val="2B966A97"/>
    <w:rsid w:val="2B97585A"/>
    <w:rsid w:val="2BD1187D"/>
    <w:rsid w:val="2BD6170E"/>
    <w:rsid w:val="2BF51A0F"/>
    <w:rsid w:val="2C0C6D59"/>
    <w:rsid w:val="2C5524AE"/>
    <w:rsid w:val="2C5D6896"/>
    <w:rsid w:val="2CF4444F"/>
    <w:rsid w:val="2CF762A2"/>
    <w:rsid w:val="2D3C3E3E"/>
    <w:rsid w:val="2D763723"/>
    <w:rsid w:val="2DCE72D8"/>
    <w:rsid w:val="2E3020C2"/>
    <w:rsid w:val="2E813A2E"/>
    <w:rsid w:val="2E866557"/>
    <w:rsid w:val="2E945D0A"/>
    <w:rsid w:val="2F0F475A"/>
    <w:rsid w:val="2F2C1714"/>
    <w:rsid w:val="2F9414BE"/>
    <w:rsid w:val="2FEC3129"/>
    <w:rsid w:val="2FF86874"/>
    <w:rsid w:val="30154031"/>
    <w:rsid w:val="303C35C6"/>
    <w:rsid w:val="30476D7A"/>
    <w:rsid w:val="308E27D1"/>
    <w:rsid w:val="308F0B2D"/>
    <w:rsid w:val="30CB379B"/>
    <w:rsid w:val="30DC72B8"/>
    <w:rsid w:val="311E37B6"/>
    <w:rsid w:val="313922D0"/>
    <w:rsid w:val="31857F02"/>
    <w:rsid w:val="31CD590C"/>
    <w:rsid w:val="31D279BC"/>
    <w:rsid w:val="31F10727"/>
    <w:rsid w:val="32014AF4"/>
    <w:rsid w:val="327A5831"/>
    <w:rsid w:val="327F0285"/>
    <w:rsid w:val="32D3784D"/>
    <w:rsid w:val="32D549D9"/>
    <w:rsid w:val="32E1498B"/>
    <w:rsid w:val="32EC251B"/>
    <w:rsid w:val="33152997"/>
    <w:rsid w:val="333D766D"/>
    <w:rsid w:val="33486154"/>
    <w:rsid w:val="336274C5"/>
    <w:rsid w:val="337E4312"/>
    <w:rsid w:val="338C053E"/>
    <w:rsid w:val="339E298D"/>
    <w:rsid w:val="34052A0C"/>
    <w:rsid w:val="341220B6"/>
    <w:rsid w:val="343B03EC"/>
    <w:rsid w:val="3473562D"/>
    <w:rsid w:val="34830DA6"/>
    <w:rsid w:val="3487506B"/>
    <w:rsid w:val="348F7151"/>
    <w:rsid w:val="34911406"/>
    <w:rsid w:val="34935BC5"/>
    <w:rsid w:val="34CE54F3"/>
    <w:rsid w:val="34D472B5"/>
    <w:rsid w:val="35066A3B"/>
    <w:rsid w:val="356B3A25"/>
    <w:rsid w:val="35764143"/>
    <w:rsid w:val="35952F76"/>
    <w:rsid w:val="35DB18E9"/>
    <w:rsid w:val="360B26C2"/>
    <w:rsid w:val="36511F38"/>
    <w:rsid w:val="36696099"/>
    <w:rsid w:val="36AB6ECE"/>
    <w:rsid w:val="36C94D6E"/>
    <w:rsid w:val="374905E8"/>
    <w:rsid w:val="376535EE"/>
    <w:rsid w:val="37F42B6B"/>
    <w:rsid w:val="38844383"/>
    <w:rsid w:val="38D02376"/>
    <w:rsid w:val="38D31347"/>
    <w:rsid w:val="390F1A9A"/>
    <w:rsid w:val="392E030F"/>
    <w:rsid w:val="393032EA"/>
    <w:rsid w:val="395E0DF6"/>
    <w:rsid w:val="39785A2E"/>
    <w:rsid w:val="39822409"/>
    <w:rsid w:val="398413EB"/>
    <w:rsid w:val="39CB40BB"/>
    <w:rsid w:val="39E66E3B"/>
    <w:rsid w:val="3A032FAD"/>
    <w:rsid w:val="3A1F234D"/>
    <w:rsid w:val="3A241712"/>
    <w:rsid w:val="3A464351"/>
    <w:rsid w:val="3A5E4C24"/>
    <w:rsid w:val="3A6F2778"/>
    <w:rsid w:val="3A763157"/>
    <w:rsid w:val="3AFF71B2"/>
    <w:rsid w:val="3B066997"/>
    <w:rsid w:val="3B203902"/>
    <w:rsid w:val="3B2876C0"/>
    <w:rsid w:val="3B317DFE"/>
    <w:rsid w:val="3B762441"/>
    <w:rsid w:val="3B9B77FE"/>
    <w:rsid w:val="3BA10BA4"/>
    <w:rsid w:val="3C241E9D"/>
    <w:rsid w:val="3C30439E"/>
    <w:rsid w:val="3C785F45"/>
    <w:rsid w:val="3C7F11EE"/>
    <w:rsid w:val="3CC96E22"/>
    <w:rsid w:val="3CF93F15"/>
    <w:rsid w:val="3D0B16F0"/>
    <w:rsid w:val="3D3954D4"/>
    <w:rsid w:val="3D430EA3"/>
    <w:rsid w:val="3D574B7D"/>
    <w:rsid w:val="3D6C09D0"/>
    <w:rsid w:val="3D6F3218"/>
    <w:rsid w:val="3D8251E6"/>
    <w:rsid w:val="3D8F3D2A"/>
    <w:rsid w:val="3DAF6650"/>
    <w:rsid w:val="3E1114B8"/>
    <w:rsid w:val="3E3E013F"/>
    <w:rsid w:val="3E411F6E"/>
    <w:rsid w:val="3E444130"/>
    <w:rsid w:val="3E6F446A"/>
    <w:rsid w:val="3EB6242B"/>
    <w:rsid w:val="3EDC080D"/>
    <w:rsid w:val="3EE67DDF"/>
    <w:rsid w:val="3EF20030"/>
    <w:rsid w:val="3F010273"/>
    <w:rsid w:val="3F0C62F0"/>
    <w:rsid w:val="3F0D20EB"/>
    <w:rsid w:val="403950B0"/>
    <w:rsid w:val="404E1296"/>
    <w:rsid w:val="40524017"/>
    <w:rsid w:val="40861A4C"/>
    <w:rsid w:val="40A315E2"/>
    <w:rsid w:val="40A75C9F"/>
    <w:rsid w:val="411F7A6D"/>
    <w:rsid w:val="41281D0A"/>
    <w:rsid w:val="412879B1"/>
    <w:rsid w:val="41635BFC"/>
    <w:rsid w:val="417E62D1"/>
    <w:rsid w:val="41F30347"/>
    <w:rsid w:val="4235270E"/>
    <w:rsid w:val="426C7DDD"/>
    <w:rsid w:val="428822E5"/>
    <w:rsid w:val="42B4772B"/>
    <w:rsid w:val="42C22B17"/>
    <w:rsid w:val="431C0F1F"/>
    <w:rsid w:val="437330A4"/>
    <w:rsid w:val="43A15B81"/>
    <w:rsid w:val="43AE47EC"/>
    <w:rsid w:val="43BB2F4E"/>
    <w:rsid w:val="43BC21DE"/>
    <w:rsid w:val="43CA157C"/>
    <w:rsid w:val="43CB4345"/>
    <w:rsid w:val="43EC0539"/>
    <w:rsid w:val="442A5561"/>
    <w:rsid w:val="449278FD"/>
    <w:rsid w:val="44A32293"/>
    <w:rsid w:val="44AA3B64"/>
    <w:rsid w:val="44BA4460"/>
    <w:rsid w:val="44C257D5"/>
    <w:rsid w:val="452F5D8A"/>
    <w:rsid w:val="45603F46"/>
    <w:rsid w:val="4575131D"/>
    <w:rsid w:val="45FC6871"/>
    <w:rsid w:val="461754A1"/>
    <w:rsid w:val="462C4703"/>
    <w:rsid w:val="462E4873"/>
    <w:rsid w:val="464253F9"/>
    <w:rsid w:val="465A6A75"/>
    <w:rsid w:val="46786335"/>
    <w:rsid w:val="46936CEE"/>
    <w:rsid w:val="46C816AD"/>
    <w:rsid w:val="46D23381"/>
    <w:rsid w:val="4739279E"/>
    <w:rsid w:val="478163F5"/>
    <w:rsid w:val="478D7F14"/>
    <w:rsid w:val="478F0B12"/>
    <w:rsid w:val="4797469E"/>
    <w:rsid w:val="47A43097"/>
    <w:rsid w:val="47C05087"/>
    <w:rsid w:val="47DE6C76"/>
    <w:rsid w:val="483262D3"/>
    <w:rsid w:val="483845B5"/>
    <w:rsid w:val="485E76F8"/>
    <w:rsid w:val="486845B6"/>
    <w:rsid w:val="492613C6"/>
    <w:rsid w:val="496D6208"/>
    <w:rsid w:val="499A60EA"/>
    <w:rsid w:val="49A56155"/>
    <w:rsid w:val="49B208EF"/>
    <w:rsid w:val="49B429F0"/>
    <w:rsid w:val="49BF4FB3"/>
    <w:rsid w:val="49D5385D"/>
    <w:rsid w:val="49DE5649"/>
    <w:rsid w:val="4A0369FC"/>
    <w:rsid w:val="4A3416AD"/>
    <w:rsid w:val="4B1F7CF7"/>
    <w:rsid w:val="4B4F4A12"/>
    <w:rsid w:val="4B7734E1"/>
    <w:rsid w:val="4B82525D"/>
    <w:rsid w:val="4BC0573E"/>
    <w:rsid w:val="4BEA651C"/>
    <w:rsid w:val="4BF43EA0"/>
    <w:rsid w:val="4C4620D2"/>
    <w:rsid w:val="4C50130F"/>
    <w:rsid w:val="4C56649F"/>
    <w:rsid w:val="4C5B5467"/>
    <w:rsid w:val="4CB678D6"/>
    <w:rsid w:val="4CC44EDD"/>
    <w:rsid w:val="4CFD6310"/>
    <w:rsid w:val="4D0A3E82"/>
    <w:rsid w:val="4D78494D"/>
    <w:rsid w:val="4DBC4686"/>
    <w:rsid w:val="4DD21759"/>
    <w:rsid w:val="4DDF72C6"/>
    <w:rsid w:val="4E3D61D4"/>
    <w:rsid w:val="4E431E74"/>
    <w:rsid w:val="4E455C96"/>
    <w:rsid w:val="4E476FE8"/>
    <w:rsid w:val="4E713376"/>
    <w:rsid w:val="4E7B3B9E"/>
    <w:rsid w:val="4E872190"/>
    <w:rsid w:val="4E940ED4"/>
    <w:rsid w:val="4ED43831"/>
    <w:rsid w:val="4EEE25C2"/>
    <w:rsid w:val="4F0B04A7"/>
    <w:rsid w:val="4F0C7024"/>
    <w:rsid w:val="4F190F29"/>
    <w:rsid w:val="4F4352AC"/>
    <w:rsid w:val="4F4526FF"/>
    <w:rsid w:val="4F4C72E9"/>
    <w:rsid w:val="4FF56E87"/>
    <w:rsid w:val="4FFB77B4"/>
    <w:rsid w:val="4FFE6E4F"/>
    <w:rsid w:val="501D1643"/>
    <w:rsid w:val="502A587C"/>
    <w:rsid w:val="504A042C"/>
    <w:rsid w:val="505A2863"/>
    <w:rsid w:val="50610385"/>
    <w:rsid w:val="5068796B"/>
    <w:rsid w:val="507D3D9C"/>
    <w:rsid w:val="5100567B"/>
    <w:rsid w:val="512C5624"/>
    <w:rsid w:val="51AC22C1"/>
    <w:rsid w:val="51AE61D6"/>
    <w:rsid w:val="52007E58"/>
    <w:rsid w:val="524122B3"/>
    <w:rsid w:val="525C548E"/>
    <w:rsid w:val="528364E8"/>
    <w:rsid w:val="52A26638"/>
    <w:rsid w:val="52B458D1"/>
    <w:rsid w:val="52C54EDB"/>
    <w:rsid w:val="5349426B"/>
    <w:rsid w:val="535B626B"/>
    <w:rsid w:val="5360631A"/>
    <w:rsid w:val="538F68B9"/>
    <w:rsid w:val="53A95E5E"/>
    <w:rsid w:val="53DE6D19"/>
    <w:rsid w:val="53F528DA"/>
    <w:rsid w:val="545327A9"/>
    <w:rsid w:val="546E7D01"/>
    <w:rsid w:val="54794D9A"/>
    <w:rsid w:val="54990059"/>
    <w:rsid w:val="54A0249F"/>
    <w:rsid w:val="554227A1"/>
    <w:rsid w:val="556C3183"/>
    <w:rsid w:val="55CF7C27"/>
    <w:rsid w:val="55FA7A9F"/>
    <w:rsid w:val="55FC733F"/>
    <w:rsid w:val="562B400A"/>
    <w:rsid w:val="56301712"/>
    <w:rsid w:val="564B0E9B"/>
    <w:rsid w:val="567333AD"/>
    <w:rsid w:val="56BB249B"/>
    <w:rsid w:val="57134EFE"/>
    <w:rsid w:val="573B0ED0"/>
    <w:rsid w:val="573F3D9C"/>
    <w:rsid w:val="57583514"/>
    <w:rsid w:val="57696212"/>
    <w:rsid w:val="57783820"/>
    <w:rsid w:val="578A30A4"/>
    <w:rsid w:val="57AB0761"/>
    <w:rsid w:val="57E52089"/>
    <w:rsid w:val="58263AA7"/>
    <w:rsid w:val="583F3E8F"/>
    <w:rsid w:val="5850532E"/>
    <w:rsid w:val="58670CF0"/>
    <w:rsid w:val="58672599"/>
    <w:rsid w:val="58694A68"/>
    <w:rsid w:val="5878114F"/>
    <w:rsid w:val="58B35EB8"/>
    <w:rsid w:val="58CD464D"/>
    <w:rsid w:val="58DD174B"/>
    <w:rsid w:val="58EA047D"/>
    <w:rsid w:val="591A5EE3"/>
    <w:rsid w:val="5968741C"/>
    <w:rsid w:val="59C356A6"/>
    <w:rsid w:val="59E720E8"/>
    <w:rsid w:val="5A187ECE"/>
    <w:rsid w:val="5A395DA5"/>
    <w:rsid w:val="5A403EEE"/>
    <w:rsid w:val="5A7C59AD"/>
    <w:rsid w:val="5A8F56E3"/>
    <w:rsid w:val="5AA77AC9"/>
    <w:rsid w:val="5AC92D10"/>
    <w:rsid w:val="5AE960ED"/>
    <w:rsid w:val="5AEA74C4"/>
    <w:rsid w:val="5B0B62AA"/>
    <w:rsid w:val="5B173696"/>
    <w:rsid w:val="5B274961"/>
    <w:rsid w:val="5B4037C7"/>
    <w:rsid w:val="5B6555C2"/>
    <w:rsid w:val="5B75506C"/>
    <w:rsid w:val="5B76673E"/>
    <w:rsid w:val="5B7B562E"/>
    <w:rsid w:val="5BC05A6F"/>
    <w:rsid w:val="5BE42493"/>
    <w:rsid w:val="5BE66BC4"/>
    <w:rsid w:val="5C4D4511"/>
    <w:rsid w:val="5C5A3A14"/>
    <w:rsid w:val="5C9757F6"/>
    <w:rsid w:val="5C9B567B"/>
    <w:rsid w:val="5CF039A9"/>
    <w:rsid w:val="5CF60D2A"/>
    <w:rsid w:val="5D135E9A"/>
    <w:rsid w:val="5D2A46EA"/>
    <w:rsid w:val="5D4E1B6F"/>
    <w:rsid w:val="5DB26D32"/>
    <w:rsid w:val="5DCD5A99"/>
    <w:rsid w:val="5DD45079"/>
    <w:rsid w:val="5DE67F3E"/>
    <w:rsid w:val="5E164E14"/>
    <w:rsid w:val="5E5B612A"/>
    <w:rsid w:val="5EB81ADB"/>
    <w:rsid w:val="5F0401A3"/>
    <w:rsid w:val="5F46765E"/>
    <w:rsid w:val="5F4A6064"/>
    <w:rsid w:val="5F532459"/>
    <w:rsid w:val="5F5846A8"/>
    <w:rsid w:val="5FAB3BB8"/>
    <w:rsid w:val="5FAF541F"/>
    <w:rsid w:val="5FB24F46"/>
    <w:rsid w:val="5FDB6FD1"/>
    <w:rsid w:val="5FEA1B1C"/>
    <w:rsid w:val="601E39B6"/>
    <w:rsid w:val="6042451C"/>
    <w:rsid w:val="60695F4D"/>
    <w:rsid w:val="60717E4F"/>
    <w:rsid w:val="60763F7C"/>
    <w:rsid w:val="609711B9"/>
    <w:rsid w:val="60A80FF4"/>
    <w:rsid w:val="60D158A0"/>
    <w:rsid w:val="60E10E67"/>
    <w:rsid w:val="61491680"/>
    <w:rsid w:val="614A1088"/>
    <w:rsid w:val="61A15272"/>
    <w:rsid w:val="61A935C5"/>
    <w:rsid w:val="61AE4941"/>
    <w:rsid w:val="61C6417A"/>
    <w:rsid w:val="61E433B1"/>
    <w:rsid w:val="621C654C"/>
    <w:rsid w:val="6243457B"/>
    <w:rsid w:val="6265548D"/>
    <w:rsid w:val="626726FE"/>
    <w:rsid w:val="62EE45F6"/>
    <w:rsid w:val="62EF1C6C"/>
    <w:rsid w:val="631B52B1"/>
    <w:rsid w:val="63452CAD"/>
    <w:rsid w:val="634A4B12"/>
    <w:rsid w:val="6383425F"/>
    <w:rsid w:val="638650D4"/>
    <w:rsid w:val="63BA6C0F"/>
    <w:rsid w:val="63CD2107"/>
    <w:rsid w:val="63CD32CA"/>
    <w:rsid w:val="63CD457E"/>
    <w:rsid w:val="63E31CE6"/>
    <w:rsid w:val="63E37DC4"/>
    <w:rsid w:val="64565E3E"/>
    <w:rsid w:val="64AB00C0"/>
    <w:rsid w:val="64D15E6F"/>
    <w:rsid w:val="64D64496"/>
    <w:rsid w:val="64DD0CB7"/>
    <w:rsid w:val="653F56B9"/>
    <w:rsid w:val="65652F26"/>
    <w:rsid w:val="659438DB"/>
    <w:rsid w:val="65DF4740"/>
    <w:rsid w:val="663C3280"/>
    <w:rsid w:val="66956A24"/>
    <w:rsid w:val="66A75FC4"/>
    <w:rsid w:val="66CF3BE6"/>
    <w:rsid w:val="66D21289"/>
    <w:rsid w:val="66DA0C63"/>
    <w:rsid w:val="66FB37CF"/>
    <w:rsid w:val="670D33ED"/>
    <w:rsid w:val="672068AF"/>
    <w:rsid w:val="67312BBD"/>
    <w:rsid w:val="67585587"/>
    <w:rsid w:val="676B5837"/>
    <w:rsid w:val="67DC4EF5"/>
    <w:rsid w:val="682122BF"/>
    <w:rsid w:val="68257D4D"/>
    <w:rsid w:val="68417D30"/>
    <w:rsid w:val="684921C0"/>
    <w:rsid w:val="6899164B"/>
    <w:rsid w:val="68CA3C1C"/>
    <w:rsid w:val="68FF0CAD"/>
    <w:rsid w:val="69150906"/>
    <w:rsid w:val="6955518E"/>
    <w:rsid w:val="69BE5A22"/>
    <w:rsid w:val="69D770B2"/>
    <w:rsid w:val="69F65A5F"/>
    <w:rsid w:val="69FE624D"/>
    <w:rsid w:val="6A2644B3"/>
    <w:rsid w:val="6A7A6FA8"/>
    <w:rsid w:val="6A7B474F"/>
    <w:rsid w:val="6AC454C9"/>
    <w:rsid w:val="6ADF3916"/>
    <w:rsid w:val="6AFB3C45"/>
    <w:rsid w:val="6B3166FC"/>
    <w:rsid w:val="6B401A80"/>
    <w:rsid w:val="6B4E468F"/>
    <w:rsid w:val="6B846979"/>
    <w:rsid w:val="6B967876"/>
    <w:rsid w:val="6BCA39D3"/>
    <w:rsid w:val="6BFF1513"/>
    <w:rsid w:val="6C1D4799"/>
    <w:rsid w:val="6C587AD2"/>
    <w:rsid w:val="6CFF014A"/>
    <w:rsid w:val="6D756624"/>
    <w:rsid w:val="6D78070E"/>
    <w:rsid w:val="6D7E5FDA"/>
    <w:rsid w:val="6D8307B0"/>
    <w:rsid w:val="6D9A2F69"/>
    <w:rsid w:val="6D9C1B91"/>
    <w:rsid w:val="6DB80C69"/>
    <w:rsid w:val="6DCD5713"/>
    <w:rsid w:val="6DE74955"/>
    <w:rsid w:val="6E0950DD"/>
    <w:rsid w:val="6EBB41FF"/>
    <w:rsid w:val="6EE35100"/>
    <w:rsid w:val="6F311DB8"/>
    <w:rsid w:val="6F5E4F58"/>
    <w:rsid w:val="6FA32234"/>
    <w:rsid w:val="6FCE4FD5"/>
    <w:rsid w:val="6FD942C2"/>
    <w:rsid w:val="6FE020E7"/>
    <w:rsid w:val="6FED3989"/>
    <w:rsid w:val="700C06A3"/>
    <w:rsid w:val="70213D0F"/>
    <w:rsid w:val="70CE46F6"/>
    <w:rsid w:val="70D5663B"/>
    <w:rsid w:val="70DA254F"/>
    <w:rsid w:val="70FA453C"/>
    <w:rsid w:val="712B7BE8"/>
    <w:rsid w:val="71A46BE7"/>
    <w:rsid w:val="71C70D25"/>
    <w:rsid w:val="72A77B27"/>
    <w:rsid w:val="72BF6A6B"/>
    <w:rsid w:val="73004332"/>
    <w:rsid w:val="73354627"/>
    <w:rsid w:val="73566626"/>
    <w:rsid w:val="73663920"/>
    <w:rsid w:val="739F2C1C"/>
    <w:rsid w:val="73D31E97"/>
    <w:rsid w:val="73DD4759"/>
    <w:rsid w:val="740C0B71"/>
    <w:rsid w:val="74155497"/>
    <w:rsid w:val="74320995"/>
    <w:rsid w:val="74F03DA5"/>
    <w:rsid w:val="74FF152E"/>
    <w:rsid w:val="75164A21"/>
    <w:rsid w:val="759E3B4B"/>
    <w:rsid w:val="75AB4D25"/>
    <w:rsid w:val="75AE7B06"/>
    <w:rsid w:val="75D02172"/>
    <w:rsid w:val="75D457C1"/>
    <w:rsid w:val="76206C56"/>
    <w:rsid w:val="766A71D7"/>
    <w:rsid w:val="767336E4"/>
    <w:rsid w:val="76765688"/>
    <w:rsid w:val="769647AB"/>
    <w:rsid w:val="76992ABB"/>
    <w:rsid w:val="76B6461C"/>
    <w:rsid w:val="76CF2F9B"/>
    <w:rsid w:val="76EE554B"/>
    <w:rsid w:val="76F941F5"/>
    <w:rsid w:val="771A5453"/>
    <w:rsid w:val="772B5915"/>
    <w:rsid w:val="7765149C"/>
    <w:rsid w:val="77B67675"/>
    <w:rsid w:val="77C97AA0"/>
    <w:rsid w:val="77CA6D43"/>
    <w:rsid w:val="77CF0667"/>
    <w:rsid w:val="77D048EE"/>
    <w:rsid w:val="78251ADA"/>
    <w:rsid w:val="78386C39"/>
    <w:rsid w:val="784D4488"/>
    <w:rsid w:val="785F128C"/>
    <w:rsid w:val="78680440"/>
    <w:rsid w:val="788B1B55"/>
    <w:rsid w:val="78A4385C"/>
    <w:rsid w:val="78C9311B"/>
    <w:rsid w:val="78CA10FB"/>
    <w:rsid w:val="791735B1"/>
    <w:rsid w:val="79D375E5"/>
    <w:rsid w:val="79E85CDC"/>
    <w:rsid w:val="79EFCC36"/>
    <w:rsid w:val="79FD67C2"/>
    <w:rsid w:val="7A4917A3"/>
    <w:rsid w:val="7A5F258A"/>
    <w:rsid w:val="7A66105B"/>
    <w:rsid w:val="7AA02113"/>
    <w:rsid w:val="7AC11DB4"/>
    <w:rsid w:val="7AC87DC0"/>
    <w:rsid w:val="7AE77D42"/>
    <w:rsid w:val="7AEC7106"/>
    <w:rsid w:val="7B100C91"/>
    <w:rsid w:val="7B310FBD"/>
    <w:rsid w:val="7B3F64A4"/>
    <w:rsid w:val="7B604E88"/>
    <w:rsid w:val="7B7515D3"/>
    <w:rsid w:val="7B7D06A6"/>
    <w:rsid w:val="7BA00179"/>
    <w:rsid w:val="7BAF486E"/>
    <w:rsid w:val="7BE3611F"/>
    <w:rsid w:val="7BF10231"/>
    <w:rsid w:val="7BF332D2"/>
    <w:rsid w:val="7C354ADD"/>
    <w:rsid w:val="7C363EE3"/>
    <w:rsid w:val="7C5B245A"/>
    <w:rsid w:val="7C5E424F"/>
    <w:rsid w:val="7C6B49A3"/>
    <w:rsid w:val="7CB912D6"/>
    <w:rsid w:val="7D04109E"/>
    <w:rsid w:val="7D2C12E2"/>
    <w:rsid w:val="7D310050"/>
    <w:rsid w:val="7D4A280A"/>
    <w:rsid w:val="7D862189"/>
    <w:rsid w:val="7D8C4BD1"/>
    <w:rsid w:val="7D9F4FD9"/>
    <w:rsid w:val="7DD31FFC"/>
    <w:rsid w:val="7DE759B0"/>
    <w:rsid w:val="7DFE5266"/>
    <w:rsid w:val="7DFF5AA7"/>
    <w:rsid w:val="7E014D71"/>
    <w:rsid w:val="7E246903"/>
    <w:rsid w:val="7E45714A"/>
    <w:rsid w:val="7E5434BA"/>
    <w:rsid w:val="7E593E4E"/>
    <w:rsid w:val="7E65736C"/>
    <w:rsid w:val="7E6D6C90"/>
    <w:rsid w:val="7E9F29B6"/>
    <w:rsid w:val="7EB01103"/>
    <w:rsid w:val="7EC42C09"/>
    <w:rsid w:val="7EDE78AC"/>
    <w:rsid w:val="7EE36A72"/>
    <w:rsid w:val="7F365FF7"/>
    <w:rsid w:val="7F372A6A"/>
    <w:rsid w:val="7F400223"/>
    <w:rsid w:val="7F782415"/>
    <w:rsid w:val="7F951C5D"/>
    <w:rsid w:val="7FBC19D7"/>
    <w:rsid w:val="7FD742F6"/>
    <w:rsid w:val="7FDA4CFE"/>
    <w:rsid w:val="7FE36EAC"/>
    <w:rsid w:val="7FE45D54"/>
    <w:rsid w:val="8BFA3312"/>
    <w:rsid w:val="B7FB6A7B"/>
    <w:rsid w:val="BDAB4423"/>
    <w:rsid w:val="BFFD8EA4"/>
    <w:rsid w:val="D58FBBF9"/>
    <w:rsid w:val="D95B110A"/>
    <w:rsid w:val="DE3FA280"/>
    <w:rsid w:val="DFDF4FED"/>
    <w:rsid w:val="DFFD5333"/>
    <w:rsid w:val="EEF391B8"/>
    <w:rsid w:val="F4EFE3E8"/>
    <w:rsid w:val="FBFFA5D6"/>
    <w:rsid w:val="FDFDDFB1"/>
    <w:rsid w:val="FFFF1541"/>
    <w:rsid w:val="FFFF15C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40" w:lineRule="exact"/>
      <w:ind w:firstLine="880" w:firstLineChars="200"/>
      <w:jc w:val="both"/>
    </w:pPr>
    <w:rPr>
      <w:rFonts w:ascii="Times New Roman" w:hAnsi="Times New Roman" w:eastAsia="方正仿宋_GBK" w:cstheme="minorBidi"/>
      <w:kern w:val="2"/>
      <w:sz w:val="24"/>
      <w:szCs w:val="24"/>
      <w:lang w:val="en-US" w:eastAsia="zh-CN" w:bidi="ar-SA"/>
    </w:rPr>
  </w:style>
  <w:style w:type="paragraph" w:styleId="2">
    <w:name w:val="heading 1"/>
    <w:basedOn w:val="1"/>
    <w:next w:val="1"/>
    <w:link w:val="26"/>
    <w:qFormat/>
    <w:uiPriority w:val="0"/>
    <w:pPr>
      <w:keepNext/>
      <w:keepLines/>
      <w:spacing w:beforeLines="0" w:beforeAutospacing="0" w:afterLines="0" w:afterAutospacing="0" w:line="800" w:lineRule="exact"/>
      <w:ind w:firstLine="0" w:firstLineChars="0"/>
      <w:jc w:val="center"/>
      <w:outlineLvl w:val="0"/>
    </w:pPr>
    <w:rPr>
      <w:rFonts w:eastAsia="方正小标宋_GBK"/>
      <w:kern w:val="44"/>
      <w:sz w:val="44"/>
    </w:rPr>
  </w:style>
  <w:style w:type="paragraph" w:styleId="3">
    <w:name w:val="heading 2"/>
    <w:basedOn w:val="1"/>
    <w:next w:val="1"/>
    <w:link w:val="27"/>
    <w:unhideWhenUsed/>
    <w:qFormat/>
    <w:uiPriority w:val="0"/>
    <w:pPr>
      <w:keepNext/>
      <w:keepLines/>
      <w:spacing w:beforeLines="0" w:beforeAutospacing="0" w:after="100" w:afterLines="100" w:afterAutospacing="0" w:line="580" w:lineRule="exact"/>
      <w:ind w:firstLine="0" w:firstLineChars="0"/>
      <w:jc w:val="center"/>
      <w:outlineLvl w:val="1"/>
    </w:pPr>
    <w:rPr>
      <w:rFonts w:eastAsia="方正黑体_GBK"/>
      <w:sz w:val="36"/>
    </w:rPr>
  </w:style>
  <w:style w:type="paragraph" w:styleId="4">
    <w:name w:val="heading 3"/>
    <w:basedOn w:val="1"/>
    <w:next w:val="1"/>
    <w:unhideWhenUsed/>
    <w:qFormat/>
    <w:uiPriority w:val="0"/>
    <w:pPr>
      <w:keepNext/>
      <w:keepLines/>
      <w:spacing w:beforeLines="0" w:beforeAutospacing="0" w:afterLines="0" w:afterAutospacing="0" w:line="500" w:lineRule="exact"/>
      <w:outlineLvl w:val="2"/>
    </w:pPr>
    <w:rPr>
      <w:rFonts w:eastAsia="方正黑体_GBK"/>
    </w:rPr>
  </w:style>
  <w:style w:type="paragraph" w:styleId="5">
    <w:name w:val="heading 4"/>
    <w:basedOn w:val="1"/>
    <w:next w:val="1"/>
    <w:unhideWhenUsed/>
    <w:qFormat/>
    <w:uiPriority w:val="0"/>
    <w:pPr>
      <w:keepNext/>
      <w:keepLines/>
      <w:spacing w:beforeLines="0" w:beforeAutospacing="0" w:afterLines="0" w:afterAutospacing="0" w:line="500" w:lineRule="exact"/>
      <w:outlineLvl w:val="3"/>
    </w:pPr>
    <w:rPr>
      <w:rFonts w:eastAsia="方正楷体_GBK"/>
    </w:rPr>
  </w:style>
  <w:style w:type="character" w:default="1" w:styleId="20">
    <w:name w:val="Default Paragraph Font"/>
    <w:semiHidden/>
    <w:qFormat/>
    <w:uiPriority w:val="0"/>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6">
    <w:name w:val="Normal Indent"/>
    <w:basedOn w:val="1"/>
    <w:next w:val="1"/>
    <w:unhideWhenUsed/>
    <w:qFormat/>
    <w:uiPriority w:val="99"/>
    <w:pPr>
      <w:spacing w:line="312" w:lineRule="atLeast"/>
      <w:ind w:firstLine="420"/>
    </w:pPr>
    <w:rPr>
      <w:rFonts w:ascii="Calibri" w:hAnsi="Calibri"/>
    </w:rPr>
  </w:style>
  <w:style w:type="paragraph" w:styleId="7">
    <w:name w:val="Document Map"/>
    <w:basedOn w:val="1"/>
    <w:qFormat/>
    <w:uiPriority w:val="0"/>
    <w:pPr>
      <w:shd w:val="clear" w:color="auto" w:fill="000080"/>
    </w:pPr>
  </w:style>
  <w:style w:type="paragraph" w:styleId="8">
    <w:name w:val="annotation text"/>
    <w:basedOn w:val="1"/>
    <w:qFormat/>
    <w:uiPriority w:val="0"/>
    <w:pPr>
      <w:jc w:val="left"/>
    </w:pPr>
  </w:style>
  <w:style w:type="paragraph" w:styleId="9">
    <w:name w:val="Body Text Indent"/>
    <w:basedOn w:val="1"/>
    <w:qFormat/>
    <w:uiPriority w:val="0"/>
    <w:pPr>
      <w:tabs>
        <w:tab w:val="left" w:pos="0"/>
      </w:tabs>
      <w:ind w:firstLine="420"/>
      <w:jc w:val="both"/>
    </w:pPr>
    <w:rPr>
      <w:rFonts w:hAnsi="Calibri" w:eastAsia="宋体" w:cs="Times New Roman"/>
      <w:kern w:val="2"/>
      <w:sz w:val="21"/>
    </w:rPr>
  </w:style>
  <w:style w:type="paragraph" w:styleId="10">
    <w:name w:val="toc 3"/>
    <w:basedOn w:val="1"/>
    <w:next w:val="1"/>
    <w:qFormat/>
    <w:uiPriority w:val="0"/>
    <w:pPr>
      <w:ind w:left="840" w:leftChars="400"/>
    </w:pPr>
  </w:style>
  <w:style w:type="paragraph" w:styleId="11">
    <w:name w:val="Plain Text"/>
    <w:basedOn w:val="1"/>
    <w:next w:val="1"/>
    <w:qFormat/>
    <w:uiPriority w:val="0"/>
    <w:rPr>
      <w:rFonts w:ascii="宋体" w:hAnsi="Courier New"/>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toc 1"/>
    <w:basedOn w:val="1"/>
    <w:next w:val="1"/>
    <w:qFormat/>
    <w:uiPriority w:val="0"/>
  </w:style>
  <w:style w:type="paragraph" w:styleId="15">
    <w:name w:val="toc 2"/>
    <w:basedOn w:val="1"/>
    <w:next w:val="1"/>
    <w:qFormat/>
    <w:uiPriority w:val="0"/>
    <w:pPr>
      <w:ind w:left="420" w:leftChars="200"/>
    </w:pPr>
  </w:style>
  <w:style w:type="paragraph" w:styleId="16">
    <w:name w:val="Title"/>
    <w:basedOn w:val="1"/>
    <w:next w:val="1"/>
    <w:link w:val="24"/>
    <w:qFormat/>
    <w:uiPriority w:val="0"/>
    <w:pPr>
      <w:spacing w:before="240" w:beforeLines="0" w:beforeAutospacing="0" w:after="60" w:afterLines="0" w:afterAutospacing="0"/>
      <w:jc w:val="center"/>
      <w:outlineLvl w:val="0"/>
    </w:pPr>
    <w:rPr>
      <w:rFonts w:ascii="Arial" w:hAnsi="Arial"/>
      <w:b/>
      <w:sz w:val="32"/>
    </w:rPr>
  </w:style>
  <w:style w:type="paragraph" w:styleId="17">
    <w:name w:val="Body Text First Indent 2"/>
    <w:basedOn w:val="9"/>
    <w:next w:val="6"/>
    <w:qFormat/>
    <w:uiPriority w:val="0"/>
    <w:pPr>
      <w:spacing w:after="120" w:line="520" w:lineRule="exact"/>
      <w:ind w:firstLine="210"/>
      <w:textAlignment w:val="baseline"/>
    </w:pPr>
    <w:rPr>
      <w:rFonts w:ascii="黑体" w:hAnsi="Arial" w:eastAsia="黑体" w:cs="Arial"/>
      <w:sz w:val="24"/>
      <w:szCs w:val="30"/>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rPr>
  </w:style>
  <w:style w:type="character" w:styleId="22">
    <w:name w:val="Hyperlink"/>
    <w:basedOn w:val="20"/>
    <w:qFormat/>
    <w:uiPriority w:val="0"/>
    <w:rPr>
      <w:color w:val="0000FF"/>
      <w:u w:val="single"/>
    </w:rPr>
  </w:style>
  <w:style w:type="character" w:styleId="23">
    <w:name w:val="annotation reference"/>
    <w:basedOn w:val="20"/>
    <w:qFormat/>
    <w:uiPriority w:val="0"/>
    <w:rPr>
      <w:sz w:val="16"/>
      <w:szCs w:val="16"/>
    </w:rPr>
  </w:style>
  <w:style w:type="character" w:customStyle="1" w:styleId="24">
    <w:name w:val="标题 Char"/>
    <w:link w:val="16"/>
    <w:qFormat/>
    <w:uiPriority w:val="10"/>
    <w:rPr>
      <w:rFonts w:ascii="Arial" w:hAnsi="Arial"/>
      <w:b/>
      <w:sz w:val="32"/>
    </w:rPr>
  </w:style>
  <w:style w:type="paragraph" w:styleId="25">
    <w:name w:val="List Paragraph"/>
    <w:basedOn w:val="1"/>
    <w:qFormat/>
    <w:uiPriority w:val="99"/>
    <w:pPr>
      <w:ind w:firstLine="420"/>
    </w:pPr>
  </w:style>
  <w:style w:type="character" w:customStyle="1" w:styleId="26">
    <w:name w:val="标题 1 Char"/>
    <w:link w:val="2"/>
    <w:qFormat/>
    <w:uiPriority w:val="9"/>
    <w:rPr>
      <w:rFonts w:eastAsia="方正小标宋_GBK"/>
      <w:kern w:val="44"/>
      <w:sz w:val="44"/>
    </w:rPr>
  </w:style>
  <w:style w:type="character" w:customStyle="1" w:styleId="27">
    <w:name w:val="标题 2 Char"/>
    <w:link w:val="3"/>
    <w:qFormat/>
    <w:uiPriority w:val="9"/>
    <w:rPr>
      <w:rFonts w:ascii="Times New Roman" w:hAnsi="Times New Roman" w:eastAsia="方正黑体_GBK"/>
      <w:sz w:val="36"/>
    </w:rPr>
  </w:style>
  <w:style w:type="character" w:customStyle="1" w:styleId="28">
    <w:name w:val="Subtle Emphasis"/>
    <w:qFormat/>
    <w:uiPriority w:val="19"/>
    <w:rPr>
      <w:rFonts w:eastAsia="宋体"/>
      <w:sz w:val="24"/>
    </w:rPr>
  </w:style>
  <w:style w:type="table" w:customStyle="1" w:styleId="29">
    <w:name w:val="Table Normal_0"/>
    <w:semiHidden/>
    <w:unhideWhenUsed/>
    <w:qFormat/>
    <w:uiPriority w:val="0"/>
    <w:tblPr>
      <w:tblCellMar>
        <w:top w:w="0" w:type="dxa"/>
        <w:left w:w="0" w:type="dxa"/>
        <w:bottom w:w="0" w:type="dxa"/>
        <w:right w:w="0" w:type="dxa"/>
      </w:tblCellMar>
    </w:tblPr>
  </w:style>
  <w:style w:type="paragraph" w:customStyle="1" w:styleId="30">
    <w:name w:val="Table Text"/>
    <w:basedOn w:val="1"/>
    <w:semiHidden/>
    <w:qFormat/>
    <w:uiPriority w:val="0"/>
    <w:rPr>
      <w:rFonts w:ascii="宋体" w:hAnsi="宋体" w:eastAsia="宋体" w:cs="宋体"/>
      <w:sz w:val="25"/>
      <w:szCs w:val="25"/>
      <w:lang w:val="en-US" w:eastAsia="en-US" w:bidi="ar-SA"/>
    </w:rPr>
  </w:style>
  <w:style w:type="character" w:customStyle="1" w:styleId="31">
    <w:name w:val="NormalCharacter"/>
    <w:qFormat/>
    <w:uiPriority w:val="0"/>
  </w:style>
  <w:style w:type="paragraph" w:customStyle="1" w:styleId="32">
    <w:name w:val="Table Paragraph"/>
    <w:basedOn w:val="1"/>
    <w:qFormat/>
    <w:uiPriority w:val="1"/>
    <w:pPr>
      <w:autoSpaceDE w:val="0"/>
      <w:autoSpaceDN w:val="0"/>
      <w:adjustRightInd w:val="0"/>
      <w:jc w:val="left"/>
    </w:pPr>
    <w:rPr>
      <w:rFonts w:ascii="宋体" w:cs="宋体"/>
      <w:kern w:val="0"/>
      <w:sz w:val="24"/>
    </w:rPr>
  </w:style>
  <w:style w:type="paragraph" w:customStyle="1" w:styleId="33">
    <w:name w:val="正文1"/>
    <w:qFormat/>
    <w:uiPriority w:val="0"/>
    <w:pPr>
      <w:widowControl w:val="0"/>
      <w:jc w:val="both"/>
    </w:pPr>
    <w:rPr>
      <w:rFonts w:ascii="Times New Roman" w:hAnsi="Times New Roman" w:eastAsia="宋体" w:cs="Times New Roman"/>
      <w:kern w:val="2"/>
      <w:sz w:val="18"/>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49</Pages>
  <Words>18282</Words>
  <Characters>19440</Characters>
  <Lines>31</Lines>
  <Paragraphs>8</Paragraphs>
  <TotalTime>37</TotalTime>
  <ScaleCrop>false</ScaleCrop>
  <LinksUpToDate>false</LinksUpToDate>
  <CharactersWithSpaces>20504</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2025-07-03T23:06:00Z</dcterms:created>
  <dc:creator>LY</dc:creator>
  <cp:lastModifiedBy>洪霞</cp:lastModifiedBy>
  <dcterms:modified xsi:type="dcterms:W3CDTF">2026-10-21T08:11:22Z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FF0823769A34192FD13ECE6A2D1AD3E7_43</vt:lpwstr>
  </property>
  <property fmtid="{D5CDD505-2E9C-101B-9397-08002B2CF9AE}" pid="3" name="KSOProductBuildVer">
    <vt:lpwstr>2052-12.1.0.28022</vt:lpwstr>
  </property>
  <property fmtid="{D5CDD505-2E9C-101B-9397-08002B2CF9AE}" pid="4" name="KSOTemplateDocerSaveRecord">
    <vt:lpwstr>eyJoZGlkIjoiYzA3ZGVkMTZlOWQ1YzhmZTZiODhlNTlhNGQxZTQ5NDYiLCJ1c2VySWQiOiIxODg3OTQwODc5In0=</vt:lpwstr>
  </property>
</Properties>
</file>