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2AC46">
      <w:pPr>
        <w:pStyle w:val="12"/>
        <w:spacing w:line="360" w:lineRule="auto"/>
        <w:jc w:val="center"/>
        <w:rPr>
          <w:rFonts w:ascii="Times New Roman" w:hAnsi="Times New Roman" w:eastAsia="方正小标宋_GBK"/>
          <w:sz w:val="44"/>
          <w:szCs w:val="44"/>
        </w:rPr>
      </w:pPr>
    </w:p>
    <w:p w14:paraId="55B2AC47">
      <w:pPr>
        <w:pStyle w:val="12"/>
        <w:spacing w:line="620" w:lineRule="exact"/>
        <w:jc w:val="center"/>
        <w:rPr>
          <w:rFonts w:ascii="Times New Roman" w:hAnsi="Times New Roman" w:eastAsia="方正小标宋_GBK"/>
        </w:rPr>
      </w:pPr>
      <w:r>
        <w:rPr>
          <w:rFonts w:hint="eastAsia" w:ascii="Times New Roman" w:hAnsi="Times New Roman" w:eastAsia="方正小标宋_GBK"/>
          <w:sz w:val="44"/>
          <w:szCs w:val="44"/>
        </w:rPr>
        <w:t>红河文山输气管道流量计</w:t>
      </w:r>
      <w:r>
        <w:rPr>
          <w:rFonts w:ascii="Times New Roman" w:hAnsi="Times New Roman" w:eastAsia="方正小标宋_GBK"/>
          <w:sz w:val="44"/>
          <w:szCs w:val="44"/>
        </w:rPr>
        <w:t>采购</w:t>
      </w:r>
    </w:p>
    <w:p w14:paraId="55B2AC48">
      <w:pPr>
        <w:pStyle w:val="12"/>
        <w:rPr>
          <w:rFonts w:ascii="Times New Roman" w:hAnsi="Times New Roman"/>
        </w:rPr>
      </w:pPr>
    </w:p>
    <w:p w14:paraId="55B2AC49">
      <w:pPr>
        <w:pStyle w:val="12"/>
        <w:rPr>
          <w:rFonts w:ascii="Times New Roman" w:hAnsi="Times New Roman"/>
        </w:rPr>
      </w:pPr>
    </w:p>
    <w:p w14:paraId="55B2AC4A"/>
    <w:p w14:paraId="55B2AC4B"/>
    <w:p w14:paraId="55B2AC4C"/>
    <w:p w14:paraId="55B2AC4D">
      <w:pPr>
        <w:pStyle w:val="12"/>
        <w:spacing w:line="360" w:lineRule="auto"/>
        <w:jc w:val="center"/>
        <w:rPr>
          <w:rFonts w:ascii="Times New Roman" w:hAnsi="Times New Roman"/>
          <w:b/>
          <w:bCs/>
          <w:sz w:val="72"/>
          <w:szCs w:val="72"/>
        </w:rPr>
      </w:pPr>
      <w:r>
        <w:rPr>
          <w:rFonts w:ascii="Times New Roman" w:hAnsi="Times New Roman"/>
          <w:b/>
          <w:bCs/>
          <w:sz w:val="72"/>
          <w:szCs w:val="72"/>
        </w:rPr>
        <w:t>竞争性谈判文件</w:t>
      </w:r>
    </w:p>
    <w:p w14:paraId="55B2AC4E">
      <w:pPr>
        <w:pStyle w:val="12"/>
        <w:spacing w:line="360" w:lineRule="auto"/>
        <w:rPr>
          <w:rFonts w:ascii="Times New Roman" w:hAnsi="Times New Roman"/>
        </w:rPr>
      </w:pPr>
    </w:p>
    <w:p w14:paraId="55B2AC4F">
      <w:pPr>
        <w:pStyle w:val="12"/>
        <w:spacing w:line="360" w:lineRule="auto"/>
        <w:ind w:firstLine="2695" w:firstLineChars="895"/>
        <w:rPr>
          <w:rFonts w:ascii="Times New Roman" w:hAnsi="Times New Roman"/>
          <w:b/>
          <w:bCs/>
          <w:sz w:val="30"/>
          <w:szCs w:val="30"/>
          <w:u w:val="single"/>
        </w:rPr>
      </w:pPr>
      <w:r>
        <w:rPr>
          <w:rFonts w:ascii="Times New Roman" w:hAnsi="Times New Roman"/>
          <w:b/>
          <w:bCs/>
          <w:sz w:val="30"/>
          <w:szCs w:val="30"/>
        </w:rPr>
        <w:t>项目编号：</w:t>
      </w:r>
      <w:r>
        <w:rPr>
          <w:rFonts w:hint="eastAsia" w:ascii="Times New Roman" w:hAnsi="Times New Roman"/>
          <w:b/>
          <w:bCs/>
          <w:sz w:val="30"/>
          <w:szCs w:val="30"/>
        </w:rPr>
        <w:t>D53A00926001350</w:t>
      </w:r>
    </w:p>
    <w:p w14:paraId="55B2AC50"/>
    <w:p w14:paraId="55B2AC51">
      <w:pPr>
        <w:rPr>
          <w:sz w:val="30"/>
          <w:szCs w:val="30"/>
        </w:rPr>
      </w:pPr>
      <w:bookmarkStart w:id="410" w:name="_GoBack"/>
      <w:bookmarkEnd w:id="410"/>
    </w:p>
    <w:p w14:paraId="55B2AC52">
      <w:pPr>
        <w:rPr>
          <w:sz w:val="28"/>
          <w:szCs w:val="28"/>
        </w:rPr>
      </w:pPr>
    </w:p>
    <w:p w14:paraId="55B2AC53">
      <w:pPr>
        <w:pStyle w:val="12"/>
        <w:spacing w:line="360" w:lineRule="auto"/>
        <w:jc w:val="center"/>
        <w:rPr>
          <w:rFonts w:ascii="Times New Roman" w:hAnsi="Times New Roman"/>
          <w:b/>
          <w:bCs/>
          <w:sz w:val="30"/>
          <w:szCs w:val="30"/>
        </w:rPr>
      </w:pPr>
      <w:r>
        <w:rPr>
          <w:rFonts w:ascii="Times New Roman" w:hAnsi="Times New Roman"/>
          <w:b/>
          <w:bCs/>
          <w:sz w:val="30"/>
          <w:szCs w:val="30"/>
        </w:rPr>
        <w:t>采购人：云南</w:t>
      </w:r>
      <w:r>
        <w:rPr>
          <w:rFonts w:hint="eastAsia" w:ascii="Times New Roman" w:hAnsi="Times New Roman"/>
          <w:b/>
          <w:bCs/>
          <w:sz w:val="30"/>
          <w:szCs w:val="30"/>
        </w:rPr>
        <w:t>中慧能源</w:t>
      </w:r>
      <w:r>
        <w:rPr>
          <w:rFonts w:ascii="Times New Roman" w:hAnsi="Times New Roman"/>
          <w:b/>
          <w:bCs/>
          <w:sz w:val="30"/>
          <w:szCs w:val="30"/>
        </w:rPr>
        <w:t>有限公司</w:t>
      </w:r>
    </w:p>
    <w:p w14:paraId="55B2AC54">
      <w:pPr>
        <w:pStyle w:val="12"/>
        <w:spacing w:line="360" w:lineRule="auto"/>
        <w:jc w:val="center"/>
        <w:rPr>
          <w:rFonts w:ascii="Times New Roman" w:hAnsi="Times New Roman"/>
          <w:b/>
          <w:bCs/>
          <w:sz w:val="30"/>
          <w:szCs w:val="30"/>
        </w:rPr>
      </w:pPr>
    </w:p>
    <w:p w14:paraId="55B2AC55">
      <w:pPr>
        <w:pStyle w:val="12"/>
        <w:spacing w:line="360" w:lineRule="auto"/>
        <w:jc w:val="center"/>
        <w:rPr>
          <w:rFonts w:ascii="Times New Roman" w:hAnsi="Times New Roman"/>
          <w:b/>
          <w:bCs/>
          <w:sz w:val="30"/>
          <w:szCs w:val="30"/>
        </w:rPr>
      </w:pPr>
      <w:r>
        <w:rPr>
          <w:rFonts w:ascii="Times New Roman" w:hAnsi="Times New Roman"/>
          <w:b/>
          <w:bCs/>
          <w:sz w:val="30"/>
          <w:szCs w:val="30"/>
        </w:rPr>
        <w:t>采购代理机构：云南招标股份有限公司</w:t>
      </w:r>
    </w:p>
    <w:p w14:paraId="55B2AC56">
      <w:pPr>
        <w:pStyle w:val="12"/>
        <w:spacing w:line="360" w:lineRule="auto"/>
        <w:jc w:val="center"/>
        <w:rPr>
          <w:rFonts w:ascii="Times New Roman" w:hAnsi="Times New Roman"/>
          <w:b/>
          <w:bCs/>
          <w:sz w:val="30"/>
          <w:szCs w:val="30"/>
        </w:rPr>
      </w:pPr>
    </w:p>
    <w:p w14:paraId="55B2AC57">
      <w:pPr>
        <w:pStyle w:val="12"/>
        <w:spacing w:line="360" w:lineRule="auto"/>
        <w:jc w:val="center"/>
        <w:rPr>
          <w:rFonts w:ascii="Times New Roman" w:hAnsi="Times New Roman"/>
          <w:b/>
          <w:bCs/>
          <w:sz w:val="44"/>
          <w:szCs w:val="44"/>
        </w:rPr>
      </w:pPr>
      <w:r>
        <w:rPr>
          <w:rFonts w:hint="eastAsia" w:ascii="Times New Roman" w:hAnsi="Times New Roman"/>
          <w:b/>
          <w:bCs/>
          <w:sz w:val="30"/>
          <w:szCs w:val="30"/>
        </w:rPr>
        <w:t>二〇二六</w:t>
      </w:r>
      <w:r>
        <w:rPr>
          <w:rFonts w:ascii="Times New Roman" w:hAnsi="Times New Roman"/>
          <w:b/>
          <w:bCs/>
          <w:sz w:val="30"/>
          <w:szCs w:val="30"/>
        </w:rPr>
        <w:t>年</w:t>
      </w:r>
      <w:r>
        <w:rPr>
          <w:rFonts w:hint="eastAsia" w:ascii="Times New Roman" w:hAnsi="Times New Roman"/>
          <w:b/>
          <w:bCs/>
          <w:sz w:val="30"/>
          <w:szCs w:val="30"/>
        </w:rPr>
        <w:t>十</w:t>
      </w:r>
      <w:r>
        <w:rPr>
          <w:rFonts w:ascii="Times New Roman" w:hAnsi="Times New Roman"/>
          <w:b/>
          <w:bCs/>
          <w:sz w:val="30"/>
          <w:szCs w:val="30"/>
        </w:rPr>
        <w:t>月</w:t>
      </w:r>
      <w:r>
        <w:rPr>
          <w:rFonts w:ascii="Times New Roman" w:hAnsi="Times New Roman"/>
          <w:b/>
          <w:sz w:val="24"/>
        </w:rPr>
        <w:t xml:space="preserve"> </w:t>
      </w:r>
    </w:p>
    <w:p w14:paraId="55B2AC58">
      <w:pPr>
        <w:jc w:val="center"/>
        <w:rPr>
          <w:b/>
          <w:bCs/>
          <w:sz w:val="28"/>
          <w:szCs w:val="28"/>
        </w:rPr>
      </w:pPr>
      <w:r>
        <w:rPr>
          <w:b/>
          <w:bCs/>
          <w:sz w:val="28"/>
          <w:szCs w:val="28"/>
        </w:rPr>
        <w:br w:type="page"/>
      </w:r>
      <w:r>
        <w:rPr>
          <w:rFonts w:hint="eastAsia"/>
          <w:b/>
          <w:bCs/>
          <w:sz w:val="28"/>
          <w:szCs w:val="28"/>
        </w:rPr>
        <w:t>目录</w:t>
      </w:r>
    </w:p>
    <w:p w14:paraId="55B2AC59">
      <w:pPr>
        <w:pStyle w:val="15"/>
        <w:tabs>
          <w:tab w:val="right" w:leader="dot" w:pos="9003"/>
          <w:tab w:val="clear" w:pos="9628"/>
        </w:tabs>
        <w:rPr>
          <w:rFonts w:hAnsi="Times New Roman"/>
        </w:rPr>
      </w:pPr>
      <w:r>
        <w:rPr>
          <w:rFonts w:hAnsi="Times New Roman"/>
        </w:rPr>
        <w:fldChar w:fldCharType="begin"/>
      </w:r>
      <w:r>
        <w:rPr>
          <w:rFonts w:hAnsi="Times New Roman"/>
        </w:rPr>
        <w:instrText xml:space="preserve">TOC \o "1-1" \h \u </w:instrText>
      </w:r>
      <w:r>
        <w:rPr>
          <w:rFonts w:hAnsi="Times New Roman"/>
        </w:rPr>
        <w:fldChar w:fldCharType="separate"/>
      </w:r>
      <w:r>
        <w:fldChar w:fldCharType="begin"/>
      </w:r>
      <w:r>
        <w:instrText xml:space="preserve"> HYPERLINK \l "_Toc9927" </w:instrText>
      </w:r>
      <w:r>
        <w:fldChar w:fldCharType="separate"/>
      </w:r>
      <w:r>
        <w:rPr>
          <w:rFonts w:hAnsi="Times New Roman"/>
        </w:rPr>
        <w:t>第一章  竞争性谈判公告</w:t>
      </w:r>
      <w:r>
        <w:rPr>
          <w:rFonts w:hAnsi="Times New Roman"/>
        </w:rPr>
        <w:tab/>
      </w:r>
      <w:r>
        <w:rPr>
          <w:rFonts w:hAnsi="Times New Roman"/>
        </w:rPr>
        <w:fldChar w:fldCharType="begin"/>
      </w:r>
      <w:r>
        <w:rPr>
          <w:rFonts w:hAnsi="Times New Roman"/>
        </w:rPr>
        <w:instrText xml:space="preserve"> PAGEREF _Toc9927 \h </w:instrText>
      </w:r>
      <w:r>
        <w:rPr>
          <w:rFonts w:hAnsi="Times New Roman"/>
        </w:rPr>
        <w:fldChar w:fldCharType="separate"/>
      </w:r>
      <w:r>
        <w:rPr>
          <w:rFonts w:hAnsi="Times New Roman"/>
        </w:rPr>
        <w:t>3</w:t>
      </w:r>
      <w:r>
        <w:rPr>
          <w:rFonts w:hAnsi="Times New Roman"/>
        </w:rPr>
        <w:fldChar w:fldCharType="end"/>
      </w:r>
      <w:r>
        <w:rPr>
          <w:rFonts w:hAnsi="Times New Roman"/>
        </w:rPr>
        <w:fldChar w:fldCharType="end"/>
      </w:r>
    </w:p>
    <w:p w14:paraId="55B2AC5A">
      <w:pPr>
        <w:pStyle w:val="15"/>
        <w:tabs>
          <w:tab w:val="right" w:leader="dot" w:pos="9003"/>
          <w:tab w:val="clear" w:pos="9628"/>
        </w:tabs>
        <w:rPr>
          <w:rFonts w:hAnsi="Times New Roman"/>
        </w:rPr>
      </w:pPr>
      <w:r>
        <w:fldChar w:fldCharType="begin"/>
      </w:r>
      <w:r>
        <w:instrText xml:space="preserve"> HYPERLINK \l "_Toc3649" </w:instrText>
      </w:r>
      <w:r>
        <w:fldChar w:fldCharType="separate"/>
      </w:r>
      <w:r>
        <w:rPr>
          <w:rFonts w:hAnsi="Times New Roman"/>
        </w:rPr>
        <w:t>第二章  谈判申请人须知</w:t>
      </w:r>
      <w:r>
        <w:rPr>
          <w:rFonts w:hAnsi="Times New Roman"/>
        </w:rPr>
        <w:tab/>
      </w:r>
      <w:r>
        <w:rPr>
          <w:rFonts w:hAnsi="Times New Roman"/>
        </w:rPr>
        <w:fldChar w:fldCharType="begin"/>
      </w:r>
      <w:r>
        <w:rPr>
          <w:rFonts w:hAnsi="Times New Roman"/>
        </w:rPr>
        <w:instrText xml:space="preserve"> PAGEREF _Toc3649 \h </w:instrText>
      </w:r>
      <w:r>
        <w:rPr>
          <w:rFonts w:hAnsi="Times New Roman"/>
        </w:rPr>
        <w:fldChar w:fldCharType="separate"/>
      </w:r>
      <w:r>
        <w:rPr>
          <w:rFonts w:hAnsi="Times New Roman"/>
        </w:rPr>
        <w:t>7</w:t>
      </w:r>
      <w:r>
        <w:rPr>
          <w:rFonts w:hAnsi="Times New Roman"/>
        </w:rPr>
        <w:fldChar w:fldCharType="end"/>
      </w:r>
      <w:r>
        <w:rPr>
          <w:rFonts w:hAnsi="Times New Roman"/>
        </w:rPr>
        <w:fldChar w:fldCharType="end"/>
      </w:r>
    </w:p>
    <w:p w14:paraId="55B2AC5B">
      <w:pPr>
        <w:pStyle w:val="15"/>
        <w:tabs>
          <w:tab w:val="right" w:leader="dot" w:pos="9003"/>
          <w:tab w:val="clear" w:pos="9628"/>
        </w:tabs>
        <w:rPr>
          <w:rFonts w:hAnsi="Times New Roman"/>
        </w:rPr>
      </w:pPr>
      <w:r>
        <w:fldChar w:fldCharType="begin"/>
      </w:r>
      <w:r>
        <w:instrText xml:space="preserve"> HYPERLINK \l "_Toc4752" </w:instrText>
      </w:r>
      <w:r>
        <w:fldChar w:fldCharType="separate"/>
      </w:r>
      <w:r>
        <w:rPr>
          <w:rFonts w:hAnsi="Times New Roman"/>
        </w:rPr>
        <w:t>第三章  谈判程序和方法</w:t>
      </w:r>
      <w:r>
        <w:rPr>
          <w:rFonts w:hAnsi="Times New Roman"/>
        </w:rPr>
        <w:tab/>
      </w:r>
      <w:r>
        <w:rPr>
          <w:rFonts w:hAnsi="Times New Roman"/>
        </w:rPr>
        <w:fldChar w:fldCharType="begin"/>
      </w:r>
      <w:r>
        <w:rPr>
          <w:rFonts w:hAnsi="Times New Roman"/>
        </w:rPr>
        <w:instrText xml:space="preserve"> PAGEREF _Toc4752 \h </w:instrText>
      </w:r>
      <w:r>
        <w:rPr>
          <w:rFonts w:hAnsi="Times New Roman"/>
        </w:rPr>
        <w:fldChar w:fldCharType="separate"/>
      </w:r>
      <w:r>
        <w:rPr>
          <w:rFonts w:hAnsi="Times New Roman"/>
        </w:rPr>
        <w:t>14</w:t>
      </w:r>
      <w:r>
        <w:rPr>
          <w:rFonts w:hAnsi="Times New Roman"/>
        </w:rPr>
        <w:fldChar w:fldCharType="end"/>
      </w:r>
      <w:r>
        <w:rPr>
          <w:rFonts w:hAnsi="Times New Roman"/>
        </w:rPr>
        <w:fldChar w:fldCharType="end"/>
      </w:r>
    </w:p>
    <w:p w14:paraId="55B2AC5C">
      <w:pPr>
        <w:pStyle w:val="15"/>
        <w:tabs>
          <w:tab w:val="right" w:leader="dot" w:pos="9003"/>
          <w:tab w:val="clear" w:pos="9628"/>
        </w:tabs>
        <w:rPr>
          <w:rFonts w:hAnsi="Times New Roman"/>
        </w:rPr>
      </w:pPr>
      <w:r>
        <w:fldChar w:fldCharType="begin"/>
      </w:r>
      <w:r>
        <w:instrText xml:space="preserve"> HYPERLINK \l "_Toc26464" </w:instrText>
      </w:r>
      <w:r>
        <w:fldChar w:fldCharType="separate"/>
      </w:r>
      <w:r>
        <w:rPr>
          <w:rFonts w:hAnsi="Times New Roman"/>
        </w:rPr>
        <w:t>第四章  合同书样式及主要条款</w:t>
      </w:r>
      <w:r>
        <w:rPr>
          <w:rFonts w:hAnsi="Times New Roman"/>
        </w:rPr>
        <w:tab/>
      </w:r>
      <w:r>
        <w:rPr>
          <w:rFonts w:hAnsi="Times New Roman"/>
        </w:rPr>
        <w:fldChar w:fldCharType="begin"/>
      </w:r>
      <w:r>
        <w:rPr>
          <w:rFonts w:hAnsi="Times New Roman"/>
        </w:rPr>
        <w:instrText xml:space="preserve"> PAGEREF _Toc26464 \h </w:instrText>
      </w:r>
      <w:r>
        <w:rPr>
          <w:rFonts w:hAnsi="Times New Roman"/>
        </w:rPr>
        <w:fldChar w:fldCharType="separate"/>
      </w:r>
      <w:r>
        <w:rPr>
          <w:rFonts w:hAnsi="Times New Roman"/>
        </w:rPr>
        <w:t>18</w:t>
      </w:r>
      <w:r>
        <w:rPr>
          <w:rFonts w:hAnsi="Times New Roman"/>
        </w:rPr>
        <w:fldChar w:fldCharType="end"/>
      </w:r>
      <w:r>
        <w:rPr>
          <w:rFonts w:hAnsi="Times New Roman"/>
        </w:rPr>
        <w:fldChar w:fldCharType="end"/>
      </w:r>
    </w:p>
    <w:p w14:paraId="55B2AC5D">
      <w:pPr>
        <w:pStyle w:val="15"/>
        <w:tabs>
          <w:tab w:val="right" w:leader="dot" w:pos="9003"/>
          <w:tab w:val="clear" w:pos="9628"/>
        </w:tabs>
        <w:rPr>
          <w:rFonts w:hAnsi="Times New Roman"/>
        </w:rPr>
      </w:pPr>
      <w:r>
        <w:fldChar w:fldCharType="begin"/>
      </w:r>
      <w:r>
        <w:instrText xml:space="preserve"> HYPERLINK \l "_Toc19945" </w:instrText>
      </w:r>
      <w:r>
        <w:fldChar w:fldCharType="separate"/>
      </w:r>
      <w:r>
        <w:rPr>
          <w:rFonts w:hAnsi="Times New Roman"/>
        </w:rPr>
        <w:t>第五章  供货及技术要求</w:t>
      </w:r>
      <w:r>
        <w:rPr>
          <w:rFonts w:hAnsi="Times New Roman"/>
        </w:rPr>
        <w:tab/>
      </w:r>
      <w:r>
        <w:rPr>
          <w:rFonts w:hAnsi="Times New Roman"/>
        </w:rPr>
        <w:fldChar w:fldCharType="begin"/>
      </w:r>
      <w:r>
        <w:rPr>
          <w:rFonts w:hAnsi="Times New Roman"/>
        </w:rPr>
        <w:instrText xml:space="preserve"> PAGEREF _Toc19945 \h </w:instrText>
      </w:r>
      <w:r>
        <w:rPr>
          <w:rFonts w:hAnsi="Times New Roman"/>
        </w:rPr>
        <w:fldChar w:fldCharType="separate"/>
      </w:r>
      <w:r>
        <w:rPr>
          <w:rFonts w:hAnsi="Times New Roman"/>
        </w:rPr>
        <w:t>49</w:t>
      </w:r>
      <w:r>
        <w:rPr>
          <w:rFonts w:hAnsi="Times New Roman"/>
        </w:rPr>
        <w:fldChar w:fldCharType="end"/>
      </w:r>
      <w:r>
        <w:rPr>
          <w:rFonts w:hAnsi="Times New Roman"/>
        </w:rPr>
        <w:fldChar w:fldCharType="end"/>
      </w:r>
    </w:p>
    <w:p w14:paraId="55B2AC5E">
      <w:pPr>
        <w:pStyle w:val="15"/>
        <w:tabs>
          <w:tab w:val="right" w:leader="dot" w:pos="9003"/>
          <w:tab w:val="clear" w:pos="9628"/>
        </w:tabs>
        <w:rPr>
          <w:rFonts w:hAnsi="Times New Roman"/>
        </w:rPr>
      </w:pPr>
      <w:r>
        <w:fldChar w:fldCharType="begin"/>
      </w:r>
      <w:r>
        <w:instrText xml:space="preserve"> HYPERLINK \l "_Toc3282" </w:instrText>
      </w:r>
      <w:r>
        <w:fldChar w:fldCharType="separate"/>
      </w:r>
      <w:r>
        <w:rPr>
          <w:rFonts w:hAnsi="Times New Roman"/>
        </w:rPr>
        <w:t>第六章  响应文件格式</w:t>
      </w:r>
      <w:r>
        <w:rPr>
          <w:rFonts w:hAnsi="Times New Roman"/>
        </w:rPr>
        <w:tab/>
      </w:r>
      <w:r>
        <w:rPr>
          <w:rFonts w:hAnsi="Times New Roman"/>
        </w:rPr>
        <w:fldChar w:fldCharType="begin"/>
      </w:r>
      <w:r>
        <w:rPr>
          <w:rFonts w:hAnsi="Times New Roman"/>
        </w:rPr>
        <w:instrText xml:space="preserve"> PAGEREF _Toc3282 \h </w:instrText>
      </w:r>
      <w:r>
        <w:rPr>
          <w:rFonts w:hAnsi="Times New Roman"/>
        </w:rPr>
        <w:fldChar w:fldCharType="separate"/>
      </w:r>
      <w:r>
        <w:rPr>
          <w:rFonts w:hAnsi="Times New Roman"/>
        </w:rPr>
        <w:t>52</w:t>
      </w:r>
      <w:r>
        <w:rPr>
          <w:rFonts w:hAnsi="Times New Roman"/>
        </w:rPr>
        <w:fldChar w:fldCharType="end"/>
      </w:r>
      <w:r>
        <w:rPr>
          <w:rFonts w:hAnsi="Times New Roman"/>
        </w:rPr>
        <w:fldChar w:fldCharType="end"/>
      </w:r>
    </w:p>
    <w:p w14:paraId="55B2AC5F">
      <w:pPr>
        <w:pStyle w:val="11"/>
        <w:tabs>
          <w:tab w:val="right" w:leader="dot" w:pos="9356"/>
          <w:tab w:val="right" w:leader="dot" w:pos="9525"/>
          <w:tab w:val="clear" w:pos="9515"/>
        </w:tabs>
        <w:snapToGrid w:val="0"/>
        <w:spacing w:line="480" w:lineRule="auto"/>
        <w:ind w:left="0" w:leftChars="0"/>
      </w:pPr>
      <w:r>
        <w:fldChar w:fldCharType="end"/>
      </w:r>
    </w:p>
    <w:p w14:paraId="55B2AC60">
      <w:pPr>
        <w:pStyle w:val="2"/>
        <w:jc w:val="center"/>
        <w:rPr>
          <w:rFonts w:ascii="Times New Roman" w:eastAsia="宋体"/>
          <w:color w:val="auto"/>
          <w:sz w:val="32"/>
        </w:rPr>
        <w:sectPr>
          <w:headerReference r:id="rId5" w:type="first"/>
          <w:footerReference r:id="rId8" w:type="first"/>
          <w:headerReference r:id="rId3" w:type="default"/>
          <w:footerReference r:id="rId6" w:type="default"/>
          <w:headerReference r:id="rId4" w:type="even"/>
          <w:footerReference r:id="rId7" w:type="even"/>
          <w:pgSz w:w="12240" w:h="15840"/>
          <w:pgMar w:top="1134" w:right="1440" w:bottom="1402" w:left="1797" w:header="720" w:footer="720" w:gutter="0"/>
          <w:cols w:space="720" w:num="1"/>
          <w:titlePg/>
          <w:docGrid w:type="lines" w:linePitch="312" w:charSpace="0"/>
        </w:sectPr>
      </w:pPr>
      <w:bookmarkStart w:id="0" w:name="_Toc490599197"/>
      <w:bookmarkStart w:id="1" w:name="_Toc535415580"/>
      <w:bookmarkStart w:id="2" w:name="_Toc35393798"/>
      <w:bookmarkStart w:id="3" w:name="_Toc86124033"/>
      <w:bookmarkStart w:id="4" w:name="OLE_LINK1"/>
      <w:bookmarkStart w:id="5" w:name="OLE_LINK2"/>
      <w:bookmarkStart w:id="6" w:name="_Toc28359089"/>
      <w:bookmarkStart w:id="7" w:name="_Toc432194819"/>
      <w:bookmarkStart w:id="8" w:name="_Toc432106468"/>
      <w:bookmarkStart w:id="9" w:name="_Toc35393629"/>
      <w:bookmarkStart w:id="10" w:name="_Toc28359012"/>
    </w:p>
    <w:p w14:paraId="55B2AC61">
      <w:pPr>
        <w:pStyle w:val="2"/>
        <w:jc w:val="center"/>
        <w:rPr>
          <w:rFonts w:ascii="Times New Roman" w:eastAsia="宋体"/>
          <w:b w:val="0"/>
          <w:bCs w:val="0"/>
          <w:color w:val="auto"/>
          <w:sz w:val="21"/>
          <w:szCs w:val="21"/>
        </w:rPr>
      </w:pPr>
      <w:bookmarkStart w:id="11" w:name="_Toc3963"/>
      <w:bookmarkStart w:id="12" w:name="_Toc4515"/>
      <w:bookmarkStart w:id="13" w:name="_Toc9927"/>
      <w:r>
        <w:rPr>
          <w:rFonts w:ascii="Times New Roman" w:eastAsia="宋体"/>
          <w:color w:val="auto"/>
          <w:sz w:val="32"/>
        </w:rPr>
        <w:t xml:space="preserve">第一章  </w:t>
      </w:r>
      <w:bookmarkEnd w:id="0"/>
      <w:bookmarkEnd w:id="1"/>
      <w:bookmarkEnd w:id="11"/>
      <w:bookmarkEnd w:id="12"/>
      <w:r>
        <w:rPr>
          <w:rFonts w:ascii="Times New Roman" w:eastAsia="宋体"/>
          <w:color w:val="auto"/>
          <w:sz w:val="32"/>
        </w:rPr>
        <w:t>竞争性谈判公告</w:t>
      </w:r>
      <w:bookmarkEnd w:id="13"/>
      <w:bookmarkStart w:id="14" w:name="_Toc490599198"/>
      <w:bookmarkStart w:id="15" w:name="_Toc385344429"/>
    </w:p>
    <w:p w14:paraId="55B2AC62">
      <w:pPr>
        <w:adjustRightInd w:val="0"/>
        <w:snapToGrid w:val="0"/>
        <w:spacing w:line="360" w:lineRule="auto"/>
        <w:ind w:firstLine="420" w:firstLineChars="200"/>
        <w:jc w:val="left"/>
        <w:outlineLvl w:val="1"/>
        <w:rPr>
          <w:b/>
          <w:bCs/>
          <w:szCs w:val="21"/>
        </w:rPr>
      </w:pPr>
      <w:bookmarkStart w:id="16" w:name="_Toc535415581"/>
      <w:r>
        <w:rPr>
          <w:b/>
          <w:bCs/>
          <w:szCs w:val="21"/>
        </w:rPr>
        <w:t>一、竞争性谈判条件</w:t>
      </w:r>
      <w:bookmarkEnd w:id="14"/>
      <w:bookmarkEnd w:id="15"/>
      <w:bookmarkEnd w:id="16"/>
    </w:p>
    <w:p w14:paraId="55B2AC63">
      <w:pPr>
        <w:spacing w:line="360" w:lineRule="auto"/>
        <w:ind w:firstLine="420" w:firstLineChars="200"/>
        <w:rPr>
          <w:bCs/>
          <w:szCs w:val="21"/>
        </w:rPr>
      </w:pPr>
      <w:r>
        <w:rPr>
          <w:rFonts w:hint="eastAsia"/>
          <w:szCs w:val="21"/>
        </w:rPr>
        <w:t>云南中慧能源有限公司</w:t>
      </w:r>
      <w:r>
        <w:rPr>
          <w:szCs w:val="21"/>
        </w:rPr>
        <w:t>（以下简称“采购人”）委托云南招标股份有限公司</w:t>
      </w:r>
      <w:r>
        <w:rPr>
          <w:bCs/>
          <w:szCs w:val="21"/>
        </w:rPr>
        <w:t>对</w:t>
      </w:r>
      <w:r>
        <w:rPr>
          <w:rFonts w:hint="eastAsia"/>
          <w:bCs/>
          <w:szCs w:val="21"/>
        </w:rPr>
        <w:t>红河文山输气管道流量计</w:t>
      </w:r>
      <w:r>
        <w:rPr>
          <w:bCs/>
          <w:szCs w:val="21"/>
        </w:rPr>
        <w:t>采购采用竞争性谈判方式选取成交人。现欢迎具有相应资质和能力的谈判申请人参加本次谈判。本项目资金来源已经落实。</w:t>
      </w:r>
    </w:p>
    <w:p w14:paraId="55B2AC64">
      <w:pPr>
        <w:adjustRightInd w:val="0"/>
        <w:snapToGrid w:val="0"/>
        <w:spacing w:line="360" w:lineRule="auto"/>
        <w:ind w:firstLine="420" w:firstLineChars="200"/>
        <w:jc w:val="left"/>
        <w:outlineLvl w:val="1"/>
        <w:rPr>
          <w:b/>
          <w:bCs/>
          <w:szCs w:val="21"/>
        </w:rPr>
      </w:pPr>
      <w:bookmarkStart w:id="17" w:name="_Toc385344430"/>
      <w:bookmarkStart w:id="18" w:name="_Toc490599199"/>
      <w:bookmarkStart w:id="19" w:name="_Toc535415582"/>
      <w:r>
        <w:rPr>
          <w:b/>
          <w:bCs/>
          <w:szCs w:val="21"/>
        </w:rPr>
        <w:t>二、项目概况</w:t>
      </w:r>
      <w:bookmarkEnd w:id="17"/>
      <w:bookmarkEnd w:id="18"/>
      <w:bookmarkEnd w:id="19"/>
    </w:p>
    <w:p w14:paraId="55B2AC65">
      <w:pPr>
        <w:adjustRightInd w:val="0"/>
        <w:snapToGrid w:val="0"/>
        <w:spacing w:line="360" w:lineRule="auto"/>
        <w:ind w:firstLine="420" w:firstLineChars="200"/>
        <w:rPr>
          <w:szCs w:val="21"/>
        </w:rPr>
      </w:pPr>
      <w:r>
        <w:rPr>
          <w:b/>
          <w:szCs w:val="21"/>
        </w:rPr>
        <w:t>2.1项目名称：</w:t>
      </w:r>
      <w:r>
        <w:rPr>
          <w:rFonts w:hint="eastAsia"/>
          <w:b/>
          <w:szCs w:val="21"/>
        </w:rPr>
        <w:t>红河文山输气管道流量计</w:t>
      </w:r>
      <w:r>
        <w:rPr>
          <w:b/>
          <w:szCs w:val="21"/>
        </w:rPr>
        <w:t>采购</w:t>
      </w:r>
      <w:r>
        <w:rPr>
          <w:szCs w:val="21"/>
        </w:rPr>
        <w:t>；</w:t>
      </w:r>
    </w:p>
    <w:p w14:paraId="55B2AC66">
      <w:pPr>
        <w:adjustRightInd w:val="0"/>
        <w:snapToGrid w:val="0"/>
        <w:spacing w:line="360" w:lineRule="auto"/>
        <w:ind w:firstLine="420" w:firstLineChars="200"/>
        <w:rPr>
          <w:szCs w:val="21"/>
        </w:rPr>
      </w:pPr>
      <w:r>
        <w:rPr>
          <w:b/>
          <w:szCs w:val="21"/>
        </w:rPr>
        <w:t>2.2项目编号：</w:t>
      </w:r>
      <w:r>
        <w:rPr>
          <w:rFonts w:hint="eastAsia"/>
          <w:b/>
          <w:szCs w:val="21"/>
        </w:rPr>
        <w:t>D53A00926001350</w:t>
      </w:r>
    </w:p>
    <w:p w14:paraId="55B2AC67">
      <w:pPr>
        <w:ind w:firstLine="420" w:firstLineChars="200"/>
        <w:rPr>
          <w:szCs w:val="21"/>
        </w:rPr>
      </w:pPr>
      <w:r>
        <w:rPr>
          <w:b/>
          <w:szCs w:val="21"/>
        </w:rPr>
        <w:t>2.3项目概况：</w:t>
      </w:r>
      <w:r>
        <w:rPr>
          <w:rFonts w:hint="eastAsia"/>
          <w:bCs/>
          <w:szCs w:val="21"/>
        </w:rPr>
        <w:t>红河文山输气管道项目蒙自末站及文山末站2台流量计，计划更换</w:t>
      </w:r>
      <w:r>
        <w:rPr>
          <w:rFonts w:hint="eastAsia"/>
          <w:bCs/>
          <w:szCs w:val="21"/>
          <w:lang w:val="en-US" w:eastAsia="zh-CN"/>
        </w:rPr>
        <w:t>现场在用流量计，同步更新或改造流量计算机</w:t>
      </w:r>
      <w:r>
        <w:rPr>
          <w:rFonts w:hint="eastAsia"/>
          <w:bCs/>
          <w:szCs w:val="21"/>
        </w:rPr>
        <w:t>。</w:t>
      </w:r>
    </w:p>
    <w:p w14:paraId="55B2AC68">
      <w:pPr>
        <w:adjustRightInd w:val="0"/>
        <w:snapToGrid w:val="0"/>
        <w:spacing w:line="360" w:lineRule="auto"/>
        <w:ind w:firstLine="420" w:firstLineChars="200"/>
        <w:rPr>
          <w:b/>
          <w:szCs w:val="21"/>
        </w:rPr>
      </w:pPr>
      <w:r>
        <w:rPr>
          <w:b/>
          <w:szCs w:val="21"/>
        </w:rPr>
        <w:t>2.4</w:t>
      </w:r>
      <w:r>
        <w:rPr>
          <w:rFonts w:hint="eastAsia"/>
          <w:b/>
          <w:szCs w:val="21"/>
        </w:rPr>
        <w:t>采购</w:t>
      </w:r>
      <w:r>
        <w:rPr>
          <w:b/>
          <w:szCs w:val="21"/>
        </w:rPr>
        <w:t>范围：</w:t>
      </w:r>
    </w:p>
    <w:p w14:paraId="55B2AC69">
      <w:pPr>
        <w:adjustRightInd w:val="0"/>
        <w:snapToGrid w:val="0"/>
        <w:spacing w:line="360" w:lineRule="auto"/>
        <w:ind w:firstLine="420" w:firstLineChars="200"/>
        <w:rPr>
          <w:szCs w:val="21"/>
        </w:rPr>
      </w:pPr>
      <w:r>
        <w:rPr>
          <w:szCs w:val="21"/>
        </w:rPr>
        <w:t>本次为</w:t>
      </w:r>
      <w:r>
        <w:rPr>
          <w:rFonts w:hint="eastAsia"/>
          <w:szCs w:val="21"/>
        </w:rPr>
        <w:t>红河文山输气管道流量计</w:t>
      </w:r>
      <w:r>
        <w:rPr>
          <w:szCs w:val="21"/>
        </w:rPr>
        <w:t>采购，采购范围及内容为超声波流量计</w:t>
      </w:r>
      <w:r>
        <w:rPr>
          <w:rFonts w:hint="eastAsia"/>
          <w:szCs w:val="21"/>
          <w:lang w:val="en-US" w:eastAsia="zh-CN"/>
        </w:rPr>
        <w:t>及流量计算机</w:t>
      </w:r>
      <w:r>
        <w:rPr>
          <w:szCs w:val="21"/>
        </w:rPr>
        <w:t>2套（蒙自末站及文山末站各1套），</w:t>
      </w:r>
      <w:r>
        <w:rPr>
          <w:rFonts w:hint="eastAsia"/>
          <w:szCs w:val="21"/>
          <w:lang w:val="en-US" w:eastAsia="zh-CN"/>
        </w:rPr>
        <w:t>在设备设施及技术条件允许的情况下，可以考虑对现有流量计算机进行评估、改造，改造方案需在报价方案中进行明确，</w:t>
      </w:r>
      <w:r>
        <w:rPr>
          <w:szCs w:val="21"/>
        </w:rPr>
        <w:t>采购清单见下表。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456"/>
        <w:gridCol w:w="3311"/>
        <w:gridCol w:w="650"/>
        <w:gridCol w:w="717"/>
        <w:gridCol w:w="770"/>
        <w:gridCol w:w="2373"/>
      </w:tblGrid>
      <w:tr w14:paraId="55B2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1" w:type="dxa"/>
            <w:gridSpan w:val="7"/>
            <w:vAlign w:val="center"/>
          </w:tcPr>
          <w:p w14:paraId="55B2AC6A">
            <w:pPr>
              <w:jc w:val="center"/>
              <w:rPr>
                <w:sz w:val="22"/>
                <w:szCs w:val="22"/>
              </w:rPr>
            </w:pPr>
            <w:r>
              <w:rPr>
                <w:sz w:val="22"/>
                <w:szCs w:val="22"/>
              </w:rPr>
              <w:t>采购清单</w:t>
            </w:r>
          </w:p>
        </w:tc>
      </w:tr>
      <w:tr w14:paraId="55B2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4" w:type="dxa"/>
            <w:vAlign w:val="center"/>
          </w:tcPr>
          <w:p w14:paraId="55B2AC6C">
            <w:pPr>
              <w:spacing w:line="360" w:lineRule="auto"/>
              <w:jc w:val="center"/>
              <w:rPr>
                <w:szCs w:val="21"/>
              </w:rPr>
            </w:pPr>
            <w:r>
              <w:rPr>
                <w:szCs w:val="21"/>
              </w:rPr>
              <w:t>序号</w:t>
            </w:r>
          </w:p>
        </w:tc>
        <w:tc>
          <w:tcPr>
            <w:tcW w:w="1456" w:type="dxa"/>
            <w:vAlign w:val="center"/>
          </w:tcPr>
          <w:p w14:paraId="55B2AC6D">
            <w:pPr>
              <w:jc w:val="center"/>
              <w:rPr>
                <w:sz w:val="22"/>
                <w:szCs w:val="22"/>
              </w:rPr>
            </w:pPr>
            <w:r>
              <w:rPr>
                <w:sz w:val="22"/>
                <w:szCs w:val="22"/>
              </w:rPr>
              <w:t>设备名称</w:t>
            </w:r>
          </w:p>
        </w:tc>
        <w:tc>
          <w:tcPr>
            <w:tcW w:w="3311" w:type="dxa"/>
            <w:vAlign w:val="center"/>
          </w:tcPr>
          <w:p w14:paraId="55B2AC6E">
            <w:pPr>
              <w:jc w:val="center"/>
              <w:rPr>
                <w:sz w:val="22"/>
                <w:szCs w:val="22"/>
              </w:rPr>
            </w:pPr>
            <w:r>
              <w:rPr>
                <w:sz w:val="22"/>
                <w:szCs w:val="22"/>
              </w:rPr>
              <w:t>规格型号</w:t>
            </w:r>
          </w:p>
        </w:tc>
        <w:tc>
          <w:tcPr>
            <w:tcW w:w="650" w:type="dxa"/>
            <w:vAlign w:val="center"/>
          </w:tcPr>
          <w:p w14:paraId="55B2AC6F">
            <w:pPr>
              <w:jc w:val="center"/>
              <w:rPr>
                <w:sz w:val="22"/>
                <w:szCs w:val="22"/>
              </w:rPr>
            </w:pPr>
            <w:r>
              <w:rPr>
                <w:sz w:val="22"/>
                <w:szCs w:val="22"/>
              </w:rPr>
              <w:t>单位</w:t>
            </w:r>
          </w:p>
        </w:tc>
        <w:tc>
          <w:tcPr>
            <w:tcW w:w="717" w:type="dxa"/>
            <w:vAlign w:val="center"/>
          </w:tcPr>
          <w:p w14:paraId="55B2AC70">
            <w:pPr>
              <w:jc w:val="center"/>
              <w:rPr>
                <w:sz w:val="22"/>
                <w:szCs w:val="22"/>
              </w:rPr>
            </w:pPr>
            <w:r>
              <w:rPr>
                <w:sz w:val="22"/>
                <w:szCs w:val="22"/>
              </w:rPr>
              <w:t>数量</w:t>
            </w:r>
          </w:p>
        </w:tc>
        <w:tc>
          <w:tcPr>
            <w:tcW w:w="770" w:type="dxa"/>
            <w:vAlign w:val="center"/>
          </w:tcPr>
          <w:p w14:paraId="55B2AC71">
            <w:pPr>
              <w:jc w:val="center"/>
              <w:rPr>
                <w:sz w:val="22"/>
                <w:szCs w:val="22"/>
              </w:rPr>
            </w:pPr>
            <w:r>
              <w:rPr>
                <w:sz w:val="22"/>
                <w:szCs w:val="22"/>
              </w:rPr>
              <w:t>安装地点</w:t>
            </w:r>
          </w:p>
        </w:tc>
        <w:tc>
          <w:tcPr>
            <w:tcW w:w="2373" w:type="dxa"/>
            <w:vAlign w:val="center"/>
          </w:tcPr>
          <w:p w14:paraId="55B2AC72">
            <w:pPr>
              <w:jc w:val="center"/>
              <w:rPr>
                <w:sz w:val="22"/>
                <w:szCs w:val="22"/>
              </w:rPr>
            </w:pPr>
            <w:r>
              <w:rPr>
                <w:sz w:val="22"/>
                <w:szCs w:val="22"/>
              </w:rPr>
              <w:t>备注</w:t>
            </w:r>
          </w:p>
        </w:tc>
      </w:tr>
      <w:tr w14:paraId="55B2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dxa"/>
            <w:vAlign w:val="center"/>
          </w:tcPr>
          <w:p w14:paraId="55B2AC74">
            <w:pPr>
              <w:jc w:val="center"/>
              <w:rPr>
                <w:sz w:val="24"/>
              </w:rPr>
            </w:pPr>
            <w:r>
              <w:t>1</w:t>
            </w:r>
          </w:p>
        </w:tc>
        <w:tc>
          <w:tcPr>
            <w:tcW w:w="1456" w:type="dxa"/>
            <w:vAlign w:val="center"/>
          </w:tcPr>
          <w:p w14:paraId="55B2AC75">
            <w:pPr>
              <w:jc w:val="center"/>
              <w:rPr>
                <w:sz w:val="22"/>
                <w:szCs w:val="22"/>
              </w:rPr>
            </w:pPr>
            <w:r>
              <w:rPr>
                <w:sz w:val="22"/>
                <w:szCs w:val="22"/>
              </w:rPr>
              <w:t>超声波流量计</w:t>
            </w:r>
          </w:p>
        </w:tc>
        <w:tc>
          <w:tcPr>
            <w:tcW w:w="3311" w:type="dxa"/>
            <w:vAlign w:val="center"/>
          </w:tcPr>
          <w:p w14:paraId="55B2AC76">
            <w:r>
              <w:rPr>
                <w:rFonts w:hint="eastAsia"/>
              </w:rPr>
              <w:t>管径：DN150</w:t>
            </w:r>
          </w:p>
          <w:p w14:paraId="55B2AC77">
            <w:r>
              <w:rPr>
                <w:rFonts w:hint="eastAsia"/>
              </w:rPr>
              <w:t>法兰厚度：CLASS600</w:t>
            </w:r>
          </w:p>
          <w:p w14:paraId="55B2AC78">
            <w:r>
              <w:rPr>
                <w:rFonts w:hint="eastAsia"/>
              </w:rPr>
              <w:t>精度等级：0.5级</w:t>
            </w:r>
          </w:p>
          <w:p w14:paraId="55B2AC79">
            <w:r>
              <w:rPr>
                <w:rFonts w:hint="eastAsia"/>
              </w:rPr>
              <w:t>压力等级：10.0MPa</w:t>
            </w:r>
          </w:p>
          <w:p w14:paraId="55B2AC7A">
            <w:pPr>
              <w:rPr>
                <w:lang w:bidi="ar"/>
              </w:rPr>
            </w:pPr>
            <w:r>
              <w:rPr>
                <w:rFonts w:hint="eastAsia"/>
              </w:rPr>
              <w:t>量程范围：不低于20</w:t>
            </w:r>
            <w:r>
              <w:rPr>
                <w:rFonts w:hint="eastAsia"/>
                <w:lang w:eastAsia="zh-CN"/>
              </w:rPr>
              <w:t>—</w:t>
            </w:r>
            <w:r>
              <w:rPr>
                <w:rFonts w:hint="eastAsia"/>
              </w:rPr>
              <w:t>2500m³/h</w:t>
            </w:r>
            <w:r>
              <w:rPr>
                <w:rFonts w:hint="eastAsia"/>
                <w:lang w:eastAsia="zh-CN"/>
              </w:rPr>
              <w:t>（</w:t>
            </w:r>
            <w:r>
              <w:rPr>
                <w:rFonts w:hint="eastAsia"/>
              </w:rPr>
              <w:t>工况）</w:t>
            </w:r>
          </w:p>
        </w:tc>
        <w:tc>
          <w:tcPr>
            <w:tcW w:w="650" w:type="dxa"/>
            <w:vAlign w:val="center"/>
          </w:tcPr>
          <w:p w14:paraId="55B2AC7B">
            <w:pPr>
              <w:jc w:val="center"/>
              <w:rPr>
                <w:sz w:val="22"/>
                <w:szCs w:val="22"/>
              </w:rPr>
            </w:pPr>
            <w:r>
              <w:rPr>
                <w:sz w:val="22"/>
                <w:szCs w:val="22"/>
              </w:rPr>
              <w:t>套</w:t>
            </w:r>
          </w:p>
        </w:tc>
        <w:tc>
          <w:tcPr>
            <w:tcW w:w="717" w:type="dxa"/>
            <w:vAlign w:val="center"/>
          </w:tcPr>
          <w:p w14:paraId="55B2AC7C">
            <w:pPr>
              <w:jc w:val="center"/>
              <w:rPr>
                <w:sz w:val="22"/>
                <w:szCs w:val="22"/>
              </w:rPr>
            </w:pPr>
            <w:r>
              <w:rPr>
                <w:rFonts w:hint="eastAsia"/>
                <w:sz w:val="22"/>
                <w:szCs w:val="22"/>
              </w:rPr>
              <w:t>2</w:t>
            </w:r>
          </w:p>
        </w:tc>
        <w:tc>
          <w:tcPr>
            <w:tcW w:w="770" w:type="dxa"/>
            <w:vAlign w:val="center"/>
          </w:tcPr>
          <w:p w14:paraId="55B2AC7D">
            <w:pPr>
              <w:jc w:val="center"/>
              <w:rPr>
                <w:sz w:val="22"/>
                <w:szCs w:val="22"/>
              </w:rPr>
            </w:pPr>
            <w:r>
              <w:rPr>
                <w:rFonts w:hint="eastAsia"/>
                <w:sz w:val="22"/>
                <w:szCs w:val="22"/>
              </w:rPr>
              <w:t>蒙自末站及文山末站</w:t>
            </w:r>
          </w:p>
        </w:tc>
        <w:tc>
          <w:tcPr>
            <w:tcW w:w="2373" w:type="dxa"/>
            <w:vAlign w:val="center"/>
          </w:tcPr>
          <w:p w14:paraId="55B2AC7E">
            <w:pPr>
              <w:jc w:val="both"/>
              <w:rPr>
                <w:sz w:val="22"/>
                <w:szCs w:val="22"/>
              </w:rPr>
            </w:pPr>
            <w:r>
              <w:rPr>
                <w:rFonts w:hint="eastAsia"/>
                <w:sz w:val="21"/>
                <w:szCs w:val="24"/>
              </w:rPr>
              <w:t>供货商应提供超声流量计、</w:t>
            </w:r>
            <w:r>
              <w:rPr>
                <w:rFonts w:hint="eastAsia"/>
                <w:sz w:val="21"/>
                <w:szCs w:val="24"/>
                <w:lang w:val="en-US" w:eastAsia="zh-CN"/>
              </w:rPr>
              <w:t>流量计算机（若涉及改造需明确方案）</w:t>
            </w:r>
            <w:r>
              <w:rPr>
                <w:rFonts w:hint="eastAsia"/>
                <w:sz w:val="21"/>
                <w:szCs w:val="24"/>
              </w:rPr>
              <w:t>、前后直管段（</w:t>
            </w:r>
            <w:r>
              <w:rPr>
                <w:rFonts w:hint="eastAsia"/>
                <w:lang w:bidi="ar"/>
              </w:rPr>
              <w:t>要求且与原有橇体安装位置匹配</w:t>
            </w:r>
            <w:r>
              <w:rPr>
                <w:rFonts w:hint="eastAsia"/>
                <w:sz w:val="21"/>
                <w:szCs w:val="24"/>
              </w:rPr>
              <w:t>）、仪表管阀件、配对法兰、紧固件、密封件、配套诊断软件等。</w:t>
            </w:r>
          </w:p>
        </w:tc>
      </w:tr>
    </w:tbl>
    <w:p w14:paraId="55B2AC80">
      <w:pPr>
        <w:adjustRightInd w:val="0"/>
        <w:snapToGrid w:val="0"/>
        <w:spacing w:line="360" w:lineRule="auto"/>
        <w:ind w:firstLine="420" w:firstLineChars="200"/>
        <w:rPr>
          <w:szCs w:val="21"/>
        </w:rPr>
      </w:pPr>
      <w:r>
        <w:rPr>
          <w:szCs w:val="21"/>
        </w:rPr>
        <w:t>详细内容见第五章供货及技术要求，包括但不限于：成交人应按技术规范要求进行设备的设计、制造、材料选用、加工、试验和检验、包装及运输，安装与调试，完成相关的现场正式投产前的一切工作，提供售后服务（包括设备质量保证期内的免费服务和设备更换）和培训，提供有关文件资料，以及承担相关的供方责任。</w:t>
      </w:r>
    </w:p>
    <w:p w14:paraId="55B2AC81">
      <w:pPr>
        <w:adjustRightInd w:val="0"/>
        <w:snapToGrid w:val="0"/>
        <w:spacing w:line="360" w:lineRule="auto"/>
        <w:ind w:firstLine="420" w:firstLineChars="200"/>
        <w:rPr>
          <w:szCs w:val="21"/>
        </w:rPr>
      </w:pPr>
      <w:bookmarkStart w:id="20" w:name="_Toc86124035"/>
      <w:r>
        <w:rPr>
          <w:b/>
          <w:szCs w:val="21"/>
        </w:rPr>
        <w:t>2.5交货周期：</w:t>
      </w:r>
      <w:r>
        <w:rPr>
          <w:bCs/>
          <w:szCs w:val="21"/>
        </w:rPr>
        <w:t>合同签订生效</w:t>
      </w:r>
      <w:r>
        <w:rPr>
          <w:szCs w:val="21"/>
        </w:rPr>
        <w:t>之日起</w:t>
      </w:r>
      <w:r>
        <w:rPr>
          <w:szCs w:val="21"/>
          <w:u w:val="single"/>
        </w:rPr>
        <w:t xml:space="preserve"> </w:t>
      </w:r>
      <w:r>
        <w:rPr>
          <w:rFonts w:hint="eastAsia"/>
          <w:szCs w:val="21"/>
          <w:u w:val="single"/>
        </w:rPr>
        <w:t>35</w:t>
      </w:r>
      <w:r>
        <w:rPr>
          <w:szCs w:val="21"/>
          <w:u w:val="single"/>
        </w:rPr>
        <w:t xml:space="preserve"> </w:t>
      </w:r>
      <w:r>
        <w:rPr>
          <w:szCs w:val="21"/>
        </w:rPr>
        <w:t>日内设备具备交货条件，根据采购人工程进度要求及发货通知要求按时完成交货。交货周期已包含取得当地特检院出具的特种设备监督检验报告、国家石油天然气大流量计量站出具的检定合格证书的时间，相应检定</w:t>
      </w:r>
      <w:r>
        <w:rPr>
          <w:rFonts w:ascii="Times New Roman" w:hAnsi="Times New Roman" w:eastAsia="宋体" w:cs="Times New Roman"/>
          <w:szCs w:val="21"/>
        </w:rPr>
        <w:t>费用、加急费用均包</w:t>
      </w:r>
      <w:r>
        <w:rPr>
          <w:szCs w:val="21"/>
        </w:rPr>
        <w:t>含在总价中。</w:t>
      </w:r>
    </w:p>
    <w:p w14:paraId="55B2AC82">
      <w:pPr>
        <w:adjustRightInd w:val="0"/>
        <w:snapToGrid w:val="0"/>
        <w:spacing w:line="360" w:lineRule="auto"/>
        <w:ind w:firstLine="420" w:firstLineChars="200"/>
        <w:rPr>
          <w:szCs w:val="21"/>
        </w:rPr>
      </w:pPr>
      <w:r>
        <w:rPr>
          <w:b/>
          <w:szCs w:val="21"/>
        </w:rPr>
        <w:t>2.6技术性能指标：</w:t>
      </w:r>
      <w:r>
        <w:rPr>
          <w:bCs/>
          <w:szCs w:val="21"/>
        </w:rPr>
        <w:t>详见第五章“供货及技术要求”。</w:t>
      </w:r>
    </w:p>
    <w:p w14:paraId="55B2AC83">
      <w:pPr>
        <w:adjustRightInd w:val="0"/>
        <w:snapToGrid w:val="0"/>
        <w:spacing w:line="360" w:lineRule="auto"/>
        <w:ind w:firstLine="420" w:firstLineChars="200"/>
        <w:rPr>
          <w:bCs/>
          <w:szCs w:val="21"/>
        </w:rPr>
      </w:pPr>
      <w:r>
        <w:rPr>
          <w:b/>
          <w:szCs w:val="21"/>
        </w:rPr>
        <w:t>2.7项目实施地点：</w:t>
      </w:r>
      <w:r>
        <w:rPr>
          <w:kern w:val="0"/>
          <w:szCs w:val="21"/>
        </w:rPr>
        <w:t>云南省文山州马塘工业园区</w:t>
      </w:r>
      <w:r>
        <w:rPr>
          <w:rFonts w:hint="eastAsia"/>
          <w:kern w:val="0"/>
          <w:szCs w:val="21"/>
        </w:rPr>
        <w:t>、云南省红河州蒙自市雨过铺街道蚂蟥塘村</w:t>
      </w:r>
      <w:r>
        <w:rPr>
          <w:bCs/>
          <w:szCs w:val="21"/>
        </w:rPr>
        <w:t>。</w:t>
      </w:r>
    </w:p>
    <w:p w14:paraId="55B2AC84">
      <w:pPr>
        <w:adjustRightInd w:val="0"/>
        <w:snapToGrid w:val="0"/>
        <w:spacing w:line="360" w:lineRule="auto"/>
        <w:ind w:firstLine="420" w:firstLineChars="200"/>
        <w:rPr>
          <w:szCs w:val="21"/>
        </w:rPr>
      </w:pPr>
      <w:r>
        <w:rPr>
          <w:b/>
          <w:bCs/>
          <w:szCs w:val="21"/>
        </w:rPr>
        <w:t>2.8采购控制价：</w:t>
      </w:r>
      <w:r>
        <w:rPr>
          <w:rFonts w:hint="eastAsia"/>
          <w:b/>
          <w:bCs/>
        </w:rPr>
        <w:t>小写</w:t>
      </w:r>
      <w:r>
        <w:rPr>
          <w:rFonts w:hint="eastAsia"/>
          <w:b/>
          <w:bCs/>
          <w:lang w:eastAsia="zh-CN"/>
        </w:rPr>
        <w:t>：</w:t>
      </w:r>
      <w:r>
        <w:rPr>
          <w:rFonts w:hint="eastAsia"/>
          <w:b/>
          <w:bCs/>
        </w:rPr>
        <w:t>人民币70.00万元（大写：人民币柒拾万元整）</w:t>
      </w:r>
      <w:r>
        <w:rPr>
          <w:szCs w:val="21"/>
        </w:rPr>
        <w:t>，各谈判申请人的谈判报价不得高于控制价，并且做出各分项报价，否则按不响应竞争性谈判文件处理。</w:t>
      </w:r>
    </w:p>
    <w:p w14:paraId="55B2AC85">
      <w:pPr>
        <w:adjustRightInd w:val="0"/>
        <w:snapToGrid w:val="0"/>
        <w:spacing w:line="360" w:lineRule="auto"/>
        <w:ind w:firstLine="420" w:firstLineChars="200"/>
        <w:jc w:val="left"/>
        <w:outlineLvl w:val="1"/>
        <w:rPr>
          <w:b/>
          <w:bCs/>
          <w:szCs w:val="21"/>
        </w:rPr>
      </w:pPr>
      <w:bookmarkStart w:id="21" w:name="_Toc385344431"/>
      <w:bookmarkStart w:id="22" w:name="_Toc490599200"/>
      <w:bookmarkStart w:id="23" w:name="_Toc535415583"/>
      <w:r>
        <w:rPr>
          <w:b/>
          <w:bCs/>
          <w:szCs w:val="21"/>
        </w:rPr>
        <w:t>三、谈判申请人资格要求</w:t>
      </w:r>
      <w:bookmarkEnd w:id="20"/>
      <w:bookmarkEnd w:id="21"/>
      <w:bookmarkEnd w:id="22"/>
      <w:bookmarkEnd w:id="23"/>
    </w:p>
    <w:p w14:paraId="55B2AC86">
      <w:pPr>
        <w:adjustRightInd w:val="0"/>
        <w:snapToGrid w:val="0"/>
        <w:spacing w:line="360" w:lineRule="auto"/>
        <w:ind w:firstLine="420" w:firstLineChars="200"/>
        <w:rPr>
          <w:kern w:val="0"/>
          <w:szCs w:val="21"/>
        </w:rPr>
      </w:pPr>
      <w:bookmarkStart w:id="24" w:name="_Toc86124036"/>
      <w:r>
        <w:rPr>
          <w:kern w:val="0"/>
          <w:szCs w:val="21"/>
        </w:rPr>
        <w:t>1.资质要求：</w:t>
      </w:r>
    </w:p>
    <w:p w14:paraId="55B2AC87">
      <w:pPr>
        <w:spacing w:line="360" w:lineRule="auto"/>
        <w:ind w:firstLine="403" w:firstLineChars="192"/>
        <w:rPr>
          <w:szCs w:val="21"/>
          <w:lang w:val="zh-CN"/>
        </w:rPr>
      </w:pPr>
      <w:r>
        <w:rPr>
          <w:szCs w:val="21"/>
        </w:rPr>
        <w:t>1</w:t>
      </w:r>
      <w:r>
        <w:rPr>
          <w:szCs w:val="21"/>
          <w:lang w:val="zh-CN"/>
        </w:rPr>
        <w:t>.</w:t>
      </w:r>
      <w:r>
        <w:rPr>
          <w:rFonts w:hint="eastAsia"/>
          <w:szCs w:val="21"/>
        </w:rPr>
        <w:t>1</w:t>
      </w:r>
      <w:r>
        <w:t>具备有效的营业执照（或事业单位法人证书）的独立法人企业（单位）</w:t>
      </w:r>
      <w:r>
        <w:rPr>
          <w:szCs w:val="21"/>
          <w:lang w:val="zh-CN"/>
        </w:rPr>
        <w:t>；</w:t>
      </w:r>
    </w:p>
    <w:p w14:paraId="79B17063">
      <w:pPr>
        <w:spacing w:line="360" w:lineRule="auto"/>
        <w:ind w:firstLine="403" w:firstLineChars="192"/>
        <w:rPr>
          <w:szCs w:val="21"/>
        </w:rPr>
      </w:pPr>
      <w:r>
        <w:rPr>
          <w:szCs w:val="21"/>
        </w:rPr>
        <w:t>1.2</w:t>
      </w:r>
      <w:r>
        <w:rPr>
          <w:rFonts w:hint="eastAsia"/>
          <w:szCs w:val="21"/>
        </w:rPr>
        <w:t xml:space="preserve"> 超声波流量计应具有中华人民共和国型式批准证书、国际计量组织OIML 0.5级证书。</w:t>
      </w:r>
    </w:p>
    <w:p w14:paraId="35294C20">
      <w:pPr>
        <w:spacing w:line="360" w:lineRule="auto"/>
        <w:ind w:firstLine="403" w:firstLineChars="192"/>
        <w:rPr>
          <w:rFonts w:hAnsi="宋体"/>
        </w:rPr>
      </w:pPr>
      <w:r>
        <w:rPr>
          <w:rFonts w:hint="eastAsia" w:hAnsi="宋体"/>
        </w:rPr>
        <w:t>国内生产的超声流量计应具有总局授权省级市场监管部门或由省级市场监管部门颁发“中华人民共和国特种设备生产许可证：压力管道元件制造</w:t>
      </w:r>
      <w:r>
        <w:rPr>
          <w:rFonts w:hint="eastAsia" w:hAnsi="宋体"/>
          <w:lang w:eastAsia="zh-CN"/>
        </w:rPr>
        <w:t>－</w:t>
      </w:r>
      <w:r>
        <w:rPr>
          <w:rFonts w:hint="eastAsia" w:hAnsi="宋体"/>
        </w:rPr>
        <w:t>元件组合装置</w:t>
      </w:r>
      <w:r>
        <w:rPr>
          <w:rFonts w:hint="eastAsia" w:hAnsi="宋体"/>
          <w:lang w:eastAsia="zh-CN"/>
        </w:rPr>
        <w:t>－</w:t>
      </w:r>
      <w:r>
        <w:rPr>
          <w:rFonts w:hint="eastAsia" w:hAnsi="宋体"/>
        </w:rPr>
        <w:t>流量计（壳体）”证书。原装进口超声流量计应具有“中华人民共和国特种设备生产许可证：压力管道元件制造</w:t>
      </w:r>
      <w:r>
        <w:rPr>
          <w:rFonts w:hint="eastAsia" w:hAnsi="宋体"/>
          <w:lang w:eastAsia="zh-CN"/>
        </w:rPr>
        <w:t>－</w:t>
      </w:r>
      <w:r>
        <w:rPr>
          <w:rFonts w:hint="eastAsia" w:hAnsi="宋体"/>
        </w:rPr>
        <w:t>元件组合装置</w:t>
      </w:r>
      <w:r>
        <w:rPr>
          <w:rFonts w:hint="eastAsia" w:hAnsi="宋体"/>
          <w:lang w:eastAsia="zh-CN"/>
        </w:rPr>
        <w:t>－</w:t>
      </w:r>
      <w:r>
        <w:rPr>
          <w:rFonts w:hint="eastAsia" w:hAnsi="宋体"/>
        </w:rPr>
        <w:t>流量计（壳体）”证书或承诺供货时提供特种设备监督检验证书。</w:t>
      </w:r>
    </w:p>
    <w:p w14:paraId="7FD9A2FD">
      <w:pPr>
        <w:spacing w:line="360" w:lineRule="auto"/>
        <w:ind w:firstLine="403" w:firstLineChars="192"/>
        <w:rPr>
          <w:szCs w:val="21"/>
          <w:lang w:val="zh-CN"/>
        </w:rPr>
      </w:pPr>
      <w:r>
        <w:rPr>
          <w:rFonts w:hint="eastAsia"/>
          <w:szCs w:val="21"/>
          <w:lang w:val="zh-CN"/>
        </w:rPr>
        <w:t>1.3流量计算机</w:t>
      </w:r>
      <w:r>
        <w:rPr>
          <w:szCs w:val="21"/>
          <w:lang w:val="zh-CN"/>
        </w:rPr>
        <w:t>应获得国际权威认证机构</w:t>
      </w:r>
      <w:r>
        <w:rPr>
          <w:rFonts w:hint="eastAsia"/>
          <w:szCs w:val="21"/>
          <w:lang w:val="zh-CN"/>
        </w:rPr>
        <w:t>MID认证。</w:t>
      </w:r>
    </w:p>
    <w:p w14:paraId="4100AB1B">
      <w:pPr>
        <w:spacing w:line="360" w:lineRule="auto"/>
        <w:ind w:firstLine="403" w:firstLineChars="192"/>
        <w:rPr>
          <w:rFonts w:hAnsi="宋体"/>
        </w:rPr>
      </w:pPr>
      <w:r>
        <w:rPr>
          <w:rFonts w:hint="eastAsia"/>
          <w:szCs w:val="21"/>
          <w:lang w:val="zh-CN"/>
        </w:rPr>
        <w:t>1.4配套供货的前后直管段产品的，应提供生产制造商的</w:t>
      </w:r>
      <w:r>
        <w:rPr>
          <w:rFonts w:hint="eastAsia" w:hAnsi="宋体"/>
        </w:rPr>
        <w:t>“中华人民共和国特种设备生产许可证：压力管道元件制造</w:t>
      </w:r>
      <w:r>
        <w:rPr>
          <w:rFonts w:hint="eastAsia" w:hAnsi="宋体"/>
          <w:lang w:eastAsia="zh-CN"/>
        </w:rPr>
        <w:t>－</w:t>
      </w:r>
      <w:r>
        <w:rPr>
          <w:rFonts w:hint="eastAsia" w:hAnsi="宋体"/>
        </w:rPr>
        <w:t>元件组合装置</w:t>
      </w:r>
      <w:r>
        <w:rPr>
          <w:rFonts w:hint="eastAsia" w:hAnsi="宋体"/>
          <w:lang w:eastAsia="zh-CN"/>
        </w:rPr>
        <w:t>－</w:t>
      </w:r>
      <w:r>
        <w:rPr>
          <w:rFonts w:hint="eastAsia" w:hAnsi="宋体"/>
        </w:rPr>
        <w:t>工厂预制化管段”或压力管道元件等相关证书及生产所在地特检院监检资料。</w:t>
      </w:r>
    </w:p>
    <w:p w14:paraId="55B2AC89">
      <w:pPr>
        <w:adjustRightInd w:val="0"/>
        <w:snapToGrid w:val="0"/>
        <w:spacing w:line="360" w:lineRule="auto"/>
        <w:ind w:firstLine="420" w:firstLineChars="200"/>
        <w:rPr>
          <w:kern w:val="0"/>
          <w:szCs w:val="21"/>
        </w:rPr>
      </w:pPr>
      <w:r>
        <w:rPr>
          <w:kern w:val="0"/>
          <w:szCs w:val="21"/>
        </w:rPr>
        <w:t>2.业绩要求：2023年1月1日至提交响应文件截止时间，谈判申请人应具备至少2项在国内天然气项目中的</w:t>
      </w:r>
      <w:r>
        <w:rPr>
          <w:rFonts w:hint="eastAsia"/>
          <w:kern w:val="0"/>
          <w:szCs w:val="21"/>
        </w:rPr>
        <w:t>流量计</w:t>
      </w:r>
      <w:r>
        <w:rPr>
          <w:kern w:val="0"/>
          <w:szCs w:val="21"/>
        </w:rPr>
        <w:t>供货或销售业绩，须提供相关证明材料（</w:t>
      </w:r>
      <w:r>
        <w:rPr>
          <w:rFonts w:hint="eastAsia"/>
          <w:kern w:val="0"/>
          <w:szCs w:val="21"/>
        </w:rPr>
        <w:t>如有效的合同</w:t>
      </w:r>
      <w:r>
        <w:rPr>
          <w:rFonts w:hint="eastAsia" w:ascii="宋体" w:hAnsi="宋体" w:cs="宋体"/>
          <w:szCs w:val="21"/>
        </w:rPr>
        <w:t>（合同业绩证明材料至少须提供包括但不限于合同范围、合同金额、签字盖章页等内容）或成交通知书等复印件，业绩有效期以合同签订时间或成交通知书发布时间为准</w:t>
      </w:r>
      <w:r>
        <w:rPr>
          <w:kern w:val="0"/>
          <w:szCs w:val="21"/>
        </w:rPr>
        <w:t>）。</w:t>
      </w:r>
    </w:p>
    <w:p w14:paraId="55B2AC8A">
      <w:pPr>
        <w:adjustRightInd w:val="0"/>
        <w:snapToGrid w:val="0"/>
        <w:spacing w:line="360" w:lineRule="auto"/>
        <w:ind w:firstLine="420" w:firstLineChars="200"/>
        <w:rPr>
          <w:kern w:val="0"/>
          <w:szCs w:val="21"/>
        </w:rPr>
      </w:pPr>
      <w:r>
        <w:rPr>
          <w:kern w:val="0"/>
          <w:szCs w:val="21"/>
        </w:rPr>
        <w:t>3.财务要求：提供近三年（2023年—2025年）</w:t>
      </w:r>
      <w:r>
        <w:rPr>
          <w:rFonts w:hint="eastAsia"/>
          <w:kern w:val="0"/>
          <w:szCs w:val="21"/>
        </w:rPr>
        <w:t>任意一年</w:t>
      </w:r>
      <w:r>
        <w:rPr>
          <w:kern w:val="0"/>
          <w:szCs w:val="21"/>
        </w:rPr>
        <w:t>经第三方审计机构审计的</w:t>
      </w:r>
      <w:r>
        <w:rPr>
          <w:rFonts w:hint="eastAsia"/>
          <w:kern w:val="0"/>
          <w:szCs w:val="21"/>
        </w:rPr>
        <w:t>财务</w:t>
      </w:r>
      <w:r>
        <w:rPr>
          <w:kern w:val="0"/>
          <w:szCs w:val="21"/>
        </w:rPr>
        <w:t>审计报告及财务报表（包括资产负债表、利润表、现金流量表），若企业成立时间</w:t>
      </w:r>
      <w:r>
        <w:rPr>
          <w:rFonts w:hint="eastAsia"/>
          <w:kern w:val="0"/>
          <w:szCs w:val="21"/>
          <w:lang w:val="en-US" w:eastAsia="zh-CN"/>
        </w:rPr>
        <w:t>为2025年1月1日后且</w:t>
      </w:r>
      <w:r>
        <w:rPr>
          <w:kern w:val="0"/>
          <w:szCs w:val="21"/>
        </w:rPr>
        <w:t>谈判申请人无2025年</w:t>
      </w:r>
      <w:r>
        <w:rPr>
          <w:rFonts w:hint="eastAsia"/>
          <w:kern w:val="0"/>
          <w:szCs w:val="21"/>
        </w:rPr>
        <w:t>财务</w:t>
      </w:r>
      <w:r>
        <w:rPr>
          <w:kern w:val="0"/>
          <w:szCs w:val="21"/>
        </w:rPr>
        <w:t>审计报告的，需提供</w:t>
      </w:r>
      <w:r>
        <w:rPr>
          <w:rFonts w:hint="eastAsia"/>
          <w:kern w:val="0"/>
          <w:szCs w:val="21"/>
          <w:lang w:val="en-US" w:eastAsia="zh-CN"/>
        </w:rPr>
        <w:t>成立至今</w:t>
      </w:r>
      <w:r>
        <w:rPr>
          <w:kern w:val="0"/>
          <w:szCs w:val="21"/>
        </w:rPr>
        <w:t>的财务报表（包括资产负债表、利润表、现金流量表），同时提供财务报表数据真实性承诺书。</w:t>
      </w:r>
    </w:p>
    <w:p w14:paraId="55B2AC8B">
      <w:pPr>
        <w:adjustRightInd w:val="0"/>
        <w:snapToGrid w:val="0"/>
        <w:spacing w:line="360" w:lineRule="auto"/>
        <w:ind w:firstLine="420" w:firstLineChars="200"/>
        <w:rPr>
          <w:kern w:val="0"/>
          <w:szCs w:val="21"/>
        </w:rPr>
      </w:pPr>
      <w:r>
        <w:rPr>
          <w:kern w:val="0"/>
          <w:szCs w:val="21"/>
        </w:rPr>
        <w:t>4.信誉要求：申请人在谈判时间前未被“信用中国（www.creditchina.gov.cn）”列入“经营（活动）异常名录、严重失信主体、重大税收违法失信主体”；未被“中国执行信息公开网（http://zxgk.court.gov.cn/）”纳入“失信被执行人名单”。（</w:t>
      </w:r>
      <w:r>
        <w:t>由采购代理机构在评审前将上述网站查询结果提交谈判小组评审</w:t>
      </w:r>
      <w:r>
        <w:rPr>
          <w:kern w:val="0"/>
          <w:szCs w:val="21"/>
        </w:rPr>
        <w:t xml:space="preserve">）  </w:t>
      </w:r>
    </w:p>
    <w:p w14:paraId="55B2AC8C">
      <w:pPr>
        <w:adjustRightInd w:val="0"/>
        <w:snapToGrid w:val="0"/>
        <w:spacing w:line="360" w:lineRule="auto"/>
        <w:ind w:firstLine="420" w:firstLineChars="200"/>
        <w:rPr>
          <w:rFonts w:hint="default"/>
          <w:kern w:val="2"/>
          <w:szCs w:val="24"/>
        </w:rPr>
      </w:pPr>
      <w:r>
        <w:rPr>
          <w:kern w:val="2"/>
          <w:szCs w:val="24"/>
        </w:rPr>
        <w:t>5.本项目接受设备制造商</w:t>
      </w:r>
      <w:r>
        <w:rPr>
          <w:rFonts w:hint="default"/>
          <w:kern w:val="2"/>
          <w:szCs w:val="24"/>
        </w:rPr>
        <w:t>或</w:t>
      </w:r>
      <w:r>
        <w:rPr>
          <w:kern w:val="2"/>
          <w:szCs w:val="24"/>
        </w:rPr>
        <w:t>销售代理商</w:t>
      </w:r>
      <w:r>
        <w:rPr>
          <w:rFonts w:hint="default"/>
          <w:kern w:val="2"/>
          <w:szCs w:val="24"/>
        </w:rPr>
        <w:t>谈判</w:t>
      </w:r>
      <w:r>
        <w:rPr>
          <w:kern w:val="2"/>
          <w:szCs w:val="24"/>
        </w:rPr>
        <w:t>，谈判申请人为销售代理商的，则必须取得</w:t>
      </w:r>
      <w:r>
        <w:rPr>
          <w:b w:val="0"/>
          <w:bCs w:val="0"/>
          <w:kern w:val="2"/>
          <w:szCs w:val="24"/>
        </w:rPr>
        <w:t>超声波流量计生产</w:t>
      </w:r>
      <w:r>
        <w:rPr>
          <w:kern w:val="2"/>
          <w:szCs w:val="24"/>
        </w:rPr>
        <w:t>商对本项目签署的“授权书”。</w:t>
      </w:r>
    </w:p>
    <w:p w14:paraId="55B2AC8D">
      <w:pPr>
        <w:adjustRightInd w:val="0"/>
        <w:snapToGrid w:val="0"/>
        <w:spacing w:line="360" w:lineRule="auto"/>
        <w:ind w:firstLine="420" w:firstLineChars="200"/>
        <w:rPr>
          <w:kern w:val="0"/>
          <w:szCs w:val="21"/>
        </w:rPr>
      </w:pPr>
      <w:r>
        <w:rPr>
          <w:kern w:val="0"/>
          <w:szCs w:val="21"/>
        </w:rPr>
        <w:t>6.与采购人存在利害关系的单位不得参与谈判；单位负责人为同一人或者存在控股、管理关系的不同单位，不得同时参与谈判。</w:t>
      </w:r>
    </w:p>
    <w:p w14:paraId="55B2AC8E">
      <w:pPr>
        <w:adjustRightInd w:val="0"/>
        <w:snapToGrid w:val="0"/>
        <w:spacing w:line="360" w:lineRule="auto"/>
        <w:ind w:firstLine="420" w:firstLineChars="200"/>
        <w:rPr>
          <w:kern w:val="0"/>
          <w:szCs w:val="21"/>
        </w:rPr>
      </w:pPr>
      <w:r>
        <w:rPr>
          <w:kern w:val="0"/>
          <w:szCs w:val="21"/>
        </w:rPr>
        <w:t>7.联合体要求：本项目不接受联合体参与谈判。</w:t>
      </w:r>
    </w:p>
    <w:p w14:paraId="55B2AC8F">
      <w:pPr>
        <w:adjustRightInd w:val="0"/>
        <w:snapToGrid w:val="0"/>
        <w:spacing w:line="360" w:lineRule="auto"/>
        <w:ind w:firstLine="420" w:firstLineChars="200"/>
        <w:rPr>
          <w:szCs w:val="21"/>
        </w:rPr>
      </w:pPr>
      <w:r>
        <w:rPr>
          <w:kern w:val="0"/>
          <w:szCs w:val="21"/>
        </w:rPr>
        <w:t>注意：只有完全具备以上条件的谈判申请人，才可参与谈判。如谈判申请人未满足以上条件虚报材料，一经查实，该谈判申请人的响应文件将作否决处理。</w:t>
      </w:r>
    </w:p>
    <w:p w14:paraId="55B2AC90">
      <w:pPr>
        <w:adjustRightInd w:val="0"/>
        <w:snapToGrid w:val="0"/>
        <w:spacing w:line="360" w:lineRule="auto"/>
        <w:ind w:firstLine="420" w:firstLineChars="200"/>
        <w:jc w:val="left"/>
        <w:outlineLvl w:val="1"/>
        <w:rPr>
          <w:b/>
          <w:bCs/>
          <w:szCs w:val="21"/>
        </w:rPr>
      </w:pPr>
      <w:bookmarkStart w:id="25" w:name="_Toc535415584"/>
      <w:bookmarkStart w:id="26" w:name="_Toc490599201"/>
      <w:bookmarkStart w:id="27" w:name="_Toc385344432"/>
      <w:r>
        <w:rPr>
          <w:b/>
          <w:bCs/>
          <w:szCs w:val="21"/>
        </w:rPr>
        <w:t>四、谈判文件的获取</w:t>
      </w:r>
      <w:bookmarkEnd w:id="24"/>
      <w:bookmarkEnd w:id="25"/>
      <w:bookmarkEnd w:id="26"/>
      <w:bookmarkEnd w:id="27"/>
    </w:p>
    <w:p w14:paraId="55B2AC91">
      <w:pPr>
        <w:adjustRightInd w:val="0"/>
        <w:snapToGrid w:val="0"/>
        <w:spacing w:line="360" w:lineRule="auto"/>
        <w:ind w:firstLine="420" w:firstLineChars="200"/>
        <w:rPr>
          <w:szCs w:val="21"/>
        </w:rPr>
      </w:pPr>
      <w:r>
        <w:rPr>
          <w:szCs w:val="21"/>
        </w:rPr>
        <w:t>4.1获取谈判文件时间：北京时间2026年</w:t>
      </w:r>
      <w:r>
        <w:rPr>
          <w:rFonts w:hint="eastAsia"/>
          <w:szCs w:val="21"/>
          <w:lang w:val="en-US" w:eastAsia="zh-CN"/>
        </w:rPr>
        <w:t>10</w:t>
      </w:r>
      <w:r>
        <w:rPr>
          <w:szCs w:val="21"/>
        </w:rPr>
        <w:t>月</w:t>
      </w:r>
      <w:r>
        <w:rPr>
          <w:rFonts w:hint="eastAsia"/>
          <w:szCs w:val="21"/>
          <w:lang w:val="en-US" w:eastAsia="zh-CN"/>
        </w:rPr>
        <w:t>23</w:t>
      </w:r>
      <w:r>
        <w:rPr>
          <w:szCs w:val="21"/>
        </w:rPr>
        <w:t>日上午8:00时</w:t>
      </w:r>
      <w:r>
        <w:rPr>
          <w:rFonts w:hint="eastAsia"/>
          <w:szCs w:val="21"/>
          <w:lang w:val="en-US" w:eastAsia="zh-CN"/>
        </w:rPr>
        <w:t>起</w:t>
      </w:r>
      <w:r>
        <w:rPr>
          <w:szCs w:val="21"/>
        </w:rPr>
        <w:t>至2026年</w:t>
      </w:r>
      <w:r>
        <w:rPr>
          <w:rFonts w:hint="eastAsia"/>
          <w:szCs w:val="21"/>
          <w:lang w:val="en-US" w:eastAsia="zh-CN"/>
        </w:rPr>
        <w:t>10</w:t>
      </w:r>
      <w:r>
        <w:rPr>
          <w:szCs w:val="21"/>
        </w:rPr>
        <w:t>月</w:t>
      </w:r>
      <w:r>
        <w:rPr>
          <w:rFonts w:hint="eastAsia"/>
          <w:szCs w:val="21"/>
          <w:lang w:val="en-US" w:eastAsia="zh-CN"/>
        </w:rPr>
        <w:t>27</w:t>
      </w:r>
      <w:r>
        <w:rPr>
          <w:szCs w:val="21"/>
        </w:rPr>
        <w:t>日17:30时</w:t>
      </w:r>
      <w:r>
        <w:rPr>
          <w:rFonts w:hint="eastAsia"/>
          <w:szCs w:val="21"/>
          <w:lang w:val="en-US" w:eastAsia="zh-CN"/>
        </w:rPr>
        <w:t>止</w:t>
      </w:r>
      <w:r>
        <w:rPr>
          <w:szCs w:val="21"/>
        </w:rPr>
        <w:t>。</w:t>
      </w:r>
    </w:p>
    <w:p w14:paraId="55B2AC92">
      <w:pPr>
        <w:adjustRightInd w:val="0"/>
        <w:snapToGrid w:val="0"/>
        <w:spacing w:line="360" w:lineRule="auto"/>
        <w:ind w:firstLine="420" w:firstLineChars="200"/>
        <w:rPr>
          <w:szCs w:val="21"/>
        </w:rPr>
      </w:pPr>
      <w:r>
        <w:rPr>
          <w:szCs w:val="21"/>
        </w:rPr>
        <w:t>4.2获取谈判文件的方式：现场获取谈判文件或汇款获取谈判文件。谈判文件售价为</w:t>
      </w:r>
      <w:r>
        <w:rPr>
          <w:rFonts w:hint="eastAsia"/>
          <w:szCs w:val="21"/>
          <w:lang w:val="en-US" w:eastAsia="zh-CN"/>
        </w:rPr>
        <w:t>6</w:t>
      </w:r>
      <w:r>
        <w:rPr>
          <w:szCs w:val="21"/>
        </w:rPr>
        <w:t>00元每份，售后不退。</w:t>
      </w:r>
    </w:p>
    <w:p w14:paraId="55B2AC93">
      <w:pPr>
        <w:adjustRightInd w:val="0"/>
        <w:snapToGrid w:val="0"/>
        <w:spacing w:line="360" w:lineRule="auto"/>
        <w:ind w:firstLine="420" w:firstLineChars="200"/>
        <w:rPr>
          <w:szCs w:val="21"/>
        </w:rPr>
      </w:pPr>
      <w:r>
        <w:rPr>
          <w:szCs w:val="21"/>
        </w:rPr>
        <w:t>4.2.1现场获取谈判文件时，持单位介绍信原件或授权委托书原件在云南省昆明市五华区人民西路328号云南招标股份有限公司办公楼410室获取。</w:t>
      </w:r>
    </w:p>
    <w:p w14:paraId="55B2AC94">
      <w:pPr>
        <w:adjustRightInd w:val="0"/>
        <w:snapToGrid w:val="0"/>
        <w:spacing w:line="360" w:lineRule="auto"/>
        <w:ind w:firstLine="420" w:firstLineChars="200"/>
        <w:rPr>
          <w:szCs w:val="21"/>
        </w:rPr>
      </w:pPr>
      <w:r>
        <w:rPr>
          <w:szCs w:val="21"/>
        </w:rPr>
        <w:t>4.2.2汇款获取谈判文件时，将电汇凭证（或网银转账凭证）扫描件和单位介绍信原件（或授权委托书原件）扫描件传至40423103@qq.com，并在邮件中注明所获取谈判文件名称、项目编号、谈判申请人名称、纳税人识别号、联系人、联系电话等信息。（汇款信息：户名：云南招标股份有限公司；开户银行：</w:t>
      </w:r>
      <w:r>
        <w:t>富滇银行股份有限公司昆明科技支行</w:t>
      </w:r>
      <w:r>
        <w:rPr>
          <w:szCs w:val="21"/>
        </w:rPr>
        <w:t>；账号：010000100323）</w:t>
      </w:r>
    </w:p>
    <w:p w14:paraId="55B2AC95">
      <w:pPr>
        <w:adjustRightInd w:val="0"/>
        <w:snapToGrid w:val="0"/>
        <w:spacing w:line="360" w:lineRule="auto"/>
        <w:ind w:firstLine="420" w:firstLineChars="200"/>
        <w:jc w:val="left"/>
        <w:outlineLvl w:val="1"/>
        <w:rPr>
          <w:b/>
          <w:bCs/>
          <w:szCs w:val="21"/>
        </w:rPr>
      </w:pPr>
      <w:bookmarkStart w:id="28" w:name="_Toc535415585"/>
      <w:bookmarkStart w:id="29" w:name="_Toc385344433"/>
      <w:bookmarkStart w:id="30" w:name="_Toc490599202"/>
      <w:bookmarkStart w:id="31" w:name="_Toc86124037"/>
      <w:r>
        <w:rPr>
          <w:b/>
          <w:bCs/>
          <w:szCs w:val="21"/>
        </w:rPr>
        <w:t>五、响应文件的</w:t>
      </w:r>
      <w:bookmarkEnd w:id="28"/>
      <w:bookmarkEnd w:id="29"/>
      <w:bookmarkEnd w:id="30"/>
      <w:bookmarkEnd w:id="31"/>
      <w:r>
        <w:rPr>
          <w:b/>
          <w:bCs/>
          <w:szCs w:val="21"/>
        </w:rPr>
        <w:t>提交</w:t>
      </w:r>
    </w:p>
    <w:p w14:paraId="55B2AC96">
      <w:pPr>
        <w:adjustRightInd w:val="0"/>
        <w:spacing w:line="360" w:lineRule="auto"/>
        <w:ind w:firstLine="420" w:firstLineChars="200"/>
        <w:rPr>
          <w:szCs w:val="21"/>
        </w:rPr>
      </w:pPr>
      <w:r>
        <w:rPr>
          <w:szCs w:val="21"/>
        </w:rPr>
        <w:t>5.1提交响应文件截止时间：2026年</w:t>
      </w:r>
      <w:r>
        <w:rPr>
          <w:rFonts w:hint="eastAsia"/>
          <w:szCs w:val="21"/>
        </w:rPr>
        <w:t>10</w:t>
      </w:r>
      <w:r>
        <w:rPr>
          <w:szCs w:val="21"/>
        </w:rPr>
        <w:t>月</w:t>
      </w:r>
      <w:r>
        <w:rPr>
          <w:rFonts w:hint="eastAsia"/>
          <w:szCs w:val="21"/>
        </w:rPr>
        <w:t>30</w:t>
      </w:r>
      <w:r>
        <w:rPr>
          <w:szCs w:val="21"/>
        </w:rPr>
        <w:t>日</w:t>
      </w:r>
      <w:r>
        <w:rPr>
          <w:rFonts w:hint="eastAsia"/>
          <w:szCs w:val="21"/>
        </w:rPr>
        <w:t>10</w:t>
      </w:r>
      <w:r>
        <w:rPr>
          <w:szCs w:val="21"/>
        </w:rPr>
        <w:t>时00分（建议在提交响应文件截止时间前半个小时内递交响应文件）。提交响应文件地点：云南省昆明市五华区人民西路328号云南招标股份有限公司办公楼4楼第3会议室（401室）。</w:t>
      </w:r>
    </w:p>
    <w:p w14:paraId="55B2AC97">
      <w:pPr>
        <w:adjustRightInd w:val="0"/>
        <w:snapToGrid w:val="0"/>
        <w:spacing w:line="360" w:lineRule="auto"/>
        <w:ind w:firstLine="420" w:firstLineChars="200"/>
        <w:rPr>
          <w:szCs w:val="21"/>
        </w:rPr>
      </w:pPr>
      <w:r>
        <w:rPr>
          <w:szCs w:val="21"/>
        </w:rPr>
        <w:t>5.2逾期送达的或者未送达指定地点的响应文件，采购人不予受理。</w:t>
      </w:r>
    </w:p>
    <w:p w14:paraId="55B2AC98">
      <w:pPr>
        <w:adjustRightInd w:val="0"/>
        <w:snapToGrid w:val="0"/>
        <w:spacing w:line="360" w:lineRule="auto"/>
        <w:ind w:firstLine="420" w:firstLineChars="200"/>
        <w:jc w:val="left"/>
        <w:outlineLvl w:val="1"/>
        <w:rPr>
          <w:b/>
          <w:bCs/>
          <w:szCs w:val="21"/>
        </w:rPr>
      </w:pPr>
      <w:bookmarkStart w:id="32" w:name="_Toc535415586"/>
      <w:r>
        <w:rPr>
          <w:b/>
          <w:bCs/>
          <w:szCs w:val="21"/>
        </w:rPr>
        <w:t>六、谈判时间及地点</w:t>
      </w:r>
    </w:p>
    <w:p w14:paraId="55B2AC99">
      <w:pPr>
        <w:adjustRightInd w:val="0"/>
        <w:spacing w:line="360" w:lineRule="auto"/>
        <w:ind w:firstLine="420" w:firstLineChars="200"/>
        <w:rPr>
          <w:szCs w:val="21"/>
        </w:rPr>
      </w:pPr>
      <w:r>
        <w:rPr>
          <w:szCs w:val="21"/>
        </w:rPr>
        <w:t>6.1、谈判时间：2026年</w:t>
      </w:r>
      <w:r>
        <w:rPr>
          <w:rFonts w:hint="eastAsia"/>
          <w:szCs w:val="21"/>
        </w:rPr>
        <w:t>10</w:t>
      </w:r>
      <w:r>
        <w:rPr>
          <w:szCs w:val="21"/>
        </w:rPr>
        <w:t>月</w:t>
      </w:r>
      <w:r>
        <w:rPr>
          <w:rFonts w:hint="eastAsia"/>
          <w:szCs w:val="21"/>
        </w:rPr>
        <w:t>30</w:t>
      </w:r>
      <w:r>
        <w:rPr>
          <w:szCs w:val="21"/>
        </w:rPr>
        <w:t>日</w:t>
      </w:r>
      <w:r>
        <w:rPr>
          <w:rFonts w:hint="eastAsia"/>
          <w:szCs w:val="21"/>
        </w:rPr>
        <w:t>10</w:t>
      </w:r>
      <w:r>
        <w:rPr>
          <w:szCs w:val="21"/>
        </w:rPr>
        <w:t>时00分（北京时间）。</w:t>
      </w:r>
    </w:p>
    <w:p w14:paraId="55B2AC9A">
      <w:pPr>
        <w:adjustRightInd w:val="0"/>
        <w:spacing w:line="360" w:lineRule="auto"/>
        <w:ind w:firstLine="420" w:firstLineChars="200"/>
        <w:rPr>
          <w:szCs w:val="21"/>
        </w:rPr>
      </w:pPr>
      <w:r>
        <w:rPr>
          <w:szCs w:val="21"/>
        </w:rPr>
        <w:t>6.2、谈判地点：云南省昆明市五华区人民西路328号云南招标股份有限公司办公楼4楼第3会议室（401室）。</w:t>
      </w:r>
    </w:p>
    <w:p w14:paraId="55B2AC9B">
      <w:pPr>
        <w:adjustRightInd w:val="0"/>
        <w:snapToGrid w:val="0"/>
        <w:spacing w:line="360" w:lineRule="auto"/>
        <w:ind w:firstLine="420" w:firstLineChars="200"/>
        <w:jc w:val="left"/>
        <w:outlineLvl w:val="1"/>
        <w:rPr>
          <w:b/>
          <w:bCs/>
          <w:szCs w:val="21"/>
        </w:rPr>
      </w:pPr>
      <w:bookmarkStart w:id="33" w:name="_Toc23526704"/>
      <w:bookmarkStart w:id="34" w:name="_Toc149727292"/>
      <w:r>
        <w:rPr>
          <w:b/>
          <w:bCs/>
          <w:szCs w:val="21"/>
        </w:rPr>
        <w:t>七、</w:t>
      </w:r>
      <w:bookmarkEnd w:id="33"/>
      <w:bookmarkStart w:id="35" w:name="_Toc23526705"/>
      <w:r>
        <w:rPr>
          <w:b/>
          <w:bCs/>
          <w:szCs w:val="21"/>
        </w:rPr>
        <w:t>竞争性谈判公告发布媒体</w:t>
      </w:r>
      <w:bookmarkEnd w:id="34"/>
      <w:bookmarkEnd w:id="35"/>
    </w:p>
    <w:p w14:paraId="55B2AC9C">
      <w:pPr>
        <w:adjustRightInd w:val="0"/>
        <w:spacing w:line="360" w:lineRule="auto"/>
        <w:ind w:firstLine="420" w:firstLineChars="200"/>
        <w:rPr>
          <w:szCs w:val="21"/>
        </w:rPr>
      </w:pPr>
      <w:r>
        <w:rPr>
          <w:szCs w:val="21"/>
        </w:rPr>
        <w:t>本次竞争性谈判公告在中国招标投标公共服务平台（http://www.cebpubservice.com）上发布。</w:t>
      </w:r>
    </w:p>
    <w:p w14:paraId="55B2AC9D">
      <w:pPr>
        <w:adjustRightInd w:val="0"/>
        <w:snapToGrid w:val="0"/>
        <w:spacing w:line="360" w:lineRule="auto"/>
        <w:ind w:firstLine="420" w:firstLineChars="200"/>
        <w:jc w:val="left"/>
        <w:outlineLvl w:val="1"/>
        <w:rPr>
          <w:b/>
          <w:bCs/>
          <w:szCs w:val="21"/>
        </w:rPr>
      </w:pPr>
      <w:r>
        <w:rPr>
          <w:b/>
          <w:bCs/>
          <w:szCs w:val="21"/>
        </w:rPr>
        <w:t>八、联系方式</w:t>
      </w:r>
      <w:bookmarkEnd w:id="32"/>
    </w:p>
    <w:p w14:paraId="55B2AC9E">
      <w:pPr>
        <w:adjustRightInd w:val="0"/>
        <w:spacing w:line="360" w:lineRule="auto"/>
        <w:ind w:firstLine="420" w:firstLineChars="200"/>
        <w:rPr>
          <w:szCs w:val="21"/>
        </w:rPr>
      </w:pPr>
      <w:r>
        <w:rPr>
          <w:szCs w:val="21"/>
        </w:rPr>
        <w:t>采购人：</w:t>
      </w:r>
      <w:r>
        <w:rPr>
          <w:rFonts w:hint="eastAsia"/>
          <w:szCs w:val="21"/>
        </w:rPr>
        <w:t>云南中慧能源有限公司</w:t>
      </w:r>
    </w:p>
    <w:p w14:paraId="55B2AC9F">
      <w:pPr>
        <w:adjustRightInd w:val="0"/>
        <w:spacing w:line="360" w:lineRule="auto"/>
        <w:ind w:firstLine="420" w:firstLineChars="200"/>
        <w:rPr>
          <w:szCs w:val="21"/>
        </w:rPr>
      </w:pPr>
      <w:r>
        <w:rPr>
          <w:szCs w:val="21"/>
        </w:rPr>
        <w:t>地  址：云南省文山壮族苗族自治州文山市新闻路46号水务局大楼9-10层</w:t>
      </w:r>
    </w:p>
    <w:p w14:paraId="55B2ACA0">
      <w:pPr>
        <w:adjustRightInd w:val="0"/>
        <w:spacing w:line="360" w:lineRule="auto"/>
        <w:ind w:firstLine="420" w:firstLineChars="200"/>
        <w:rPr>
          <w:szCs w:val="21"/>
        </w:rPr>
      </w:pPr>
      <w:r>
        <w:rPr>
          <w:szCs w:val="21"/>
        </w:rPr>
        <w:t>联系人：</w:t>
      </w:r>
      <w:r>
        <w:rPr>
          <w:rFonts w:hint="eastAsia"/>
          <w:szCs w:val="21"/>
        </w:rPr>
        <w:t>卢老师</w:t>
      </w:r>
      <w:r>
        <w:rPr>
          <w:szCs w:val="21"/>
        </w:rPr>
        <w:t xml:space="preserve">  </w:t>
      </w:r>
      <w:r>
        <w:rPr>
          <w:rFonts w:hint="eastAsia"/>
          <w:szCs w:val="21"/>
        </w:rPr>
        <w:t>汪老师</w:t>
      </w:r>
    </w:p>
    <w:p w14:paraId="55B2ACA1">
      <w:pPr>
        <w:adjustRightInd w:val="0"/>
        <w:spacing w:line="360" w:lineRule="auto"/>
        <w:ind w:firstLine="420" w:firstLineChars="200"/>
        <w:rPr>
          <w:szCs w:val="21"/>
        </w:rPr>
      </w:pPr>
      <w:r>
        <w:rPr>
          <w:szCs w:val="21"/>
        </w:rPr>
        <w:t>联系电话：</w:t>
      </w:r>
      <w:r>
        <w:rPr>
          <w:rFonts w:hint="eastAsia"/>
          <w:szCs w:val="21"/>
        </w:rPr>
        <w:t>18213962992</w:t>
      </w:r>
    </w:p>
    <w:p w14:paraId="55B2ACA2">
      <w:pPr>
        <w:adjustRightInd w:val="0"/>
        <w:spacing w:line="360" w:lineRule="auto"/>
        <w:ind w:firstLine="420" w:firstLineChars="200"/>
        <w:rPr>
          <w:szCs w:val="21"/>
        </w:rPr>
      </w:pPr>
    </w:p>
    <w:p w14:paraId="55B2ACA3">
      <w:pPr>
        <w:adjustRightInd w:val="0"/>
        <w:spacing w:line="360" w:lineRule="auto"/>
        <w:ind w:firstLine="420" w:firstLineChars="200"/>
        <w:rPr>
          <w:szCs w:val="21"/>
        </w:rPr>
      </w:pPr>
      <w:r>
        <w:rPr>
          <w:szCs w:val="21"/>
        </w:rPr>
        <w:t>采购代理机构：云南招标股份有限公司</w:t>
      </w:r>
    </w:p>
    <w:p w14:paraId="55B2ACA4">
      <w:pPr>
        <w:adjustRightInd w:val="0"/>
        <w:spacing w:line="360" w:lineRule="auto"/>
        <w:ind w:firstLine="420" w:firstLineChars="200"/>
        <w:rPr>
          <w:szCs w:val="21"/>
        </w:rPr>
      </w:pPr>
      <w:r>
        <w:rPr>
          <w:szCs w:val="21"/>
        </w:rPr>
        <w:t>地    址：云南省昆明市五华区人民西路328号</w:t>
      </w:r>
    </w:p>
    <w:p w14:paraId="55B2ACA5">
      <w:pPr>
        <w:adjustRightInd w:val="0"/>
        <w:spacing w:line="360" w:lineRule="auto"/>
        <w:ind w:firstLine="420" w:firstLineChars="200"/>
        <w:rPr>
          <w:szCs w:val="21"/>
        </w:rPr>
      </w:pPr>
      <w:r>
        <w:rPr>
          <w:szCs w:val="21"/>
        </w:rPr>
        <w:t>联 系 人：邓昭帅、蒋登星</w:t>
      </w:r>
    </w:p>
    <w:p w14:paraId="55B2ACA6">
      <w:pPr>
        <w:adjustRightInd w:val="0"/>
        <w:spacing w:line="360" w:lineRule="auto"/>
        <w:ind w:firstLine="420" w:firstLineChars="200"/>
        <w:rPr>
          <w:szCs w:val="21"/>
        </w:rPr>
      </w:pPr>
      <w:r>
        <w:rPr>
          <w:szCs w:val="21"/>
        </w:rPr>
        <w:t>电    话：0871-68359985、13888016108</w:t>
      </w:r>
    </w:p>
    <w:p w14:paraId="55B2ACA7">
      <w:pPr>
        <w:adjustRightInd w:val="0"/>
        <w:spacing w:line="360" w:lineRule="auto"/>
        <w:ind w:firstLine="420" w:firstLineChars="200"/>
        <w:rPr>
          <w:szCs w:val="21"/>
        </w:rPr>
      </w:pPr>
      <w:r>
        <w:rPr>
          <w:szCs w:val="21"/>
        </w:rPr>
        <w:t>电子信箱：40423103@qq.com</w:t>
      </w:r>
    </w:p>
    <w:bookmarkEnd w:id="2"/>
    <w:bookmarkEnd w:id="3"/>
    <w:bookmarkEnd w:id="4"/>
    <w:bookmarkEnd w:id="5"/>
    <w:bookmarkEnd w:id="6"/>
    <w:bookmarkEnd w:id="7"/>
    <w:bookmarkEnd w:id="8"/>
    <w:bookmarkEnd w:id="9"/>
    <w:bookmarkEnd w:id="10"/>
    <w:p w14:paraId="55B2ACA8">
      <w:pPr>
        <w:pStyle w:val="2"/>
        <w:jc w:val="center"/>
        <w:rPr>
          <w:rFonts w:ascii="Times New Roman" w:eastAsia="宋体"/>
          <w:color w:val="auto"/>
          <w:sz w:val="32"/>
        </w:rPr>
      </w:pPr>
      <w:bookmarkStart w:id="36" w:name="_Toc383"/>
      <w:bookmarkStart w:id="37" w:name="_Toc46765008"/>
      <w:bookmarkStart w:id="38" w:name="_Toc6687"/>
      <w:r>
        <w:rPr>
          <w:rFonts w:ascii="Times New Roman" w:eastAsia="宋体"/>
          <w:color w:val="auto"/>
          <w:sz w:val="32"/>
        </w:rPr>
        <w:br w:type="page"/>
      </w:r>
      <w:bookmarkStart w:id="39" w:name="_Toc3649"/>
      <w:r>
        <w:rPr>
          <w:rFonts w:ascii="Times New Roman" w:eastAsia="宋体"/>
          <w:color w:val="auto"/>
          <w:sz w:val="32"/>
        </w:rPr>
        <w:t>第二章  谈判申请人须知</w:t>
      </w:r>
      <w:bookmarkEnd w:id="36"/>
      <w:bookmarkEnd w:id="37"/>
      <w:bookmarkEnd w:id="38"/>
      <w:bookmarkEnd w:id="39"/>
    </w:p>
    <w:p w14:paraId="55B2ACA9">
      <w:pPr>
        <w:pStyle w:val="3"/>
        <w:spacing w:before="0"/>
        <w:rPr>
          <w:rFonts w:ascii="Times New Roman" w:hAnsi="Times New Roman"/>
          <w:szCs w:val="28"/>
        </w:rPr>
      </w:pPr>
      <w:bookmarkStart w:id="40" w:name="_Toc86124039"/>
      <w:bookmarkStart w:id="41" w:name="_Toc46765009"/>
      <w:r>
        <w:rPr>
          <w:rFonts w:ascii="Times New Roman" w:hAnsi="Times New Roman"/>
          <w:szCs w:val="28"/>
        </w:rPr>
        <w:t>谈判申请人须知前附表</w:t>
      </w:r>
      <w:bookmarkEnd w:id="40"/>
      <w:bookmarkEnd w:id="41"/>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1455"/>
        <w:gridCol w:w="1459"/>
        <w:gridCol w:w="5650"/>
      </w:tblGrid>
      <w:tr w14:paraId="55B2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1294" w:type="dxa"/>
            <w:vAlign w:val="center"/>
          </w:tcPr>
          <w:p w14:paraId="55B2ACAA">
            <w:pPr>
              <w:autoSpaceDE w:val="0"/>
              <w:autoSpaceDN w:val="0"/>
              <w:adjustRightInd w:val="0"/>
              <w:snapToGrid w:val="0"/>
              <w:jc w:val="center"/>
              <w:rPr>
                <w:b/>
                <w:kern w:val="0"/>
                <w:szCs w:val="21"/>
              </w:rPr>
            </w:pPr>
            <w:r>
              <w:rPr>
                <w:rFonts w:hint="eastAsia"/>
                <w:b/>
                <w:kern w:val="0"/>
                <w:szCs w:val="21"/>
              </w:rPr>
              <w:t>条款号</w:t>
            </w:r>
          </w:p>
        </w:tc>
        <w:tc>
          <w:tcPr>
            <w:tcW w:w="2914" w:type="dxa"/>
            <w:gridSpan w:val="2"/>
            <w:vAlign w:val="center"/>
          </w:tcPr>
          <w:p w14:paraId="55B2ACAB">
            <w:pPr>
              <w:autoSpaceDE w:val="0"/>
              <w:autoSpaceDN w:val="0"/>
              <w:adjustRightInd w:val="0"/>
              <w:snapToGrid w:val="0"/>
              <w:jc w:val="center"/>
              <w:rPr>
                <w:b/>
                <w:kern w:val="0"/>
                <w:szCs w:val="21"/>
              </w:rPr>
            </w:pPr>
            <w:r>
              <w:rPr>
                <w:rFonts w:hint="eastAsia"/>
                <w:b/>
                <w:kern w:val="0"/>
                <w:szCs w:val="21"/>
              </w:rPr>
              <w:t>条款名称</w:t>
            </w:r>
          </w:p>
        </w:tc>
        <w:tc>
          <w:tcPr>
            <w:tcW w:w="5650" w:type="dxa"/>
            <w:vAlign w:val="center"/>
          </w:tcPr>
          <w:p w14:paraId="55B2ACAC">
            <w:pPr>
              <w:autoSpaceDE w:val="0"/>
              <w:autoSpaceDN w:val="0"/>
              <w:adjustRightInd w:val="0"/>
              <w:snapToGrid w:val="0"/>
              <w:jc w:val="center"/>
              <w:rPr>
                <w:b/>
                <w:kern w:val="0"/>
                <w:szCs w:val="21"/>
              </w:rPr>
            </w:pPr>
            <w:r>
              <w:rPr>
                <w:rFonts w:hint="eastAsia"/>
                <w:b/>
                <w:kern w:val="0"/>
                <w:szCs w:val="21"/>
              </w:rPr>
              <w:t>编列内容</w:t>
            </w:r>
          </w:p>
        </w:tc>
      </w:tr>
      <w:tr w14:paraId="55B2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94" w:type="dxa"/>
            <w:vMerge w:val="restart"/>
            <w:vAlign w:val="center"/>
          </w:tcPr>
          <w:p w14:paraId="55B2ACAE">
            <w:pPr>
              <w:autoSpaceDE w:val="0"/>
              <w:autoSpaceDN w:val="0"/>
              <w:adjustRightInd w:val="0"/>
              <w:snapToGrid w:val="0"/>
              <w:jc w:val="center"/>
              <w:rPr>
                <w:kern w:val="0"/>
                <w:szCs w:val="21"/>
              </w:rPr>
            </w:pPr>
            <w:r>
              <w:rPr>
                <w:kern w:val="0"/>
                <w:szCs w:val="21"/>
              </w:rPr>
              <w:t>1.2</w:t>
            </w:r>
          </w:p>
        </w:tc>
        <w:tc>
          <w:tcPr>
            <w:tcW w:w="2914" w:type="dxa"/>
            <w:gridSpan w:val="2"/>
            <w:vAlign w:val="center"/>
          </w:tcPr>
          <w:p w14:paraId="55B2ACAF">
            <w:pPr>
              <w:autoSpaceDE w:val="0"/>
              <w:autoSpaceDN w:val="0"/>
              <w:adjustRightInd w:val="0"/>
              <w:snapToGrid w:val="0"/>
              <w:jc w:val="left"/>
              <w:rPr>
                <w:kern w:val="0"/>
                <w:szCs w:val="21"/>
                <w:u w:val="single"/>
              </w:rPr>
            </w:pPr>
            <w:r>
              <w:rPr>
                <w:bCs/>
                <w:kern w:val="0"/>
                <w:szCs w:val="21"/>
              </w:rPr>
              <w:t>采购人</w:t>
            </w:r>
          </w:p>
        </w:tc>
        <w:tc>
          <w:tcPr>
            <w:tcW w:w="5650" w:type="dxa"/>
            <w:vAlign w:val="center"/>
          </w:tcPr>
          <w:p w14:paraId="55B2ACB0">
            <w:pPr>
              <w:autoSpaceDE w:val="0"/>
              <w:autoSpaceDN w:val="0"/>
              <w:adjustRightInd w:val="0"/>
              <w:snapToGrid w:val="0"/>
              <w:jc w:val="left"/>
              <w:rPr>
                <w:szCs w:val="21"/>
              </w:rPr>
            </w:pPr>
            <w:r>
              <w:rPr>
                <w:rFonts w:hint="eastAsia"/>
                <w:szCs w:val="21"/>
              </w:rPr>
              <w:t>云南中慧能源有限公司</w:t>
            </w:r>
          </w:p>
        </w:tc>
      </w:tr>
      <w:tr w14:paraId="55B2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94" w:type="dxa"/>
            <w:vMerge w:val="continue"/>
            <w:vAlign w:val="center"/>
          </w:tcPr>
          <w:p w14:paraId="55B2ACB2">
            <w:pPr>
              <w:adjustRightInd w:val="0"/>
              <w:snapToGrid w:val="0"/>
              <w:rPr>
                <w:szCs w:val="21"/>
              </w:rPr>
            </w:pPr>
          </w:p>
        </w:tc>
        <w:tc>
          <w:tcPr>
            <w:tcW w:w="2914" w:type="dxa"/>
            <w:gridSpan w:val="2"/>
            <w:vAlign w:val="center"/>
          </w:tcPr>
          <w:p w14:paraId="55B2ACB3">
            <w:pPr>
              <w:autoSpaceDE w:val="0"/>
              <w:autoSpaceDN w:val="0"/>
              <w:adjustRightInd w:val="0"/>
              <w:snapToGrid w:val="0"/>
              <w:jc w:val="left"/>
              <w:rPr>
                <w:bCs/>
                <w:kern w:val="0"/>
                <w:szCs w:val="21"/>
              </w:rPr>
            </w:pPr>
            <w:r>
              <w:rPr>
                <w:bCs/>
                <w:kern w:val="0"/>
                <w:szCs w:val="21"/>
              </w:rPr>
              <w:t>采购代理机构</w:t>
            </w:r>
          </w:p>
        </w:tc>
        <w:tc>
          <w:tcPr>
            <w:tcW w:w="5650" w:type="dxa"/>
            <w:vAlign w:val="center"/>
          </w:tcPr>
          <w:p w14:paraId="55B2ACB4">
            <w:pPr>
              <w:autoSpaceDE w:val="0"/>
              <w:autoSpaceDN w:val="0"/>
              <w:adjustRightInd w:val="0"/>
              <w:snapToGrid w:val="0"/>
              <w:jc w:val="left"/>
              <w:rPr>
                <w:szCs w:val="21"/>
              </w:rPr>
            </w:pPr>
            <w:r>
              <w:rPr>
                <w:szCs w:val="21"/>
              </w:rPr>
              <w:t>云南招标股份有限公司</w:t>
            </w:r>
          </w:p>
        </w:tc>
      </w:tr>
      <w:tr w14:paraId="55B2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94" w:type="dxa"/>
            <w:vMerge w:val="continue"/>
            <w:vAlign w:val="center"/>
          </w:tcPr>
          <w:p w14:paraId="55B2ACB6">
            <w:pPr>
              <w:adjustRightInd w:val="0"/>
              <w:snapToGrid w:val="0"/>
              <w:rPr>
                <w:szCs w:val="21"/>
              </w:rPr>
            </w:pPr>
          </w:p>
        </w:tc>
        <w:tc>
          <w:tcPr>
            <w:tcW w:w="2914" w:type="dxa"/>
            <w:gridSpan w:val="2"/>
            <w:vAlign w:val="center"/>
          </w:tcPr>
          <w:p w14:paraId="55B2ACB7">
            <w:pPr>
              <w:autoSpaceDE w:val="0"/>
              <w:autoSpaceDN w:val="0"/>
              <w:adjustRightInd w:val="0"/>
              <w:snapToGrid w:val="0"/>
              <w:jc w:val="left"/>
              <w:rPr>
                <w:kern w:val="0"/>
                <w:szCs w:val="21"/>
              </w:rPr>
            </w:pPr>
            <w:r>
              <w:rPr>
                <w:rFonts w:hint="eastAsia"/>
                <w:kern w:val="0"/>
                <w:szCs w:val="21"/>
              </w:rPr>
              <w:t>项目名称</w:t>
            </w:r>
          </w:p>
        </w:tc>
        <w:tc>
          <w:tcPr>
            <w:tcW w:w="5650" w:type="dxa"/>
            <w:vAlign w:val="center"/>
          </w:tcPr>
          <w:p w14:paraId="55B2ACB8">
            <w:pPr>
              <w:autoSpaceDE w:val="0"/>
              <w:autoSpaceDN w:val="0"/>
              <w:adjustRightInd w:val="0"/>
              <w:snapToGrid w:val="0"/>
              <w:jc w:val="left"/>
              <w:rPr>
                <w:szCs w:val="21"/>
              </w:rPr>
            </w:pPr>
            <w:r>
              <w:rPr>
                <w:rFonts w:hint="eastAsia"/>
                <w:szCs w:val="21"/>
              </w:rPr>
              <w:t>红河文山输气管道流量计</w:t>
            </w:r>
            <w:r>
              <w:rPr>
                <w:szCs w:val="21"/>
              </w:rPr>
              <w:t>采购</w:t>
            </w:r>
          </w:p>
        </w:tc>
      </w:tr>
      <w:tr w14:paraId="55B2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294" w:type="dxa"/>
            <w:vMerge w:val="continue"/>
            <w:vAlign w:val="center"/>
          </w:tcPr>
          <w:p w14:paraId="55B2ACBA">
            <w:pPr>
              <w:adjustRightInd w:val="0"/>
              <w:snapToGrid w:val="0"/>
              <w:rPr>
                <w:szCs w:val="21"/>
              </w:rPr>
            </w:pPr>
          </w:p>
        </w:tc>
        <w:tc>
          <w:tcPr>
            <w:tcW w:w="2914" w:type="dxa"/>
            <w:gridSpan w:val="2"/>
            <w:vAlign w:val="center"/>
          </w:tcPr>
          <w:p w14:paraId="55B2ACBB">
            <w:pPr>
              <w:autoSpaceDE w:val="0"/>
              <w:autoSpaceDN w:val="0"/>
              <w:adjustRightInd w:val="0"/>
              <w:snapToGrid w:val="0"/>
              <w:jc w:val="left"/>
              <w:rPr>
                <w:kern w:val="0"/>
                <w:szCs w:val="21"/>
              </w:rPr>
            </w:pPr>
            <w:r>
              <w:rPr>
                <w:rFonts w:hint="eastAsia"/>
                <w:kern w:val="0"/>
                <w:szCs w:val="21"/>
              </w:rPr>
              <w:t>项目编号</w:t>
            </w:r>
          </w:p>
        </w:tc>
        <w:tc>
          <w:tcPr>
            <w:tcW w:w="5650" w:type="dxa"/>
            <w:vAlign w:val="center"/>
          </w:tcPr>
          <w:p w14:paraId="55B2ACBC">
            <w:pPr>
              <w:autoSpaceDE w:val="0"/>
              <w:autoSpaceDN w:val="0"/>
              <w:adjustRightInd w:val="0"/>
              <w:snapToGrid w:val="0"/>
              <w:jc w:val="left"/>
              <w:rPr>
                <w:szCs w:val="21"/>
              </w:rPr>
            </w:pPr>
            <w:r>
              <w:rPr>
                <w:rFonts w:hint="eastAsia"/>
                <w:szCs w:val="21"/>
              </w:rPr>
              <w:t>D53A00926001350</w:t>
            </w:r>
          </w:p>
        </w:tc>
      </w:tr>
      <w:tr w14:paraId="55B2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BE">
            <w:pPr>
              <w:autoSpaceDE w:val="0"/>
              <w:autoSpaceDN w:val="0"/>
              <w:adjustRightInd w:val="0"/>
              <w:snapToGrid w:val="0"/>
              <w:jc w:val="center"/>
              <w:rPr>
                <w:kern w:val="0"/>
                <w:szCs w:val="21"/>
              </w:rPr>
            </w:pPr>
            <w:r>
              <w:rPr>
                <w:kern w:val="0"/>
                <w:szCs w:val="21"/>
              </w:rPr>
              <w:t>3.1</w:t>
            </w:r>
          </w:p>
        </w:tc>
        <w:tc>
          <w:tcPr>
            <w:tcW w:w="2914" w:type="dxa"/>
            <w:gridSpan w:val="2"/>
            <w:vAlign w:val="center"/>
          </w:tcPr>
          <w:p w14:paraId="55B2ACBF">
            <w:pPr>
              <w:autoSpaceDE w:val="0"/>
              <w:autoSpaceDN w:val="0"/>
              <w:adjustRightInd w:val="0"/>
              <w:snapToGrid w:val="0"/>
              <w:jc w:val="left"/>
              <w:rPr>
                <w:kern w:val="0"/>
                <w:szCs w:val="21"/>
              </w:rPr>
            </w:pPr>
            <w:r>
              <w:rPr>
                <w:kern w:val="0"/>
                <w:szCs w:val="21"/>
              </w:rPr>
              <w:t>采购内容</w:t>
            </w:r>
          </w:p>
        </w:tc>
        <w:tc>
          <w:tcPr>
            <w:tcW w:w="5650" w:type="dxa"/>
            <w:vAlign w:val="center"/>
          </w:tcPr>
          <w:p w14:paraId="55B2ACC0">
            <w:pPr>
              <w:adjustRightInd w:val="0"/>
              <w:snapToGrid w:val="0"/>
              <w:spacing w:line="360" w:lineRule="auto"/>
              <w:rPr>
                <w:kern w:val="0"/>
                <w:szCs w:val="21"/>
              </w:rPr>
            </w:pPr>
            <w:r>
              <w:rPr>
                <w:szCs w:val="21"/>
              </w:rPr>
              <w:t>同竞争性谈判公告。</w:t>
            </w:r>
          </w:p>
        </w:tc>
      </w:tr>
      <w:tr w14:paraId="55B2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C2">
            <w:pPr>
              <w:autoSpaceDE w:val="0"/>
              <w:autoSpaceDN w:val="0"/>
              <w:adjustRightInd w:val="0"/>
              <w:snapToGrid w:val="0"/>
              <w:jc w:val="center"/>
              <w:rPr>
                <w:kern w:val="0"/>
                <w:szCs w:val="21"/>
              </w:rPr>
            </w:pPr>
            <w:r>
              <w:rPr>
                <w:kern w:val="0"/>
                <w:szCs w:val="21"/>
              </w:rPr>
              <w:t>3.2</w:t>
            </w:r>
          </w:p>
        </w:tc>
        <w:tc>
          <w:tcPr>
            <w:tcW w:w="2914" w:type="dxa"/>
            <w:gridSpan w:val="2"/>
            <w:vAlign w:val="center"/>
          </w:tcPr>
          <w:p w14:paraId="55B2ACC3">
            <w:pPr>
              <w:autoSpaceDE w:val="0"/>
              <w:autoSpaceDN w:val="0"/>
              <w:adjustRightInd w:val="0"/>
              <w:snapToGrid w:val="0"/>
              <w:jc w:val="left"/>
              <w:rPr>
                <w:kern w:val="0"/>
                <w:szCs w:val="21"/>
              </w:rPr>
            </w:pPr>
            <w:r>
              <w:rPr>
                <w:kern w:val="0"/>
                <w:szCs w:val="21"/>
              </w:rPr>
              <w:t>交货周期</w:t>
            </w:r>
          </w:p>
        </w:tc>
        <w:tc>
          <w:tcPr>
            <w:tcW w:w="5650" w:type="dxa"/>
            <w:vAlign w:val="center"/>
          </w:tcPr>
          <w:p w14:paraId="55B2ACC4">
            <w:pPr>
              <w:autoSpaceDE w:val="0"/>
              <w:autoSpaceDN w:val="0"/>
              <w:adjustRightInd w:val="0"/>
              <w:snapToGrid w:val="0"/>
              <w:jc w:val="left"/>
              <w:rPr>
                <w:kern w:val="0"/>
                <w:szCs w:val="21"/>
              </w:rPr>
            </w:pPr>
            <w:r>
              <w:rPr>
                <w:szCs w:val="21"/>
              </w:rPr>
              <w:t>见第一章“竞争性谈判公告”。</w:t>
            </w:r>
          </w:p>
        </w:tc>
      </w:tr>
      <w:tr w14:paraId="55B2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C6">
            <w:pPr>
              <w:autoSpaceDE w:val="0"/>
              <w:autoSpaceDN w:val="0"/>
              <w:adjustRightInd w:val="0"/>
              <w:snapToGrid w:val="0"/>
              <w:jc w:val="center"/>
              <w:rPr>
                <w:kern w:val="0"/>
                <w:szCs w:val="21"/>
              </w:rPr>
            </w:pPr>
            <w:r>
              <w:rPr>
                <w:kern w:val="0"/>
                <w:szCs w:val="21"/>
              </w:rPr>
              <w:t>3.3</w:t>
            </w:r>
          </w:p>
        </w:tc>
        <w:tc>
          <w:tcPr>
            <w:tcW w:w="2914" w:type="dxa"/>
            <w:gridSpan w:val="2"/>
            <w:vAlign w:val="center"/>
          </w:tcPr>
          <w:p w14:paraId="55B2ACC7">
            <w:pPr>
              <w:autoSpaceDE w:val="0"/>
              <w:autoSpaceDN w:val="0"/>
              <w:adjustRightInd w:val="0"/>
              <w:snapToGrid w:val="0"/>
              <w:jc w:val="left"/>
              <w:rPr>
                <w:kern w:val="0"/>
                <w:szCs w:val="21"/>
              </w:rPr>
            </w:pPr>
            <w:r>
              <w:rPr>
                <w:kern w:val="0"/>
                <w:szCs w:val="21"/>
              </w:rPr>
              <w:t>技术性能指标</w:t>
            </w:r>
          </w:p>
        </w:tc>
        <w:tc>
          <w:tcPr>
            <w:tcW w:w="5650" w:type="dxa"/>
            <w:vAlign w:val="center"/>
          </w:tcPr>
          <w:p w14:paraId="55B2ACC8">
            <w:pPr>
              <w:autoSpaceDE w:val="0"/>
              <w:autoSpaceDN w:val="0"/>
              <w:adjustRightInd w:val="0"/>
              <w:snapToGrid w:val="0"/>
              <w:jc w:val="left"/>
              <w:rPr>
                <w:szCs w:val="21"/>
              </w:rPr>
            </w:pPr>
            <w:r>
              <w:rPr>
                <w:szCs w:val="21"/>
              </w:rPr>
              <w:t>见第一章“竞争性谈判公告”。</w:t>
            </w:r>
          </w:p>
        </w:tc>
      </w:tr>
      <w:tr w14:paraId="55B2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CA">
            <w:pPr>
              <w:autoSpaceDE w:val="0"/>
              <w:autoSpaceDN w:val="0"/>
              <w:adjustRightInd w:val="0"/>
              <w:snapToGrid w:val="0"/>
              <w:jc w:val="center"/>
              <w:rPr>
                <w:kern w:val="0"/>
                <w:szCs w:val="21"/>
              </w:rPr>
            </w:pPr>
            <w:r>
              <w:rPr>
                <w:kern w:val="0"/>
                <w:szCs w:val="21"/>
              </w:rPr>
              <w:t>4</w:t>
            </w:r>
          </w:p>
        </w:tc>
        <w:tc>
          <w:tcPr>
            <w:tcW w:w="2914" w:type="dxa"/>
            <w:gridSpan w:val="2"/>
            <w:vAlign w:val="center"/>
          </w:tcPr>
          <w:p w14:paraId="55B2ACCB">
            <w:pPr>
              <w:autoSpaceDE w:val="0"/>
              <w:autoSpaceDN w:val="0"/>
              <w:adjustRightInd w:val="0"/>
              <w:snapToGrid w:val="0"/>
              <w:jc w:val="left"/>
              <w:rPr>
                <w:kern w:val="0"/>
                <w:szCs w:val="21"/>
              </w:rPr>
            </w:pPr>
            <w:r>
              <w:rPr>
                <w:rFonts w:hint="eastAsia"/>
                <w:kern w:val="0"/>
                <w:szCs w:val="21"/>
              </w:rPr>
              <w:t>谈判申请人</w:t>
            </w:r>
            <w:r>
              <w:rPr>
                <w:kern w:val="0"/>
                <w:szCs w:val="21"/>
              </w:rPr>
              <w:t>资格要求</w:t>
            </w:r>
          </w:p>
        </w:tc>
        <w:tc>
          <w:tcPr>
            <w:tcW w:w="5650" w:type="dxa"/>
            <w:vAlign w:val="center"/>
          </w:tcPr>
          <w:p w14:paraId="55B2ACCC">
            <w:pPr>
              <w:adjustRightInd w:val="0"/>
              <w:snapToGrid w:val="0"/>
              <w:rPr>
                <w:szCs w:val="21"/>
              </w:rPr>
            </w:pPr>
            <w:r>
              <w:rPr>
                <w:szCs w:val="21"/>
              </w:rPr>
              <w:t>见第一章“竞争性谈判公告”。</w:t>
            </w:r>
          </w:p>
        </w:tc>
      </w:tr>
      <w:tr w14:paraId="55B2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CE">
            <w:pPr>
              <w:autoSpaceDE w:val="0"/>
              <w:autoSpaceDN w:val="0"/>
              <w:adjustRightInd w:val="0"/>
              <w:snapToGrid w:val="0"/>
              <w:jc w:val="center"/>
              <w:rPr>
                <w:kern w:val="0"/>
                <w:szCs w:val="21"/>
              </w:rPr>
            </w:pPr>
            <w:r>
              <w:rPr>
                <w:kern w:val="0"/>
                <w:szCs w:val="21"/>
              </w:rPr>
              <w:t>7.1</w:t>
            </w:r>
          </w:p>
        </w:tc>
        <w:tc>
          <w:tcPr>
            <w:tcW w:w="2914" w:type="dxa"/>
            <w:gridSpan w:val="2"/>
            <w:vAlign w:val="center"/>
          </w:tcPr>
          <w:p w14:paraId="55B2ACCF">
            <w:pPr>
              <w:autoSpaceDE w:val="0"/>
              <w:autoSpaceDN w:val="0"/>
              <w:adjustRightInd w:val="0"/>
              <w:snapToGrid w:val="0"/>
              <w:textAlignment w:val="bottom"/>
              <w:rPr>
                <w:kern w:val="0"/>
                <w:szCs w:val="21"/>
              </w:rPr>
            </w:pPr>
            <w:r>
              <w:rPr>
                <w:rFonts w:hint="eastAsia"/>
                <w:kern w:val="0"/>
                <w:szCs w:val="21"/>
              </w:rPr>
              <w:t>谈判文件</w:t>
            </w:r>
            <w:r>
              <w:rPr>
                <w:kern w:val="0"/>
                <w:szCs w:val="21"/>
              </w:rPr>
              <w:t>澄清</w:t>
            </w:r>
            <w:r>
              <w:rPr>
                <w:szCs w:val="21"/>
              </w:rPr>
              <w:t>截止时间</w:t>
            </w:r>
          </w:p>
        </w:tc>
        <w:tc>
          <w:tcPr>
            <w:tcW w:w="5650" w:type="dxa"/>
            <w:vAlign w:val="center"/>
          </w:tcPr>
          <w:p w14:paraId="55B2ACD0">
            <w:pPr>
              <w:autoSpaceDE w:val="0"/>
              <w:autoSpaceDN w:val="0"/>
              <w:adjustRightInd w:val="0"/>
              <w:snapToGrid w:val="0"/>
              <w:textAlignment w:val="bottom"/>
              <w:rPr>
                <w:kern w:val="0"/>
                <w:szCs w:val="21"/>
              </w:rPr>
            </w:pPr>
            <w:r>
              <w:rPr>
                <w:szCs w:val="21"/>
              </w:rPr>
              <w:t>提交响应文件截止时间3日前</w:t>
            </w:r>
          </w:p>
        </w:tc>
      </w:tr>
      <w:tr w14:paraId="55B2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294" w:type="dxa"/>
            <w:vAlign w:val="center"/>
          </w:tcPr>
          <w:p w14:paraId="55B2ACD2">
            <w:pPr>
              <w:autoSpaceDE w:val="0"/>
              <w:autoSpaceDN w:val="0"/>
              <w:adjustRightInd w:val="0"/>
              <w:snapToGrid w:val="0"/>
              <w:jc w:val="center"/>
              <w:rPr>
                <w:kern w:val="0"/>
                <w:szCs w:val="21"/>
              </w:rPr>
            </w:pPr>
            <w:r>
              <w:rPr>
                <w:kern w:val="0"/>
                <w:szCs w:val="21"/>
              </w:rPr>
              <w:t>7.5</w:t>
            </w:r>
          </w:p>
        </w:tc>
        <w:tc>
          <w:tcPr>
            <w:tcW w:w="2914" w:type="dxa"/>
            <w:gridSpan w:val="2"/>
            <w:vAlign w:val="center"/>
          </w:tcPr>
          <w:p w14:paraId="55B2ACD3">
            <w:pPr>
              <w:autoSpaceDE w:val="0"/>
              <w:autoSpaceDN w:val="0"/>
              <w:adjustRightInd w:val="0"/>
              <w:snapToGrid w:val="0"/>
              <w:textAlignment w:val="bottom"/>
              <w:rPr>
                <w:kern w:val="0"/>
                <w:szCs w:val="21"/>
              </w:rPr>
            </w:pPr>
            <w:r>
              <w:rPr>
                <w:szCs w:val="21"/>
              </w:rPr>
              <w:t>本项目谈判小组根据与谈判申请人谈判情况可能实质性变动的内容</w:t>
            </w:r>
          </w:p>
        </w:tc>
        <w:tc>
          <w:tcPr>
            <w:tcW w:w="5650" w:type="dxa"/>
            <w:vAlign w:val="center"/>
          </w:tcPr>
          <w:p w14:paraId="55B2ACD4">
            <w:pPr>
              <w:autoSpaceDE w:val="0"/>
              <w:autoSpaceDN w:val="0"/>
              <w:adjustRightInd w:val="0"/>
              <w:snapToGrid w:val="0"/>
              <w:textAlignment w:val="bottom"/>
              <w:rPr>
                <w:szCs w:val="21"/>
              </w:rPr>
            </w:pPr>
            <w:r>
              <w:rPr>
                <w:szCs w:val="21"/>
              </w:rPr>
              <w:t>在谈判过程中，谈判小组可以根据谈判文件和谈判情况实质性变动采购需求中的技术、服务要求以及合同草案条款，但不得变动谈判文件中的其他内容。实质性变动的内容，须经采购人代表确认。</w:t>
            </w:r>
          </w:p>
        </w:tc>
      </w:tr>
      <w:tr w14:paraId="55B2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294" w:type="dxa"/>
            <w:vAlign w:val="center"/>
          </w:tcPr>
          <w:p w14:paraId="55B2ACD6">
            <w:pPr>
              <w:autoSpaceDE w:val="0"/>
              <w:autoSpaceDN w:val="0"/>
              <w:adjustRightInd w:val="0"/>
              <w:snapToGrid w:val="0"/>
              <w:jc w:val="center"/>
              <w:rPr>
                <w:kern w:val="0"/>
                <w:szCs w:val="21"/>
              </w:rPr>
            </w:pPr>
            <w:r>
              <w:rPr>
                <w:rFonts w:hint="eastAsia"/>
                <w:kern w:val="0"/>
                <w:szCs w:val="21"/>
              </w:rPr>
              <w:t>9.1</w:t>
            </w:r>
            <w:r>
              <w:rPr>
                <w:rFonts w:hint="eastAsia"/>
                <w:kern w:val="0"/>
                <w:szCs w:val="21"/>
                <w:lang w:eastAsia="zh-CN"/>
              </w:rPr>
              <w:t>(</w:t>
            </w:r>
            <w:r>
              <w:rPr>
                <w:kern w:val="0"/>
                <w:szCs w:val="21"/>
              </w:rPr>
              <w:t>8</w:t>
            </w:r>
            <w:r>
              <w:rPr>
                <w:rFonts w:hint="eastAsia"/>
                <w:kern w:val="0"/>
                <w:szCs w:val="21"/>
                <w:lang w:eastAsia="zh-CN"/>
              </w:rPr>
              <w:t>)</w:t>
            </w:r>
          </w:p>
        </w:tc>
        <w:tc>
          <w:tcPr>
            <w:tcW w:w="1455" w:type="dxa"/>
            <w:vAlign w:val="center"/>
          </w:tcPr>
          <w:p w14:paraId="55B2ACD7">
            <w:pPr>
              <w:autoSpaceDE w:val="0"/>
              <w:autoSpaceDN w:val="0"/>
              <w:adjustRightInd w:val="0"/>
              <w:snapToGrid w:val="0"/>
              <w:jc w:val="center"/>
              <w:rPr>
                <w:kern w:val="0"/>
                <w:szCs w:val="21"/>
              </w:rPr>
            </w:pPr>
            <w:r>
              <w:rPr>
                <w:rFonts w:hint="eastAsia"/>
                <w:kern w:val="0"/>
                <w:szCs w:val="21"/>
              </w:rPr>
              <w:t>构成响应文件的其他资料</w:t>
            </w:r>
          </w:p>
        </w:tc>
        <w:tc>
          <w:tcPr>
            <w:tcW w:w="1459" w:type="dxa"/>
            <w:vAlign w:val="center"/>
          </w:tcPr>
          <w:p w14:paraId="55B2ACD8">
            <w:pPr>
              <w:autoSpaceDE w:val="0"/>
              <w:autoSpaceDN w:val="0"/>
              <w:adjustRightInd w:val="0"/>
              <w:snapToGrid w:val="0"/>
              <w:jc w:val="center"/>
              <w:textAlignment w:val="bottom"/>
              <w:rPr>
                <w:kern w:val="0"/>
                <w:szCs w:val="21"/>
              </w:rPr>
            </w:pPr>
            <w:r>
              <w:rPr>
                <w:rFonts w:hint="eastAsia"/>
                <w:kern w:val="0"/>
                <w:szCs w:val="21"/>
              </w:rPr>
              <w:t>其他材料</w:t>
            </w:r>
          </w:p>
        </w:tc>
        <w:tc>
          <w:tcPr>
            <w:tcW w:w="5650" w:type="dxa"/>
            <w:vAlign w:val="center"/>
          </w:tcPr>
          <w:p w14:paraId="55B2ACD9">
            <w:pPr>
              <w:autoSpaceDE w:val="0"/>
              <w:autoSpaceDN w:val="0"/>
              <w:adjustRightInd w:val="0"/>
              <w:snapToGrid w:val="0"/>
              <w:textAlignment w:val="bottom"/>
              <w:rPr>
                <w:bCs/>
                <w:szCs w:val="21"/>
              </w:rPr>
            </w:pPr>
            <w:r>
              <w:rPr>
                <w:rFonts w:hint="eastAsia"/>
                <w:bCs/>
                <w:szCs w:val="21"/>
                <w:lang w:eastAsia="zh-CN"/>
              </w:rPr>
              <w:t>1.</w:t>
            </w:r>
            <w:r>
              <w:rPr>
                <w:bCs/>
                <w:szCs w:val="21"/>
              </w:rPr>
              <w:t>第五章“ 供货及技术要求”中要求提供的其他资料；</w:t>
            </w:r>
          </w:p>
          <w:p w14:paraId="55B2ACDA">
            <w:pPr>
              <w:autoSpaceDE w:val="0"/>
              <w:autoSpaceDN w:val="0"/>
              <w:adjustRightInd w:val="0"/>
              <w:snapToGrid w:val="0"/>
              <w:jc w:val="left"/>
              <w:rPr>
                <w:kern w:val="0"/>
                <w:szCs w:val="21"/>
              </w:rPr>
            </w:pPr>
            <w:r>
              <w:rPr>
                <w:rFonts w:hint="eastAsia"/>
                <w:bCs/>
                <w:szCs w:val="21"/>
                <w:lang w:eastAsia="zh-CN"/>
              </w:rPr>
              <w:t>2.</w:t>
            </w:r>
            <w:r>
              <w:rPr>
                <w:bCs/>
                <w:szCs w:val="21"/>
              </w:rPr>
              <w:t>谈判文件中所</w:t>
            </w:r>
            <w:r>
              <w:rPr>
                <w:rFonts w:hint="eastAsia"/>
                <w:bCs/>
                <w:szCs w:val="21"/>
                <w:lang w:eastAsia="zh-CN"/>
              </w:rPr>
              <w:t>涉及</w:t>
            </w:r>
            <w:r>
              <w:rPr>
                <w:bCs/>
                <w:szCs w:val="21"/>
              </w:rPr>
              <w:t>的相关资料及证明文件或谈判申请人认为必须提供的其他相关资料。</w:t>
            </w:r>
          </w:p>
        </w:tc>
      </w:tr>
      <w:tr w14:paraId="55B2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DC">
            <w:pPr>
              <w:autoSpaceDE w:val="0"/>
              <w:autoSpaceDN w:val="0"/>
              <w:adjustRightInd w:val="0"/>
              <w:snapToGrid w:val="0"/>
              <w:jc w:val="center"/>
              <w:rPr>
                <w:kern w:val="0"/>
                <w:szCs w:val="21"/>
              </w:rPr>
            </w:pPr>
            <w:r>
              <w:rPr>
                <w:kern w:val="0"/>
                <w:szCs w:val="21"/>
              </w:rPr>
              <w:t>11.1</w:t>
            </w:r>
          </w:p>
        </w:tc>
        <w:tc>
          <w:tcPr>
            <w:tcW w:w="2914" w:type="dxa"/>
            <w:gridSpan w:val="2"/>
            <w:vAlign w:val="center"/>
          </w:tcPr>
          <w:p w14:paraId="55B2ACDD">
            <w:pPr>
              <w:autoSpaceDE w:val="0"/>
              <w:autoSpaceDN w:val="0"/>
              <w:adjustRightInd w:val="0"/>
              <w:snapToGrid w:val="0"/>
              <w:jc w:val="left"/>
              <w:rPr>
                <w:kern w:val="0"/>
                <w:szCs w:val="21"/>
              </w:rPr>
            </w:pPr>
            <w:r>
              <w:rPr>
                <w:rFonts w:hint="eastAsia"/>
                <w:kern w:val="0"/>
                <w:szCs w:val="21"/>
              </w:rPr>
              <w:t>响应文件有效期</w:t>
            </w:r>
          </w:p>
        </w:tc>
        <w:tc>
          <w:tcPr>
            <w:tcW w:w="5650" w:type="dxa"/>
            <w:vAlign w:val="center"/>
          </w:tcPr>
          <w:p w14:paraId="55B2ACDE">
            <w:pPr>
              <w:autoSpaceDE w:val="0"/>
              <w:autoSpaceDN w:val="0"/>
              <w:adjustRightInd w:val="0"/>
              <w:snapToGrid w:val="0"/>
              <w:jc w:val="left"/>
              <w:rPr>
                <w:kern w:val="0"/>
                <w:szCs w:val="21"/>
              </w:rPr>
            </w:pPr>
            <w:r>
              <w:rPr>
                <w:rFonts w:hint="eastAsia"/>
                <w:kern w:val="0"/>
                <w:szCs w:val="21"/>
              </w:rPr>
              <w:t>递交响应文件的截止日期后</w:t>
            </w:r>
            <w:r>
              <w:rPr>
                <w:kern w:val="0"/>
                <w:szCs w:val="21"/>
                <w:u w:val="single"/>
              </w:rPr>
              <w:t>120</w:t>
            </w:r>
            <w:r>
              <w:rPr>
                <w:szCs w:val="21"/>
              </w:rPr>
              <w:t>日历</w:t>
            </w:r>
            <w:r>
              <w:rPr>
                <w:rFonts w:hint="eastAsia"/>
                <w:kern w:val="0"/>
                <w:szCs w:val="21"/>
              </w:rPr>
              <w:t>天</w:t>
            </w:r>
          </w:p>
        </w:tc>
      </w:tr>
      <w:tr w14:paraId="55B2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E0">
            <w:pPr>
              <w:autoSpaceDE w:val="0"/>
              <w:autoSpaceDN w:val="0"/>
              <w:adjustRightInd w:val="0"/>
              <w:snapToGrid w:val="0"/>
              <w:jc w:val="center"/>
              <w:rPr>
                <w:kern w:val="0"/>
                <w:szCs w:val="21"/>
              </w:rPr>
            </w:pPr>
            <w:r>
              <w:rPr>
                <w:kern w:val="0"/>
                <w:szCs w:val="21"/>
              </w:rPr>
              <w:t>12.4</w:t>
            </w:r>
          </w:p>
        </w:tc>
        <w:tc>
          <w:tcPr>
            <w:tcW w:w="2914" w:type="dxa"/>
            <w:gridSpan w:val="2"/>
            <w:vAlign w:val="center"/>
          </w:tcPr>
          <w:p w14:paraId="55B2ACE1">
            <w:pPr>
              <w:autoSpaceDE w:val="0"/>
              <w:autoSpaceDN w:val="0"/>
              <w:adjustRightInd w:val="0"/>
              <w:snapToGrid w:val="0"/>
              <w:jc w:val="left"/>
              <w:rPr>
                <w:kern w:val="0"/>
                <w:szCs w:val="21"/>
              </w:rPr>
            </w:pPr>
            <w:r>
              <w:rPr>
                <w:rFonts w:hint="eastAsia"/>
                <w:kern w:val="0"/>
                <w:szCs w:val="21"/>
              </w:rPr>
              <w:t>响应文件份数</w:t>
            </w:r>
          </w:p>
        </w:tc>
        <w:tc>
          <w:tcPr>
            <w:tcW w:w="5650" w:type="dxa"/>
            <w:vAlign w:val="center"/>
          </w:tcPr>
          <w:p w14:paraId="55B2ACE2">
            <w:pPr>
              <w:pStyle w:val="12"/>
              <w:rPr>
                <w:rFonts w:ascii="Times New Roman" w:hAnsi="Times New Roman"/>
              </w:rPr>
            </w:pPr>
            <w:r>
              <w:rPr>
                <w:rFonts w:ascii="Times New Roman" w:hAnsi="Times New Roman"/>
              </w:rPr>
              <w:t>文本响应文件：正本一份，副本二份。</w:t>
            </w:r>
          </w:p>
          <w:p w14:paraId="55B2ACE3">
            <w:pPr>
              <w:autoSpaceDE w:val="0"/>
              <w:autoSpaceDN w:val="0"/>
              <w:adjustRightInd w:val="0"/>
              <w:snapToGrid w:val="0"/>
              <w:jc w:val="left"/>
              <w:rPr>
                <w:kern w:val="0"/>
                <w:szCs w:val="21"/>
              </w:rPr>
            </w:pPr>
            <w:r>
              <w:rPr>
                <w:szCs w:val="21"/>
              </w:rPr>
              <w:t>电子响应文件：一份（电子U盘，内容与文本响应文件一致的扫描件，签字盖章后响应文件所有内容（包含封面）彩色扫描至pdf格式）。</w:t>
            </w:r>
          </w:p>
        </w:tc>
      </w:tr>
      <w:tr w14:paraId="55B2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E5">
            <w:pPr>
              <w:autoSpaceDE w:val="0"/>
              <w:autoSpaceDN w:val="0"/>
              <w:adjustRightInd w:val="0"/>
              <w:snapToGrid w:val="0"/>
              <w:jc w:val="center"/>
              <w:rPr>
                <w:kern w:val="0"/>
                <w:szCs w:val="21"/>
              </w:rPr>
            </w:pPr>
            <w:r>
              <w:rPr>
                <w:kern w:val="0"/>
                <w:szCs w:val="21"/>
              </w:rPr>
              <w:t>13.1</w:t>
            </w:r>
          </w:p>
        </w:tc>
        <w:tc>
          <w:tcPr>
            <w:tcW w:w="2914" w:type="dxa"/>
            <w:gridSpan w:val="2"/>
            <w:vAlign w:val="center"/>
          </w:tcPr>
          <w:p w14:paraId="55B2ACE6">
            <w:pPr>
              <w:autoSpaceDE w:val="0"/>
              <w:autoSpaceDN w:val="0"/>
              <w:adjustRightInd w:val="0"/>
              <w:snapToGrid w:val="0"/>
              <w:jc w:val="left"/>
              <w:rPr>
                <w:kern w:val="0"/>
                <w:szCs w:val="21"/>
              </w:rPr>
            </w:pPr>
            <w:r>
              <w:rPr>
                <w:kern w:val="0"/>
                <w:szCs w:val="21"/>
              </w:rPr>
              <w:t>谈判</w:t>
            </w:r>
            <w:r>
              <w:rPr>
                <w:rFonts w:hint="eastAsia"/>
                <w:kern w:val="0"/>
                <w:szCs w:val="21"/>
              </w:rPr>
              <w:t>保证金</w:t>
            </w:r>
          </w:p>
        </w:tc>
        <w:tc>
          <w:tcPr>
            <w:tcW w:w="5650" w:type="dxa"/>
            <w:vAlign w:val="center"/>
          </w:tcPr>
          <w:p w14:paraId="55B2ACE7">
            <w:pPr>
              <w:adjustRightInd w:val="0"/>
              <w:spacing w:line="300" w:lineRule="auto"/>
              <w:textAlignment w:val="baseline"/>
            </w:pPr>
            <w:r>
              <w:t>谈判保证金的形式：通过网银、电汇等形式打款至项目专项账户</w:t>
            </w:r>
          </w:p>
          <w:p w14:paraId="55B2ACE8">
            <w:pPr>
              <w:adjustRightInd w:val="0"/>
              <w:spacing w:line="300" w:lineRule="auto"/>
              <w:textAlignment w:val="baseline"/>
            </w:pPr>
            <w:r>
              <w:t>谈判保证金的金额：人民币</w:t>
            </w:r>
            <w:r>
              <w:rPr>
                <w:rFonts w:hint="eastAsia"/>
              </w:rPr>
              <w:t>壹万</w:t>
            </w:r>
            <w:r>
              <w:t>元整（¥</w:t>
            </w:r>
            <w:r>
              <w:rPr>
                <w:rFonts w:hint="eastAsia"/>
              </w:rPr>
              <w:t>1</w:t>
            </w:r>
            <w:r>
              <w:t>0,000.00</w:t>
            </w:r>
            <w:r>
              <w:rPr>
                <w:rFonts w:hint="eastAsia"/>
              </w:rPr>
              <w:t>元</w:t>
            </w:r>
            <w:r>
              <w:t>）</w:t>
            </w:r>
          </w:p>
          <w:p w14:paraId="55B2ACE9">
            <w:pPr>
              <w:adjustRightInd w:val="0"/>
              <w:spacing w:line="300" w:lineRule="auto"/>
              <w:textAlignment w:val="baseline"/>
            </w:pPr>
            <w:r>
              <w:t>谈判保证金缴纳截止时间：2026年</w:t>
            </w:r>
            <w:r>
              <w:rPr>
                <w:rFonts w:hint="eastAsia"/>
              </w:rPr>
              <w:t>10</w:t>
            </w:r>
            <w:r>
              <w:t>月</w:t>
            </w:r>
            <w:r>
              <w:rPr>
                <w:rFonts w:hint="eastAsia"/>
              </w:rPr>
              <w:t>30</w:t>
            </w:r>
            <w:r>
              <w:t>日1</w:t>
            </w:r>
            <w:r>
              <w:rPr>
                <w:rFonts w:hint="eastAsia"/>
              </w:rPr>
              <w:t>0</w:t>
            </w:r>
            <w:r>
              <w:t>时00分以前，到账时间以项目专项账户实际到账时间为准，未按时到账的保证金视为未提交。</w:t>
            </w:r>
          </w:p>
          <w:p w14:paraId="55B2ACEA">
            <w:pPr>
              <w:adjustRightInd w:val="0"/>
              <w:spacing w:line="300" w:lineRule="auto"/>
              <w:textAlignment w:val="baseline"/>
            </w:pPr>
            <w:r>
              <w:t>谈判保证金缴纳信息如下：</w:t>
            </w:r>
          </w:p>
          <w:p w14:paraId="55B2ACEB">
            <w:pPr>
              <w:adjustRightInd w:val="0"/>
              <w:spacing w:line="300" w:lineRule="auto"/>
              <w:textAlignment w:val="baseline"/>
            </w:pPr>
            <w:r>
              <w:t>开户名称：云南招标股份有限公司；</w:t>
            </w:r>
          </w:p>
          <w:p w14:paraId="55B2ACEC">
            <w:pPr>
              <w:adjustRightInd w:val="0"/>
              <w:spacing w:line="300" w:lineRule="auto"/>
              <w:textAlignment w:val="baseline"/>
            </w:pPr>
            <w:r>
              <w:t>开户银行：富滇银行股份有限公司昆明科技支行；</w:t>
            </w:r>
          </w:p>
          <w:p w14:paraId="55B2ACED">
            <w:pPr>
              <w:adjustRightInd w:val="0"/>
              <w:spacing w:line="300" w:lineRule="auto"/>
              <w:textAlignment w:val="baseline"/>
            </w:pPr>
            <w:r>
              <w:t>开户账号：</w:t>
            </w:r>
            <w:r>
              <w:rPr>
                <w:rFonts w:hint="eastAsia"/>
              </w:rPr>
              <w:t>010000100323</w:t>
            </w:r>
            <w:r>
              <w:rPr>
                <w:rFonts w:hint="eastAsia"/>
                <w:lang w:eastAsia="zh-CN"/>
              </w:rPr>
              <w:t>；</w:t>
            </w:r>
          </w:p>
          <w:p w14:paraId="55B2ACEE">
            <w:pPr>
              <w:adjustRightInd w:val="0"/>
              <w:spacing w:line="300" w:lineRule="auto"/>
              <w:textAlignment w:val="baseline"/>
            </w:pPr>
            <w:r>
              <w:t>联系人：邓昭帅、蒋登星</w:t>
            </w:r>
          </w:p>
          <w:p w14:paraId="55B2ACEF">
            <w:pPr>
              <w:adjustRightInd w:val="0"/>
              <w:spacing w:line="300" w:lineRule="auto"/>
              <w:textAlignment w:val="baseline"/>
            </w:pPr>
            <w:r>
              <w:t>联系电话：0871-68359985</w:t>
            </w:r>
          </w:p>
          <w:p w14:paraId="55B2ACF0">
            <w:pPr>
              <w:adjustRightInd w:val="0"/>
              <w:spacing w:line="300" w:lineRule="auto"/>
              <w:textAlignment w:val="baseline"/>
            </w:pPr>
            <w:r>
              <w:t>谈判保证金须从</w:t>
            </w:r>
            <w:r>
              <w:rPr>
                <w:rFonts w:hint="eastAsia"/>
              </w:rPr>
              <w:t>谈判申请人</w:t>
            </w:r>
            <w:r>
              <w:t>基本账户转出；</w:t>
            </w:r>
          </w:p>
          <w:p w14:paraId="55B2ACF1">
            <w:pPr>
              <w:adjustRightInd w:val="0"/>
              <w:snapToGrid w:val="0"/>
              <w:rPr>
                <w:szCs w:val="21"/>
              </w:rPr>
            </w:pPr>
            <w:r>
              <w:t>拒绝私人账户汇款及银行存现。</w:t>
            </w:r>
          </w:p>
        </w:tc>
      </w:tr>
      <w:tr w14:paraId="55B2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F3">
            <w:pPr>
              <w:adjustRightInd w:val="0"/>
              <w:snapToGrid w:val="0"/>
              <w:jc w:val="center"/>
              <w:rPr>
                <w:szCs w:val="21"/>
              </w:rPr>
            </w:pPr>
            <w:r>
              <w:rPr>
                <w:szCs w:val="21"/>
              </w:rPr>
              <w:t>15.1</w:t>
            </w:r>
          </w:p>
        </w:tc>
        <w:tc>
          <w:tcPr>
            <w:tcW w:w="2914" w:type="dxa"/>
            <w:gridSpan w:val="2"/>
            <w:vAlign w:val="center"/>
          </w:tcPr>
          <w:p w14:paraId="55B2ACF4">
            <w:pPr>
              <w:autoSpaceDE w:val="0"/>
              <w:autoSpaceDN w:val="0"/>
              <w:adjustRightInd w:val="0"/>
              <w:snapToGrid w:val="0"/>
              <w:jc w:val="left"/>
              <w:rPr>
                <w:kern w:val="0"/>
                <w:szCs w:val="21"/>
              </w:rPr>
            </w:pPr>
            <w:r>
              <w:rPr>
                <w:rFonts w:hint="eastAsia"/>
                <w:kern w:val="0"/>
                <w:szCs w:val="21"/>
              </w:rPr>
              <w:t>递交响应文件的截止时间</w:t>
            </w:r>
          </w:p>
        </w:tc>
        <w:tc>
          <w:tcPr>
            <w:tcW w:w="5650" w:type="dxa"/>
            <w:vAlign w:val="center"/>
          </w:tcPr>
          <w:p w14:paraId="55B2ACF5">
            <w:pPr>
              <w:pStyle w:val="12"/>
              <w:rPr>
                <w:rFonts w:ascii="Times New Roman" w:hAnsi="Times New Roman"/>
                <w:kern w:val="0"/>
              </w:rPr>
            </w:pPr>
            <w:r>
              <w:rPr>
                <w:rFonts w:ascii="Times New Roman" w:hAnsi="Times New Roman"/>
              </w:rPr>
              <w:t>2026年</w:t>
            </w:r>
            <w:r>
              <w:rPr>
                <w:rFonts w:hint="eastAsia" w:ascii="Times New Roman" w:hAnsi="Times New Roman"/>
              </w:rPr>
              <w:t>10</w:t>
            </w:r>
            <w:r>
              <w:rPr>
                <w:rFonts w:ascii="Times New Roman" w:hAnsi="Times New Roman"/>
              </w:rPr>
              <w:t>月</w:t>
            </w:r>
            <w:r>
              <w:rPr>
                <w:rFonts w:hint="eastAsia" w:ascii="Times New Roman" w:hAnsi="Times New Roman"/>
              </w:rPr>
              <w:t>30</w:t>
            </w:r>
            <w:r>
              <w:rPr>
                <w:rFonts w:ascii="Times New Roman" w:hAnsi="Times New Roman"/>
              </w:rPr>
              <w:t>日</w:t>
            </w:r>
            <w:r>
              <w:rPr>
                <w:rFonts w:hint="eastAsia" w:ascii="Times New Roman" w:hAnsi="Times New Roman"/>
              </w:rPr>
              <w:t>10</w:t>
            </w:r>
            <w:r>
              <w:rPr>
                <w:rFonts w:ascii="Times New Roman" w:hAnsi="Times New Roman"/>
              </w:rPr>
              <w:t>时00分（北京时间）</w:t>
            </w:r>
          </w:p>
        </w:tc>
      </w:tr>
      <w:tr w14:paraId="55B2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F7">
            <w:pPr>
              <w:adjustRightInd w:val="0"/>
              <w:snapToGrid w:val="0"/>
              <w:jc w:val="center"/>
              <w:rPr>
                <w:szCs w:val="21"/>
              </w:rPr>
            </w:pPr>
            <w:r>
              <w:rPr>
                <w:szCs w:val="21"/>
              </w:rPr>
              <w:t>15.2</w:t>
            </w:r>
          </w:p>
        </w:tc>
        <w:tc>
          <w:tcPr>
            <w:tcW w:w="2914" w:type="dxa"/>
            <w:gridSpan w:val="2"/>
            <w:vAlign w:val="center"/>
          </w:tcPr>
          <w:p w14:paraId="55B2ACF8">
            <w:pPr>
              <w:autoSpaceDE w:val="0"/>
              <w:autoSpaceDN w:val="0"/>
              <w:adjustRightInd w:val="0"/>
              <w:snapToGrid w:val="0"/>
              <w:jc w:val="left"/>
              <w:rPr>
                <w:kern w:val="0"/>
                <w:szCs w:val="21"/>
              </w:rPr>
            </w:pPr>
            <w:r>
              <w:rPr>
                <w:rFonts w:hint="eastAsia"/>
                <w:kern w:val="0"/>
                <w:szCs w:val="21"/>
              </w:rPr>
              <w:t>递交响应文件地点</w:t>
            </w:r>
          </w:p>
        </w:tc>
        <w:tc>
          <w:tcPr>
            <w:tcW w:w="5650" w:type="dxa"/>
            <w:vAlign w:val="center"/>
          </w:tcPr>
          <w:p w14:paraId="55B2ACF9">
            <w:pPr>
              <w:pStyle w:val="12"/>
              <w:rPr>
                <w:rFonts w:ascii="Times New Roman" w:hAnsi="Times New Roman"/>
                <w:kern w:val="0"/>
              </w:rPr>
            </w:pPr>
            <w:r>
              <w:rPr>
                <w:rFonts w:ascii="Times New Roman" w:hAnsi="Times New Roman"/>
              </w:rPr>
              <w:t>云南省昆明市五华区人民西路328号云南招标股份有限公司办公楼4楼第3会议室（401室）</w:t>
            </w:r>
          </w:p>
        </w:tc>
      </w:tr>
      <w:tr w14:paraId="55B2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FB">
            <w:pPr>
              <w:adjustRightInd w:val="0"/>
              <w:snapToGrid w:val="0"/>
              <w:jc w:val="center"/>
              <w:rPr>
                <w:szCs w:val="21"/>
              </w:rPr>
            </w:pPr>
            <w:r>
              <w:rPr>
                <w:szCs w:val="21"/>
              </w:rPr>
              <w:t>15.3</w:t>
            </w:r>
          </w:p>
        </w:tc>
        <w:tc>
          <w:tcPr>
            <w:tcW w:w="2914" w:type="dxa"/>
            <w:gridSpan w:val="2"/>
            <w:vAlign w:val="center"/>
          </w:tcPr>
          <w:p w14:paraId="55B2ACFC">
            <w:pPr>
              <w:autoSpaceDE w:val="0"/>
              <w:autoSpaceDN w:val="0"/>
              <w:adjustRightInd w:val="0"/>
              <w:snapToGrid w:val="0"/>
              <w:jc w:val="left"/>
              <w:rPr>
                <w:kern w:val="0"/>
                <w:szCs w:val="21"/>
              </w:rPr>
            </w:pPr>
            <w:r>
              <w:rPr>
                <w:rFonts w:hint="eastAsia"/>
                <w:kern w:val="0"/>
                <w:szCs w:val="21"/>
              </w:rPr>
              <w:t>是否退还响应文件</w:t>
            </w:r>
          </w:p>
        </w:tc>
        <w:tc>
          <w:tcPr>
            <w:tcW w:w="5650" w:type="dxa"/>
            <w:vAlign w:val="center"/>
          </w:tcPr>
          <w:p w14:paraId="55B2ACFD">
            <w:pPr>
              <w:autoSpaceDE w:val="0"/>
              <w:autoSpaceDN w:val="0"/>
              <w:adjustRightInd w:val="0"/>
              <w:snapToGrid w:val="0"/>
              <w:jc w:val="left"/>
              <w:rPr>
                <w:kern w:val="0"/>
                <w:szCs w:val="21"/>
              </w:rPr>
            </w:pPr>
            <w:r>
              <w:rPr>
                <w:rFonts w:hint="eastAsia"/>
                <w:kern w:val="0"/>
                <w:szCs w:val="21"/>
              </w:rPr>
              <w:t>否</w:t>
            </w:r>
          </w:p>
        </w:tc>
      </w:tr>
      <w:tr w14:paraId="55B2A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CFF">
            <w:pPr>
              <w:autoSpaceDE w:val="0"/>
              <w:autoSpaceDN w:val="0"/>
              <w:adjustRightInd w:val="0"/>
              <w:snapToGrid w:val="0"/>
              <w:jc w:val="center"/>
              <w:rPr>
                <w:kern w:val="0"/>
                <w:szCs w:val="21"/>
              </w:rPr>
            </w:pPr>
            <w:r>
              <w:rPr>
                <w:kern w:val="0"/>
                <w:szCs w:val="21"/>
              </w:rPr>
              <w:t>16.1</w:t>
            </w:r>
          </w:p>
        </w:tc>
        <w:tc>
          <w:tcPr>
            <w:tcW w:w="2914" w:type="dxa"/>
            <w:gridSpan w:val="2"/>
            <w:vAlign w:val="center"/>
          </w:tcPr>
          <w:p w14:paraId="55B2AD00">
            <w:pPr>
              <w:autoSpaceDE w:val="0"/>
              <w:autoSpaceDN w:val="0"/>
              <w:adjustRightInd w:val="0"/>
              <w:snapToGrid w:val="0"/>
              <w:jc w:val="left"/>
              <w:rPr>
                <w:kern w:val="0"/>
                <w:szCs w:val="21"/>
              </w:rPr>
            </w:pPr>
            <w:r>
              <w:rPr>
                <w:kern w:val="0"/>
                <w:szCs w:val="21"/>
              </w:rPr>
              <w:t>谈判时间和地点</w:t>
            </w:r>
          </w:p>
        </w:tc>
        <w:tc>
          <w:tcPr>
            <w:tcW w:w="5650" w:type="dxa"/>
            <w:vAlign w:val="center"/>
          </w:tcPr>
          <w:p w14:paraId="55B2AD01">
            <w:pPr>
              <w:pStyle w:val="12"/>
              <w:rPr>
                <w:rFonts w:ascii="Times New Roman" w:hAnsi="Times New Roman"/>
              </w:rPr>
            </w:pPr>
            <w:r>
              <w:rPr>
                <w:rFonts w:ascii="Times New Roman" w:hAnsi="Times New Roman"/>
              </w:rPr>
              <w:t>谈判时间：2026年</w:t>
            </w:r>
            <w:r>
              <w:rPr>
                <w:rFonts w:hint="eastAsia" w:ascii="Times New Roman" w:hAnsi="Times New Roman"/>
              </w:rPr>
              <w:t>10</w:t>
            </w:r>
            <w:r>
              <w:rPr>
                <w:rFonts w:ascii="Times New Roman" w:hAnsi="Times New Roman"/>
              </w:rPr>
              <w:t>月</w:t>
            </w:r>
            <w:r>
              <w:rPr>
                <w:rFonts w:hint="eastAsia" w:ascii="Times New Roman" w:hAnsi="Times New Roman"/>
              </w:rPr>
              <w:t>30</w:t>
            </w:r>
            <w:r>
              <w:rPr>
                <w:rFonts w:ascii="Times New Roman" w:hAnsi="Times New Roman"/>
              </w:rPr>
              <w:t>日</w:t>
            </w:r>
            <w:r>
              <w:rPr>
                <w:rFonts w:hint="eastAsia" w:ascii="Times New Roman" w:hAnsi="Times New Roman"/>
              </w:rPr>
              <w:t>10</w:t>
            </w:r>
            <w:r>
              <w:rPr>
                <w:rFonts w:ascii="Times New Roman" w:hAnsi="Times New Roman"/>
              </w:rPr>
              <w:t>时00分（北京时间）</w:t>
            </w:r>
          </w:p>
          <w:p w14:paraId="55B2AD02">
            <w:pPr>
              <w:autoSpaceDE w:val="0"/>
              <w:autoSpaceDN w:val="0"/>
              <w:adjustRightInd w:val="0"/>
              <w:snapToGrid w:val="0"/>
              <w:rPr>
                <w:kern w:val="0"/>
                <w:szCs w:val="21"/>
              </w:rPr>
            </w:pPr>
            <w:r>
              <w:rPr>
                <w:szCs w:val="21"/>
              </w:rPr>
              <w:t>谈判地点：云南省昆明市五华区人民西路328号云南招标股份有限公司办公楼4楼第3会议室（401室）</w:t>
            </w:r>
          </w:p>
        </w:tc>
      </w:tr>
      <w:tr w14:paraId="55B2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D04">
            <w:pPr>
              <w:autoSpaceDE w:val="0"/>
              <w:autoSpaceDN w:val="0"/>
              <w:adjustRightInd w:val="0"/>
              <w:snapToGrid w:val="0"/>
              <w:jc w:val="center"/>
              <w:rPr>
                <w:kern w:val="0"/>
                <w:szCs w:val="21"/>
              </w:rPr>
            </w:pPr>
            <w:r>
              <w:rPr>
                <w:kern w:val="0"/>
                <w:szCs w:val="21"/>
              </w:rPr>
              <w:t>16.4</w:t>
            </w:r>
          </w:p>
        </w:tc>
        <w:tc>
          <w:tcPr>
            <w:tcW w:w="2914" w:type="dxa"/>
            <w:gridSpan w:val="2"/>
            <w:vAlign w:val="center"/>
          </w:tcPr>
          <w:p w14:paraId="55B2AD05">
            <w:pPr>
              <w:autoSpaceDE w:val="0"/>
              <w:autoSpaceDN w:val="0"/>
              <w:adjustRightInd w:val="0"/>
              <w:snapToGrid w:val="0"/>
              <w:jc w:val="left"/>
              <w:rPr>
                <w:kern w:val="0"/>
                <w:szCs w:val="21"/>
              </w:rPr>
            </w:pPr>
            <w:r>
              <w:rPr>
                <w:rFonts w:hint="eastAsia"/>
                <w:kern w:val="0"/>
                <w:szCs w:val="21"/>
              </w:rPr>
              <w:t>谈判程序和评审方法</w:t>
            </w:r>
          </w:p>
        </w:tc>
        <w:tc>
          <w:tcPr>
            <w:tcW w:w="5650" w:type="dxa"/>
            <w:vAlign w:val="center"/>
          </w:tcPr>
          <w:p w14:paraId="55B2AD06">
            <w:pPr>
              <w:autoSpaceDE w:val="0"/>
              <w:autoSpaceDN w:val="0"/>
              <w:adjustRightInd w:val="0"/>
              <w:snapToGrid w:val="0"/>
              <w:rPr>
                <w:kern w:val="0"/>
                <w:szCs w:val="21"/>
              </w:rPr>
            </w:pPr>
            <w:r>
              <w:rPr>
                <w:szCs w:val="21"/>
              </w:rPr>
              <w:t>见评审办法</w:t>
            </w:r>
          </w:p>
        </w:tc>
      </w:tr>
      <w:tr w14:paraId="55B2A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D08">
            <w:pPr>
              <w:autoSpaceDE w:val="0"/>
              <w:autoSpaceDN w:val="0"/>
              <w:adjustRightInd w:val="0"/>
              <w:snapToGrid w:val="0"/>
              <w:jc w:val="center"/>
              <w:rPr>
                <w:kern w:val="0"/>
                <w:szCs w:val="21"/>
              </w:rPr>
            </w:pPr>
            <w:r>
              <w:rPr>
                <w:kern w:val="0"/>
                <w:szCs w:val="21"/>
              </w:rPr>
              <w:t>21</w:t>
            </w:r>
          </w:p>
        </w:tc>
        <w:tc>
          <w:tcPr>
            <w:tcW w:w="2914" w:type="dxa"/>
            <w:gridSpan w:val="2"/>
            <w:vAlign w:val="center"/>
          </w:tcPr>
          <w:p w14:paraId="55B2AD09">
            <w:pPr>
              <w:autoSpaceDE w:val="0"/>
              <w:autoSpaceDN w:val="0"/>
              <w:adjustRightInd w:val="0"/>
              <w:snapToGrid w:val="0"/>
              <w:jc w:val="left"/>
              <w:rPr>
                <w:kern w:val="0"/>
                <w:szCs w:val="21"/>
              </w:rPr>
            </w:pPr>
            <w:r>
              <w:rPr>
                <w:kern w:val="0"/>
                <w:szCs w:val="21"/>
              </w:rPr>
              <w:t>履约担保</w:t>
            </w:r>
          </w:p>
        </w:tc>
        <w:tc>
          <w:tcPr>
            <w:tcW w:w="5650" w:type="dxa"/>
            <w:vAlign w:val="center"/>
          </w:tcPr>
          <w:p w14:paraId="55B2AD0A">
            <w:pPr>
              <w:spacing w:line="360" w:lineRule="auto"/>
              <w:rPr>
                <w:szCs w:val="21"/>
              </w:rPr>
            </w:pPr>
            <w:r>
              <w:rPr>
                <w:szCs w:val="21"/>
              </w:rPr>
              <w:t>履约担保的形式：履约保函或现金等。</w:t>
            </w:r>
          </w:p>
          <w:p w14:paraId="55B2AD0B">
            <w:pPr>
              <w:autoSpaceDE w:val="0"/>
              <w:autoSpaceDN w:val="0"/>
              <w:adjustRightInd w:val="0"/>
              <w:snapToGrid w:val="0"/>
              <w:jc w:val="left"/>
              <w:rPr>
                <w:kern w:val="0"/>
                <w:szCs w:val="21"/>
              </w:rPr>
            </w:pPr>
            <w:r>
              <w:rPr>
                <w:szCs w:val="21"/>
              </w:rPr>
              <w:t>履约担保的金额：合同价款的10%。</w:t>
            </w:r>
          </w:p>
        </w:tc>
      </w:tr>
      <w:tr w14:paraId="55B2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D0D">
            <w:pPr>
              <w:pStyle w:val="12"/>
              <w:jc w:val="center"/>
              <w:rPr>
                <w:rFonts w:ascii="Times New Roman" w:hAnsi="Times New Roman"/>
                <w:kern w:val="0"/>
              </w:rPr>
            </w:pPr>
            <w:r>
              <w:rPr>
                <w:rFonts w:ascii="Times New Roman" w:hAnsi="Times New Roman"/>
              </w:rPr>
              <w:t>24.1</w:t>
            </w:r>
          </w:p>
        </w:tc>
        <w:tc>
          <w:tcPr>
            <w:tcW w:w="8564" w:type="dxa"/>
            <w:gridSpan w:val="3"/>
            <w:vAlign w:val="center"/>
          </w:tcPr>
          <w:p w14:paraId="55B2AD0E">
            <w:pPr>
              <w:pStyle w:val="12"/>
              <w:rPr>
                <w:rFonts w:ascii="Times New Roman" w:hAnsi="Times New Roman"/>
                <w:kern w:val="0"/>
              </w:rPr>
            </w:pPr>
            <w:r>
              <w:rPr>
                <w:rFonts w:hint="eastAsia" w:ascii="Times New Roman" w:hAnsi="Times New Roman"/>
              </w:rPr>
              <w:t>需要补充的其他内容</w:t>
            </w:r>
          </w:p>
        </w:tc>
      </w:tr>
      <w:tr w14:paraId="55B2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D10">
            <w:pPr>
              <w:pStyle w:val="12"/>
              <w:jc w:val="center"/>
              <w:rPr>
                <w:rFonts w:ascii="Times New Roman" w:hAnsi="Times New Roman"/>
                <w:kern w:val="0"/>
              </w:rPr>
            </w:pPr>
            <w:r>
              <w:rPr>
                <w:rFonts w:hint="eastAsia" w:ascii="Times New Roman" w:hAnsi="Times New Roman"/>
                <w:lang w:eastAsia="zh-CN"/>
              </w:rPr>
              <w:t>(</w:t>
            </w:r>
            <w:r>
              <w:rPr>
                <w:rFonts w:ascii="Times New Roman" w:hAnsi="Times New Roman"/>
              </w:rPr>
              <w:t>1</w:t>
            </w:r>
            <w:r>
              <w:rPr>
                <w:rFonts w:hint="eastAsia" w:ascii="Times New Roman" w:hAnsi="Times New Roman"/>
                <w:lang w:eastAsia="zh-CN"/>
              </w:rPr>
              <w:t>)</w:t>
            </w:r>
          </w:p>
        </w:tc>
        <w:tc>
          <w:tcPr>
            <w:tcW w:w="8564" w:type="dxa"/>
            <w:gridSpan w:val="3"/>
            <w:vAlign w:val="center"/>
          </w:tcPr>
          <w:p w14:paraId="55B2AD11">
            <w:pPr>
              <w:pStyle w:val="12"/>
              <w:rPr>
                <w:rFonts w:ascii="Times New Roman" w:hAnsi="Times New Roman"/>
              </w:rPr>
            </w:pPr>
            <w:r>
              <w:rPr>
                <w:rFonts w:ascii="Times New Roman" w:hAnsi="Times New Roman"/>
              </w:rPr>
              <w:t>知识产权：构成本竞争性谈判文件各个组成部分的文件，未经采购人书面同意，供应商不得擅自复印和用于非本项目所需的其他目的。</w:t>
            </w:r>
          </w:p>
        </w:tc>
      </w:tr>
      <w:tr w14:paraId="55B2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D13">
            <w:pPr>
              <w:pStyle w:val="12"/>
              <w:jc w:val="center"/>
              <w:rPr>
                <w:rFonts w:ascii="Times New Roman" w:hAnsi="Times New Roman"/>
                <w:kern w:val="0"/>
              </w:rPr>
            </w:pPr>
            <w:r>
              <w:rPr>
                <w:rFonts w:hint="eastAsia" w:ascii="Times New Roman" w:hAnsi="Times New Roman"/>
                <w:lang w:eastAsia="zh-CN"/>
              </w:rPr>
              <w:t>(</w:t>
            </w:r>
            <w:r>
              <w:rPr>
                <w:rFonts w:ascii="Times New Roman" w:hAnsi="Times New Roman"/>
              </w:rPr>
              <w:t>2</w:t>
            </w:r>
            <w:r>
              <w:rPr>
                <w:rFonts w:hint="eastAsia" w:ascii="Times New Roman" w:hAnsi="Times New Roman"/>
                <w:lang w:eastAsia="zh-CN"/>
              </w:rPr>
              <w:t>)</w:t>
            </w:r>
          </w:p>
        </w:tc>
        <w:tc>
          <w:tcPr>
            <w:tcW w:w="8564" w:type="dxa"/>
            <w:gridSpan w:val="3"/>
            <w:vAlign w:val="center"/>
          </w:tcPr>
          <w:p w14:paraId="55B2AD14">
            <w:pPr>
              <w:pStyle w:val="12"/>
              <w:spacing w:line="340" w:lineRule="exact"/>
              <w:rPr>
                <w:rFonts w:ascii="Times New Roman" w:hAnsi="Times New Roman"/>
              </w:rPr>
            </w:pPr>
            <w:r>
              <w:rPr>
                <w:rFonts w:ascii="Times New Roman" w:hAnsi="Times New Roman"/>
              </w:rPr>
              <w:t>采购代理服务费：</w:t>
            </w:r>
          </w:p>
          <w:p w14:paraId="55B2AD15">
            <w:pPr>
              <w:pStyle w:val="12"/>
              <w:spacing w:line="340" w:lineRule="exact"/>
              <w:rPr>
                <w:rFonts w:ascii="Times New Roman" w:hAnsi="Times New Roman"/>
              </w:rPr>
            </w:pPr>
            <w:r>
              <w:rPr>
                <w:rFonts w:ascii="Times New Roman" w:hAnsi="Times New Roman"/>
              </w:rPr>
              <w:t>1.按国家发展计划委员会计价格</w:t>
            </w:r>
            <w:r>
              <w:rPr>
                <w:rFonts w:hint="eastAsia" w:ascii="Times New Roman" w:hAnsi="Times New Roman"/>
              </w:rPr>
              <w:t>〔2002〕1980号</w:t>
            </w:r>
            <w:r>
              <w:rPr>
                <w:rFonts w:ascii="Times New Roman" w:hAnsi="Times New Roman"/>
              </w:rPr>
              <w:t>文《招标代理服务收费管理暂行办法》及发改办价格</w:t>
            </w:r>
            <w:r>
              <w:rPr>
                <w:rFonts w:hint="eastAsia" w:ascii="Times New Roman" w:hAnsi="Times New Roman"/>
              </w:rPr>
              <w:t>〔2003〕857号</w:t>
            </w:r>
            <w:r>
              <w:rPr>
                <w:rFonts w:ascii="Times New Roman" w:hAnsi="Times New Roman"/>
              </w:rPr>
              <w:t>文《国家发展改革委办公厅关于招标代理服务费有关问题的通知》执行，收费按照招标代理服务费中“货物招标”的标准下浮</w:t>
            </w:r>
            <w:r>
              <w:rPr>
                <w:rFonts w:hint="eastAsia" w:ascii="Times New Roman" w:hAnsi="Times New Roman"/>
                <w:lang w:val="en-US" w:eastAsia="zh-CN"/>
              </w:rPr>
              <w:t>68</w:t>
            </w:r>
            <w:r>
              <w:rPr>
                <w:rFonts w:ascii="Times New Roman" w:hAnsi="Times New Roman"/>
              </w:rPr>
              <w:t>%向成交人收取，收费的计算基数为成交人针对本项目的成交报价。</w:t>
            </w:r>
          </w:p>
          <w:p w14:paraId="55B2AD16">
            <w:pPr>
              <w:pStyle w:val="12"/>
              <w:rPr>
                <w:rFonts w:ascii="Times New Roman" w:hAnsi="Times New Roman"/>
              </w:rPr>
            </w:pPr>
            <w:r>
              <w:rPr>
                <w:rFonts w:ascii="Times New Roman" w:hAnsi="Times New Roman"/>
              </w:rPr>
              <w:t>2.采购代理服务收费方式：网银、电汇。开户名称：云南招标股份有限公司。开户银行：富滇银行股份有限公司昆明科技支行。账号：</w:t>
            </w:r>
            <w:r>
              <w:rPr>
                <w:rFonts w:hint="eastAsia" w:ascii="Times New Roman" w:hAnsi="Times New Roman"/>
                <w:lang w:eastAsia="zh-CN"/>
              </w:rPr>
              <w:t>010000100323</w:t>
            </w:r>
            <w:r>
              <w:rPr>
                <w:rFonts w:hint="eastAsia" w:ascii="Times New Roman" w:hAnsi="Times New Roman"/>
              </w:rPr>
              <w:t>。</w:t>
            </w:r>
          </w:p>
        </w:tc>
      </w:tr>
      <w:tr w14:paraId="55B2A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D18">
            <w:pPr>
              <w:pStyle w:val="12"/>
              <w:jc w:val="center"/>
              <w:rPr>
                <w:rFonts w:ascii="Times New Roman" w:hAnsi="Times New Roman"/>
                <w:kern w:val="0"/>
              </w:rPr>
            </w:pPr>
            <w:r>
              <w:rPr>
                <w:rFonts w:hint="eastAsia" w:ascii="Times New Roman" w:hAnsi="Times New Roman"/>
                <w:lang w:eastAsia="zh-CN"/>
              </w:rPr>
              <w:t>(</w:t>
            </w:r>
            <w:r>
              <w:rPr>
                <w:rFonts w:ascii="Times New Roman" w:hAnsi="Times New Roman"/>
              </w:rPr>
              <w:t>3</w:t>
            </w:r>
            <w:r>
              <w:rPr>
                <w:rFonts w:hint="eastAsia" w:ascii="Times New Roman" w:hAnsi="Times New Roman"/>
                <w:lang w:eastAsia="zh-CN"/>
              </w:rPr>
              <w:t>)</w:t>
            </w:r>
          </w:p>
        </w:tc>
        <w:tc>
          <w:tcPr>
            <w:tcW w:w="8564" w:type="dxa"/>
            <w:gridSpan w:val="3"/>
            <w:vAlign w:val="center"/>
          </w:tcPr>
          <w:p w14:paraId="55B2AD19">
            <w:pPr>
              <w:pStyle w:val="12"/>
              <w:rPr>
                <w:rFonts w:ascii="Times New Roman" w:hAnsi="Times New Roman"/>
              </w:rPr>
            </w:pPr>
            <w:r>
              <w:rPr>
                <w:rFonts w:ascii="Times New Roman" w:hAnsi="Times New Roman"/>
              </w:rPr>
              <w:t>响应文件中需要加盖单位公章的部位，如以其他印鉴的代替，必须出具有效授权，否则视其</w:t>
            </w:r>
            <w:r>
              <w:rPr>
                <w:rFonts w:hint="eastAsia" w:ascii="Times New Roman" w:hAnsi="Times New Roman"/>
              </w:rPr>
              <w:t>响应文件</w:t>
            </w:r>
            <w:r>
              <w:rPr>
                <w:rFonts w:ascii="Times New Roman" w:hAnsi="Times New Roman"/>
              </w:rPr>
              <w:t>无效；需要签字的部位，不得以打印的签名或签字章代替，否则视其</w:t>
            </w:r>
            <w:r>
              <w:rPr>
                <w:rFonts w:hint="eastAsia" w:ascii="Times New Roman" w:hAnsi="Times New Roman"/>
              </w:rPr>
              <w:t>响应文件</w:t>
            </w:r>
            <w:r>
              <w:rPr>
                <w:rFonts w:ascii="Times New Roman" w:hAnsi="Times New Roman"/>
              </w:rPr>
              <w:t>无效。</w:t>
            </w:r>
          </w:p>
        </w:tc>
      </w:tr>
      <w:tr w14:paraId="55B2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94" w:type="dxa"/>
            <w:vAlign w:val="center"/>
          </w:tcPr>
          <w:p w14:paraId="55B2AD1B">
            <w:pPr>
              <w:pStyle w:val="12"/>
              <w:jc w:val="center"/>
              <w:rPr>
                <w:rFonts w:ascii="Times New Roman" w:hAnsi="Times New Roman"/>
              </w:rPr>
            </w:pPr>
            <w:r>
              <w:rPr>
                <w:rFonts w:hint="eastAsia" w:ascii="Times New Roman" w:hAnsi="Times New Roman"/>
                <w:lang w:eastAsia="zh-CN"/>
              </w:rPr>
              <w:t>(</w:t>
            </w:r>
            <w:r>
              <w:rPr>
                <w:rFonts w:ascii="Times New Roman" w:hAnsi="Times New Roman"/>
              </w:rPr>
              <w:t>4</w:t>
            </w:r>
            <w:r>
              <w:rPr>
                <w:rFonts w:hint="eastAsia" w:ascii="Times New Roman" w:hAnsi="Times New Roman"/>
                <w:lang w:eastAsia="zh-CN"/>
              </w:rPr>
              <w:t>)</w:t>
            </w:r>
          </w:p>
        </w:tc>
        <w:tc>
          <w:tcPr>
            <w:tcW w:w="8564" w:type="dxa"/>
            <w:gridSpan w:val="3"/>
            <w:vAlign w:val="center"/>
          </w:tcPr>
          <w:p w14:paraId="55B2AD1C">
            <w:pPr>
              <w:pStyle w:val="12"/>
              <w:rPr>
                <w:rFonts w:ascii="Times New Roman" w:hAnsi="Times New Roman"/>
              </w:rPr>
            </w:pPr>
            <w:r>
              <w:rPr>
                <w:rFonts w:ascii="Times New Roman" w:hAnsi="Times New Roman"/>
              </w:rPr>
              <w:t>采购控制价：¥70.00万元（人民币柒拾万元整），谈判申请人报价超过采购控制价的实质性评审按不合格处理。</w:t>
            </w:r>
          </w:p>
        </w:tc>
      </w:tr>
    </w:tbl>
    <w:p w14:paraId="55B2AD1E">
      <w:pPr>
        <w:pStyle w:val="3"/>
        <w:rPr>
          <w:rFonts w:ascii="Times New Roman" w:hAnsi="Times New Roman"/>
          <w:sz w:val="21"/>
          <w:szCs w:val="21"/>
        </w:rPr>
      </w:pPr>
      <w:r>
        <w:rPr>
          <w:rFonts w:ascii="Times New Roman" w:hAnsi="Times New Roman"/>
          <w:szCs w:val="28"/>
        </w:rPr>
        <w:br w:type="page"/>
      </w:r>
      <w:r>
        <w:rPr>
          <w:rFonts w:ascii="Times New Roman" w:hAnsi="Times New Roman"/>
          <w:sz w:val="21"/>
          <w:szCs w:val="21"/>
        </w:rPr>
        <w:t>一、总则</w:t>
      </w:r>
    </w:p>
    <w:p w14:paraId="55B2AD1F">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42" w:name="_Toc535415589"/>
      <w:bookmarkStart w:id="43" w:name="_Toc490599205"/>
      <w:bookmarkStart w:id="44" w:name="_Toc385344438"/>
      <w:bookmarkStart w:id="45" w:name="_Toc4744"/>
      <w:r>
        <w:rPr>
          <w:rFonts w:ascii="Times New Roman" w:hAnsi="Times New Roman"/>
          <w:b/>
          <w:bCs/>
          <w:szCs w:val="21"/>
        </w:rPr>
        <w:t>项目概况</w:t>
      </w:r>
      <w:bookmarkEnd w:id="42"/>
      <w:bookmarkEnd w:id="43"/>
      <w:bookmarkEnd w:id="44"/>
      <w:bookmarkEnd w:id="45"/>
    </w:p>
    <w:p w14:paraId="55B2AD20">
      <w:pPr>
        <w:adjustRightInd w:val="0"/>
        <w:snapToGrid w:val="0"/>
        <w:spacing w:line="360" w:lineRule="auto"/>
        <w:ind w:firstLine="420" w:firstLineChars="200"/>
        <w:jc w:val="left"/>
        <w:rPr>
          <w:szCs w:val="21"/>
        </w:rPr>
      </w:pPr>
      <w:r>
        <w:rPr>
          <w:szCs w:val="21"/>
        </w:rPr>
        <w:t>1.1参照有关法律、法规和规章的规定，本项目已获批准，现对本项目采购进行竞争性谈判采购。</w:t>
      </w:r>
    </w:p>
    <w:p w14:paraId="55B2AD21">
      <w:pPr>
        <w:adjustRightInd w:val="0"/>
        <w:snapToGrid w:val="0"/>
        <w:spacing w:line="360" w:lineRule="auto"/>
        <w:ind w:firstLine="420" w:firstLineChars="200"/>
        <w:jc w:val="left"/>
        <w:rPr>
          <w:szCs w:val="21"/>
        </w:rPr>
      </w:pPr>
      <w:r>
        <w:rPr>
          <w:szCs w:val="21"/>
        </w:rPr>
        <w:t>1.2本项目采购人、采购代理机构、项目名称及项目编号：见“</w:t>
      </w:r>
      <w:r>
        <w:rPr>
          <w:b/>
          <w:bCs/>
          <w:szCs w:val="21"/>
        </w:rPr>
        <w:t>谈判申请人须知前附表</w:t>
      </w:r>
      <w:r>
        <w:rPr>
          <w:szCs w:val="21"/>
        </w:rPr>
        <w:t>”。</w:t>
      </w:r>
    </w:p>
    <w:p w14:paraId="55B2AD22">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46" w:name="_Toc385344439"/>
      <w:bookmarkStart w:id="47" w:name="_Toc535415590"/>
      <w:bookmarkStart w:id="48" w:name="_Toc490599206"/>
      <w:bookmarkStart w:id="49" w:name="_Toc28932"/>
      <w:r>
        <w:rPr>
          <w:rFonts w:ascii="Times New Roman" w:hAnsi="Times New Roman"/>
          <w:b/>
          <w:bCs/>
          <w:szCs w:val="21"/>
        </w:rPr>
        <w:t>资金来源</w:t>
      </w:r>
      <w:bookmarkEnd w:id="46"/>
      <w:bookmarkEnd w:id="47"/>
      <w:bookmarkEnd w:id="48"/>
      <w:bookmarkEnd w:id="49"/>
    </w:p>
    <w:p w14:paraId="55B2AD23">
      <w:pPr>
        <w:adjustRightInd w:val="0"/>
        <w:snapToGrid w:val="0"/>
        <w:spacing w:line="360" w:lineRule="auto"/>
        <w:ind w:firstLine="420" w:firstLineChars="200"/>
        <w:jc w:val="left"/>
        <w:rPr>
          <w:szCs w:val="21"/>
        </w:rPr>
      </w:pPr>
      <w:r>
        <w:rPr>
          <w:szCs w:val="21"/>
        </w:rPr>
        <w:t>2.1企业自筹，用于实施“</w:t>
      </w:r>
      <w:r>
        <w:rPr>
          <w:b/>
          <w:bCs/>
          <w:szCs w:val="21"/>
        </w:rPr>
        <w:t>供货及技术要求</w:t>
      </w:r>
      <w:r>
        <w:rPr>
          <w:szCs w:val="21"/>
        </w:rPr>
        <w:t>”所列内容。</w:t>
      </w:r>
    </w:p>
    <w:p w14:paraId="55B2AD24">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50" w:name="_Toc490599207"/>
      <w:bookmarkStart w:id="51" w:name="_Toc535415591"/>
      <w:bookmarkStart w:id="52" w:name="_Toc14824"/>
      <w:bookmarkStart w:id="53" w:name="_Toc329810188"/>
      <w:bookmarkStart w:id="54" w:name="_Toc385344440"/>
      <w:bookmarkStart w:id="55" w:name="_Toc265142412"/>
      <w:r>
        <w:rPr>
          <w:rFonts w:hint="eastAsia" w:ascii="Times New Roman" w:hAnsi="Times New Roman"/>
          <w:b/>
          <w:bCs/>
          <w:szCs w:val="21"/>
        </w:rPr>
        <w:t>采购</w:t>
      </w:r>
      <w:r>
        <w:rPr>
          <w:rFonts w:ascii="Times New Roman" w:hAnsi="Times New Roman"/>
          <w:b/>
          <w:bCs/>
          <w:szCs w:val="21"/>
        </w:rPr>
        <w:t>范围</w:t>
      </w:r>
      <w:bookmarkEnd w:id="50"/>
      <w:bookmarkEnd w:id="51"/>
      <w:bookmarkEnd w:id="52"/>
      <w:bookmarkEnd w:id="53"/>
      <w:bookmarkEnd w:id="54"/>
      <w:bookmarkEnd w:id="55"/>
    </w:p>
    <w:p w14:paraId="55B2AD25">
      <w:pPr>
        <w:adjustRightInd w:val="0"/>
        <w:snapToGrid w:val="0"/>
        <w:spacing w:line="360" w:lineRule="auto"/>
        <w:ind w:firstLine="420" w:firstLineChars="200"/>
        <w:jc w:val="left"/>
        <w:rPr>
          <w:szCs w:val="21"/>
        </w:rPr>
      </w:pPr>
      <w:r>
        <w:rPr>
          <w:szCs w:val="21"/>
        </w:rPr>
        <w:t>3.1 本项目采购内容：见“</w:t>
      </w:r>
      <w:r>
        <w:rPr>
          <w:b/>
          <w:bCs/>
          <w:szCs w:val="21"/>
        </w:rPr>
        <w:t>谈判申请人须知前附表</w:t>
      </w:r>
      <w:r>
        <w:rPr>
          <w:szCs w:val="21"/>
        </w:rPr>
        <w:t>”。</w:t>
      </w:r>
    </w:p>
    <w:p w14:paraId="55B2AD26">
      <w:pPr>
        <w:adjustRightInd w:val="0"/>
        <w:snapToGrid w:val="0"/>
        <w:spacing w:line="360" w:lineRule="auto"/>
        <w:ind w:firstLine="420" w:firstLineChars="200"/>
        <w:jc w:val="left"/>
        <w:rPr>
          <w:szCs w:val="21"/>
        </w:rPr>
      </w:pPr>
      <w:r>
        <w:rPr>
          <w:szCs w:val="21"/>
        </w:rPr>
        <w:t>3.2 本项目交货周期：见“</w:t>
      </w:r>
      <w:r>
        <w:rPr>
          <w:b/>
          <w:bCs/>
          <w:szCs w:val="21"/>
        </w:rPr>
        <w:t>谈判申请人须知前附表</w:t>
      </w:r>
      <w:r>
        <w:rPr>
          <w:szCs w:val="21"/>
        </w:rPr>
        <w:t>”。</w:t>
      </w:r>
    </w:p>
    <w:p w14:paraId="55B2AD27">
      <w:pPr>
        <w:adjustRightInd w:val="0"/>
        <w:snapToGrid w:val="0"/>
        <w:spacing w:line="360" w:lineRule="auto"/>
        <w:ind w:firstLine="420" w:firstLineChars="200"/>
        <w:jc w:val="left"/>
        <w:rPr>
          <w:szCs w:val="21"/>
        </w:rPr>
      </w:pPr>
      <w:r>
        <w:rPr>
          <w:szCs w:val="21"/>
        </w:rPr>
        <w:t>3.3 本项目技术性能指标：见“</w:t>
      </w:r>
      <w:r>
        <w:rPr>
          <w:b/>
          <w:bCs/>
          <w:szCs w:val="21"/>
        </w:rPr>
        <w:t>谈判申请人须知前附表</w:t>
      </w:r>
      <w:r>
        <w:rPr>
          <w:szCs w:val="21"/>
        </w:rPr>
        <w:t>”。</w:t>
      </w:r>
    </w:p>
    <w:p w14:paraId="55B2AD28">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56" w:name="_Toc385344441"/>
      <w:bookmarkStart w:id="57" w:name="_Toc32097"/>
      <w:bookmarkStart w:id="58" w:name="_Toc490599208"/>
      <w:bookmarkStart w:id="59" w:name="_Toc535415592"/>
      <w:r>
        <w:rPr>
          <w:rFonts w:ascii="Times New Roman" w:hAnsi="Times New Roman"/>
          <w:b/>
          <w:bCs/>
          <w:szCs w:val="21"/>
        </w:rPr>
        <w:t>合格的谈判申请人（以下简称谈判申请人）</w:t>
      </w:r>
      <w:bookmarkEnd w:id="56"/>
      <w:bookmarkEnd w:id="57"/>
      <w:bookmarkEnd w:id="58"/>
      <w:bookmarkEnd w:id="59"/>
    </w:p>
    <w:p w14:paraId="55B2AD29">
      <w:pPr>
        <w:adjustRightInd w:val="0"/>
        <w:snapToGrid w:val="0"/>
        <w:spacing w:line="360" w:lineRule="auto"/>
        <w:ind w:firstLine="472" w:firstLineChars="225"/>
        <w:jc w:val="left"/>
        <w:rPr>
          <w:szCs w:val="21"/>
        </w:rPr>
      </w:pPr>
      <w:r>
        <w:rPr>
          <w:szCs w:val="21"/>
        </w:rPr>
        <w:t>“详见第一章 竞争性谈判公告”。</w:t>
      </w:r>
    </w:p>
    <w:p w14:paraId="55B2AD2A">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60" w:name="_Toc385344442"/>
      <w:bookmarkStart w:id="61" w:name="_Toc535415593"/>
      <w:bookmarkStart w:id="62" w:name="_Toc490599209"/>
      <w:bookmarkStart w:id="63" w:name="_Toc14073"/>
      <w:r>
        <w:rPr>
          <w:rFonts w:ascii="Times New Roman" w:hAnsi="Times New Roman"/>
          <w:b/>
          <w:bCs/>
          <w:szCs w:val="21"/>
        </w:rPr>
        <w:t>谈判费用</w:t>
      </w:r>
      <w:bookmarkEnd w:id="60"/>
      <w:bookmarkEnd w:id="61"/>
      <w:bookmarkEnd w:id="62"/>
      <w:bookmarkEnd w:id="63"/>
    </w:p>
    <w:p w14:paraId="55B2AD2B">
      <w:pPr>
        <w:adjustRightInd w:val="0"/>
        <w:snapToGrid w:val="0"/>
        <w:spacing w:line="360" w:lineRule="auto"/>
        <w:ind w:firstLine="420" w:firstLineChars="200"/>
        <w:jc w:val="left"/>
        <w:rPr>
          <w:szCs w:val="21"/>
        </w:rPr>
      </w:pPr>
      <w:r>
        <w:rPr>
          <w:szCs w:val="21"/>
        </w:rPr>
        <w:t>无论是否</w:t>
      </w:r>
      <w:r>
        <w:rPr>
          <w:rFonts w:hint="eastAsia"/>
          <w:szCs w:val="21"/>
        </w:rPr>
        <w:t>成交</w:t>
      </w:r>
      <w:r>
        <w:rPr>
          <w:szCs w:val="21"/>
        </w:rPr>
        <w:t>，谈判申请人自行承担所有与参加谈判有关的全部费用。</w:t>
      </w:r>
    </w:p>
    <w:p w14:paraId="55B2AD2C">
      <w:pPr>
        <w:adjustRightInd w:val="0"/>
        <w:snapToGrid w:val="0"/>
        <w:spacing w:line="360" w:lineRule="auto"/>
        <w:jc w:val="center"/>
        <w:outlineLvl w:val="1"/>
        <w:rPr>
          <w:b/>
          <w:bCs/>
          <w:szCs w:val="21"/>
        </w:rPr>
      </w:pPr>
      <w:bookmarkStart w:id="64" w:name="_Toc8924"/>
      <w:bookmarkStart w:id="65" w:name="_Toc490599210"/>
      <w:bookmarkStart w:id="66" w:name="_Toc535415594"/>
      <w:r>
        <w:rPr>
          <w:b/>
          <w:bCs/>
          <w:szCs w:val="21"/>
        </w:rPr>
        <w:t>二、谈判文件</w:t>
      </w:r>
      <w:bookmarkEnd w:id="64"/>
      <w:bookmarkEnd w:id="65"/>
      <w:bookmarkEnd w:id="66"/>
    </w:p>
    <w:p w14:paraId="55B2AD2D">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67" w:name="_Toc490599211"/>
      <w:bookmarkStart w:id="68" w:name="_Toc385344444"/>
      <w:bookmarkStart w:id="69" w:name="_Toc535415595"/>
      <w:bookmarkStart w:id="70" w:name="_Toc26401"/>
      <w:r>
        <w:rPr>
          <w:rFonts w:ascii="Times New Roman" w:hAnsi="Times New Roman"/>
          <w:b/>
          <w:bCs/>
          <w:szCs w:val="21"/>
        </w:rPr>
        <w:t>谈判文件的组成</w:t>
      </w:r>
      <w:bookmarkEnd w:id="67"/>
      <w:bookmarkEnd w:id="68"/>
      <w:bookmarkEnd w:id="69"/>
      <w:bookmarkEnd w:id="70"/>
    </w:p>
    <w:p w14:paraId="55B2AD2E">
      <w:pPr>
        <w:adjustRightInd w:val="0"/>
        <w:snapToGrid w:val="0"/>
        <w:spacing w:line="360" w:lineRule="auto"/>
        <w:ind w:firstLine="420" w:firstLineChars="200"/>
        <w:jc w:val="left"/>
        <w:rPr>
          <w:szCs w:val="21"/>
        </w:rPr>
      </w:pPr>
      <w:r>
        <w:rPr>
          <w:szCs w:val="21"/>
        </w:rPr>
        <w:t>谈判文件共六章，各章的内容如下：</w:t>
      </w:r>
    </w:p>
    <w:p w14:paraId="55B2AD2F">
      <w:pPr>
        <w:adjustRightInd w:val="0"/>
        <w:snapToGrid w:val="0"/>
        <w:spacing w:line="360" w:lineRule="auto"/>
        <w:ind w:firstLine="420" w:firstLineChars="200"/>
        <w:jc w:val="left"/>
        <w:rPr>
          <w:szCs w:val="21"/>
        </w:rPr>
      </w:pPr>
      <w:r>
        <w:rPr>
          <w:szCs w:val="21"/>
        </w:rPr>
        <w:t>第一章 竞争性谈判公告</w:t>
      </w:r>
    </w:p>
    <w:p w14:paraId="55B2AD30">
      <w:pPr>
        <w:adjustRightInd w:val="0"/>
        <w:snapToGrid w:val="0"/>
        <w:spacing w:line="360" w:lineRule="auto"/>
        <w:ind w:firstLine="420" w:firstLineChars="200"/>
        <w:jc w:val="left"/>
        <w:rPr>
          <w:szCs w:val="21"/>
        </w:rPr>
      </w:pPr>
      <w:r>
        <w:rPr>
          <w:szCs w:val="21"/>
        </w:rPr>
        <w:t>第二章 谈判申请人须知</w:t>
      </w:r>
    </w:p>
    <w:p w14:paraId="55B2AD31">
      <w:pPr>
        <w:adjustRightInd w:val="0"/>
        <w:snapToGrid w:val="0"/>
        <w:spacing w:line="360" w:lineRule="auto"/>
        <w:ind w:firstLine="420" w:firstLineChars="200"/>
        <w:jc w:val="left"/>
        <w:rPr>
          <w:szCs w:val="21"/>
        </w:rPr>
      </w:pPr>
      <w:r>
        <w:rPr>
          <w:szCs w:val="21"/>
        </w:rPr>
        <w:t>第三章 谈判程序及方法</w:t>
      </w:r>
    </w:p>
    <w:p w14:paraId="55B2AD32">
      <w:pPr>
        <w:adjustRightInd w:val="0"/>
        <w:snapToGrid w:val="0"/>
        <w:spacing w:line="360" w:lineRule="auto"/>
        <w:ind w:firstLine="420" w:firstLineChars="200"/>
        <w:jc w:val="left"/>
        <w:rPr>
          <w:szCs w:val="21"/>
        </w:rPr>
      </w:pPr>
      <w:r>
        <w:rPr>
          <w:szCs w:val="21"/>
        </w:rPr>
        <w:t>第四章 合同书样式及主要条款</w:t>
      </w:r>
    </w:p>
    <w:p w14:paraId="55B2AD33">
      <w:pPr>
        <w:adjustRightInd w:val="0"/>
        <w:snapToGrid w:val="0"/>
        <w:spacing w:line="360" w:lineRule="auto"/>
        <w:ind w:firstLine="420" w:firstLineChars="200"/>
        <w:jc w:val="left"/>
        <w:rPr>
          <w:szCs w:val="21"/>
        </w:rPr>
      </w:pPr>
      <w:r>
        <w:rPr>
          <w:szCs w:val="21"/>
        </w:rPr>
        <w:t>第五章 供货及技术要求</w:t>
      </w:r>
    </w:p>
    <w:p w14:paraId="55B2AD34">
      <w:pPr>
        <w:adjustRightInd w:val="0"/>
        <w:snapToGrid w:val="0"/>
        <w:spacing w:line="360" w:lineRule="auto"/>
        <w:ind w:firstLine="420" w:firstLineChars="200"/>
        <w:jc w:val="left"/>
        <w:rPr>
          <w:szCs w:val="21"/>
        </w:rPr>
      </w:pPr>
      <w:r>
        <w:rPr>
          <w:szCs w:val="21"/>
        </w:rPr>
        <w:t>第六章 响应文件格式</w:t>
      </w:r>
    </w:p>
    <w:p w14:paraId="55B2AD35">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71" w:name="_Toc490599212"/>
      <w:bookmarkStart w:id="72" w:name="_Toc385344445"/>
      <w:bookmarkStart w:id="73" w:name="_Toc535415596"/>
      <w:bookmarkStart w:id="74" w:name="_Toc19643"/>
      <w:r>
        <w:rPr>
          <w:rFonts w:ascii="Times New Roman" w:hAnsi="Times New Roman"/>
          <w:b/>
          <w:bCs/>
          <w:szCs w:val="21"/>
        </w:rPr>
        <w:t>谈判文件的澄清、修改</w:t>
      </w:r>
      <w:bookmarkEnd w:id="71"/>
      <w:bookmarkEnd w:id="72"/>
      <w:bookmarkEnd w:id="73"/>
      <w:bookmarkEnd w:id="74"/>
    </w:p>
    <w:p w14:paraId="55B2AD36">
      <w:pPr>
        <w:adjustRightInd w:val="0"/>
        <w:snapToGrid w:val="0"/>
        <w:spacing w:line="360" w:lineRule="auto"/>
        <w:ind w:firstLine="420" w:firstLineChars="200"/>
        <w:jc w:val="left"/>
        <w:rPr>
          <w:szCs w:val="21"/>
        </w:rPr>
      </w:pPr>
      <w:r>
        <w:rPr>
          <w:szCs w:val="21"/>
        </w:rPr>
        <w:t>7.1 参加谈判申请人应认真审核谈判文件，如有疑问的，谈判申请人可以在“谈判申请人须知前附表”规定截止时间前以澄清函形式（加盖单位章）要求采购代理机构澄清，截止时间后送达的澄清要求概不接受。</w:t>
      </w:r>
    </w:p>
    <w:p w14:paraId="55B2AD37">
      <w:pPr>
        <w:adjustRightInd w:val="0"/>
        <w:snapToGrid w:val="0"/>
        <w:spacing w:line="360" w:lineRule="auto"/>
        <w:ind w:firstLine="420" w:firstLineChars="200"/>
        <w:jc w:val="left"/>
        <w:rPr>
          <w:szCs w:val="21"/>
        </w:rPr>
      </w:pPr>
      <w:r>
        <w:rPr>
          <w:szCs w:val="21"/>
        </w:rPr>
        <w:t>7.2 采购代理机构将以书面形式答复所有获取谈判文件的谈判申请人（答复中不包含问题的来源）要求澄清的问题，其他澄清方式无效。</w:t>
      </w:r>
    </w:p>
    <w:p w14:paraId="55B2AD38">
      <w:pPr>
        <w:adjustRightInd w:val="0"/>
        <w:snapToGrid w:val="0"/>
        <w:spacing w:line="360" w:lineRule="auto"/>
        <w:ind w:firstLine="420" w:firstLineChars="200"/>
        <w:jc w:val="left"/>
        <w:rPr>
          <w:szCs w:val="21"/>
        </w:rPr>
      </w:pPr>
      <w:r>
        <w:rPr>
          <w:szCs w:val="21"/>
        </w:rPr>
        <w:t>7.3采购人、采购代理机构对已发出的谈判文件进行必要的澄清或者修改的，澄清或者修改的内容作为谈判文件的组成部分。澄清或者修改的内容可能影响响应文件编制的，采购人、采购代理机构将在提交首次响应文件截止之日3日前，以书面形式通知所有接收谈判文件的谈判申请人，不足3日的，将顺延提交首次响应文件截止之日。</w:t>
      </w:r>
    </w:p>
    <w:p w14:paraId="55B2AD39">
      <w:pPr>
        <w:adjustRightInd w:val="0"/>
        <w:snapToGrid w:val="0"/>
        <w:spacing w:line="360" w:lineRule="auto"/>
        <w:ind w:firstLine="420" w:firstLineChars="200"/>
        <w:jc w:val="left"/>
        <w:rPr>
          <w:szCs w:val="21"/>
        </w:rPr>
      </w:pPr>
      <w:r>
        <w:rPr>
          <w:szCs w:val="21"/>
        </w:rPr>
        <w:t>7.4采购代理机构和采购人可以视</w:t>
      </w:r>
      <w:r>
        <w:rPr>
          <w:rFonts w:hint="eastAsia"/>
          <w:szCs w:val="21"/>
        </w:rPr>
        <w:t>采购</w:t>
      </w:r>
      <w:r>
        <w:rPr>
          <w:szCs w:val="21"/>
        </w:rPr>
        <w:t>具体情况，推迟递交响应文件截止时间，并将变更时间书面通知所有获取谈判文件的谈判申请人。</w:t>
      </w:r>
    </w:p>
    <w:p w14:paraId="55B2AD3A">
      <w:pPr>
        <w:adjustRightInd w:val="0"/>
        <w:snapToGrid w:val="0"/>
        <w:spacing w:line="360" w:lineRule="auto"/>
        <w:ind w:firstLine="420" w:firstLineChars="200"/>
        <w:jc w:val="left"/>
        <w:rPr>
          <w:szCs w:val="21"/>
        </w:rPr>
      </w:pPr>
      <w:r>
        <w:rPr>
          <w:szCs w:val="21"/>
        </w:rPr>
        <w:t>7.5在谈判过程中，谈判小组可以根据谈判文件和谈判情况实质性变动</w:t>
      </w:r>
      <w:r>
        <w:rPr>
          <w:rFonts w:hint="eastAsia"/>
          <w:szCs w:val="21"/>
        </w:rPr>
        <w:t>采购</w:t>
      </w:r>
      <w:r>
        <w:rPr>
          <w:szCs w:val="21"/>
        </w:rPr>
        <w:t>需求中的技术、服务要求以及合同草案条款，但不得变动谈判文件中的其他内容。实质性变动的内容，须经采购人代表确认。本项目谈判小组根据与谈判申请人谈判情况可能实质性变动的内容见谈判申请人须知前附表。</w:t>
      </w:r>
    </w:p>
    <w:p w14:paraId="55B2AD3B">
      <w:pPr>
        <w:adjustRightInd w:val="0"/>
        <w:snapToGrid w:val="0"/>
        <w:spacing w:line="360" w:lineRule="auto"/>
        <w:ind w:firstLine="200"/>
        <w:jc w:val="center"/>
        <w:outlineLvl w:val="1"/>
        <w:rPr>
          <w:b/>
          <w:bCs/>
          <w:szCs w:val="21"/>
        </w:rPr>
      </w:pPr>
      <w:bookmarkStart w:id="75" w:name="_Toc490599213"/>
      <w:bookmarkStart w:id="76" w:name="_Toc26142"/>
      <w:bookmarkStart w:id="77" w:name="_Toc535415597"/>
      <w:r>
        <w:rPr>
          <w:b/>
          <w:bCs/>
          <w:szCs w:val="21"/>
        </w:rPr>
        <w:t>三、响应文件</w:t>
      </w:r>
      <w:bookmarkEnd w:id="75"/>
      <w:bookmarkEnd w:id="76"/>
      <w:bookmarkEnd w:id="77"/>
    </w:p>
    <w:p w14:paraId="55B2AD3C">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78" w:name="_Toc22284"/>
      <w:bookmarkStart w:id="79" w:name="_Toc490599214"/>
      <w:bookmarkStart w:id="80" w:name="_Toc385344447"/>
      <w:bookmarkStart w:id="81" w:name="_Toc535415598"/>
      <w:r>
        <w:rPr>
          <w:rFonts w:ascii="Times New Roman" w:hAnsi="Times New Roman"/>
          <w:b/>
          <w:bCs/>
          <w:szCs w:val="21"/>
        </w:rPr>
        <w:t>响应文件编写注意事项</w:t>
      </w:r>
      <w:bookmarkEnd w:id="78"/>
      <w:bookmarkEnd w:id="79"/>
      <w:bookmarkEnd w:id="80"/>
      <w:bookmarkEnd w:id="81"/>
    </w:p>
    <w:p w14:paraId="55B2AD3D">
      <w:pPr>
        <w:adjustRightInd w:val="0"/>
        <w:snapToGrid w:val="0"/>
        <w:spacing w:line="360" w:lineRule="auto"/>
        <w:ind w:firstLine="420" w:firstLineChars="200"/>
        <w:jc w:val="left"/>
        <w:rPr>
          <w:szCs w:val="21"/>
        </w:rPr>
      </w:pPr>
      <w:r>
        <w:rPr>
          <w:szCs w:val="21"/>
        </w:rPr>
        <w:t>8.1 谈判申请人应仔细阅读谈判文件，在完全了解</w:t>
      </w:r>
      <w:r>
        <w:rPr>
          <w:rFonts w:hint="eastAsia"/>
          <w:szCs w:val="21"/>
        </w:rPr>
        <w:t>采购</w:t>
      </w:r>
      <w:r>
        <w:rPr>
          <w:szCs w:val="21"/>
        </w:rPr>
        <w:t>的内容、技术性能要求（见第五章“ 供货及技术要求”）和商务条件后，编写响应文件。</w:t>
      </w:r>
    </w:p>
    <w:p w14:paraId="55B2AD3E">
      <w:pPr>
        <w:adjustRightInd w:val="0"/>
        <w:snapToGrid w:val="0"/>
        <w:spacing w:line="360" w:lineRule="auto"/>
        <w:ind w:firstLine="420" w:firstLineChars="200"/>
        <w:jc w:val="left"/>
        <w:rPr>
          <w:szCs w:val="21"/>
        </w:rPr>
      </w:pPr>
      <w:r>
        <w:rPr>
          <w:szCs w:val="21"/>
        </w:rPr>
        <w:t>8.2 对谈判文件提出的实质性要求和条件作出响应是指谈判申请人必须对谈判文件中规定的</w:t>
      </w:r>
      <w:r>
        <w:rPr>
          <w:rFonts w:hint="eastAsia"/>
          <w:szCs w:val="21"/>
        </w:rPr>
        <w:t>成交</w:t>
      </w:r>
      <w:r>
        <w:rPr>
          <w:szCs w:val="21"/>
        </w:rPr>
        <w:t>实质性要求和条件作出满足或者优于原要求和条件的承诺，并提供相应的证明材料。</w:t>
      </w:r>
    </w:p>
    <w:p w14:paraId="55B2AD3F">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82" w:name="_Toc14832"/>
      <w:bookmarkStart w:id="83" w:name="_Toc385344448"/>
      <w:bookmarkStart w:id="84" w:name="_Toc535415599"/>
      <w:bookmarkStart w:id="85" w:name="_Toc490599215"/>
      <w:r>
        <w:rPr>
          <w:rFonts w:ascii="Times New Roman" w:hAnsi="Times New Roman"/>
          <w:b/>
          <w:bCs/>
          <w:szCs w:val="21"/>
        </w:rPr>
        <w:t>响应文件构成</w:t>
      </w:r>
      <w:bookmarkEnd w:id="82"/>
      <w:bookmarkEnd w:id="83"/>
      <w:bookmarkEnd w:id="84"/>
      <w:bookmarkEnd w:id="85"/>
    </w:p>
    <w:p w14:paraId="55B2AD40">
      <w:pPr>
        <w:adjustRightInd w:val="0"/>
        <w:snapToGrid w:val="0"/>
        <w:spacing w:line="360" w:lineRule="auto"/>
        <w:ind w:firstLine="420" w:firstLineChars="200"/>
        <w:jc w:val="left"/>
        <w:rPr>
          <w:szCs w:val="21"/>
        </w:rPr>
      </w:pPr>
      <w:r>
        <w:rPr>
          <w:szCs w:val="21"/>
        </w:rPr>
        <w:t>9.1谈判申请人编写的响应文件应由下列部分构成，并按第六章“响应文件格式”要求填写。有关文件的提交如未特别注明需提供原件的，可提供复印件。</w:t>
      </w:r>
    </w:p>
    <w:p w14:paraId="55B2AD41">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86" w:name="_Toc26990"/>
      <w:bookmarkStart w:id="87" w:name="_Toc385344449"/>
      <w:bookmarkStart w:id="88" w:name="_Toc535415600"/>
      <w:bookmarkStart w:id="89" w:name="_Toc490599216"/>
      <w:r>
        <w:rPr>
          <w:rFonts w:ascii="Times New Roman" w:hAnsi="Times New Roman"/>
          <w:b/>
          <w:bCs/>
          <w:szCs w:val="21"/>
        </w:rPr>
        <w:t>报价和报价货币</w:t>
      </w:r>
      <w:bookmarkEnd w:id="86"/>
      <w:bookmarkEnd w:id="87"/>
      <w:bookmarkEnd w:id="88"/>
      <w:bookmarkEnd w:id="89"/>
    </w:p>
    <w:p w14:paraId="55B2AD42">
      <w:pPr>
        <w:adjustRightInd w:val="0"/>
        <w:snapToGrid w:val="0"/>
        <w:spacing w:line="360" w:lineRule="auto"/>
        <w:ind w:firstLine="420" w:firstLineChars="200"/>
        <w:rPr>
          <w:szCs w:val="21"/>
        </w:rPr>
      </w:pPr>
      <w:r>
        <w:rPr>
          <w:szCs w:val="21"/>
        </w:rPr>
        <w:t>10.1</w:t>
      </w:r>
      <w:r>
        <w:rPr>
          <w:rFonts w:hint="eastAsia"/>
          <w:szCs w:val="21"/>
        </w:rPr>
        <w:t>谈判</w:t>
      </w:r>
      <w:r>
        <w:rPr>
          <w:szCs w:val="21"/>
        </w:rPr>
        <w:t>报价应包括国家规定的增值税税金，增值税税金按一般计税方法计算。谈判申请人应按第六章“响应文件格式”的要求在谈判申请函中进行报价并填写报价清单。</w:t>
      </w:r>
    </w:p>
    <w:p w14:paraId="55B2AD43">
      <w:pPr>
        <w:adjustRightInd w:val="0"/>
        <w:snapToGrid w:val="0"/>
        <w:spacing w:line="360" w:lineRule="auto"/>
        <w:ind w:firstLine="420" w:firstLineChars="200"/>
        <w:rPr>
          <w:szCs w:val="21"/>
        </w:rPr>
      </w:pPr>
      <w:r>
        <w:rPr>
          <w:szCs w:val="21"/>
        </w:rPr>
        <w:t>10.2谈判申请人应充分了解该项目的总体情况以及影响</w:t>
      </w:r>
      <w:r>
        <w:rPr>
          <w:rFonts w:hint="eastAsia"/>
          <w:szCs w:val="21"/>
        </w:rPr>
        <w:t>谈判</w:t>
      </w:r>
      <w:r>
        <w:rPr>
          <w:szCs w:val="21"/>
        </w:rPr>
        <w:t>报价的其他要素。</w:t>
      </w:r>
    </w:p>
    <w:p w14:paraId="55B2AD44">
      <w:pPr>
        <w:adjustRightInd w:val="0"/>
        <w:snapToGrid w:val="0"/>
        <w:spacing w:line="360" w:lineRule="auto"/>
        <w:ind w:firstLine="420" w:firstLineChars="200"/>
        <w:rPr>
          <w:szCs w:val="21"/>
        </w:rPr>
      </w:pPr>
      <w:r>
        <w:rPr>
          <w:szCs w:val="21"/>
        </w:rPr>
        <w:t>10.3本项目的报价方式为固定总价报价并填报价清单。</w:t>
      </w:r>
      <w:r>
        <w:rPr>
          <w:rFonts w:hint="eastAsia"/>
          <w:szCs w:val="21"/>
        </w:rPr>
        <w:t>谈判</w:t>
      </w:r>
      <w:r>
        <w:rPr>
          <w:szCs w:val="21"/>
        </w:rPr>
        <w:t>报价为各分项报价金额之和，</w:t>
      </w:r>
      <w:r>
        <w:rPr>
          <w:rFonts w:hint="eastAsia"/>
          <w:szCs w:val="21"/>
        </w:rPr>
        <w:t>谈判</w:t>
      </w:r>
      <w:r>
        <w:rPr>
          <w:szCs w:val="21"/>
        </w:rPr>
        <w:t>报价与分项报价的合价不一致的，应以各分项报价累计数为准，修正</w:t>
      </w:r>
      <w:r>
        <w:rPr>
          <w:rFonts w:hint="eastAsia"/>
          <w:szCs w:val="21"/>
        </w:rPr>
        <w:t>谈判</w:t>
      </w:r>
      <w:r>
        <w:rPr>
          <w:szCs w:val="21"/>
        </w:rPr>
        <w:t>报价；如分项报价表中存在缺漏项，则视为缺漏项价格已包含在其他分项报价之中。谈判申请人在</w:t>
      </w:r>
      <w:r>
        <w:rPr>
          <w:rFonts w:hint="eastAsia"/>
          <w:szCs w:val="21"/>
        </w:rPr>
        <w:t>提交响应文件</w:t>
      </w:r>
      <w:r>
        <w:rPr>
          <w:szCs w:val="21"/>
        </w:rPr>
        <w:t>截止时间前修改谈判申请函中的</w:t>
      </w:r>
      <w:r>
        <w:rPr>
          <w:rFonts w:hint="eastAsia"/>
          <w:szCs w:val="21"/>
        </w:rPr>
        <w:t>谈判</w:t>
      </w:r>
      <w:r>
        <w:rPr>
          <w:szCs w:val="21"/>
        </w:rPr>
        <w:t>报价总额，应同时修改响应文件“报价清单”中的相应报价。</w:t>
      </w:r>
    </w:p>
    <w:p w14:paraId="55B2AD45">
      <w:pPr>
        <w:adjustRightInd w:val="0"/>
        <w:snapToGrid w:val="0"/>
        <w:spacing w:line="360" w:lineRule="auto"/>
        <w:ind w:firstLine="420" w:firstLineChars="200"/>
        <w:rPr>
          <w:szCs w:val="21"/>
        </w:rPr>
      </w:pPr>
      <w:r>
        <w:rPr>
          <w:szCs w:val="21"/>
        </w:rPr>
        <w:t>10.4</w:t>
      </w:r>
      <w:r>
        <w:rPr>
          <w:rFonts w:hint="eastAsia"/>
          <w:szCs w:val="21"/>
        </w:rPr>
        <w:t>谈判</w:t>
      </w:r>
      <w:r>
        <w:rPr>
          <w:szCs w:val="21"/>
        </w:rPr>
        <w:t>报价的其他要求：</w:t>
      </w:r>
    </w:p>
    <w:p w14:paraId="55B2AD46">
      <w:pPr>
        <w:adjustRightInd w:val="0"/>
        <w:snapToGrid w:val="0"/>
        <w:spacing w:line="360" w:lineRule="auto"/>
        <w:ind w:firstLine="420" w:firstLineChars="200"/>
        <w:rPr>
          <w:szCs w:val="21"/>
        </w:rPr>
      </w:pPr>
      <w:r>
        <w:rPr>
          <w:szCs w:val="21"/>
        </w:rPr>
        <w:t>设备的总价指制造厂生产的，满足</w:t>
      </w:r>
      <w:r>
        <w:rPr>
          <w:rFonts w:hint="eastAsia"/>
          <w:szCs w:val="21"/>
        </w:rPr>
        <w:t>采购</w:t>
      </w:r>
      <w:r>
        <w:rPr>
          <w:szCs w:val="21"/>
        </w:rPr>
        <w:t>要求及符合国家质量检测标准的设备的价格。包括但不限于产品的设计费、谈判申请人为取得生产制造设备所需的图纸或为采购人提供所生产设备的图纸和技术资料的费用、生产所需的材料费、加工费、辅助材料费、专用工具费、外购配套件费、包装费、厂检</w:t>
      </w:r>
      <w:r>
        <w:rPr>
          <w:rFonts w:ascii="Times New Roman" w:hAnsi="Times New Roman" w:eastAsia="宋体" w:cs="Times New Roman"/>
          <w:szCs w:val="21"/>
        </w:rPr>
        <w:t>、</w:t>
      </w:r>
      <w:r>
        <w:rPr>
          <w:rFonts w:hint="eastAsia" w:ascii="Times New Roman" w:hAnsi="Times New Roman" w:eastAsia="宋体" w:cs="Times New Roman"/>
          <w:szCs w:val="21"/>
        </w:rPr>
        <w:t>实流</w:t>
      </w:r>
      <w:r>
        <w:rPr>
          <w:rFonts w:ascii="Times New Roman" w:hAnsi="Times New Roman" w:eastAsia="宋体" w:cs="Times New Roman"/>
          <w:szCs w:val="21"/>
        </w:rPr>
        <w:t>标定、</w:t>
      </w:r>
      <w:r>
        <w:rPr>
          <w:szCs w:val="21"/>
        </w:rPr>
        <w:t>涂层、保险、运输、备件、货损、装卸、质检（化验）、车站滞留、自有专利的知识产权费、培训费、设备试车现场服务差旅费、住宿、成套组装、安装指导、售后服务、税金、利润等费用。还包括必不可少的部件、标准备件、专用工具的价格，设备价包括但不限于设备制造费用、包装费用及随机附件。随机及</w:t>
      </w:r>
      <w:r>
        <w:rPr>
          <w:rFonts w:hint="eastAsia"/>
          <w:szCs w:val="21"/>
        </w:rPr>
        <w:t>2</w:t>
      </w:r>
      <w:r>
        <w:rPr>
          <w:szCs w:val="21"/>
        </w:rPr>
        <w:t>年运行用备品备件、易损件、专用工具价单独列报，并计入</w:t>
      </w:r>
      <w:r>
        <w:rPr>
          <w:rFonts w:hint="eastAsia"/>
          <w:szCs w:val="21"/>
        </w:rPr>
        <w:t>谈判</w:t>
      </w:r>
      <w:r>
        <w:rPr>
          <w:szCs w:val="21"/>
        </w:rPr>
        <w:t>总价。</w:t>
      </w:r>
    </w:p>
    <w:p w14:paraId="55B2AD47">
      <w:pPr>
        <w:adjustRightInd w:val="0"/>
        <w:snapToGrid w:val="0"/>
        <w:spacing w:line="360" w:lineRule="auto"/>
        <w:ind w:firstLine="420" w:firstLineChars="200"/>
        <w:rPr>
          <w:szCs w:val="21"/>
        </w:rPr>
      </w:pPr>
      <w:r>
        <w:rPr>
          <w:szCs w:val="21"/>
        </w:rPr>
        <w:t>技术费用包括但不限于：专利费、设计联络费用、现场服务和人员培训费用以及技术咨询协调费用等。</w:t>
      </w:r>
    </w:p>
    <w:p w14:paraId="55B2AD48">
      <w:pPr>
        <w:adjustRightInd w:val="0"/>
        <w:snapToGrid w:val="0"/>
        <w:spacing w:line="360" w:lineRule="auto"/>
        <w:ind w:firstLine="420" w:firstLineChars="200"/>
        <w:rPr>
          <w:szCs w:val="21"/>
        </w:rPr>
      </w:pPr>
      <w:r>
        <w:rPr>
          <w:szCs w:val="21"/>
        </w:rPr>
        <w:t>运杂费用包括但不限于：到项目建设现场甲方指定位置交货前的所有运输费用、装卸费用、加固费用、保险费用、转运费用等。</w:t>
      </w:r>
    </w:p>
    <w:p w14:paraId="55B2AD49">
      <w:pPr>
        <w:adjustRightInd w:val="0"/>
        <w:snapToGrid w:val="0"/>
        <w:spacing w:line="360" w:lineRule="auto"/>
        <w:ind w:firstLine="420" w:firstLineChars="200"/>
        <w:rPr>
          <w:szCs w:val="21"/>
        </w:rPr>
      </w:pPr>
      <w:r>
        <w:rPr>
          <w:szCs w:val="21"/>
        </w:rPr>
        <w:t>组装安装及调试费用包括但不限于：成套设备落地交货后，设备组装安装现场服务的人员费用、调试现场服务的人员费用等，技术服务费、运杂费用、组装及调试费用均单独报价，并计入总报价。</w:t>
      </w:r>
    </w:p>
    <w:p w14:paraId="55B2AD4A">
      <w:pPr>
        <w:adjustRightInd w:val="0"/>
        <w:snapToGrid w:val="0"/>
        <w:spacing w:line="360" w:lineRule="auto"/>
        <w:ind w:firstLine="420" w:firstLineChars="200"/>
        <w:rPr>
          <w:b/>
          <w:kern w:val="0"/>
          <w:szCs w:val="21"/>
        </w:rPr>
      </w:pPr>
      <w:r>
        <w:rPr>
          <w:b/>
          <w:kern w:val="0"/>
          <w:szCs w:val="21"/>
        </w:rPr>
        <w:t>10.5通过实质性审查的谈判申请人才能进入谈判程序并进行第二轮报价，第二轮报价为最终报价。</w:t>
      </w:r>
    </w:p>
    <w:p w14:paraId="55B2AD4B">
      <w:pPr>
        <w:adjustRightInd w:val="0"/>
        <w:snapToGrid w:val="0"/>
        <w:spacing w:line="360" w:lineRule="auto"/>
        <w:ind w:firstLine="420" w:firstLineChars="200"/>
        <w:rPr>
          <w:b/>
          <w:kern w:val="0"/>
          <w:szCs w:val="21"/>
        </w:rPr>
      </w:pPr>
      <w:r>
        <w:rPr>
          <w:b/>
          <w:kern w:val="0"/>
          <w:szCs w:val="21"/>
        </w:rPr>
        <w:t>10.6最终报价文件应由法定代表人或委托代理人签字，在规定的时</w:t>
      </w:r>
      <w:r>
        <w:rPr>
          <w:rFonts w:hint="eastAsia"/>
          <w:b/>
          <w:kern w:val="0"/>
          <w:szCs w:val="21"/>
        </w:rPr>
        <w:t>间内</w:t>
      </w:r>
      <w:r>
        <w:rPr>
          <w:b/>
          <w:kern w:val="0"/>
          <w:szCs w:val="21"/>
        </w:rPr>
        <w:t>统一递交。若已递交的最终报价文件若出现含义不明确、同类问题表述不一致或者签署不完整、有明显文字和计算错误的，可以进行澄清和补充，但不得改变最终报价文件中报价等实质性内容（算术性错误修正的除外）。</w:t>
      </w:r>
    </w:p>
    <w:p w14:paraId="55B2AD4C">
      <w:pPr>
        <w:adjustRightInd w:val="0"/>
        <w:snapToGrid w:val="0"/>
        <w:spacing w:line="360" w:lineRule="auto"/>
        <w:ind w:firstLine="420" w:firstLineChars="200"/>
        <w:rPr>
          <w:kern w:val="0"/>
          <w:szCs w:val="21"/>
        </w:rPr>
      </w:pPr>
      <w:r>
        <w:rPr>
          <w:kern w:val="0"/>
          <w:szCs w:val="21"/>
        </w:rPr>
        <w:t>谈判申请人的澄清、说明或者更正应当由法定代表人或其授权代表签字或者加盖公章。由授权代表签字的，应当附法定代表人授权书。谈判申请人为自然人的，应当由本人签字并附身份证明。</w:t>
      </w:r>
    </w:p>
    <w:p w14:paraId="55B2AD4D">
      <w:pPr>
        <w:adjustRightInd w:val="0"/>
        <w:snapToGrid w:val="0"/>
        <w:spacing w:line="360" w:lineRule="auto"/>
        <w:ind w:firstLine="420" w:firstLineChars="200"/>
        <w:rPr>
          <w:szCs w:val="21"/>
        </w:rPr>
      </w:pPr>
      <w:r>
        <w:rPr>
          <w:kern w:val="0"/>
          <w:szCs w:val="21"/>
        </w:rPr>
        <w:t>10.7谈判申请人不得哄抬报价，也不应低于成本价（或进价）报价。谈判小组认为谈判申请人的最低报价或者某些分项报价明显不合理或者低于成本，有可能影响商品质量和不能诚信履约的，将要求其在规定的期限内提供书面文件予以解释说明，并提交相关证明材料。否则，谈判小组可以取消该谈判申请人的成交候选人资格。</w:t>
      </w:r>
    </w:p>
    <w:p w14:paraId="55B2AD4E">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90" w:name="_Toc9956"/>
      <w:bookmarkStart w:id="91" w:name="_Toc490599217"/>
      <w:bookmarkStart w:id="92" w:name="_Toc535415601"/>
      <w:bookmarkStart w:id="93" w:name="_Toc385344450"/>
      <w:r>
        <w:rPr>
          <w:rFonts w:ascii="Times New Roman" w:hAnsi="Times New Roman"/>
          <w:b/>
          <w:bCs/>
          <w:szCs w:val="21"/>
        </w:rPr>
        <w:t>有效期</w:t>
      </w:r>
      <w:bookmarkEnd w:id="90"/>
      <w:bookmarkEnd w:id="91"/>
      <w:bookmarkEnd w:id="92"/>
      <w:bookmarkEnd w:id="93"/>
    </w:p>
    <w:p w14:paraId="55B2AD4F">
      <w:pPr>
        <w:adjustRightInd w:val="0"/>
        <w:snapToGrid w:val="0"/>
        <w:spacing w:line="360" w:lineRule="auto"/>
        <w:ind w:firstLine="420" w:firstLineChars="200"/>
        <w:jc w:val="left"/>
        <w:rPr>
          <w:szCs w:val="21"/>
        </w:rPr>
      </w:pPr>
      <w:r>
        <w:rPr>
          <w:szCs w:val="21"/>
        </w:rPr>
        <w:t>11.1 在“</w:t>
      </w:r>
      <w:r>
        <w:rPr>
          <w:b/>
          <w:szCs w:val="21"/>
        </w:rPr>
        <w:t>谈判申请人须知前附表</w:t>
      </w:r>
      <w:r>
        <w:rPr>
          <w:szCs w:val="21"/>
        </w:rPr>
        <w:t>”规定的有效期内，谈判申请人不得要求撤销或修改其响应文件。</w:t>
      </w:r>
    </w:p>
    <w:p w14:paraId="55B2AD50">
      <w:pPr>
        <w:adjustRightInd w:val="0"/>
        <w:snapToGrid w:val="0"/>
        <w:spacing w:line="360" w:lineRule="auto"/>
        <w:ind w:firstLine="420" w:firstLineChars="200"/>
        <w:jc w:val="left"/>
        <w:rPr>
          <w:szCs w:val="21"/>
        </w:rPr>
      </w:pPr>
      <w:r>
        <w:rPr>
          <w:szCs w:val="21"/>
        </w:rPr>
        <w:t>11.2 因特殊情况需要延长有效期的，采购代理机构以书面形式通知所有谈判申请人延长有效期。谈判申请人同意延长的，但不得要求或被允许修改或撤销其响应文件；谈判申请人拒绝延长的，其响应文件失效。</w:t>
      </w:r>
    </w:p>
    <w:p w14:paraId="55B2AD51">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94" w:name="_Toc490599218"/>
      <w:bookmarkStart w:id="95" w:name="_Toc19809"/>
      <w:bookmarkStart w:id="96" w:name="_Toc385344451"/>
      <w:bookmarkStart w:id="97" w:name="_Toc535415602"/>
      <w:r>
        <w:rPr>
          <w:rFonts w:ascii="Times New Roman" w:hAnsi="Times New Roman"/>
          <w:b/>
          <w:bCs/>
          <w:szCs w:val="21"/>
        </w:rPr>
        <w:t>响应文件的编制</w:t>
      </w:r>
      <w:bookmarkEnd w:id="94"/>
      <w:bookmarkEnd w:id="95"/>
      <w:bookmarkEnd w:id="96"/>
      <w:bookmarkEnd w:id="97"/>
    </w:p>
    <w:p w14:paraId="55B2AD52">
      <w:pPr>
        <w:adjustRightInd w:val="0"/>
        <w:snapToGrid w:val="0"/>
        <w:spacing w:line="360" w:lineRule="auto"/>
        <w:ind w:firstLine="420" w:firstLineChars="200"/>
        <w:jc w:val="left"/>
        <w:rPr>
          <w:szCs w:val="21"/>
        </w:rPr>
      </w:pPr>
      <w:r>
        <w:rPr>
          <w:szCs w:val="21"/>
        </w:rPr>
        <w:t>12.1 响应文件须用不褪色的墨水书写或打印。并按谈判文件要求由谈判申请人的法定代表人或其委托代理人签字或盖单位章。</w:t>
      </w:r>
      <w:r>
        <w:rPr>
          <w:b/>
          <w:szCs w:val="21"/>
        </w:rPr>
        <w:t>委托代理人签字的，响应文件应附法定代表人签署的授权委托书。</w:t>
      </w:r>
    </w:p>
    <w:p w14:paraId="55B2AD53">
      <w:pPr>
        <w:adjustRightInd w:val="0"/>
        <w:snapToGrid w:val="0"/>
        <w:spacing w:line="360" w:lineRule="auto"/>
        <w:ind w:firstLine="367" w:firstLineChars="175"/>
        <w:rPr>
          <w:szCs w:val="21"/>
        </w:rPr>
      </w:pPr>
      <w:r>
        <w:rPr>
          <w:szCs w:val="21"/>
        </w:rPr>
        <w:t>12.2 响应文件应尽量避免涂改、行间插字或删除。如果出现上述情况，改动之处应加盖单位公章或谈判申请人法定代表人或其授权的代理人签字确认。</w:t>
      </w:r>
    </w:p>
    <w:p w14:paraId="55B2AD54">
      <w:pPr>
        <w:adjustRightInd w:val="0"/>
        <w:snapToGrid w:val="0"/>
        <w:spacing w:line="360" w:lineRule="auto"/>
        <w:ind w:firstLine="367" w:firstLineChars="175"/>
        <w:rPr>
          <w:szCs w:val="21"/>
        </w:rPr>
      </w:pPr>
      <w:r>
        <w:rPr>
          <w:szCs w:val="21"/>
        </w:rPr>
        <w:t>12.3响应文件应由法定代表人或其委托代理人在凡规定签字（或盖章）处逐一签字或盖章，要求盖章处应盖单位章，若以</w:t>
      </w:r>
      <w:r>
        <w:rPr>
          <w:rFonts w:hint="eastAsia"/>
          <w:szCs w:val="21"/>
        </w:rPr>
        <w:t>采购</w:t>
      </w:r>
      <w:r>
        <w:rPr>
          <w:szCs w:val="21"/>
        </w:rPr>
        <w:t>专用章或合同专用章代替的，须出具谈判申请人单位公章对</w:t>
      </w:r>
      <w:r>
        <w:rPr>
          <w:rFonts w:hint="eastAsia"/>
          <w:szCs w:val="21"/>
        </w:rPr>
        <w:t>采购</w:t>
      </w:r>
      <w:r>
        <w:rPr>
          <w:szCs w:val="21"/>
        </w:rPr>
        <w:t>专用章或合同专用章的授权函原件。</w:t>
      </w:r>
    </w:p>
    <w:p w14:paraId="55B2AD55">
      <w:pPr>
        <w:adjustRightInd w:val="0"/>
        <w:snapToGrid w:val="0"/>
        <w:spacing w:line="360" w:lineRule="auto"/>
        <w:ind w:firstLine="420" w:firstLineChars="200"/>
        <w:jc w:val="left"/>
        <w:rPr>
          <w:szCs w:val="21"/>
        </w:rPr>
      </w:pPr>
      <w:r>
        <w:rPr>
          <w:szCs w:val="21"/>
        </w:rPr>
        <w:t>12.4 响应文件应准备正本一份，并按“</w:t>
      </w:r>
      <w:r>
        <w:rPr>
          <w:b/>
          <w:szCs w:val="21"/>
        </w:rPr>
        <w:t>谈判申请人须知前附表</w:t>
      </w:r>
      <w:r>
        <w:rPr>
          <w:szCs w:val="21"/>
        </w:rPr>
        <w:t>”中规定的数量准备文件的副本。响应文件封面上应标明“</w:t>
      </w:r>
      <w:r>
        <w:rPr>
          <w:b/>
          <w:szCs w:val="21"/>
        </w:rPr>
        <w:t>正本</w:t>
      </w:r>
      <w:r>
        <w:rPr>
          <w:szCs w:val="21"/>
        </w:rPr>
        <w:t>”或“</w:t>
      </w:r>
      <w:r>
        <w:rPr>
          <w:b/>
          <w:szCs w:val="21"/>
        </w:rPr>
        <w:t>副本</w:t>
      </w:r>
      <w:r>
        <w:rPr>
          <w:szCs w:val="21"/>
        </w:rPr>
        <w:t>”以及项目名称、项目编号、谈判申请人名称、包号（分包时）等内容。若正本和副本不符，以正本为准。</w:t>
      </w:r>
    </w:p>
    <w:p w14:paraId="55B2AD56">
      <w:pPr>
        <w:adjustRightInd w:val="0"/>
        <w:snapToGrid w:val="0"/>
        <w:spacing w:line="360" w:lineRule="auto"/>
        <w:ind w:firstLine="420" w:firstLineChars="200"/>
        <w:jc w:val="left"/>
        <w:rPr>
          <w:szCs w:val="21"/>
        </w:rPr>
      </w:pPr>
      <w:r>
        <w:rPr>
          <w:szCs w:val="21"/>
        </w:rPr>
        <w:t>12.5 响应文件正本与副本应分别装订成册，并编制目录。响应文件装订应牢固，不得采用活页夹，并要求逐页标注连续页码。</w:t>
      </w:r>
    </w:p>
    <w:p w14:paraId="55B2AD57">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98" w:name="_Toc535415603"/>
      <w:bookmarkStart w:id="99" w:name="_Toc329810200"/>
      <w:bookmarkStart w:id="100" w:name="_Toc385344452"/>
      <w:bookmarkStart w:id="101" w:name="_Toc490599219"/>
      <w:bookmarkStart w:id="102" w:name="_Toc13633"/>
      <w:r>
        <w:rPr>
          <w:rFonts w:ascii="Times New Roman" w:hAnsi="Times New Roman"/>
          <w:b/>
          <w:bCs/>
          <w:szCs w:val="21"/>
        </w:rPr>
        <w:t>谈判保证金</w:t>
      </w:r>
      <w:bookmarkEnd w:id="98"/>
      <w:bookmarkEnd w:id="99"/>
      <w:bookmarkEnd w:id="100"/>
      <w:bookmarkEnd w:id="101"/>
      <w:bookmarkEnd w:id="102"/>
    </w:p>
    <w:p w14:paraId="55B2AD58">
      <w:pPr>
        <w:adjustRightInd w:val="0"/>
        <w:snapToGrid w:val="0"/>
        <w:spacing w:line="360" w:lineRule="auto"/>
        <w:ind w:firstLine="420" w:firstLineChars="200"/>
        <w:jc w:val="left"/>
        <w:rPr>
          <w:szCs w:val="21"/>
        </w:rPr>
      </w:pPr>
      <w:r>
        <w:rPr>
          <w:szCs w:val="21"/>
        </w:rPr>
        <w:t>13.1供应商应在递交响应文件截止时间以前按“供应商须知前附表”规定的方式及金额交至采购代理机构，并在谈判有效期内保持有效。</w:t>
      </w:r>
    </w:p>
    <w:p w14:paraId="55B2AD59">
      <w:pPr>
        <w:adjustRightInd w:val="0"/>
        <w:snapToGrid w:val="0"/>
        <w:spacing w:line="360" w:lineRule="auto"/>
        <w:ind w:firstLine="420" w:firstLineChars="200"/>
        <w:jc w:val="left"/>
        <w:rPr>
          <w:szCs w:val="21"/>
        </w:rPr>
      </w:pPr>
      <w:r>
        <w:rPr>
          <w:szCs w:val="21"/>
        </w:rPr>
        <w:t>13.2未成交的供应商可在成交结果发出后联系采购代理机构办理退还谈判保证金手续；成交人在签订合同后联系采购代理机构办理退还谈判保证金手续。</w:t>
      </w:r>
    </w:p>
    <w:p w14:paraId="55B2AD5A">
      <w:pPr>
        <w:adjustRightInd w:val="0"/>
        <w:snapToGrid w:val="0"/>
        <w:spacing w:line="360" w:lineRule="auto"/>
        <w:ind w:firstLine="420" w:firstLineChars="200"/>
        <w:jc w:val="left"/>
        <w:rPr>
          <w:szCs w:val="21"/>
        </w:rPr>
      </w:pPr>
      <w:r>
        <w:rPr>
          <w:szCs w:val="21"/>
        </w:rPr>
        <w:t>13.3下列情况发生时，谈判保证金将不予退还：</w:t>
      </w:r>
    </w:p>
    <w:p w14:paraId="55B2AD5B">
      <w:pPr>
        <w:adjustRightInd w:val="0"/>
        <w:snapToGrid w:val="0"/>
        <w:spacing w:line="360" w:lineRule="auto"/>
        <w:ind w:firstLine="420" w:firstLineChars="200"/>
        <w:jc w:val="left"/>
        <w:rPr>
          <w:szCs w:val="21"/>
        </w:rPr>
      </w:pPr>
      <w:r>
        <w:rPr>
          <w:szCs w:val="21"/>
        </w:rPr>
        <w:t>（1）供应商在提交响应文件截止时间后撤回响应文件的；</w:t>
      </w:r>
    </w:p>
    <w:p w14:paraId="55B2AD5C">
      <w:pPr>
        <w:adjustRightInd w:val="0"/>
        <w:snapToGrid w:val="0"/>
        <w:spacing w:line="360" w:lineRule="auto"/>
        <w:ind w:firstLine="420" w:firstLineChars="200"/>
        <w:jc w:val="left"/>
        <w:rPr>
          <w:szCs w:val="21"/>
        </w:rPr>
      </w:pPr>
      <w:r>
        <w:rPr>
          <w:szCs w:val="21"/>
        </w:rPr>
        <w:t>（2）供应商在响应文件中提供虚假材料的；</w:t>
      </w:r>
    </w:p>
    <w:p w14:paraId="55B2AD5D">
      <w:pPr>
        <w:adjustRightInd w:val="0"/>
        <w:snapToGrid w:val="0"/>
        <w:spacing w:line="360" w:lineRule="auto"/>
        <w:ind w:firstLine="420" w:firstLineChars="200"/>
        <w:jc w:val="left"/>
        <w:rPr>
          <w:szCs w:val="21"/>
        </w:rPr>
      </w:pPr>
      <w:r>
        <w:rPr>
          <w:szCs w:val="21"/>
        </w:rPr>
        <w:t>（3）除因不可抗力或谈判文件、询价通知书认可的情形以外，成交供应商不与采购人签订合同的；</w:t>
      </w:r>
    </w:p>
    <w:p w14:paraId="55B2AD5E">
      <w:pPr>
        <w:adjustRightInd w:val="0"/>
        <w:snapToGrid w:val="0"/>
        <w:spacing w:line="360" w:lineRule="auto"/>
        <w:ind w:firstLine="420" w:firstLineChars="200"/>
        <w:jc w:val="left"/>
        <w:rPr>
          <w:szCs w:val="21"/>
        </w:rPr>
      </w:pPr>
      <w:r>
        <w:rPr>
          <w:szCs w:val="21"/>
        </w:rPr>
        <w:t>（4）供应商与采购人、其他供应商或者采购代理机构恶意串通的；</w:t>
      </w:r>
    </w:p>
    <w:p w14:paraId="55B2AD5F">
      <w:pPr>
        <w:adjustRightInd w:val="0"/>
        <w:snapToGrid w:val="0"/>
        <w:spacing w:line="360" w:lineRule="auto"/>
        <w:ind w:firstLine="420" w:firstLineChars="200"/>
        <w:jc w:val="left"/>
        <w:rPr>
          <w:szCs w:val="21"/>
        </w:rPr>
      </w:pPr>
      <w:r>
        <w:rPr>
          <w:szCs w:val="21"/>
        </w:rPr>
        <w:t>（5）采购文件规定的其他情形。</w:t>
      </w:r>
    </w:p>
    <w:p w14:paraId="55B2AD60">
      <w:pPr>
        <w:adjustRightInd w:val="0"/>
        <w:snapToGrid w:val="0"/>
        <w:spacing w:line="360" w:lineRule="auto"/>
        <w:ind w:firstLine="200"/>
        <w:jc w:val="center"/>
        <w:outlineLvl w:val="1"/>
        <w:rPr>
          <w:b/>
          <w:bCs/>
          <w:szCs w:val="21"/>
        </w:rPr>
      </w:pPr>
      <w:bookmarkStart w:id="103" w:name="_Toc535415604"/>
      <w:bookmarkStart w:id="104" w:name="_Toc490599220"/>
      <w:bookmarkStart w:id="105" w:name="_Toc17353"/>
      <w:r>
        <w:rPr>
          <w:b/>
          <w:bCs/>
          <w:szCs w:val="21"/>
        </w:rPr>
        <w:t>四、响应文件的提交</w:t>
      </w:r>
      <w:bookmarkEnd w:id="103"/>
      <w:bookmarkEnd w:id="104"/>
      <w:bookmarkEnd w:id="105"/>
    </w:p>
    <w:p w14:paraId="55B2AD61">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06" w:name="_Toc32044"/>
      <w:bookmarkStart w:id="107" w:name="_Toc385344454"/>
      <w:bookmarkStart w:id="108" w:name="_Toc535415605"/>
      <w:bookmarkStart w:id="109" w:name="_Toc490599221"/>
      <w:r>
        <w:rPr>
          <w:rFonts w:ascii="Times New Roman" w:hAnsi="Times New Roman"/>
          <w:b/>
          <w:bCs/>
          <w:szCs w:val="21"/>
        </w:rPr>
        <w:t>响应文件的密封与标记</w:t>
      </w:r>
      <w:bookmarkEnd w:id="106"/>
      <w:bookmarkEnd w:id="107"/>
      <w:bookmarkEnd w:id="108"/>
      <w:bookmarkEnd w:id="109"/>
    </w:p>
    <w:p w14:paraId="55B2AD62">
      <w:pPr>
        <w:adjustRightInd w:val="0"/>
        <w:snapToGrid w:val="0"/>
        <w:spacing w:line="360" w:lineRule="auto"/>
        <w:ind w:firstLine="420" w:firstLineChars="200"/>
        <w:jc w:val="left"/>
        <w:rPr>
          <w:szCs w:val="21"/>
        </w:rPr>
      </w:pPr>
      <w:r>
        <w:rPr>
          <w:szCs w:val="21"/>
        </w:rPr>
        <w:t>14.1 谈判申请人应按“</w:t>
      </w:r>
      <w:r>
        <w:rPr>
          <w:b/>
          <w:szCs w:val="21"/>
        </w:rPr>
        <w:t>谈判申请人须知前附表</w:t>
      </w:r>
      <w:r>
        <w:rPr>
          <w:szCs w:val="21"/>
        </w:rPr>
        <w:t>”中规定的正本和副本的数量提交响应文件。</w:t>
      </w:r>
    </w:p>
    <w:p w14:paraId="55B2AD63">
      <w:pPr>
        <w:adjustRightInd w:val="0"/>
        <w:snapToGrid w:val="0"/>
        <w:spacing w:line="360" w:lineRule="auto"/>
        <w:ind w:firstLine="420" w:firstLineChars="200"/>
        <w:jc w:val="left"/>
        <w:rPr>
          <w:szCs w:val="21"/>
        </w:rPr>
      </w:pPr>
      <w:r>
        <w:rPr>
          <w:szCs w:val="21"/>
        </w:rPr>
        <w:t>14.2 谈判申请人应将正、副本文件加以密封，并在封贴处盖密封章（或公章）。</w:t>
      </w:r>
    </w:p>
    <w:p w14:paraId="55B2AD64">
      <w:pPr>
        <w:adjustRightInd w:val="0"/>
        <w:snapToGrid w:val="0"/>
        <w:spacing w:line="360" w:lineRule="auto"/>
        <w:ind w:firstLine="420" w:firstLineChars="200"/>
        <w:jc w:val="left"/>
        <w:rPr>
          <w:szCs w:val="21"/>
        </w:rPr>
      </w:pPr>
      <w:r>
        <w:rPr>
          <w:szCs w:val="21"/>
        </w:rPr>
        <w:t>14.3 响应文件袋的封面应注明项目名称、项目编号、谈判申请人名称、详细通讯地址、邮政编码。</w:t>
      </w:r>
    </w:p>
    <w:p w14:paraId="55B2AD65">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10" w:name="_Toc15298"/>
      <w:bookmarkStart w:id="111" w:name="_Toc490599222"/>
      <w:bookmarkStart w:id="112" w:name="_Toc535415606"/>
      <w:bookmarkStart w:id="113" w:name="_Toc385344455"/>
      <w:r>
        <w:rPr>
          <w:rFonts w:ascii="Times New Roman" w:hAnsi="Times New Roman"/>
          <w:b/>
          <w:bCs/>
          <w:szCs w:val="21"/>
        </w:rPr>
        <w:t>递交响应文件的截止时间和地点</w:t>
      </w:r>
      <w:bookmarkEnd w:id="110"/>
      <w:bookmarkEnd w:id="111"/>
      <w:bookmarkEnd w:id="112"/>
      <w:bookmarkEnd w:id="113"/>
    </w:p>
    <w:p w14:paraId="55B2AD66">
      <w:pPr>
        <w:adjustRightInd w:val="0"/>
        <w:snapToGrid w:val="0"/>
        <w:spacing w:line="360" w:lineRule="auto"/>
        <w:ind w:firstLine="420" w:firstLineChars="200"/>
        <w:jc w:val="left"/>
        <w:rPr>
          <w:szCs w:val="21"/>
        </w:rPr>
      </w:pPr>
      <w:r>
        <w:rPr>
          <w:szCs w:val="21"/>
        </w:rPr>
        <w:t>15.1 响应文件的递交不得迟于“</w:t>
      </w:r>
      <w:r>
        <w:rPr>
          <w:b/>
          <w:szCs w:val="21"/>
        </w:rPr>
        <w:t>谈判申请人须知前附表</w:t>
      </w:r>
      <w:r>
        <w:rPr>
          <w:szCs w:val="21"/>
        </w:rPr>
        <w:t>”规定的递交响应文件截止时间。</w:t>
      </w:r>
      <w:r>
        <w:rPr>
          <w:b/>
          <w:szCs w:val="21"/>
        </w:rPr>
        <w:t>逾期送达的响应文件，采购人不予接收。</w:t>
      </w:r>
    </w:p>
    <w:p w14:paraId="55B2AD67">
      <w:pPr>
        <w:adjustRightInd w:val="0"/>
        <w:snapToGrid w:val="0"/>
        <w:spacing w:line="360" w:lineRule="auto"/>
        <w:ind w:firstLine="420" w:firstLineChars="200"/>
        <w:jc w:val="left"/>
        <w:rPr>
          <w:b/>
          <w:szCs w:val="21"/>
        </w:rPr>
      </w:pPr>
      <w:r>
        <w:rPr>
          <w:szCs w:val="21"/>
        </w:rPr>
        <w:t>15.2 谈判申请人必须在规定时间内将响应文件递交到“</w:t>
      </w:r>
      <w:r>
        <w:rPr>
          <w:b/>
          <w:szCs w:val="21"/>
        </w:rPr>
        <w:t>谈判申请人须知前附表</w:t>
      </w:r>
      <w:r>
        <w:rPr>
          <w:szCs w:val="21"/>
        </w:rPr>
        <w:t>”规定的地点。</w:t>
      </w:r>
    </w:p>
    <w:p w14:paraId="55B2AD68">
      <w:pPr>
        <w:adjustRightInd w:val="0"/>
        <w:snapToGrid w:val="0"/>
        <w:spacing w:line="360" w:lineRule="auto"/>
        <w:ind w:firstLine="420" w:firstLineChars="200"/>
        <w:jc w:val="left"/>
        <w:rPr>
          <w:szCs w:val="21"/>
        </w:rPr>
      </w:pPr>
      <w:r>
        <w:rPr>
          <w:szCs w:val="21"/>
        </w:rPr>
        <w:t>15.3除“</w:t>
      </w:r>
      <w:r>
        <w:rPr>
          <w:b/>
          <w:szCs w:val="21"/>
        </w:rPr>
        <w:t>谈判申请人须知前附表</w:t>
      </w:r>
      <w:r>
        <w:rPr>
          <w:szCs w:val="21"/>
        </w:rPr>
        <w:t>”另有规定外，谈判申请人所递交的响应文件不予退还。</w:t>
      </w:r>
    </w:p>
    <w:p w14:paraId="55B2AD69">
      <w:pPr>
        <w:adjustRightInd w:val="0"/>
        <w:snapToGrid w:val="0"/>
        <w:spacing w:line="360" w:lineRule="auto"/>
        <w:ind w:firstLine="200"/>
        <w:jc w:val="center"/>
        <w:outlineLvl w:val="1"/>
        <w:rPr>
          <w:b/>
          <w:bCs/>
          <w:szCs w:val="21"/>
        </w:rPr>
      </w:pPr>
      <w:bookmarkStart w:id="114" w:name="_Toc490599223"/>
      <w:bookmarkStart w:id="115" w:name="_Toc535415607"/>
      <w:bookmarkStart w:id="116" w:name="_Toc12976"/>
      <w:r>
        <w:rPr>
          <w:b/>
          <w:bCs/>
          <w:szCs w:val="21"/>
        </w:rPr>
        <w:t>五、谈判</w:t>
      </w:r>
      <w:bookmarkEnd w:id="114"/>
      <w:bookmarkEnd w:id="115"/>
      <w:bookmarkEnd w:id="116"/>
    </w:p>
    <w:p w14:paraId="55B2AD6A">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17" w:name="_Toc7429"/>
      <w:bookmarkStart w:id="118" w:name="_Toc535415608"/>
      <w:bookmarkStart w:id="119" w:name="_Toc490599224"/>
      <w:bookmarkStart w:id="120" w:name="_Toc385344457"/>
      <w:bookmarkStart w:id="121" w:name="_Toc329810205"/>
      <w:r>
        <w:rPr>
          <w:rFonts w:ascii="Times New Roman" w:hAnsi="Times New Roman"/>
          <w:b/>
          <w:bCs/>
          <w:szCs w:val="21"/>
        </w:rPr>
        <w:t>谈判</w:t>
      </w:r>
      <w:bookmarkEnd w:id="117"/>
      <w:bookmarkEnd w:id="118"/>
      <w:bookmarkEnd w:id="119"/>
      <w:bookmarkEnd w:id="120"/>
      <w:bookmarkEnd w:id="121"/>
    </w:p>
    <w:p w14:paraId="55B2AD6B">
      <w:pPr>
        <w:adjustRightInd w:val="0"/>
        <w:snapToGrid w:val="0"/>
        <w:spacing w:line="360" w:lineRule="auto"/>
        <w:ind w:firstLine="420" w:firstLineChars="200"/>
        <w:jc w:val="left"/>
        <w:rPr>
          <w:szCs w:val="21"/>
        </w:rPr>
      </w:pPr>
      <w:r>
        <w:rPr>
          <w:szCs w:val="21"/>
        </w:rPr>
        <w:t>16.1采购代理机构将在“</w:t>
      </w:r>
      <w:r>
        <w:rPr>
          <w:b/>
          <w:szCs w:val="21"/>
        </w:rPr>
        <w:t>谈判申请人须知前附表</w:t>
      </w:r>
      <w:r>
        <w:rPr>
          <w:szCs w:val="21"/>
        </w:rPr>
        <w:t>”规定的时间和地点进行谈判，谈判申请人的法定代表人或其委托代理人应按时参加。</w:t>
      </w:r>
    </w:p>
    <w:p w14:paraId="55B2AD6C">
      <w:pPr>
        <w:adjustRightInd w:val="0"/>
        <w:snapToGrid w:val="0"/>
        <w:spacing w:line="360" w:lineRule="auto"/>
        <w:ind w:firstLine="420" w:firstLineChars="200"/>
        <w:jc w:val="left"/>
        <w:rPr>
          <w:szCs w:val="21"/>
        </w:rPr>
      </w:pPr>
      <w:r>
        <w:rPr>
          <w:szCs w:val="21"/>
        </w:rPr>
        <w:t>16.2谈判由谈判小组负责。谈判小组由采购人的代表和有关技术、经济等方面的专家组成，成员人数应当为三人以上单数。其中，技术、经济等方面的专家不得少于成员总数的三分之二。谈判应当推选组长，但采购人代表不得担任组长。</w:t>
      </w:r>
    </w:p>
    <w:p w14:paraId="55B2AD6D">
      <w:pPr>
        <w:adjustRightInd w:val="0"/>
        <w:snapToGrid w:val="0"/>
        <w:spacing w:line="360" w:lineRule="auto"/>
        <w:ind w:firstLine="420" w:firstLineChars="200"/>
        <w:jc w:val="left"/>
        <w:rPr>
          <w:szCs w:val="21"/>
        </w:rPr>
      </w:pPr>
      <w:r>
        <w:rPr>
          <w:szCs w:val="21"/>
        </w:rPr>
        <w:t>除授权代表外，采购人可以委派纪检监察等相关人员进入谈判现场，对谈判工作实施监督。</w:t>
      </w:r>
    </w:p>
    <w:p w14:paraId="55B2AD6E">
      <w:pPr>
        <w:adjustRightInd w:val="0"/>
        <w:snapToGrid w:val="0"/>
        <w:spacing w:line="360" w:lineRule="auto"/>
        <w:ind w:firstLine="420" w:firstLineChars="200"/>
        <w:jc w:val="left"/>
        <w:rPr>
          <w:szCs w:val="21"/>
        </w:rPr>
      </w:pPr>
      <w:r>
        <w:rPr>
          <w:szCs w:val="21"/>
        </w:rPr>
        <w:t>16.3谈判原则</w:t>
      </w:r>
    </w:p>
    <w:p w14:paraId="55B2AD6F">
      <w:pPr>
        <w:adjustRightInd w:val="0"/>
        <w:snapToGrid w:val="0"/>
        <w:spacing w:line="360" w:lineRule="auto"/>
        <w:ind w:firstLine="457" w:firstLineChars="218"/>
        <w:rPr>
          <w:szCs w:val="21"/>
        </w:rPr>
      </w:pPr>
      <w:r>
        <w:rPr>
          <w:szCs w:val="21"/>
        </w:rPr>
        <w:t>谈判小组应当从质量和服务均能满足谈判文件实质性响应要求的谈判申请人中，按照最终得分由高到低的顺序推荐成交候选人。</w:t>
      </w:r>
    </w:p>
    <w:p w14:paraId="55B2AD70">
      <w:pPr>
        <w:tabs>
          <w:tab w:val="left" w:pos="7980"/>
        </w:tabs>
        <w:adjustRightInd w:val="0"/>
        <w:snapToGrid w:val="0"/>
        <w:spacing w:line="360" w:lineRule="auto"/>
        <w:ind w:firstLine="420" w:firstLineChars="200"/>
        <w:jc w:val="left"/>
        <w:rPr>
          <w:szCs w:val="21"/>
        </w:rPr>
      </w:pPr>
      <w:r>
        <w:rPr>
          <w:szCs w:val="21"/>
        </w:rPr>
        <w:t>16.4谈判程序和评审方法</w:t>
      </w:r>
    </w:p>
    <w:p w14:paraId="55B2AD71">
      <w:pPr>
        <w:adjustRightInd w:val="0"/>
        <w:snapToGrid w:val="0"/>
        <w:spacing w:line="360" w:lineRule="auto"/>
        <w:ind w:firstLine="420" w:firstLineChars="200"/>
        <w:jc w:val="left"/>
        <w:rPr>
          <w:szCs w:val="21"/>
        </w:rPr>
      </w:pPr>
      <w:r>
        <w:rPr>
          <w:szCs w:val="21"/>
        </w:rPr>
        <w:t>谈判小组按照第三章“谈判程序和评审方法”规定的方法、因素、标准和程序进行谈判。</w:t>
      </w:r>
    </w:p>
    <w:p w14:paraId="55B2AD72">
      <w:pPr>
        <w:adjustRightInd w:val="0"/>
        <w:snapToGrid w:val="0"/>
        <w:spacing w:line="360" w:lineRule="auto"/>
        <w:ind w:firstLine="420" w:firstLineChars="200"/>
        <w:jc w:val="left"/>
        <w:rPr>
          <w:szCs w:val="21"/>
        </w:rPr>
      </w:pPr>
      <w:r>
        <w:rPr>
          <w:szCs w:val="21"/>
        </w:rPr>
        <w:t>16.5谈判文件</w:t>
      </w:r>
      <w:r>
        <w:rPr>
          <w:b/>
          <w:szCs w:val="21"/>
          <w:u w:val="single"/>
        </w:rPr>
        <w:t>第三章“谈判程序和评审方法”实质性要求为谈判文件的实质性内容，未实质性响应谈判文件的谈判申请人的响应文件将按无效处理，该谈判申请人不得再继续参加谈判</w:t>
      </w:r>
      <w:r>
        <w:rPr>
          <w:szCs w:val="21"/>
        </w:rPr>
        <w:t>。</w:t>
      </w:r>
    </w:p>
    <w:p w14:paraId="55B2AD73">
      <w:pPr>
        <w:adjustRightInd w:val="0"/>
        <w:snapToGrid w:val="0"/>
        <w:spacing w:line="360" w:lineRule="auto"/>
        <w:ind w:firstLine="420" w:firstLineChars="200"/>
        <w:jc w:val="left"/>
        <w:rPr>
          <w:szCs w:val="21"/>
        </w:rPr>
      </w:pPr>
      <w:r>
        <w:rPr>
          <w:szCs w:val="21"/>
        </w:rPr>
        <w:t>16.6谈判小组在对响应文件的有效性、完整性和响应程度进行审查时，可以要求谈判申请人对响应文件中含义不明确、同类问题表述不一致或者有明显文字和计算错误的内容等作出必要的澄清、说明或者更正。谈判申请人的澄清、说明或者更正不得超出响应文件的范围或者改变响应文件的实质性内容。</w:t>
      </w:r>
    </w:p>
    <w:p w14:paraId="55B2AD74">
      <w:pPr>
        <w:adjustRightInd w:val="0"/>
        <w:snapToGrid w:val="0"/>
        <w:spacing w:line="360" w:lineRule="auto"/>
        <w:ind w:firstLine="420" w:firstLineChars="200"/>
        <w:jc w:val="left"/>
        <w:rPr>
          <w:szCs w:val="21"/>
        </w:rPr>
      </w:pPr>
      <w:r>
        <w:rPr>
          <w:szCs w:val="21"/>
        </w:rPr>
        <w:t>谈判小组要求谈判申请人澄清、说明或者更正响应文件应当以书面形式作出。谈判申请人的澄清、说明或者更正应当由法定代表人或其授权代表签字或者加盖公章。由授权代表签字的，应当附法定代表人授权书。谈判申请人为自然人的，应当由本人签字并附身份证明。</w:t>
      </w:r>
    </w:p>
    <w:p w14:paraId="55B2AD75">
      <w:pPr>
        <w:adjustRightInd w:val="0"/>
        <w:snapToGrid w:val="0"/>
        <w:spacing w:line="360" w:lineRule="auto"/>
        <w:ind w:firstLine="420" w:firstLineChars="200"/>
        <w:jc w:val="left"/>
        <w:rPr>
          <w:b/>
          <w:szCs w:val="21"/>
        </w:rPr>
      </w:pPr>
      <w:r>
        <w:rPr>
          <w:b/>
          <w:szCs w:val="21"/>
        </w:rPr>
        <w:t>16.7有效响应文件不足三个的情形</w:t>
      </w:r>
    </w:p>
    <w:p w14:paraId="55B2AD76">
      <w:pPr>
        <w:adjustRightInd w:val="0"/>
        <w:snapToGrid w:val="0"/>
        <w:spacing w:line="360" w:lineRule="auto"/>
        <w:ind w:firstLine="420" w:firstLineChars="200"/>
        <w:jc w:val="left"/>
        <w:rPr>
          <w:b/>
          <w:szCs w:val="21"/>
        </w:rPr>
      </w:pPr>
      <w:r>
        <w:rPr>
          <w:rFonts w:hint="eastAsia"/>
          <w:b/>
          <w:szCs w:val="21"/>
        </w:rPr>
        <w:t>谈判小组根据竞争性谈判文件的规定，否决不合格谈判申请人后，因为有效响应文件不足三个使得谈判申请人明显缺乏竞争的，谈判小组可以否决全部谈判申请人。若有效响应文件不足三个，且谈判小组经评审认为竞争性谈判仍具有竞争力时，可以按评审办法继续评审或进行综合评议推荐成交候选人</w:t>
      </w:r>
      <w:r>
        <w:rPr>
          <w:b/>
          <w:szCs w:val="21"/>
        </w:rPr>
        <w:t>。</w:t>
      </w:r>
    </w:p>
    <w:p w14:paraId="55B2AD77">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22" w:name="_Toc31510"/>
      <w:bookmarkStart w:id="123" w:name="_Toc535415609"/>
      <w:bookmarkStart w:id="124" w:name="_Toc385344458"/>
      <w:bookmarkStart w:id="125" w:name="_Toc490599225"/>
      <w:r>
        <w:rPr>
          <w:rFonts w:ascii="Times New Roman" w:hAnsi="Times New Roman"/>
          <w:b/>
          <w:bCs/>
          <w:szCs w:val="21"/>
        </w:rPr>
        <w:t>谈判过程的保密</w:t>
      </w:r>
      <w:bookmarkEnd w:id="122"/>
      <w:bookmarkEnd w:id="123"/>
      <w:bookmarkEnd w:id="124"/>
      <w:bookmarkEnd w:id="125"/>
    </w:p>
    <w:p w14:paraId="55B2AD78">
      <w:pPr>
        <w:adjustRightInd w:val="0"/>
        <w:snapToGrid w:val="0"/>
        <w:spacing w:line="360" w:lineRule="auto"/>
        <w:ind w:firstLine="420" w:firstLineChars="200"/>
        <w:jc w:val="left"/>
        <w:rPr>
          <w:szCs w:val="21"/>
        </w:rPr>
      </w:pPr>
      <w:r>
        <w:rPr>
          <w:szCs w:val="21"/>
        </w:rPr>
        <w:t>在谈判中，采用背对背的谈判方式，谈判的任何一方不得透露与谈判有关的其他谈判申请人的技术资料、价格和其他信息。谈判开始后，直到授予谈判申请人合同止，凡是属于审查、澄清、谈判和比较的有关资料以及</w:t>
      </w:r>
      <w:r>
        <w:rPr>
          <w:rFonts w:hint="eastAsia"/>
          <w:szCs w:val="21"/>
        </w:rPr>
        <w:t>成交</w:t>
      </w:r>
      <w:r>
        <w:rPr>
          <w:szCs w:val="21"/>
        </w:rPr>
        <w:t>建议等均不向谈判申请人或其他人员透露。</w:t>
      </w:r>
    </w:p>
    <w:p w14:paraId="55B2AD79">
      <w:pPr>
        <w:adjustRightInd w:val="0"/>
        <w:snapToGrid w:val="0"/>
        <w:spacing w:line="360" w:lineRule="auto"/>
        <w:ind w:firstLine="200"/>
        <w:jc w:val="center"/>
        <w:outlineLvl w:val="1"/>
        <w:rPr>
          <w:b/>
          <w:bCs/>
          <w:szCs w:val="21"/>
        </w:rPr>
      </w:pPr>
      <w:bookmarkStart w:id="126" w:name="_Toc490599226"/>
      <w:bookmarkStart w:id="127" w:name="_Toc10851"/>
      <w:bookmarkStart w:id="128" w:name="_Toc535415610"/>
      <w:r>
        <w:rPr>
          <w:b/>
          <w:bCs/>
          <w:szCs w:val="21"/>
        </w:rPr>
        <w:t>六、成交结果</w:t>
      </w:r>
      <w:bookmarkEnd w:id="126"/>
      <w:bookmarkEnd w:id="127"/>
      <w:bookmarkEnd w:id="128"/>
    </w:p>
    <w:p w14:paraId="55B2AD7A">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29" w:name="_Toc535415611"/>
      <w:bookmarkStart w:id="130" w:name="_Toc490599227"/>
      <w:bookmarkStart w:id="131" w:name="_Toc385344461"/>
      <w:bookmarkStart w:id="132" w:name="_Toc7663"/>
      <w:r>
        <w:rPr>
          <w:rFonts w:ascii="Times New Roman" w:hAnsi="Times New Roman"/>
          <w:b/>
          <w:bCs/>
          <w:szCs w:val="21"/>
        </w:rPr>
        <w:t>成交人的确定</w:t>
      </w:r>
      <w:bookmarkEnd w:id="129"/>
      <w:bookmarkEnd w:id="130"/>
      <w:bookmarkEnd w:id="131"/>
      <w:bookmarkEnd w:id="132"/>
    </w:p>
    <w:p w14:paraId="55B2AD7B">
      <w:pPr>
        <w:adjustRightInd w:val="0"/>
        <w:snapToGrid w:val="0"/>
        <w:spacing w:line="360" w:lineRule="auto"/>
        <w:ind w:firstLine="420" w:firstLineChars="200"/>
        <w:jc w:val="left"/>
        <w:rPr>
          <w:szCs w:val="21"/>
        </w:rPr>
      </w:pPr>
      <w:r>
        <w:rPr>
          <w:szCs w:val="21"/>
        </w:rPr>
        <w:t>18.1代理机构在评审结束后将评审报告送采购人确认，采购人收到评审报告后应及时确认评审结果。</w:t>
      </w:r>
    </w:p>
    <w:p w14:paraId="55B2AD7C">
      <w:pPr>
        <w:adjustRightInd w:val="0"/>
        <w:snapToGrid w:val="0"/>
        <w:spacing w:line="360" w:lineRule="auto"/>
        <w:ind w:firstLine="420" w:firstLineChars="200"/>
        <w:jc w:val="left"/>
        <w:rPr>
          <w:szCs w:val="21"/>
        </w:rPr>
      </w:pPr>
      <w:r>
        <w:rPr>
          <w:szCs w:val="21"/>
        </w:rPr>
        <w:t>18.2采购代理机构在发布竞争性谈判公告的媒体上公示成交候选人，公示期不得少于3日。谈判申请人或者其他利害关系人对评审结果有异议的，应当在成交候选人公示期间提出。采购人应当自收到异议之日起3日内作出答复；作出答复前，应当暂停</w:t>
      </w:r>
      <w:r>
        <w:rPr>
          <w:rFonts w:hint="eastAsia"/>
          <w:szCs w:val="21"/>
        </w:rPr>
        <w:t>采购</w:t>
      </w:r>
      <w:r>
        <w:rPr>
          <w:szCs w:val="21"/>
        </w:rPr>
        <w:t>活动。</w:t>
      </w:r>
    </w:p>
    <w:p w14:paraId="55B2AD7D">
      <w:pPr>
        <w:adjustRightInd w:val="0"/>
        <w:snapToGrid w:val="0"/>
        <w:spacing w:line="360" w:lineRule="auto"/>
        <w:ind w:firstLine="420" w:firstLineChars="200"/>
        <w:jc w:val="left"/>
        <w:rPr>
          <w:szCs w:val="21"/>
        </w:rPr>
      </w:pPr>
      <w:r>
        <w:rPr>
          <w:szCs w:val="21"/>
        </w:rPr>
        <w:t>18.3公示期结束后，未对评审结果有异议的，采购人应当确定排名第一的成交候选人为成交人。</w:t>
      </w:r>
    </w:p>
    <w:p w14:paraId="55B2AD7E">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33" w:name="_Toc25888"/>
      <w:r>
        <w:rPr>
          <w:rFonts w:ascii="Times New Roman" w:hAnsi="Times New Roman"/>
          <w:b/>
          <w:bCs/>
          <w:szCs w:val="21"/>
        </w:rPr>
        <w:t>成交通知书</w:t>
      </w:r>
      <w:bookmarkEnd w:id="133"/>
    </w:p>
    <w:p w14:paraId="55B2AD7F">
      <w:pPr>
        <w:adjustRightInd w:val="0"/>
        <w:snapToGrid w:val="0"/>
        <w:spacing w:line="360" w:lineRule="auto"/>
        <w:ind w:firstLine="420" w:firstLineChars="200"/>
        <w:jc w:val="left"/>
        <w:rPr>
          <w:szCs w:val="21"/>
        </w:rPr>
      </w:pPr>
      <w:bookmarkStart w:id="134" w:name="_Toc490599229"/>
      <w:bookmarkStart w:id="135" w:name="_Toc385344463"/>
      <w:r>
        <w:rPr>
          <w:szCs w:val="21"/>
        </w:rPr>
        <w:t>19.1成交人确定后，成交结果由采购代理机构在发布竞争性谈判公告的媒体上公示</w:t>
      </w:r>
      <w:r>
        <w:rPr>
          <w:rFonts w:hint="eastAsia"/>
          <w:szCs w:val="21"/>
          <w:lang w:eastAsia="zh-CN"/>
        </w:rPr>
        <w:t>，</w:t>
      </w:r>
      <w:r>
        <w:rPr>
          <w:szCs w:val="21"/>
        </w:rPr>
        <w:t>同时向成交人发出成交通知书。</w:t>
      </w:r>
      <w:bookmarkEnd w:id="134"/>
    </w:p>
    <w:p w14:paraId="55B2AD80">
      <w:pPr>
        <w:adjustRightInd w:val="0"/>
        <w:snapToGrid w:val="0"/>
        <w:spacing w:line="360" w:lineRule="auto"/>
        <w:ind w:firstLine="420" w:firstLineChars="200"/>
        <w:jc w:val="left"/>
        <w:rPr>
          <w:szCs w:val="21"/>
        </w:rPr>
      </w:pPr>
      <w:bookmarkStart w:id="136" w:name="_Toc490599230"/>
      <w:r>
        <w:rPr>
          <w:szCs w:val="21"/>
        </w:rPr>
        <w:t>19.2成交通知书是合同的一个组成部分。</w:t>
      </w:r>
      <w:bookmarkEnd w:id="136"/>
    </w:p>
    <w:p w14:paraId="55B2AD81">
      <w:pPr>
        <w:adjustRightInd w:val="0"/>
        <w:snapToGrid w:val="0"/>
        <w:spacing w:line="360" w:lineRule="auto"/>
        <w:ind w:firstLine="420" w:firstLineChars="200"/>
        <w:jc w:val="left"/>
        <w:rPr>
          <w:szCs w:val="21"/>
        </w:rPr>
      </w:pPr>
      <w:bookmarkStart w:id="137" w:name="_Toc490599231"/>
      <w:r>
        <w:rPr>
          <w:szCs w:val="21"/>
        </w:rPr>
        <w:t>19.3代理机构无义务向未成交人解释落标原因和退回响应文件。</w:t>
      </w:r>
      <w:bookmarkEnd w:id="137"/>
    </w:p>
    <w:p w14:paraId="55B2AD82">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38" w:name="_Toc490599232"/>
      <w:bookmarkStart w:id="139" w:name="_Toc535415613"/>
      <w:bookmarkStart w:id="140" w:name="_Toc30591"/>
      <w:r>
        <w:rPr>
          <w:rFonts w:ascii="Times New Roman" w:hAnsi="Times New Roman"/>
          <w:b/>
          <w:bCs/>
          <w:szCs w:val="21"/>
        </w:rPr>
        <w:t>签订合同</w:t>
      </w:r>
      <w:bookmarkEnd w:id="135"/>
      <w:bookmarkEnd w:id="138"/>
      <w:bookmarkEnd w:id="139"/>
      <w:bookmarkEnd w:id="140"/>
    </w:p>
    <w:p w14:paraId="55B2AD83">
      <w:pPr>
        <w:adjustRightInd w:val="0"/>
        <w:snapToGrid w:val="0"/>
        <w:spacing w:line="360" w:lineRule="auto"/>
        <w:ind w:firstLine="420" w:firstLineChars="200"/>
        <w:jc w:val="left"/>
        <w:rPr>
          <w:szCs w:val="21"/>
        </w:rPr>
      </w:pPr>
      <w:r>
        <w:rPr>
          <w:szCs w:val="21"/>
        </w:rPr>
        <w:t>20.1成交人收到成交通知书后，按竞争性谈判文件、响应文件及有关澄清承诺书的要求与采购人签订合同。</w:t>
      </w:r>
    </w:p>
    <w:p w14:paraId="55B2AD84">
      <w:pPr>
        <w:adjustRightInd w:val="0"/>
        <w:snapToGrid w:val="0"/>
        <w:spacing w:line="360" w:lineRule="auto"/>
        <w:ind w:firstLine="420" w:firstLineChars="200"/>
        <w:jc w:val="left"/>
        <w:rPr>
          <w:szCs w:val="21"/>
        </w:rPr>
      </w:pPr>
      <w:r>
        <w:rPr>
          <w:szCs w:val="21"/>
        </w:rPr>
        <w:t>20.2成交人因不可抗力或者自身原因不能履行合同的，采购人可以与排位在成交人之后第一位的</w:t>
      </w:r>
      <w:r>
        <w:rPr>
          <w:rFonts w:hint="eastAsia"/>
          <w:szCs w:val="21"/>
        </w:rPr>
        <w:t>成交</w:t>
      </w:r>
      <w:r>
        <w:rPr>
          <w:szCs w:val="21"/>
        </w:rPr>
        <w:t>候选谈判申请人签订合同，以此类推。</w:t>
      </w:r>
    </w:p>
    <w:p w14:paraId="55B2AD85">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41" w:name="_Toc385344464"/>
      <w:bookmarkStart w:id="142" w:name="_Toc490599233"/>
      <w:bookmarkStart w:id="143" w:name="_Toc535415614"/>
      <w:bookmarkStart w:id="144" w:name="_Toc24636"/>
      <w:r>
        <w:rPr>
          <w:rFonts w:ascii="Times New Roman" w:hAnsi="Times New Roman"/>
          <w:b/>
          <w:bCs/>
          <w:szCs w:val="21"/>
        </w:rPr>
        <w:t>履约</w:t>
      </w:r>
      <w:bookmarkEnd w:id="141"/>
      <w:bookmarkEnd w:id="142"/>
      <w:r>
        <w:rPr>
          <w:rFonts w:ascii="Times New Roman" w:hAnsi="Times New Roman"/>
          <w:b/>
          <w:bCs/>
          <w:szCs w:val="21"/>
        </w:rPr>
        <w:t>担保</w:t>
      </w:r>
      <w:bookmarkEnd w:id="143"/>
      <w:bookmarkEnd w:id="144"/>
    </w:p>
    <w:p w14:paraId="55B2AD86">
      <w:pPr>
        <w:adjustRightInd w:val="0"/>
        <w:snapToGrid w:val="0"/>
        <w:spacing w:line="360" w:lineRule="auto"/>
        <w:ind w:firstLine="420" w:firstLineChars="200"/>
        <w:jc w:val="left"/>
        <w:rPr>
          <w:szCs w:val="21"/>
        </w:rPr>
      </w:pPr>
      <w:bookmarkStart w:id="145" w:name="_Toc490599234"/>
      <w:bookmarkStart w:id="146" w:name="_Toc535415615"/>
      <w:bookmarkStart w:id="147" w:name="_Toc32616"/>
      <w:r>
        <w:rPr>
          <w:szCs w:val="21"/>
        </w:rPr>
        <w:t>21.1履约担保为合同总额的10%，在签订合同之日起30日内，成交人以银行保函或现金的形式向采购人提交履约担保。履约保函的有效期至工程竣工验收合格4周后失效或不计利息退还（采购</w:t>
      </w:r>
      <w:r>
        <w:rPr>
          <w:rFonts w:hint="eastAsia"/>
          <w:szCs w:val="21"/>
          <w:lang w:eastAsia="zh-CN"/>
        </w:rPr>
        <w:t>人在</w:t>
      </w:r>
      <w:r>
        <w:rPr>
          <w:szCs w:val="21"/>
        </w:rPr>
        <w:t>验收合格之前如需继续提供履约保函的，成交人应提前15天办理延续保函）。因成交人原因导致交货周期延长的，继续提供履约担保所增加的费用由成交人承担。如果成交人不履行合同约定的义务或其履行不符合合同的约定，采购人有权扣划相应金额的履约担保。</w:t>
      </w:r>
    </w:p>
    <w:p w14:paraId="55B2AD87">
      <w:pPr>
        <w:adjustRightInd w:val="0"/>
        <w:snapToGrid w:val="0"/>
        <w:spacing w:line="360" w:lineRule="auto"/>
        <w:ind w:firstLine="200"/>
        <w:jc w:val="center"/>
        <w:outlineLvl w:val="1"/>
        <w:rPr>
          <w:b/>
          <w:bCs/>
          <w:szCs w:val="21"/>
        </w:rPr>
      </w:pPr>
      <w:r>
        <w:rPr>
          <w:b/>
          <w:bCs/>
          <w:szCs w:val="21"/>
        </w:rPr>
        <w:t>七、其他事项</w:t>
      </w:r>
      <w:bookmarkEnd w:id="145"/>
      <w:bookmarkEnd w:id="146"/>
      <w:bookmarkEnd w:id="147"/>
    </w:p>
    <w:p w14:paraId="55B2AD88">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48" w:name="_Toc535415616"/>
      <w:bookmarkStart w:id="149" w:name="_Toc490599235"/>
      <w:bookmarkStart w:id="150" w:name="_Toc10985"/>
      <w:bookmarkStart w:id="151" w:name="_Toc385344467"/>
      <w:r>
        <w:rPr>
          <w:rFonts w:ascii="Times New Roman" w:hAnsi="Times New Roman"/>
          <w:b/>
          <w:bCs/>
          <w:szCs w:val="21"/>
        </w:rPr>
        <w:t>投诉</w:t>
      </w:r>
      <w:bookmarkEnd w:id="148"/>
      <w:bookmarkEnd w:id="149"/>
      <w:bookmarkEnd w:id="150"/>
    </w:p>
    <w:p w14:paraId="55B2AD89">
      <w:pPr>
        <w:adjustRightInd w:val="0"/>
        <w:snapToGrid w:val="0"/>
        <w:spacing w:line="360" w:lineRule="auto"/>
        <w:ind w:firstLine="420" w:firstLineChars="200"/>
        <w:jc w:val="left"/>
        <w:rPr>
          <w:szCs w:val="21"/>
        </w:rPr>
      </w:pPr>
      <w:r>
        <w:rPr>
          <w:szCs w:val="21"/>
        </w:rPr>
        <w:t>22.1谈判申请人和其他利害关系人认为本次谈判活动违反法律、法规和规章规定的，有权向有关行政监督部门投诉。</w:t>
      </w:r>
    </w:p>
    <w:p w14:paraId="55B2AD8A">
      <w:pPr>
        <w:adjustRightInd w:val="0"/>
        <w:snapToGrid w:val="0"/>
        <w:spacing w:line="360" w:lineRule="auto"/>
        <w:ind w:firstLine="420" w:firstLineChars="200"/>
        <w:jc w:val="left"/>
        <w:rPr>
          <w:szCs w:val="21"/>
        </w:rPr>
      </w:pPr>
      <w:r>
        <w:rPr>
          <w:szCs w:val="21"/>
        </w:rPr>
        <w:t>22.2对发现在本次谈判、评审过程中存在的任何违规、违纪情况也可以向</w:t>
      </w:r>
      <w:r>
        <w:rPr>
          <w:rFonts w:hint="eastAsia"/>
          <w:szCs w:val="21"/>
        </w:rPr>
        <w:t>云南中慧能源有限公司</w:t>
      </w:r>
      <w:r>
        <w:rPr>
          <w:szCs w:val="21"/>
        </w:rPr>
        <w:t>纪检监察室举报。</w:t>
      </w:r>
    </w:p>
    <w:bookmarkEnd w:id="151"/>
    <w:p w14:paraId="55B2AD8B">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52" w:name="_Toc490599237"/>
      <w:bookmarkStart w:id="153" w:name="_Toc29626"/>
      <w:bookmarkStart w:id="154" w:name="_Toc535415618"/>
      <w:bookmarkStart w:id="155" w:name="_Toc385344468"/>
      <w:r>
        <w:rPr>
          <w:rFonts w:ascii="Times New Roman" w:hAnsi="Times New Roman"/>
          <w:b/>
          <w:bCs/>
          <w:szCs w:val="21"/>
        </w:rPr>
        <w:t>谈判文件编制依据</w:t>
      </w:r>
      <w:bookmarkEnd w:id="152"/>
      <w:bookmarkEnd w:id="153"/>
      <w:bookmarkEnd w:id="154"/>
      <w:bookmarkEnd w:id="155"/>
    </w:p>
    <w:p w14:paraId="55B2AD8C">
      <w:pPr>
        <w:adjustRightInd w:val="0"/>
        <w:snapToGrid w:val="0"/>
        <w:spacing w:line="360" w:lineRule="auto"/>
        <w:ind w:firstLine="420" w:firstLineChars="200"/>
        <w:jc w:val="left"/>
        <w:rPr>
          <w:szCs w:val="21"/>
        </w:rPr>
      </w:pPr>
      <w:r>
        <w:rPr>
          <w:szCs w:val="21"/>
        </w:rPr>
        <w:t>本谈判文件是参照有关法律、法规和规章的规定编制。</w:t>
      </w:r>
    </w:p>
    <w:p w14:paraId="55B2AD8D">
      <w:pPr>
        <w:pStyle w:val="26"/>
        <w:numPr>
          <w:ilvl w:val="0"/>
          <w:numId w:val="1"/>
        </w:numPr>
        <w:adjustRightInd w:val="0"/>
        <w:snapToGrid w:val="0"/>
        <w:spacing w:line="360" w:lineRule="auto"/>
        <w:ind w:left="0" w:firstLine="422"/>
        <w:jc w:val="left"/>
        <w:outlineLvl w:val="2"/>
        <w:rPr>
          <w:rFonts w:ascii="Times New Roman" w:hAnsi="Times New Roman"/>
          <w:b/>
          <w:bCs/>
          <w:szCs w:val="21"/>
        </w:rPr>
      </w:pPr>
      <w:bookmarkStart w:id="156" w:name="_Toc385344469"/>
      <w:bookmarkStart w:id="157" w:name="_Toc535415619"/>
      <w:bookmarkStart w:id="158" w:name="_Toc6692"/>
      <w:bookmarkStart w:id="159" w:name="_Toc490599238"/>
      <w:r>
        <w:rPr>
          <w:rFonts w:ascii="Times New Roman" w:hAnsi="Times New Roman"/>
          <w:b/>
          <w:bCs/>
          <w:szCs w:val="21"/>
        </w:rPr>
        <w:t>需要补充的其他内容</w:t>
      </w:r>
      <w:bookmarkEnd w:id="156"/>
      <w:bookmarkEnd w:id="157"/>
      <w:bookmarkEnd w:id="158"/>
      <w:bookmarkEnd w:id="159"/>
    </w:p>
    <w:p w14:paraId="55B2AD8E">
      <w:pPr>
        <w:adjustRightInd w:val="0"/>
        <w:snapToGrid w:val="0"/>
        <w:spacing w:line="360" w:lineRule="auto"/>
        <w:ind w:firstLine="420" w:firstLineChars="200"/>
        <w:jc w:val="left"/>
        <w:rPr>
          <w:szCs w:val="21"/>
        </w:rPr>
      </w:pPr>
      <w:r>
        <w:rPr>
          <w:szCs w:val="21"/>
        </w:rPr>
        <w:t>需要补充的其他内容：见“</w:t>
      </w:r>
      <w:r>
        <w:rPr>
          <w:b/>
          <w:szCs w:val="21"/>
        </w:rPr>
        <w:t>谈判申请人须知前附表</w:t>
      </w:r>
      <w:r>
        <w:rPr>
          <w:szCs w:val="21"/>
        </w:rPr>
        <w:t>”。</w:t>
      </w:r>
    </w:p>
    <w:p w14:paraId="55B2AD8F">
      <w:pPr>
        <w:pStyle w:val="2"/>
        <w:jc w:val="center"/>
        <w:rPr>
          <w:rFonts w:ascii="Times New Roman" w:eastAsia="宋体"/>
          <w:color w:val="auto"/>
          <w:sz w:val="32"/>
        </w:rPr>
      </w:pPr>
      <w:bookmarkStart w:id="160" w:name="_Toc86124078"/>
      <w:bookmarkStart w:id="161" w:name="_Toc46765042"/>
      <w:bookmarkStart w:id="162" w:name="_Toc22351"/>
      <w:r>
        <w:rPr>
          <w:rFonts w:ascii="Times New Roman" w:eastAsia="宋体"/>
          <w:color w:val="auto"/>
          <w:sz w:val="32"/>
        </w:rPr>
        <w:br w:type="page"/>
      </w:r>
      <w:bookmarkStart w:id="163" w:name="_Toc3045"/>
      <w:bookmarkStart w:id="164" w:name="_Toc4752"/>
      <w:bookmarkStart w:id="165" w:name="_Toc9507"/>
      <w:r>
        <w:rPr>
          <w:rFonts w:ascii="Times New Roman" w:eastAsia="宋体"/>
          <w:color w:val="auto"/>
          <w:sz w:val="32"/>
        </w:rPr>
        <w:t>第三章  谈判程序和方法</w:t>
      </w:r>
      <w:bookmarkEnd w:id="163"/>
      <w:bookmarkEnd w:id="164"/>
    </w:p>
    <w:p w14:paraId="55B2AD90">
      <w:pPr>
        <w:pStyle w:val="3"/>
        <w:adjustRightInd w:val="0"/>
        <w:snapToGrid w:val="0"/>
        <w:spacing w:line="480" w:lineRule="exact"/>
        <w:ind w:firstLine="420" w:firstLineChars="200"/>
        <w:jc w:val="left"/>
        <w:rPr>
          <w:rFonts w:ascii="Times New Roman" w:hAnsi="Times New Roman"/>
          <w:sz w:val="21"/>
          <w:szCs w:val="21"/>
        </w:rPr>
      </w:pPr>
      <w:r>
        <w:rPr>
          <w:rFonts w:ascii="Times New Roman" w:hAnsi="Times New Roman"/>
          <w:sz w:val="21"/>
          <w:szCs w:val="21"/>
        </w:rPr>
        <w:t>一、谈判方法</w:t>
      </w:r>
    </w:p>
    <w:p w14:paraId="55B2AD91">
      <w:pPr>
        <w:adjustRightInd w:val="0"/>
        <w:snapToGrid w:val="0"/>
        <w:spacing w:line="360" w:lineRule="auto"/>
        <w:ind w:firstLine="420" w:firstLineChars="200"/>
        <w:rPr>
          <w:szCs w:val="21"/>
        </w:rPr>
      </w:pPr>
      <w:r>
        <w:rPr>
          <w:szCs w:val="21"/>
        </w:rPr>
        <w:t>本次谈判原则为：根据报价、商务、技术综合评估打分的高低确定成交谈判申请人，综合得分最高的为第一成交候选人，以此类推。综合得分相同时，以最终总报价低者优先；综合得分相同，且最终总报价相同时，以技术部分得分高的优先；技术部分得分也相等的，由谈判小组有记名投票推荐。</w:t>
      </w:r>
    </w:p>
    <w:p w14:paraId="55B2AD92">
      <w:pPr>
        <w:pStyle w:val="3"/>
        <w:adjustRightInd w:val="0"/>
        <w:snapToGrid w:val="0"/>
        <w:spacing w:line="480" w:lineRule="exact"/>
        <w:ind w:firstLine="420" w:firstLineChars="200"/>
        <w:jc w:val="left"/>
        <w:rPr>
          <w:rFonts w:ascii="Times New Roman" w:hAnsi="Times New Roman"/>
          <w:sz w:val="21"/>
          <w:szCs w:val="21"/>
        </w:rPr>
      </w:pPr>
      <w:r>
        <w:rPr>
          <w:rFonts w:ascii="Times New Roman" w:hAnsi="Times New Roman"/>
          <w:sz w:val="21"/>
          <w:szCs w:val="21"/>
        </w:rPr>
        <w:t>二、谈判标准</w:t>
      </w:r>
    </w:p>
    <w:p w14:paraId="55B2AD93">
      <w:pPr>
        <w:pStyle w:val="4"/>
        <w:spacing w:line="480" w:lineRule="exact"/>
        <w:ind w:firstLine="422"/>
        <w:jc w:val="both"/>
        <w:rPr>
          <w:rFonts w:ascii="Times New Roman"/>
          <w:sz w:val="21"/>
          <w:szCs w:val="21"/>
        </w:rPr>
      </w:pPr>
      <w:r>
        <w:rPr>
          <w:rFonts w:ascii="Times New Roman"/>
          <w:sz w:val="21"/>
          <w:szCs w:val="21"/>
        </w:rPr>
        <w:t>2.1实质性要求审查标准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125"/>
        <w:gridCol w:w="1745"/>
        <w:gridCol w:w="5472"/>
      </w:tblGrid>
      <w:tr w14:paraId="55B2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tblHeader/>
          <w:jc w:val="center"/>
        </w:trPr>
        <w:tc>
          <w:tcPr>
            <w:tcW w:w="2049" w:type="dxa"/>
            <w:gridSpan w:val="2"/>
            <w:vAlign w:val="center"/>
          </w:tcPr>
          <w:p w14:paraId="55B2AD94">
            <w:pPr>
              <w:adjustRightInd w:val="0"/>
              <w:snapToGrid w:val="0"/>
              <w:jc w:val="center"/>
              <w:rPr>
                <w:b/>
                <w:szCs w:val="21"/>
              </w:rPr>
            </w:pPr>
            <w:r>
              <w:rPr>
                <w:b/>
                <w:szCs w:val="21"/>
              </w:rPr>
              <w:t>条款号</w:t>
            </w:r>
          </w:p>
        </w:tc>
        <w:tc>
          <w:tcPr>
            <w:tcW w:w="1745" w:type="dxa"/>
            <w:vAlign w:val="center"/>
          </w:tcPr>
          <w:p w14:paraId="55B2AD95">
            <w:pPr>
              <w:adjustRightInd w:val="0"/>
              <w:snapToGrid w:val="0"/>
              <w:jc w:val="center"/>
              <w:rPr>
                <w:b/>
                <w:szCs w:val="21"/>
              </w:rPr>
            </w:pPr>
            <w:r>
              <w:rPr>
                <w:b/>
                <w:szCs w:val="21"/>
              </w:rPr>
              <w:t>审 查 内 容</w:t>
            </w:r>
          </w:p>
        </w:tc>
        <w:tc>
          <w:tcPr>
            <w:tcW w:w="5472" w:type="dxa"/>
            <w:vAlign w:val="center"/>
          </w:tcPr>
          <w:p w14:paraId="55B2AD96">
            <w:pPr>
              <w:adjustRightInd w:val="0"/>
              <w:snapToGrid w:val="0"/>
              <w:jc w:val="center"/>
              <w:rPr>
                <w:b/>
                <w:szCs w:val="21"/>
              </w:rPr>
            </w:pPr>
            <w:r>
              <w:rPr>
                <w:b/>
                <w:szCs w:val="21"/>
              </w:rPr>
              <w:t>审 查 标 准</w:t>
            </w:r>
          </w:p>
        </w:tc>
      </w:tr>
      <w:tr w14:paraId="55B2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924" w:type="dxa"/>
            <w:vMerge w:val="restart"/>
            <w:vAlign w:val="center"/>
          </w:tcPr>
          <w:p w14:paraId="55B2AD98">
            <w:pPr>
              <w:adjustRightInd w:val="0"/>
              <w:snapToGrid w:val="0"/>
              <w:jc w:val="center"/>
              <w:rPr>
                <w:szCs w:val="21"/>
              </w:rPr>
            </w:pPr>
            <w:r>
              <w:rPr>
                <w:szCs w:val="21"/>
              </w:rPr>
              <w:t>2.1</w:t>
            </w:r>
          </w:p>
        </w:tc>
        <w:tc>
          <w:tcPr>
            <w:tcW w:w="1125" w:type="dxa"/>
            <w:vMerge w:val="restart"/>
            <w:vAlign w:val="center"/>
          </w:tcPr>
          <w:p w14:paraId="55B2AD99">
            <w:pPr>
              <w:adjustRightInd w:val="0"/>
              <w:snapToGrid w:val="0"/>
              <w:jc w:val="center"/>
              <w:rPr>
                <w:szCs w:val="21"/>
              </w:rPr>
            </w:pPr>
            <w:r>
              <w:rPr>
                <w:szCs w:val="21"/>
              </w:rPr>
              <w:t>实质性要求审查标准</w:t>
            </w:r>
          </w:p>
        </w:tc>
        <w:tc>
          <w:tcPr>
            <w:tcW w:w="1745" w:type="dxa"/>
            <w:vAlign w:val="center"/>
          </w:tcPr>
          <w:p w14:paraId="55B2AD9A">
            <w:pPr>
              <w:adjustRightInd w:val="0"/>
              <w:snapToGrid w:val="0"/>
              <w:jc w:val="center"/>
              <w:rPr>
                <w:szCs w:val="21"/>
              </w:rPr>
            </w:pPr>
            <w:r>
              <w:rPr>
                <w:szCs w:val="21"/>
              </w:rPr>
              <w:t>资格条件</w:t>
            </w:r>
          </w:p>
        </w:tc>
        <w:tc>
          <w:tcPr>
            <w:tcW w:w="5472" w:type="dxa"/>
            <w:vAlign w:val="center"/>
          </w:tcPr>
          <w:p w14:paraId="55B2AD9B">
            <w:pPr>
              <w:adjustRightInd w:val="0"/>
              <w:snapToGrid w:val="0"/>
              <w:rPr>
                <w:szCs w:val="21"/>
              </w:rPr>
            </w:pPr>
            <w:r>
              <w:rPr>
                <w:szCs w:val="21"/>
              </w:rPr>
              <w:t>符合第二章“谈判申请人须知”第4项规定</w:t>
            </w:r>
          </w:p>
        </w:tc>
      </w:tr>
      <w:tr w14:paraId="55B2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exact"/>
          <w:jc w:val="center"/>
        </w:trPr>
        <w:tc>
          <w:tcPr>
            <w:tcW w:w="924" w:type="dxa"/>
            <w:vMerge w:val="continue"/>
            <w:vAlign w:val="center"/>
          </w:tcPr>
          <w:p w14:paraId="55B2AD9D">
            <w:pPr>
              <w:adjustRightInd w:val="0"/>
              <w:snapToGrid w:val="0"/>
              <w:jc w:val="center"/>
              <w:rPr>
                <w:szCs w:val="21"/>
              </w:rPr>
            </w:pPr>
          </w:p>
        </w:tc>
        <w:tc>
          <w:tcPr>
            <w:tcW w:w="1125" w:type="dxa"/>
            <w:vMerge w:val="continue"/>
            <w:vAlign w:val="center"/>
          </w:tcPr>
          <w:p w14:paraId="55B2AD9E">
            <w:pPr>
              <w:adjustRightInd w:val="0"/>
              <w:snapToGrid w:val="0"/>
              <w:jc w:val="center"/>
              <w:rPr>
                <w:szCs w:val="21"/>
              </w:rPr>
            </w:pPr>
          </w:p>
        </w:tc>
        <w:tc>
          <w:tcPr>
            <w:tcW w:w="1745" w:type="dxa"/>
            <w:vAlign w:val="center"/>
          </w:tcPr>
          <w:p w14:paraId="55B2AD9F">
            <w:pPr>
              <w:adjustRightInd w:val="0"/>
              <w:snapToGrid w:val="0"/>
              <w:jc w:val="center"/>
              <w:rPr>
                <w:szCs w:val="21"/>
              </w:rPr>
            </w:pPr>
            <w:r>
              <w:rPr>
                <w:szCs w:val="21"/>
              </w:rPr>
              <w:t>法定代表人身份证明书</w:t>
            </w:r>
          </w:p>
        </w:tc>
        <w:tc>
          <w:tcPr>
            <w:tcW w:w="5472" w:type="dxa"/>
            <w:vAlign w:val="center"/>
          </w:tcPr>
          <w:p w14:paraId="55B2ADA0">
            <w:pPr>
              <w:adjustRightInd w:val="0"/>
              <w:snapToGrid w:val="0"/>
              <w:rPr>
                <w:szCs w:val="21"/>
              </w:rPr>
            </w:pPr>
            <w:r>
              <w:rPr>
                <w:szCs w:val="21"/>
              </w:rPr>
              <w:t>符合谈判文件规定格式及内容，并加盖单</w:t>
            </w:r>
            <w:r>
              <w:rPr>
                <w:rFonts w:hint="eastAsia"/>
                <w:szCs w:val="21"/>
              </w:rPr>
              <w:t>位公</w:t>
            </w:r>
            <w:r>
              <w:rPr>
                <w:szCs w:val="21"/>
              </w:rPr>
              <w:t>章；资格证明文件正本中法定代表人身份证明书为原件。</w:t>
            </w:r>
          </w:p>
        </w:tc>
      </w:tr>
      <w:tr w14:paraId="55B2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924" w:type="dxa"/>
            <w:vMerge w:val="continue"/>
            <w:vAlign w:val="center"/>
          </w:tcPr>
          <w:p w14:paraId="55B2ADA2">
            <w:pPr>
              <w:adjustRightInd w:val="0"/>
              <w:snapToGrid w:val="0"/>
              <w:jc w:val="center"/>
              <w:rPr>
                <w:szCs w:val="21"/>
              </w:rPr>
            </w:pPr>
          </w:p>
        </w:tc>
        <w:tc>
          <w:tcPr>
            <w:tcW w:w="1125" w:type="dxa"/>
            <w:vMerge w:val="continue"/>
            <w:vAlign w:val="center"/>
          </w:tcPr>
          <w:p w14:paraId="55B2ADA3">
            <w:pPr>
              <w:adjustRightInd w:val="0"/>
              <w:snapToGrid w:val="0"/>
              <w:jc w:val="center"/>
              <w:rPr>
                <w:szCs w:val="21"/>
              </w:rPr>
            </w:pPr>
          </w:p>
        </w:tc>
        <w:tc>
          <w:tcPr>
            <w:tcW w:w="1745" w:type="dxa"/>
            <w:vAlign w:val="center"/>
          </w:tcPr>
          <w:p w14:paraId="55B2ADA4">
            <w:pPr>
              <w:adjustRightInd w:val="0"/>
              <w:snapToGrid w:val="0"/>
              <w:jc w:val="center"/>
              <w:rPr>
                <w:szCs w:val="21"/>
              </w:rPr>
            </w:pPr>
            <w:r>
              <w:rPr>
                <w:szCs w:val="21"/>
              </w:rPr>
              <w:t>法定代表人授权委托书</w:t>
            </w:r>
          </w:p>
        </w:tc>
        <w:tc>
          <w:tcPr>
            <w:tcW w:w="5472" w:type="dxa"/>
            <w:vAlign w:val="center"/>
          </w:tcPr>
          <w:p w14:paraId="55B2ADA5">
            <w:pPr>
              <w:adjustRightInd w:val="0"/>
              <w:snapToGrid w:val="0"/>
              <w:rPr>
                <w:szCs w:val="21"/>
              </w:rPr>
            </w:pPr>
            <w:r>
              <w:rPr>
                <w:szCs w:val="21"/>
              </w:rPr>
              <w:t>有法定代表人及其委托代理人签字或盖章，并盖单位章；符合谈判文件规定格式及内容；资格证明文件正本中法定代表人授权委托书为原件。</w:t>
            </w:r>
          </w:p>
        </w:tc>
      </w:tr>
      <w:tr w14:paraId="55B2A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24" w:type="dxa"/>
            <w:vMerge w:val="continue"/>
            <w:vAlign w:val="center"/>
          </w:tcPr>
          <w:p w14:paraId="55B2ADA7">
            <w:pPr>
              <w:adjustRightInd w:val="0"/>
              <w:snapToGrid w:val="0"/>
              <w:jc w:val="center"/>
              <w:rPr>
                <w:szCs w:val="21"/>
              </w:rPr>
            </w:pPr>
          </w:p>
        </w:tc>
        <w:tc>
          <w:tcPr>
            <w:tcW w:w="1125" w:type="dxa"/>
            <w:vMerge w:val="continue"/>
            <w:vAlign w:val="center"/>
          </w:tcPr>
          <w:p w14:paraId="55B2ADA8">
            <w:pPr>
              <w:adjustRightInd w:val="0"/>
              <w:snapToGrid w:val="0"/>
              <w:jc w:val="center"/>
              <w:rPr>
                <w:szCs w:val="21"/>
              </w:rPr>
            </w:pPr>
          </w:p>
        </w:tc>
        <w:tc>
          <w:tcPr>
            <w:tcW w:w="1745" w:type="dxa"/>
            <w:vAlign w:val="center"/>
          </w:tcPr>
          <w:p w14:paraId="55B2ADA9">
            <w:pPr>
              <w:adjustRightInd w:val="0"/>
              <w:snapToGrid w:val="0"/>
              <w:jc w:val="center"/>
              <w:rPr>
                <w:szCs w:val="21"/>
              </w:rPr>
            </w:pPr>
            <w:r>
              <w:rPr>
                <w:szCs w:val="21"/>
              </w:rPr>
              <w:t>交货周期</w:t>
            </w:r>
          </w:p>
        </w:tc>
        <w:tc>
          <w:tcPr>
            <w:tcW w:w="5472" w:type="dxa"/>
            <w:vAlign w:val="center"/>
          </w:tcPr>
          <w:p w14:paraId="55B2ADAA">
            <w:pPr>
              <w:adjustRightInd w:val="0"/>
              <w:snapToGrid w:val="0"/>
              <w:rPr>
                <w:szCs w:val="21"/>
              </w:rPr>
            </w:pPr>
            <w:r>
              <w:rPr>
                <w:szCs w:val="21"/>
              </w:rPr>
              <w:t>交货周期满足竞争性谈判文件要求</w:t>
            </w:r>
          </w:p>
        </w:tc>
      </w:tr>
      <w:tr w14:paraId="55B2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24" w:type="dxa"/>
            <w:vMerge w:val="continue"/>
            <w:vAlign w:val="center"/>
          </w:tcPr>
          <w:p w14:paraId="55B2ADAC">
            <w:pPr>
              <w:adjustRightInd w:val="0"/>
              <w:snapToGrid w:val="0"/>
              <w:jc w:val="center"/>
              <w:rPr>
                <w:szCs w:val="21"/>
              </w:rPr>
            </w:pPr>
          </w:p>
        </w:tc>
        <w:tc>
          <w:tcPr>
            <w:tcW w:w="1125" w:type="dxa"/>
            <w:vMerge w:val="continue"/>
            <w:vAlign w:val="center"/>
          </w:tcPr>
          <w:p w14:paraId="55B2ADAD">
            <w:pPr>
              <w:adjustRightInd w:val="0"/>
              <w:snapToGrid w:val="0"/>
              <w:jc w:val="center"/>
              <w:rPr>
                <w:szCs w:val="21"/>
              </w:rPr>
            </w:pPr>
          </w:p>
        </w:tc>
        <w:tc>
          <w:tcPr>
            <w:tcW w:w="1745" w:type="dxa"/>
            <w:vAlign w:val="center"/>
          </w:tcPr>
          <w:p w14:paraId="55B2ADAE">
            <w:pPr>
              <w:adjustRightInd w:val="0"/>
              <w:snapToGrid w:val="0"/>
              <w:jc w:val="center"/>
              <w:rPr>
                <w:szCs w:val="21"/>
              </w:rPr>
            </w:pPr>
            <w:r>
              <w:rPr>
                <w:szCs w:val="21"/>
              </w:rPr>
              <w:t>交货地点</w:t>
            </w:r>
          </w:p>
        </w:tc>
        <w:tc>
          <w:tcPr>
            <w:tcW w:w="5472" w:type="dxa"/>
            <w:vAlign w:val="center"/>
          </w:tcPr>
          <w:p w14:paraId="55B2ADAF">
            <w:pPr>
              <w:adjustRightInd w:val="0"/>
              <w:snapToGrid w:val="0"/>
              <w:rPr>
                <w:szCs w:val="21"/>
              </w:rPr>
            </w:pPr>
            <w:r>
              <w:rPr>
                <w:szCs w:val="21"/>
              </w:rPr>
              <w:t>交货</w:t>
            </w:r>
            <w:r>
              <w:rPr>
                <w:rFonts w:hint="eastAsia"/>
                <w:szCs w:val="21"/>
              </w:rPr>
              <w:t>地点</w:t>
            </w:r>
            <w:r>
              <w:rPr>
                <w:szCs w:val="21"/>
              </w:rPr>
              <w:t>满足竞争性谈判文件要求</w:t>
            </w:r>
          </w:p>
        </w:tc>
      </w:tr>
      <w:tr w14:paraId="55B2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924" w:type="dxa"/>
            <w:vMerge w:val="continue"/>
            <w:vAlign w:val="center"/>
          </w:tcPr>
          <w:p w14:paraId="55B2ADB1">
            <w:pPr>
              <w:adjustRightInd w:val="0"/>
              <w:snapToGrid w:val="0"/>
              <w:jc w:val="center"/>
              <w:rPr>
                <w:szCs w:val="21"/>
              </w:rPr>
            </w:pPr>
          </w:p>
        </w:tc>
        <w:tc>
          <w:tcPr>
            <w:tcW w:w="1125" w:type="dxa"/>
            <w:vMerge w:val="continue"/>
            <w:vAlign w:val="center"/>
          </w:tcPr>
          <w:p w14:paraId="55B2ADB2">
            <w:pPr>
              <w:adjustRightInd w:val="0"/>
              <w:snapToGrid w:val="0"/>
              <w:jc w:val="center"/>
              <w:rPr>
                <w:szCs w:val="21"/>
              </w:rPr>
            </w:pPr>
          </w:p>
        </w:tc>
        <w:tc>
          <w:tcPr>
            <w:tcW w:w="1745" w:type="dxa"/>
            <w:vAlign w:val="center"/>
          </w:tcPr>
          <w:p w14:paraId="55B2ADB3">
            <w:pPr>
              <w:adjustRightInd w:val="0"/>
              <w:snapToGrid w:val="0"/>
              <w:jc w:val="center"/>
              <w:rPr>
                <w:szCs w:val="21"/>
              </w:rPr>
            </w:pPr>
            <w:r>
              <w:rPr>
                <w:rFonts w:hint="eastAsia"/>
                <w:szCs w:val="21"/>
                <w:lang w:eastAsia="zh-CN"/>
              </w:rPr>
              <w:t>其他</w:t>
            </w:r>
            <w:r>
              <w:rPr>
                <w:szCs w:val="21"/>
              </w:rPr>
              <w:t>实质性要求</w:t>
            </w:r>
          </w:p>
        </w:tc>
        <w:tc>
          <w:tcPr>
            <w:tcW w:w="5472" w:type="dxa"/>
            <w:vAlign w:val="center"/>
          </w:tcPr>
          <w:p w14:paraId="55B2ADB4">
            <w:pPr>
              <w:numPr>
                <w:ilvl w:val="0"/>
                <w:numId w:val="2"/>
              </w:numPr>
              <w:adjustRightInd w:val="0"/>
              <w:snapToGrid w:val="0"/>
              <w:rPr>
                <w:szCs w:val="21"/>
              </w:rPr>
            </w:pPr>
            <w:r>
              <w:rPr>
                <w:szCs w:val="21"/>
              </w:rPr>
              <w:t>响应文件中附有采购人不可接受条款的；</w:t>
            </w:r>
          </w:p>
          <w:p w14:paraId="55B2ADB5">
            <w:pPr>
              <w:numPr>
                <w:ilvl w:val="0"/>
                <w:numId w:val="2"/>
              </w:numPr>
              <w:adjustRightInd w:val="0"/>
              <w:snapToGrid w:val="0"/>
              <w:rPr>
                <w:szCs w:val="21"/>
              </w:rPr>
            </w:pPr>
            <w:r>
              <w:rPr>
                <w:szCs w:val="21"/>
              </w:rPr>
              <w:t>被列入“黑名单”的；</w:t>
            </w:r>
          </w:p>
          <w:p w14:paraId="55B2ADB6">
            <w:pPr>
              <w:numPr>
                <w:ilvl w:val="0"/>
                <w:numId w:val="2"/>
              </w:numPr>
              <w:adjustRightInd w:val="0"/>
              <w:snapToGrid w:val="0"/>
              <w:rPr>
                <w:szCs w:val="21"/>
              </w:rPr>
            </w:pPr>
            <w:r>
              <w:rPr>
                <w:szCs w:val="21"/>
              </w:rPr>
              <w:t>法律法规或竞争性谈判文件要求的其他条款。</w:t>
            </w:r>
          </w:p>
        </w:tc>
      </w:tr>
    </w:tbl>
    <w:p w14:paraId="55B2ADB8">
      <w:pPr>
        <w:pStyle w:val="4"/>
        <w:spacing w:line="480" w:lineRule="exact"/>
        <w:ind w:firstLine="422"/>
        <w:jc w:val="both"/>
        <w:rPr>
          <w:rFonts w:ascii="Times New Roman"/>
          <w:sz w:val="21"/>
          <w:szCs w:val="21"/>
        </w:rPr>
      </w:pPr>
      <w:bookmarkStart w:id="166" w:name="_Toc13923"/>
      <w:r>
        <w:rPr>
          <w:rFonts w:ascii="Times New Roman"/>
          <w:sz w:val="21"/>
          <w:szCs w:val="21"/>
        </w:rPr>
        <w:t>2.2 谈判标准</w:t>
      </w:r>
      <w:bookmarkEnd w:id="166"/>
    </w:p>
    <w:p w14:paraId="55B2ADB9">
      <w:pPr>
        <w:adjustRightInd w:val="0"/>
        <w:snapToGrid w:val="0"/>
        <w:spacing w:line="360" w:lineRule="auto"/>
        <w:ind w:firstLine="420" w:firstLineChars="200"/>
        <w:jc w:val="left"/>
        <w:rPr>
          <w:szCs w:val="21"/>
        </w:rPr>
      </w:pPr>
      <w:r>
        <w:rPr>
          <w:szCs w:val="21"/>
        </w:rPr>
        <w:t>谈判小组</w:t>
      </w:r>
      <w:r>
        <w:rPr>
          <w:kern w:val="0"/>
          <w:szCs w:val="21"/>
        </w:rPr>
        <w:t>按谈判文件中规定的谈判方法和标准，对</w:t>
      </w:r>
      <w:r>
        <w:rPr>
          <w:szCs w:val="21"/>
        </w:rPr>
        <w:t>实质性要求审查</w:t>
      </w:r>
      <w:r>
        <w:rPr>
          <w:kern w:val="0"/>
          <w:szCs w:val="21"/>
        </w:rPr>
        <w:t>合格的响应文件进行综合评估比较与评价</w:t>
      </w:r>
      <w:r>
        <w:rPr>
          <w:szCs w:val="21"/>
        </w:rPr>
        <w:t>，按照综合得分由高到低的顺序提出1-3名成交候选人。</w:t>
      </w:r>
    </w:p>
    <w:p w14:paraId="55B2ADBA">
      <w:pPr>
        <w:pStyle w:val="3"/>
        <w:adjustRightInd w:val="0"/>
        <w:snapToGrid w:val="0"/>
        <w:spacing w:line="480" w:lineRule="exact"/>
        <w:ind w:firstLine="420" w:firstLineChars="200"/>
        <w:jc w:val="left"/>
        <w:rPr>
          <w:rFonts w:ascii="Times New Roman" w:hAnsi="Times New Roman"/>
          <w:sz w:val="21"/>
          <w:szCs w:val="21"/>
        </w:rPr>
      </w:pPr>
      <w:bookmarkStart w:id="167" w:name="_Toc23090"/>
      <w:r>
        <w:rPr>
          <w:rFonts w:ascii="Times New Roman" w:hAnsi="Times New Roman"/>
          <w:sz w:val="21"/>
          <w:szCs w:val="21"/>
        </w:rPr>
        <w:t>三、谈判程序</w:t>
      </w:r>
      <w:bookmarkEnd w:id="167"/>
    </w:p>
    <w:p w14:paraId="55B2ADBB">
      <w:pPr>
        <w:pStyle w:val="4"/>
        <w:spacing w:line="480" w:lineRule="exact"/>
        <w:ind w:firstLine="422"/>
        <w:jc w:val="both"/>
        <w:rPr>
          <w:rFonts w:ascii="Times New Roman"/>
          <w:sz w:val="21"/>
          <w:szCs w:val="21"/>
        </w:rPr>
      </w:pPr>
      <w:bookmarkStart w:id="168" w:name="_Toc17421"/>
      <w:r>
        <w:rPr>
          <w:rFonts w:ascii="Times New Roman"/>
          <w:sz w:val="21"/>
          <w:szCs w:val="21"/>
        </w:rPr>
        <w:t>3.1 实质性要求审查</w:t>
      </w:r>
      <w:bookmarkEnd w:id="168"/>
    </w:p>
    <w:p w14:paraId="55B2ADBC">
      <w:pPr>
        <w:adjustRightInd w:val="0"/>
        <w:snapToGrid w:val="0"/>
        <w:spacing w:line="360" w:lineRule="auto"/>
        <w:ind w:firstLine="420" w:firstLineChars="200"/>
        <w:jc w:val="left"/>
        <w:rPr>
          <w:bCs/>
          <w:szCs w:val="21"/>
        </w:rPr>
      </w:pPr>
      <w:r>
        <w:rPr>
          <w:szCs w:val="21"/>
        </w:rPr>
        <w:t>3.1.1谈判小组依据本章第2.1项规定的标准对响应文件进行实质性要求审查。</w:t>
      </w:r>
      <w:r>
        <w:rPr>
          <w:bCs/>
          <w:szCs w:val="21"/>
        </w:rPr>
        <w:t>有一项不符合谈判标准的，不通过</w:t>
      </w:r>
      <w:r>
        <w:rPr>
          <w:szCs w:val="21"/>
        </w:rPr>
        <w:t>实质性要求审查</w:t>
      </w:r>
      <w:r>
        <w:rPr>
          <w:bCs/>
          <w:szCs w:val="21"/>
        </w:rPr>
        <w:t>，不再参与谈判。</w:t>
      </w:r>
    </w:p>
    <w:p w14:paraId="55B2ADBD">
      <w:pPr>
        <w:adjustRightInd w:val="0"/>
        <w:snapToGrid w:val="0"/>
        <w:spacing w:line="360" w:lineRule="auto"/>
        <w:ind w:firstLine="420" w:firstLineChars="200"/>
        <w:jc w:val="left"/>
        <w:rPr>
          <w:b/>
          <w:szCs w:val="21"/>
        </w:rPr>
      </w:pPr>
      <w:r>
        <w:rPr>
          <w:bCs/>
          <w:szCs w:val="21"/>
        </w:rPr>
        <w:t>3.1.2</w:t>
      </w:r>
      <w:r>
        <w:rPr>
          <w:szCs w:val="21"/>
        </w:rPr>
        <w:t>其它实质性要求审查以谈判文件及谈判申请人提供的响应文件为准进行审查；如响应文件中所提供的内容有严重偏离或达不到项目需求，则</w:t>
      </w:r>
      <w:r>
        <w:rPr>
          <w:b/>
          <w:szCs w:val="21"/>
          <w:u w:val="single"/>
        </w:rPr>
        <w:t>按不实质性响应谈判文件处理</w:t>
      </w:r>
      <w:r>
        <w:rPr>
          <w:b/>
          <w:szCs w:val="21"/>
        </w:rPr>
        <w:t>。</w:t>
      </w:r>
    </w:p>
    <w:p w14:paraId="55B2ADBE">
      <w:pPr>
        <w:adjustRightInd w:val="0"/>
        <w:snapToGrid w:val="0"/>
        <w:spacing w:line="360" w:lineRule="auto"/>
        <w:ind w:firstLine="420" w:firstLineChars="200"/>
        <w:jc w:val="left"/>
        <w:rPr>
          <w:bCs/>
          <w:szCs w:val="21"/>
        </w:rPr>
      </w:pPr>
      <w:r>
        <w:rPr>
          <w:bCs/>
          <w:szCs w:val="21"/>
        </w:rPr>
        <w:t>3.1.3有效响应文件不足三个的情形</w:t>
      </w:r>
    </w:p>
    <w:p w14:paraId="55B2ADBF">
      <w:pPr>
        <w:adjustRightInd w:val="0"/>
        <w:snapToGrid w:val="0"/>
        <w:spacing w:line="360" w:lineRule="auto"/>
        <w:ind w:firstLine="420" w:firstLineChars="200"/>
        <w:jc w:val="left"/>
        <w:rPr>
          <w:b/>
          <w:szCs w:val="21"/>
        </w:rPr>
      </w:pPr>
      <w:r>
        <w:rPr>
          <w:rFonts w:hint="eastAsia"/>
          <w:bCs/>
          <w:szCs w:val="21"/>
        </w:rPr>
        <w:t>谈判小组根据竞争性谈判文件的规定，否决不合格谈判申请人后，因为有效响应文件不足三个使得谈判申请人明显缺乏竞争的，谈判小组可以否决全部谈判申请人。若有效响应文件不足三个，且谈判小组经评审认为竞争性谈判仍具有竞争力时，可以按评审办法继续评审或进行综合评议推荐成交候选人</w:t>
      </w:r>
      <w:r>
        <w:rPr>
          <w:b/>
          <w:szCs w:val="21"/>
        </w:rPr>
        <w:t>。</w:t>
      </w:r>
    </w:p>
    <w:p w14:paraId="55B2ADC0">
      <w:pPr>
        <w:pStyle w:val="4"/>
        <w:spacing w:line="480" w:lineRule="exact"/>
        <w:ind w:firstLine="422"/>
        <w:jc w:val="both"/>
        <w:rPr>
          <w:rFonts w:ascii="Times New Roman"/>
          <w:sz w:val="21"/>
          <w:szCs w:val="21"/>
        </w:rPr>
      </w:pPr>
      <w:bookmarkStart w:id="169" w:name="_Toc532"/>
      <w:r>
        <w:rPr>
          <w:rFonts w:ascii="Times New Roman"/>
          <w:sz w:val="21"/>
          <w:szCs w:val="21"/>
        </w:rPr>
        <w:t>3.2 谈判、比较与评审</w:t>
      </w:r>
      <w:bookmarkEnd w:id="169"/>
    </w:p>
    <w:p w14:paraId="55B2ADC1">
      <w:pPr>
        <w:adjustRightInd w:val="0"/>
        <w:snapToGrid w:val="0"/>
        <w:spacing w:line="360" w:lineRule="auto"/>
        <w:ind w:firstLine="420" w:firstLineChars="200"/>
        <w:jc w:val="left"/>
        <w:rPr>
          <w:szCs w:val="21"/>
        </w:rPr>
      </w:pPr>
      <w:r>
        <w:rPr>
          <w:szCs w:val="21"/>
        </w:rPr>
        <w:t>3.2.1谈判采用背对背的谈判方式，由谈判小组所有成员集中按照抽签顺序（谈判现场在监督人员的监督下由通过实质性审查的谈判申请人代表随机抽取）与通过实质性审查的单一谈判申请人分别进行谈判。在谈判中，谈判的任何一方不得透露与谈判有关的其他谈判申请人的技术资料、价格、折扣和其他信息。</w:t>
      </w:r>
    </w:p>
    <w:p w14:paraId="55B2ADC2">
      <w:pPr>
        <w:adjustRightInd w:val="0"/>
        <w:snapToGrid w:val="0"/>
        <w:spacing w:line="360" w:lineRule="auto"/>
        <w:ind w:firstLine="420" w:firstLineChars="200"/>
        <w:jc w:val="left"/>
        <w:rPr>
          <w:szCs w:val="21"/>
        </w:rPr>
      </w:pPr>
      <w:r>
        <w:rPr>
          <w:szCs w:val="21"/>
        </w:rPr>
        <w:t>3.2.2谈判文件有实质性变动的，谈判小组将经采购人代表确认后，以书面形式通知所有参加谈判的谈判申请人。但不得对涉及竞争的公平、公正性内容进行修改、变动。</w:t>
      </w:r>
    </w:p>
    <w:p w14:paraId="55B2ADC3">
      <w:pPr>
        <w:adjustRightInd w:val="0"/>
        <w:snapToGrid w:val="0"/>
        <w:spacing w:line="360" w:lineRule="auto"/>
        <w:ind w:firstLine="420" w:firstLineChars="200"/>
        <w:jc w:val="left"/>
        <w:rPr>
          <w:szCs w:val="21"/>
        </w:rPr>
      </w:pPr>
      <w:r>
        <w:rPr>
          <w:szCs w:val="21"/>
        </w:rPr>
        <w:t>3.2.3为有助于对响应文件的详细审查、评价和比较，谈判小组可要求对谈判申请人分别进行技术询问、澄清，有关要求和答复均现场进行。</w:t>
      </w:r>
    </w:p>
    <w:p w14:paraId="55B2ADC4">
      <w:pPr>
        <w:adjustRightInd w:val="0"/>
        <w:snapToGrid w:val="0"/>
        <w:spacing w:line="360" w:lineRule="auto"/>
        <w:ind w:firstLine="420" w:firstLineChars="200"/>
        <w:jc w:val="left"/>
        <w:rPr>
          <w:szCs w:val="21"/>
        </w:rPr>
      </w:pPr>
      <w:r>
        <w:rPr>
          <w:szCs w:val="21"/>
        </w:rPr>
        <w:t>3.2.4谈判小组在对响应文件的有效性、完整性和响应程度进行审查时，可以要求谈判申请人对响应文件中含义不明确、同类问题表述不一致或者有明显文字和计算错误的内容等作出必要的澄清、说明或者更正。谈判申请人的澄清、说明或者更正不得超出响应文件的范围或者改变响应文件的实质性内容。</w:t>
      </w:r>
    </w:p>
    <w:p w14:paraId="55B2ADC5">
      <w:pPr>
        <w:adjustRightInd w:val="0"/>
        <w:snapToGrid w:val="0"/>
        <w:spacing w:line="360" w:lineRule="auto"/>
        <w:ind w:firstLine="420" w:firstLineChars="200"/>
        <w:jc w:val="left"/>
        <w:rPr>
          <w:szCs w:val="21"/>
        </w:rPr>
      </w:pPr>
      <w:r>
        <w:rPr>
          <w:szCs w:val="21"/>
        </w:rPr>
        <w:t>3.2.5谈判小组要求谈判申请人澄清、说明或者更正响应文件应当以书面形式作出。谈判申请人的澄清、说明或者更正应当由法定代表人或其授权代表签字或者加盖公章。由授权代表签字的，应当附法定代表人授权书。谈判申请人为自然人的，应当由本人签字并附身份证明。</w:t>
      </w:r>
    </w:p>
    <w:p w14:paraId="55B2ADC6">
      <w:pPr>
        <w:adjustRightInd w:val="0"/>
        <w:snapToGrid w:val="0"/>
        <w:spacing w:line="360" w:lineRule="auto"/>
        <w:ind w:firstLine="420" w:firstLineChars="200"/>
        <w:jc w:val="left"/>
        <w:rPr>
          <w:szCs w:val="21"/>
        </w:rPr>
      </w:pPr>
      <w:r>
        <w:rPr>
          <w:szCs w:val="21"/>
        </w:rPr>
        <w:t>3.2.6谈判小组对谈判申请人提交的澄清、说明有疑问的，可以要求谈判申请人进一步澄清、说明。谈判小组要求谈判申请人澄清、说明或者更正响应文件应当以书面形式作出。谈判申请人的澄清、说明或者更正应当由法定代表人或其授权代表签字或者加盖公章。</w:t>
      </w:r>
    </w:p>
    <w:p w14:paraId="55B2ADC7">
      <w:pPr>
        <w:adjustRightInd w:val="0"/>
        <w:snapToGrid w:val="0"/>
        <w:spacing w:line="360" w:lineRule="auto"/>
        <w:ind w:firstLine="420" w:firstLineChars="200"/>
        <w:jc w:val="left"/>
        <w:rPr>
          <w:szCs w:val="21"/>
        </w:rPr>
      </w:pPr>
      <w:r>
        <w:rPr>
          <w:szCs w:val="21"/>
        </w:rPr>
        <w:t>3.2.7谈判结束后，谈判小组将要求所有继续参加谈判的谈判申请人在规定时间内提交最终报价。</w:t>
      </w:r>
    </w:p>
    <w:p w14:paraId="55B2ADC8">
      <w:pPr>
        <w:adjustRightInd w:val="0"/>
        <w:snapToGrid w:val="0"/>
        <w:spacing w:line="360" w:lineRule="auto"/>
        <w:ind w:firstLine="420" w:firstLineChars="200"/>
        <w:jc w:val="left"/>
        <w:rPr>
          <w:b/>
          <w:szCs w:val="21"/>
        </w:rPr>
      </w:pPr>
      <w:r>
        <w:rPr>
          <w:b/>
          <w:szCs w:val="21"/>
        </w:rPr>
        <w:t>3.2.8评审内容</w:t>
      </w:r>
    </w:p>
    <w:p w14:paraId="55B2ADC9">
      <w:pPr>
        <w:adjustRightInd w:val="0"/>
        <w:snapToGrid w:val="0"/>
        <w:spacing w:line="360" w:lineRule="auto"/>
        <w:ind w:firstLine="420" w:firstLineChars="200"/>
        <w:jc w:val="left"/>
        <w:rPr>
          <w:szCs w:val="21"/>
        </w:rPr>
      </w:pPr>
      <w:r>
        <w:rPr>
          <w:szCs w:val="21"/>
        </w:rPr>
        <w:t>谈判小组和所有谈判申请人谈判结束后，谈判小组成员根据谈判申请人的响应文件、最终报价、承诺事项分别对技术、商务、报价进行综合评估打分。</w:t>
      </w:r>
    </w:p>
    <w:p w14:paraId="55B2ADCA">
      <w:pPr>
        <w:adjustRightInd w:val="0"/>
        <w:snapToGrid w:val="0"/>
        <w:spacing w:line="360" w:lineRule="auto"/>
        <w:ind w:firstLine="420" w:firstLineChars="200"/>
        <w:rPr>
          <w:szCs w:val="21"/>
        </w:rPr>
      </w:pPr>
      <w:r>
        <w:rPr>
          <w:szCs w:val="21"/>
        </w:rPr>
        <w:t>详细评审采用百分制评分法，即</w:t>
      </w:r>
      <w:r>
        <w:rPr>
          <w:b/>
          <w:szCs w:val="21"/>
        </w:rPr>
        <w:t>报价部分</w:t>
      </w:r>
      <w:r>
        <w:rPr>
          <w:rFonts w:hint="eastAsia"/>
          <w:b/>
          <w:szCs w:val="21"/>
          <w:lang w:val="en-US" w:eastAsia="zh-CN"/>
        </w:rPr>
        <w:t>4</w:t>
      </w:r>
      <w:r>
        <w:rPr>
          <w:b/>
          <w:szCs w:val="21"/>
        </w:rPr>
        <w:t>0分、商务部分10分，技术部分</w:t>
      </w:r>
      <w:r>
        <w:rPr>
          <w:rFonts w:hint="eastAsia"/>
          <w:b/>
          <w:szCs w:val="21"/>
          <w:lang w:val="en-US" w:eastAsia="zh-CN"/>
        </w:rPr>
        <w:t>5</w:t>
      </w:r>
      <w:r>
        <w:rPr>
          <w:b/>
          <w:szCs w:val="21"/>
        </w:rPr>
        <w:t>0分</w:t>
      </w:r>
      <w:r>
        <w:rPr>
          <w:szCs w:val="21"/>
        </w:rPr>
        <w:t>；最终按三部分的得分累加出综合得分。各部分评标因素如下：</w:t>
      </w:r>
    </w:p>
    <w:p w14:paraId="55B2ADCB">
      <w:pPr>
        <w:pStyle w:val="9"/>
        <w:rPr>
          <w:sz w:val="21"/>
          <w:szCs w:val="21"/>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4"/>
        <w:gridCol w:w="889"/>
        <w:gridCol w:w="6636"/>
        <w:gridCol w:w="35"/>
        <w:gridCol w:w="690"/>
      </w:tblGrid>
      <w:tr w14:paraId="55B2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4" w:type="dxa"/>
            <w:vMerge w:val="restart"/>
            <w:vAlign w:val="center"/>
          </w:tcPr>
          <w:p w14:paraId="55B2ADCC">
            <w:pPr>
              <w:adjustRightInd w:val="0"/>
              <w:snapToGrid w:val="0"/>
              <w:jc w:val="center"/>
              <w:rPr>
                <w:b/>
                <w:szCs w:val="21"/>
              </w:rPr>
            </w:pPr>
            <w:r>
              <w:rPr>
                <w:b/>
                <w:szCs w:val="21"/>
              </w:rPr>
              <w:t>评分项目</w:t>
            </w:r>
          </w:p>
        </w:tc>
        <w:tc>
          <w:tcPr>
            <w:tcW w:w="7560" w:type="dxa"/>
            <w:gridSpan w:val="3"/>
            <w:vAlign w:val="center"/>
          </w:tcPr>
          <w:p w14:paraId="55B2ADCD">
            <w:pPr>
              <w:adjustRightInd w:val="0"/>
              <w:snapToGrid w:val="0"/>
              <w:jc w:val="center"/>
              <w:rPr>
                <w:b/>
                <w:szCs w:val="21"/>
              </w:rPr>
            </w:pPr>
            <w:r>
              <w:rPr>
                <w:b/>
                <w:szCs w:val="21"/>
              </w:rPr>
              <w:t>评分标准</w:t>
            </w:r>
          </w:p>
        </w:tc>
        <w:tc>
          <w:tcPr>
            <w:tcW w:w="690" w:type="dxa"/>
            <w:vMerge w:val="restart"/>
            <w:vAlign w:val="center"/>
          </w:tcPr>
          <w:p w14:paraId="55B2ADCE">
            <w:pPr>
              <w:adjustRightInd w:val="0"/>
              <w:snapToGrid w:val="0"/>
              <w:jc w:val="center"/>
              <w:rPr>
                <w:b/>
                <w:szCs w:val="21"/>
              </w:rPr>
            </w:pPr>
            <w:r>
              <w:rPr>
                <w:b/>
                <w:szCs w:val="21"/>
              </w:rPr>
              <w:t>备注</w:t>
            </w:r>
          </w:p>
        </w:tc>
      </w:tr>
      <w:tr w14:paraId="55B2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4" w:type="dxa"/>
            <w:vMerge w:val="continue"/>
            <w:vAlign w:val="center"/>
          </w:tcPr>
          <w:p w14:paraId="55B2ADD0">
            <w:pPr>
              <w:adjustRightInd w:val="0"/>
              <w:snapToGrid w:val="0"/>
              <w:jc w:val="center"/>
              <w:rPr>
                <w:szCs w:val="21"/>
              </w:rPr>
            </w:pPr>
          </w:p>
        </w:tc>
        <w:tc>
          <w:tcPr>
            <w:tcW w:w="889" w:type="dxa"/>
            <w:vAlign w:val="center"/>
          </w:tcPr>
          <w:p w14:paraId="55B2ADD1">
            <w:pPr>
              <w:adjustRightInd w:val="0"/>
              <w:snapToGrid w:val="0"/>
              <w:jc w:val="center"/>
              <w:rPr>
                <w:b/>
                <w:szCs w:val="21"/>
              </w:rPr>
            </w:pPr>
            <w:r>
              <w:rPr>
                <w:b/>
                <w:szCs w:val="21"/>
              </w:rPr>
              <w:t>分值</w:t>
            </w:r>
          </w:p>
        </w:tc>
        <w:tc>
          <w:tcPr>
            <w:tcW w:w="6671" w:type="dxa"/>
            <w:gridSpan w:val="2"/>
            <w:vAlign w:val="center"/>
          </w:tcPr>
          <w:p w14:paraId="55B2ADD2">
            <w:pPr>
              <w:adjustRightInd w:val="0"/>
              <w:snapToGrid w:val="0"/>
              <w:jc w:val="center"/>
              <w:rPr>
                <w:b/>
                <w:szCs w:val="21"/>
              </w:rPr>
            </w:pPr>
            <w:r>
              <w:rPr>
                <w:b/>
                <w:szCs w:val="21"/>
              </w:rPr>
              <w:t>评标细则</w:t>
            </w:r>
          </w:p>
        </w:tc>
        <w:tc>
          <w:tcPr>
            <w:tcW w:w="690" w:type="dxa"/>
            <w:vMerge w:val="continue"/>
            <w:vAlign w:val="center"/>
          </w:tcPr>
          <w:p w14:paraId="55B2ADD3">
            <w:pPr>
              <w:adjustRightInd w:val="0"/>
              <w:snapToGrid w:val="0"/>
              <w:jc w:val="center"/>
              <w:rPr>
                <w:szCs w:val="21"/>
              </w:rPr>
            </w:pPr>
          </w:p>
        </w:tc>
      </w:tr>
      <w:tr w14:paraId="55B2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54" w:type="dxa"/>
            <w:gridSpan w:val="5"/>
            <w:vAlign w:val="center"/>
          </w:tcPr>
          <w:p w14:paraId="55B2ADD5">
            <w:pPr>
              <w:adjustRightInd w:val="0"/>
              <w:snapToGrid w:val="0"/>
              <w:jc w:val="center"/>
              <w:rPr>
                <w:szCs w:val="21"/>
              </w:rPr>
            </w:pPr>
            <w:r>
              <w:rPr>
                <w:b/>
                <w:szCs w:val="21"/>
              </w:rPr>
              <w:t>F1报价部分（</w:t>
            </w:r>
            <w:r>
              <w:rPr>
                <w:rFonts w:hint="eastAsia"/>
                <w:b/>
                <w:szCs w:val="21"/>
              </w:rPr>
              <w:t>4</w:t>
            </w:r>
            <w:r>
              <w:rPr>
                <w:b/>
                <w:szCs w:val="21"/>
              </w:rPr>
              <w:t>0分）</w:t>
            </w:r>
          </w:p>
        </w:tc>
      </w:tr>
      <w:tr w14:paraId="55B2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604" w:type="dxa"/>
            <w:vMerge w:val="restart"/>
            <w:vAlign w:val="center"/>
          </w:tcPr>
          <w:p w14:paraId="55B2ADD7">
            <w:pPr>
              <w:widowControl/>
              <w:adjustRightInd w:val="0"/>
              <w:snapToGrid w:val="0"/>
              <w:jc w:val="center"/>
              <w:rPr>
                <w:szCs w:val="21"/>
              </w:rPr>
            </w:pPr>
            <w:r>
              <w:rPr>
                <w:szCs w:val="21"/>
              </w:rPr>
              <w:t>报价部分</w:t>
            </w:r>
          </w:p>
        </w:tc>
        <w:tc>
          <w:tcPr>
            <w:tcW w:w="889" w:type="dxa"/>
            <w:vMerge w:val="restart"/>
            <w:vAlign w:val="center"/>
          </w:tcPr>
          <w:p w14:paraId="55B2ADD8">
            <w:pPr>
              <w:adjustRightInd w:val="0"/>
              <w:snapToGrid w:val="0"/>
              <w:jc w:val="center"/>
              <w:rPr>
                <w:szCs w:val="21"/>
              </w:rPr>
            </w:pPr>
            <w:r>
              <w:rPr>
                <w:rFonts w:hint="eastAsia"/>
                <w:szCs w:val="21"/>
              </w:rPr>
              <w:t>4</w:t>
            </w:r>
            <w:r>
              <w:rPr>
                <w:szCs w:val="21"/>
              </w:rPr>
              <w:t>0分</w:t>
            </w:r>
          </w:p>
        </w:tc>
        <w:tc>
          <w:tcPr>
            <w:tcW w:w="6671" w:type="dxa"/>
            <w:gridSpan w:val="2"/>
            <w:vAlign w:val="center"/>
          </w:tcPr>
          <w:p w14:paraId="55B2ADD9">
            <w:pPr>
              <w:autoSpaceDE w:val="0"/>
              <w:autoSpaceDN w:val="0"/>
              <w:adjustRightInd w:val="0"/>
              <w:snapToGrid w:val="0"/>
              <w:rPr>
                <w:szCs w:val="21"/>
              </w:rPr>
            </w:pPr>
            <w:r>
              <w:rPr>
                <w:szCs w:val="21"/>
              </w:rPr>
              <w:t>当谈判总报价等于评标基准价时得报价基本分</w:t>
            </w:r>
            <w:r>
              <w:rPr>
                <w:rFonts w:hint="eastAsia"/>
                <w:szCs w:val="21"/>
                <w:lang w:val="en-US" w:eastAsia="zh-CN"/>
              </w:rPr>
              <w:t>35</w:t>
            </w:r>
            <w:r>
              <w:rPr>
                <w:szCs w:val="21"/>
              </w:rPr>
              <w:t>分。当谈判总报价低于评标基准价10%以内（含10%），每低于评标基准价1%，在基本分</w:t>
            </w:r>
            <w:r>
              <w:rPr>
                <w:rFonts w:hint="eastAsia"/>
                <w:szCs w:val="21"/>
                <w:lang w:val="en-US" w:eastAsia="zh-CN"/>
              </w:rPr>
              <w:t>35</w:t>
            </w:r>
            <w:r>
              <w:rPr>
                <w:szCs w:val="21"/>
              </w:rPr>
              <w:t>分的基础上加0.5分，直至得</w:t>
            </w:r>
            <w:r>
              <w:rPr>
                <w:rFonts w:hint="eastAsia"/>
                <w:szCs w:val="21"/>
                <w:lang w:val="en-US" w:eastAsia="zh-CN"/>
              </w:rPr>
              <w:t>40</w:t>
            </w:r>
            <w:r>
              <w:rPr>
                <w:szCs w:val="21"/>
              </w:rPr>
              <w:t>分；当谈判总报价低于评标基准价10%以外的，每再低1%，则在</w:t>
            </w:r>
            <w:r>
              <w:rPr>
                <w:rFonts w:hint="eastAsia"/>
                <w:szCs w:val="21"/>
                <w:lang w:val="en-US" w:eastAsia="zh-CN"/>
              </w:rPr>
              <w:t>40</w:t>
            </w:r>
            <w:r>
              <w:rPr>
                <w:szCs w:val="21"/>
              </w:rPr>
              <w:t>分的基础上扣0.5分，扣完为止。当谈判总报价每高于评标基准价1%，在基本分</w:t>
            </w:r>
            <w:r>
              <w:rPr>
                <w:rFonts w:hint="eastAsia"/>
                <w:szCs w:val="21"/>
                <w:lang w:val="en-US" w:eastAsia="zh-CN"/>
              </w:rPr>
              <w:t>35</w:t>
            </w:r>
            <w:r>
              <w:rPr>
                <w:szCs w:val="21"/>
              </w:rPr>
              <w:t>分的基础上扣0.5分，扣完为止。按内插法计算</w:t>
            </w:r>
            <w:r>
              <w:rPr>
                <w:rFonts w:hint="eastAsia"/>
                <w:szCs w:val="21"/>
              </w:rPr>
              <w:t>，计算结果四舍五入保留2位小数。</w:t>
            </w:r>
          </w:p>
        </w:tc>
        <w:tc>
          <w:tcPr>
            <w:tcW w:w="690" w:type="dxa"/>
            <w:vMerge w:val="restart"/>
            <w:vAlign w:val="center"/>
          </w:tcPr>
          <w:p w14:paraId="55B2ADDA">
            <w:pPr>
              <w:adjustRightInd w:val="0"/>
              <w:snapToGrid w:val="0"/>
              <w:jc w:val="center"/>
              <w:rPr>
                <w:szCs w:val="21"/>
              </w:rPr>
            </w:pPr>
          </w:p>
        </w:tc>
      </w:tr>
      <w:tr w14:paraId="55B2A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604" w:type="dxa"/>
            <w:vMerge w:val="continue"/>
            <w:vAlign w:val="center"/>
          </w:tcPr>
          <w:p w14:paraId="55B2ADDC">
            <w:pPr>
              <w:widowControl/>
              <w:adjustRightInd w:val="0"/>
              <w:snapToGrid w:val="0"/>
              <w:jc w:val="center"/>
              <w:rPr>
                <w:szCs w:val="21"/>
              </w:rPr>
            </w:pPr>
          </w:p>
        </w:tc>
        <w:tc>
          <w:tcPr>
            <w:tcW w:w="889" w:type="dxa"/>
            <w:vMerge w:val="continue"/>
            <w:vAlign w:val="center"/>
          </w:tcPr>
          <w:p w14:paraId="55B2ADDD">
            <w:pPr>
              <w:adjustRightInd w:val="0"/>
              <w:snapToGrid w:val="0"/>
              <w:jc w:val="center"/>
              <w:rPr>
                <w:szCs w:val="21"/>
              </w:rPr>
            </w:pPr>
          </w:p>
        </w:tc>
        <w:tc>
          <w:tcPr>
            <w:tcW w:w="6671" w:type="dxa"/>
            <w:gridSpan w:val="2"/>
            <w:vAlign w:val="center"/>
          </w:tcPr>
          <w:p w14:paraId="55B2ADDE">
            <w:pPr>
              <w:autoSpaceDE w:val="0"/>
              <w:autoSpaceDN w:val="0"/>
              <w:adjustRightInd w:val="0"/>
              <w:snapToGrid w:val="0"/>
              <w:rPr>
                <w:szCs w:val="21"/>
              </w:rPr>
            </w:pPr>
            <w:r>
              <w:rPr>
                <w:szCs w:val="21"/>
              </w:rPr>
              <w:t>评标参数的确定：</w:t>
            </w:r>
          </w:p>
          <w:p w14:paraId="55B2ADDF">
            <w:pPr>
              <w:autoSpaceDE w:val="0"/>
              <w:autoSpaceDN w:val="0"/>
              <w:adjustRightInd w:val="0"/>
              <w:snapToGrid w:val="0"/>
              <w:rPr>
                <w:szCs w:val="21"/>
              </w:rPr>
            </w:pPr>
            <w:r>
              <w:rPr>
                <w:szCs w:val="21"/>
              </w:rPr>
              <w:t>a）有效评标价（t）：谈判申请人经报价的算术性校核澄清和补正后并经谈判申请人确认的谈判总报价为各谈判申请人的有效评标价（t</w:t>
            </w:r>
            <w:r>
              <w:rPr>
                <w:szCs w:val="21"/>
                <w:vertAlign w:val="subscript"/>
              </w:rPr>
              <w:t>1</w:t>
            </w:r>
            <w:r>
              <w:rPr>
                <w:szCs w:val="21"/>
              </w:rPr>
              <w:t>、t</w:t>
            </w:r>
            <w:r>
              <w:rPr>
                <w:szCs w:val="21"/>
                <w:vertAlign w:val="subscript"/>
              </w:rPr>
              <w:t>2</w:t>
            </w:r>
            <w:r>
              <w:rPr>
                <w:szCs w:val="21"/>
              </w:rPr>
              <w:t>、…、t</w:t>
            </w:r>
            <w:r>
              <w:rPr>
                <w:szCs w:val="21"/>
                <w:vertAlign w:val="subscript"/>
              </w:rPr>
              <w:t>n</w:t>
            </w:r>
            <w:r>
              <w:rPr>
                <w:szCs w:val="21"/>
              </w:rPr>
              <w:t>）。</w:t>
            </w:r>
          </w:p>
          <w:p w14:paraId="55B2ADE0">
            <w:pPr>
              <w:autoSpaceDE w:val="0"/>
              <w:autoSpaceDN w:val="0"/>
              <w:adjustRightInd w:val="0"/>
              <w:snapToGrid w:val="0"/>
              <w:rPr>
                <w:szCs w:val="21"/>
              </w:rPr>
            </w:pPr>
            <w:r>
              <w:rPr>
                <w:szCs w:val="21"/>
              </w:rPr>
              <w:t>b）评标价个数（n）：指所有参与评标价计算的有效评标价个数。</w:t>
            </w:r>
          </w:p>
          <w:p w14:paraId="55B2ADE1">
            <w:pPr>
              <w:autoSpaceDE w:val="0"/>
              <w:autoSpaceDN w:val="0"/>
              <w:adjustRightInd w:val="0"/>
              <w:snapToGrid w:val="0"/>
              <w:rPr>
                <w:szCs w:val="21"/>
              </w:rPr>
            </w:pPr>
            <w:r>
              <w:rPr>
                <w:szCs w:val="21"/>
              </w:rPr>
              <w:t>c）定义：有效谈判总报价中的最高价为t</w:t>
            </w:r>
            <w:r>
              <w:rPr>
                <w:szCs w:val="21"/>
                <w:vertAlign w:val="subscript"/>
              </w:rPr>
              <w:t>max</w:t>
            </w:r>
            <w:r>
              <w:rPr>
                <w:szCs w:val="21"/>
              </w:rPr>
              <w:t>，有效谈判总报价中最低评标价t</w:t>
            </w:r>
            <w:r>
              <w:rPr>
                <w:szCs w:val="21"/>
                <w:vertAlign w:val="subscript"/>
              </w:rPr>
              <w:t>min</w:t>
            </w:r>
            <w:r>
              <w:rPr>
                <w:szCs w:val="21"/>
              </w:rPr>
              <w:t>。</w:t>
            </w:r>
          </w:p>
          <w:p w14:paraId="55B2ADE2">
            <w:pPr>
              <w:autoSpaceDE w:val="0"/>
              <w:autoSpaceDN w:val="0"/>
              <w:adjustRightInd w:val="0"/>
              <w:snapToGrid w:val="0"/>
              <w:rPr>
                <w:szCs w:val="21"/>
              </w:rPr>
            </w:pPr>
            <w:r>
              <w:rPr>
                <w:szCs w:val="21"/>
              </w:rPr>
              <w:t>d)谈判总报价为谈判申请人的最终总报价（二次报价）。</w:t>
            </w:r>
          </w:p>
          <w:p w14:paraId="55B2ADE3">
            <w:pPr>
              <w:autoSpaceDE w:val="0"/>
              <w:autoSpaceDN w:val="0"/>
              <w:adjustRightInd w:val="0"/>
              <w:snapToGrid w:val="0"/>
              <w:rPr>
                <w:szCs w:val="21"/>
              </w:rPr>
            </w:pPr>
            <w:r>
              <w:rPr>
                <w:szCs w:val="21"/>
              </w:rPr>
              <w:t>e) 评标基准价P的计算</w:t>
            </w:r>
            <w:r>
              <w:rPr>
                <w:rFonts w:hint="eastAsia"/>
                <w:szCs w:val="21"/>
              </w:rPr>
              <w:t>，计算结果四舍五入保留2位小数。</w:t>
            </w:r>
          </w:p>
          <w:p w14:paraId="55B2ADE4">
            <w:pPr>
              <w:autoSpaceDE w:val="0"/>
              <w:autoSpaceDN w:val="0"/>
              <w:adjustRightInd w:val="0"/>
              <w:snapToGrid w:val="0"/>
              <w:rPr>
                <w:szCs w:val="21"/>
              </w:rPr>
            </w:pPr>
            <w:r>
              <w:rPr>
                <w:szCs w:val="21"/>
              </w:rPr>
              <w:t>（1）合格谈判申请人数大于5家（不含5家），评标基准价：</w:t>
            </w:r>
          </w:p>
          <w:p w14:paraId="55B2ADE5">
            <w:pPr>
              <w:autoSpaceDE w:val="0"/>
              <w:autoSpaceDN w:val="0"/>
              <w:adjustRightInd w:val="0"/>
              <w:snapToGrid w:val="0"/>
              <w:rPr>
                <w:szCs w:val="21"/>
              </w:rPr>
            </w:pPr>
            <w:r>
              <w:rPr>
                <w:szCs w:val="21"/>
              </w:rPr>
              <w:t>P=（ ∑t</w:t>
            </w:r>
            <w:r>
              <w:rPr>
                <w:szCs w:val="21"/>
                <w:vertAlign w:val="subscript"/>
              </w:rPr>
              <w:t>i</w:t>
            </w:r>
            <w:r>
              <w:rPr>
                <w:szCs w:val="21"/>
              </w:rPr>
              <w:t xml:space="preserve"> - t</w:t>
            </w:r>
            <w:r>
              <w:rPr>
                <w:szCs w:val="21"/>
                <w:vertAlign w:val="subscript"/>
              </w:rPr>
              <w:t>max</w:t>
            </w:r>
            <w:r>
              <w:rPr>
                <w:szCs w:val="21"/>
              </w:rPr>
              <w:t xml:space="preserve"> -t</w:t>
            </w:r>
            <w:r>
              <w:rPr>
                <w:szCs w:val="21"/>
                <w:vertAlign w:val="subscript"/>
              </w:rPr>
              <w:t>min</w:t>
            </w:r>
            <w:r>
              <w:rPr>
                <w:szCs w:val="21"/>
              </w:rPr>
              <w:t>）÷（n－2），其中∑t</w:t>
            </w:r>
            <w:r>
              <w:rPr>
                <w:szCs w:val="21"/>
                <w:vertAlign w:val="subscript"/>
              </w:rPr>
              <w:t>i</w:t>
            </w:r>
            <w:r>
              <w:rPr>
                <w:szCs w:val="21"/>
              </w:rPr>
              <w:t>为所有有效报价之和，若存在t</w:t>
            </w:r>
            <w:r>
              <w:rPr>
                <w:szCs w:val="21"/>
                <w:vertAlign w:val="subscript"/>
              </w:rPr>
              <w:t>max</w:t>
            </w:r>
            <w:r>
              <w:rPr>
                <w:szCs w:val="21"/>
              </w:rPr>
              <w:t>、t</w:t>
            </w:r>
            <w:r>
              <w:rPr>
                <w:szCs w:val="21"/>
                <w:vertAlign w:val="subscript"/>
              </w:rPr>
              <w:t>min</w:t>
            </w:r>
            <w:r>
              <w:rPr>
                <w:szCs w:val="21"/>
              </w:rPr>
              <w:t>有2家及以上相同的，计算评标基准价时t</w:t>
            </w:r>
            <w:r>
              <w:rPr>
                <w:szCs w:val="21"/>
                <w:vertAlign w:val="subscript"/>
              </w:rPr>
              <w:t>max</w:t>
            </w:r>
            <w:r>
              <w:rPr>
                <w:szCs w:val="21"/>
              </w:rPr>
              <w:t>、t</w:t>
            </w:r>
            <w:r>
              <w:rPr>
                <w:szCs w:val="21"/>
                <w:vertAlign w:val="subscript"/>
              </w:rPr>
              <w:t>min</w:t>
            </w:r>
            <w:r>
              <w:rPr>
                <w:szCs w:val="21"/>
              </w:rPr>
              <w:t>只扣除一家。</w:t>
            </w:r>
          </w:p>
          <w:p w14:paraId="55B2ADE6">
            <w:pPr>
              <w:autoSpaceDE w:val="0"/>
              <w:autoSpaceDN w:val="0"/>
              <w:adjustRightInd w:val="0"/>
              <w:snapToGrid w:val="0"/>
              <w:rPr>
                <w:szCs w:val="21"/>
              </w:rPr>
            </w:pPr>
            <w:r>
              <w:rPr>
                <w:szCs w:val="21"/>
              </w:rPr>
              <w:t>（2）合格谈判申请人数少于5家（含5家）时，评标基准价：</w:t>
            </w:r>
          </w:p>
          <w:p w14:paraId="55B2ADE7">
            <w:pPr>
              <w:autoSpaceDE w:val="0"/>
              <w:autoSpaceDN w:val="0"/>
              <w:adjustRightInd w:val="0"/>
              <w:snapToGrid w:val="0"/>
              <w:rPr>
                <w:szCs w:val="21"/>
              </w:rPr>
            </w:pPr>
            <w:r>
              <w:rPr>
                <w:szCs w:val="21"/>
              </w:rPr>
              <w:t>P=∑t</w:t>
            </w:r>
            <w:r>
              <w:rPr>
                <w:szCs w:val="21"/>
                <w:vertAlign w:val="subscript"/>
              </w:rPr>
              <w:t>i</w:t>
            </w:r>
            <w:r>
              <w:rPr>
                <w:szCs w:val="21"/>
              </w:rPr>
              <w:t>÷n，其中∑t</w:t>
            </w:r>
            <w:r>
              <w:rPr>
                <w:szCs w:val="21"/>
                <w:vertAlign w:val="subscript"/>
              </w:rPr>
              <w:t>i</w:t>
            </w:r>
            <w:r>
              <w:rPr>
                <w:szCs w:val="21"/>
              </w:rPr>
              <w:t>为所有有效报价之和。</w:t>
            </w:r>
          </w:p>
        </w:tc>
        <w:tc>
          <w:tcPr>
            <w:tcW w:w="690" w:type="dxa"/>
            <w:vMerge w:val="continue"/>
            <w:vAlign w:val="center"/>
          </w:tcPr>
          <w:p w14:paraId="55B2ADE8">
            <w:pPr>
              <w:adjustRightInd w:val="0"/>
              <w:snapToGrid w:val="0"/>
              <w:jc w:val="center"/>
              <w:rPr>
                <w:szCs w:val="21"/>
              </w:rPr>
            </w:pPr>
          </w:p>
        </w:tc>
      </w:tr>
      <w:tr w14:paraId="55B2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54" w:type="dxa"/>
            <w:gridSpan w:val="5"/>
            <w:vAlign w:val="center"/>
          </w:tcPr>
          <w:p w14:paraId="55B2ADEA">
            <w:pPr>
              <w:adjustRightInd w:val="0"/>
              <w:snapToGrid w:val="0"/>
              <w:jc w:val="center"/>
              <w:rPr>
                <w:b/>
                <w:szCs w:val="21"/>
              </w:rPr>
            </w:pPr>
            <w:r>
              <w:rPr>
                <w:b/>
                <w:szCs w:val="21"/>
              </w:rPr>
              <w:t>F2商务部分（</w:t>
            </w:r>
            <w:r>
              <w:rPr>
                <w:rFonts w:hint="eastAsia"/>
                <w:b/>
                <w:szCs w:val="21"/>
                <w:lang w:val="en-US" w:eastAsia="zh-CN"/>
              </w:rPr>
              <w:t>10</w:t>
            </w:r>
            <w:r>
              <w:rPr>
                <w:b/>
                <w:szCs w:val="21"/>
              </w:rPr>
              <w:t>分）</w:t>
            </w:r>
          </w:p>
        </w:tc>
      </w:tr>
      <w:tr w14:paraId="55B2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4" w:type="dxa"/>
            <w:vAlign w:val="center"/>
          </w:tcPr>
          <w:p w14:paraId="55B2ADEC">
            <w:pPr>
              <w:adjustRightInd w:val="0"/>
              <w:snapToGrid w:val="0"/>
              <w:jc w:val="center"/>
              <w:rPr>
                <w:szCs w:val="21"/>
              </w:rPr>
            </w:pPr>
            <w:r>
              <w:rPr>
                <w:szCs w:val="21"/>
              </w:rPr>
              <w:t>评分项目</w:t>
            </w:r>
          </w:p>
        </w:tc>
        <w:tc>
          <w:tcPr>
            <w:tcW w:w="889" w:type="dxa"/>
            <w:vAlign w:val="center"/>
          </w:tcPr>
          <w:p w14:paraId="55B2ADED">
            <w:pPr>
              <w:adjustRightInd w:val="0"/>
              <w:snapToGrid w:val="0"/>
              <w:jc w:val="center"/>
              <w:rPr>
                <w:szCs w:val="21"/>
              </w:rPr>
            </w:pPr>
            <w:r>
              <w:rPr>
                <w:szCs w:val="21"/>
              </w:rPr>
              <w:t>分值</w:t>
            </w:r>
          </w:p>
        </w:tc>
        <w:tc>
          <w:tcPr>
            <w:tcW w:w="6671" w:type="dxa"/>
            <w:gridSpan w:val="2"/>
            <w:vAlign w:val="center"/>
          </w:tcPr>
          <w:p w14:paraId="55B2ADEE">
            <w:pPr>
              <w:adjustRightInd w:val="0"/>
              <w:snapToGrid w:val="0"/>
              <w:jc w:val="center"/>
              <w:rPr>
                <w:szCs w:val="21"/>
              </w:rPr>
            </w:pPr>
            <w:r>
              <w:rPr>
                <w:szCs w:val="21"/>
              </w:rPr>
              <w:t>评分标准</w:t>
            </w:r>
          </w:p>
        </w:tc>
        <w:tc>
          <w:tcPr>
            <w:tcW w:w="690" w:type="dxa"/>
            <w:vAlign w:val="center"/>
          </w:tcPr>
          <w:p w14:paraId="55B2ADEF">
            <w:pPr>
              <w:adjustRightInd w:val="0"/>
              <w:snapToGrid w:val="0"/>
              <w:jc w:val="center"/>
              <w:rPr>
                <w:szCs w:val="21"/>
              </w:rPr>
            </w:pPr>
          </w:p>
        </w:tc>
      </w:tr>
      <w:tr w14:paraId="55B2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604" w:type="dxa"/>
            <w:vAlign w:val="center"/>
          </w:tcPr>
          <w:p w14:paraId="55B2ADF1">
            <w:pPr>
              <w:jc w:val="center"/>
              <w:rPr>
                <w:szCs w:val="21"/>
              </w:rPr>
            </w:pPr>
            <w:r>
              <w:rPr>
                <w:szCs w:val="21"/>
              </w:rPr>
              <w:t>企业业绩</w:t>
            </w:r>
          </w:p>
        </w:tc>
        <w:tc>
          <w:tcPr>
            <w:tcW w:w="889" w:type="dxa"/>
            <w:vAlign w:val="center"/>
          </w:tcPr>
          <w:p w14:paraId="55B2ADF2">
            <w:pPr>
              <w:adjustRightInd w:val="0"/>
              <w:jc w:val="center"/>
              <w:rPr>
                <w:szCs w:val="21"/>
              </w:rPr>
            </w:pPr>
            <w:r>
              <w:rPr>
                <w:rFonts w:hint="eastAsia"/>
                <w:szCs w:val="21"/>
                <w:lang w:val="en-US" w:eastAsia="zh-CN"/>
              </w:rPr>
              <w:t>7</w:t>
            </w:r>
            <w:r>
              <w:rPr>
                <w:szCs w:val="21"/>
              </w:rPr>
              <w:t>分</w:t>
            </w:r>
          </w:p>
        </w:tc>
        <w:tc>
          <w:tcPr>
            <w:tcW w:w="6671" w:type="dxa"/>
            <w:gridSpan w:val="2"/>
            <w:vAlign w:val="center"/>
          </w:tcPr>
          <w:p w14:paraId="10C3C5B8">
            <w:pPr>
              <w:adjustRightInd w:val="0"/>
              <w:rPr>
                <w:kern w:val="0"/>
                <w:szCs w:val="21"/>
              </w:rPr>
            </w:pPr>
            <w:r>
              <w:rPr>
                <w:rFonts w:hint="eastAsia"/>
              </w:rPr>
              <w:t>2023年1月1日至提交响应文件截止时间，</w:t>
            </w:r>
          </w:p>
          <w:p w14:paraId="55B2ADF3">
            <w:pPr>
              <w:adjustRightInd w:val="0"/>
              <w:rPr>
                <w:kern w:val="0"/>
                <w:szCs w:val="21"/>
              </w:rPr>
            </w:pPr>
            <w:r>
              <w:rPr>
                <w:kern w:val="0"/>
                <w:szCs w:val="21"/>
              </w:rPr>
              <w:t>谈判申请人</w:t>
            </w:r>
            <w:r>
              <w:rPr>
                <w:rFonts w:hint="eastAsia"/>
                <w:kern w:val="0"/>
                <w:szCs w:val="21"/>
              </w:rPr>
              <w:t>（或制造商）每提供1项在</w:t>
            </w:r>
            <w:r>
              <w:rPr>
                <w:kern w:val="0"/>
                <w:szCs w:val="21"/>
              </w:rPr>
              <w:t>国内</w:t>
            </w:r>
            <w:r>
              <w:rPr>
                <w:rFonts w:hint="eastAsia"/>
                <w:kern w:val="0"/>
                <w:szCs w:val="21"/>
                <w:highlight w:val="yellow"/>
                <w:lang w:val="en-US" w:eastAsia="zh-CN"/>
              </w:rPr>
              <w:t>长输</w:t>
            </w:r>
            <w:r>
              <w:rPr>
                <w:kern w:val="0"/>
                <w:szCs w:val="21"/>
                <w:highlight w:val="yellow"/>
              </w:rPr>
              <w:t>天然气</w:t>
            </w:r>
            <w:r>
              <w:rPr>
                <w:rFonts w:hint="eastAsia"/>
                <w:kern w:val="0"/>
                <w:szCs w:val="21"/>
                <w:lang w:val="en-US" w:eastAsia="zh-CN"/>
              </w:rPr>
              <w:t>管道</w:t>
            </w:r>
            <w:r>
              <w:rPr>
                <w:kern w:val="0"/>
                <w:szCs w:val="21"/>
              </w:rPr>
              <w:t>项目中的撬装设备供货或销售业绩</w:t>
            </w:r>
            <w:r>
              <w:rPr>
                <w:rFonts w:hint="eastAsia"/>
                <w:kern w:val="0"/>
                <w:szCs w:val="21"/>
              </w:rPr>
              <w:t>得1分，最多得</w:t>
            </w:r>
            <w:r>
              <w:rPr>
                <w:rFonts w:hint="eastAsia"/>
                <w:kern w:val="0"/>
                <w:szCs w:val="21"/>
                <w:lang w:val="en-US" w:eastAsia="zh-CN"/>
              </w:rPr>
              <w:t>7</w:t>
            </w:r>
            <w:r>
              <w:rPr>
                <w:rFonts w:hint="eastAsia"/>
                <w:kern w:val="0"/>
                <w:szCs w:val="21"/>
              </w:rPr>
              <w:t>分。</w:t>
            </w:r>
          </w:p>
          <w:p w14:paraId="55B2ADF4">
            <w:pPr>
              <w:adjustRightInd w:val="0"/>
              <w:rPr>
                <w:szCs w:val="21"/>
              </w:rPr>
            </w:pPr>
            <w:r>
              <w:rPr>
                <w:kern w:val="0"/>
                <w:szCs w:val="21"/>
              </w:rPr>
              <w:t>须提供相关证明材料（</w:t>
            </w:r>
            <w:r>
              <w:rPr>
                <w:rFonts w:hint="eastAsia"/>
                <w:kern w:val="0"/>
                <w:szCs w:val="21"/>
              </w:rPr>
              <w:t>如有效的合同</w:t>
            </w:r>
            <w:r>
              <w:rPr>
                <w:rFonts w:hint="eastAsia" w:ascii="宋体" w:hAnsi="宋体" w:cs="宋体"/>
                <w:szCs w:val="21"/>
              </w:rPr>
              <w:t>（合同业绩证明材料至少须提供包括但不限于合同范围、合同金额、签字盖章页等内容）或成交通知书等复印件，业绩有效期以合同签订时间或成交通知书发布时间为准</w:t>
            </w:r>
            <w:r>
              <w:rPr>
                <w:kern w:val="0"/>
                <w:szCs w:val="21"/>
              </w:rPr>
              <w:t>）</w:t>
            </w:r>
          </w:p>
        </w:tc>
        <w:tc>
          <w:tcPr>
            <w:tcW w:w="690" w:type="dxa"/>
            <w:vAlign w:val="center"/>
          </w:tcPr>
          <w:p w14:paraId="55B2ADF5">
            <w:pPr>
              <w:adjustRightInd w:val="0"/>
              <w:snapToGrid w:val="0"/>
              <w:jc w:val="center"/>
              <w:rPr>
                <w:szCs w:val="21"/>
              </w:rPr>
            </w:pPr>
          </w:p>
        </w:tc>
      </w:tr>
      <w:tr w14:paraId="55B2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604" w:type="dxa"/>
            <w:vAlign w:val="center"/>
          </w:tcPr>
          <w:p w14:paraId="55B2ADF7">
            <w:pPr>
              <w:jc w:val="center"/>
              <w:rPr>
                <w:szCs w:val="21"/>
              </w:rPr>
            </w:pPr>
            <w:r>
              <w:rPr>
                <w:szCs w:val="21"/>
                <w:lang w:val="zh-CN"/>
              </w:rPr>
              <w:t>认证证书</w:t>
            </w:r>
          </w:p>
        </w:tc>
        <w:tc>
          <w:tcPr>
            <w:tcW w:w="889" w:type="dxa"/>
            <w:vAlign w:val="center"/>
          </w:tcPr>
          <w:p w14:paraId="55B2ADF8">
            <w:pPr>
              <w:adjustRightInd w:val="0"/>
              <w:jc w:val="center"/>
              <w:rPr>
                <w:szCs w:val="21"/>
              </w:rPr>
            </w:pPr>
            <w:r>
              <w:rPr>
                <w:rFonts w:hint="eastAsia"/>
                <w:szCs w:val="21"/>
              </w:rPr>
              <w:t>3分</w:t>
            </w:r>
          </w:p>
        </w:tc>
        <w:tc>
          <w:tcPr>
            <w:tcW w:w="6671" w:type="dxa"/>
            <w:gridSpan w:val="2"/>
            <w:vAlign w:val="center"/>
          </w:tcPr>
          <w:p w14:paraId="55B2ADF9">
            <w:pPr>
              <w:adjustRightInd w:val="0"/>
            </w:pPr>
            <w:r>
              <w:rPr>
                <w:szCs w:val="21"/>
                <w:lang w:val="zh-CN"/>
              </w:rPr>
              <w:t>承担此项目的</w:t>
            </w:r>
            <w:r>
              <w:rPr>
                <w:szCs w:val="21"/>
              </w:rPr>
              <w:t>制造</w:t>
            </w:r>
            <w:r>
              <w:rPr>
                <w:szCs w:val="21"/>
                <w:lang w:val="zh-CN"/>
              </w:rPr>
              <w:t>商（若代理商，则为其授权的</w:t>
            </w:r>
            <w:r>
              <w:rPr>
                <w:szCs w:val="21"/>
              </w:rPr>
              <w:t>制造</w:t>
            </w:r>
            <w:r>
              <w:rPr>
                <w:szCs w:val="21"/>
                <w:lang w:val="zh-CN"/>
              </w:rPr>
              <w:t>商）</w:t>
            </w:r>
            <w:r>
              <w:t>提供ISO9001质量管理体系认证、ISO14001环境管理体系认证、ISO</w:t>
            </w:r>
            <w:r>
              <w:rPr>
                <w:rFonts w:hint="eastAsia"/>
              </w:rPr>
              <w:t>45</w:t>
            </w:r>
            <w:r>
              <w:t>001职业健康安全管理体系认证</w:t>
            </w:r>
            <w:r>
              <w:rPr>
                <w:rFonts w:hint="eastAsia"/>
              </w:rPr>
              <w:t>或ISO50001能源管理体系认证</w:t>
            </w:r>
            <w:r>
              <w:t>，每提供1项得1分，</w:t>
            </w:r>
            <w:r>
              <w:rPr>
                <w:rFonts w:hint="eastAsia"/>
              </w:rPr>
              <w:t>全部提供</w:t>
            </w:r>
            <w:r>
              <w:t>得满分3分。</w:t>
            </w:r>
          </w:p>
        </w:tc>
        <w:tc>
          <w:tcPr>
            <w:tcW w:w="690" w:type="dxa"/>
            <w:vAlign w:val="center"/>
          </w:tcPr>
          <w:p w14:paraId="55B2ADFA">
            <w:pPr>
              <w:adjustRightInd w:val="0"/>
              <w:snapToGrid w:val="0"/>
              <w:jc w:val="center"/>
              <w:rPr>
                <w:szCs w:val="21"/>
              </w:rPr>
            </w:pPr>
          </w:p>
        </w:tc>
      </w:tr>
      <w:tr w14:paraId="55B2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54" w:type="dxa"/>
            <w:gridSpan w:val="5"/>
            <w:vAlign w:val="center"/>
          </w:tcPr>
          <w:p w14:paraId="55B2ADFC">
            <w:pPr>
              <w:adjustRightInd w:val="0"/>
              <w:snapToGrid w:val="0"/>
              <w:jc w:val="center"/>
              <w:rPr>
                <w:szCs w:val="21"/>
              </w:rPr>
            </w:pPr>
            <w:r>
              <w:rPr>
                <w:b/>
                <w:szCs w:val="21"/>
              </w:rPr>
              <w:t>F3技术部分（</w:t>
            </w:r>
            <w:r>
              <w:rPr>
                <w:rFonts w:hint="eastAsia"/>
                <w:b/>
                <w:szCs w:val="21"/>
              </w:rPr>
              <w:t>5</w:t>
            </w:r>
            <w:r>
              <w:rPr>
                <w:rFonts w:hint="eastAsia"/>
                <w:b/>
                <w:szCs w:val="21"/>
                <w:lang w:val="en-US" w:eastAsia="zh-CN"/>
              </w:rPr>
              <w:t>0</w:t>
            </w:r>
            <w:r>
              <w:rPr>
                <w:b/>
                <w:szCs w:val="21"/>
              </w:rPr>
              <w:t>分）</w:t>
            </w:r>
          </w:p>
        </w:tc>
      </w:tr>
      <w:tr w14:paraId="55B2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4" w:type="dxa"/>
            <w:vAlign w:val="center"/>
          </w:tcPr>
          <w:p w14:paraId="55B2ADFE">
            <w:pPr>
              <w:adjustRightInd w:val="0"/>
              <w:snapToGrid w:val="0"/>
              <w:jc w:val="center"/>
              <w:rPr>
                <w:szCs w:val="21"/>
              </w:rPr>
            </w:pPr>
            <w:r>
              <w:rPr>
                <w:szCs w:val="21"/>
              </w:rPr>
              <w:t>评分项目</w:t>
            </w:r>
          </w:p>
        </w:tc>
        <w:tc>
          <w:tcPr>
            <w:tcW w:w="889" w:type="dxa"/>
            <w:vAlign w:val="center"/>
          </w:tcPr>
          <w:p w14:paraId="55B2ADFF">
            <w:pPr>
              <w:adjustRightInd w:val="0"/>
              <w:snapToGrid w:val="0"/>
              <w:jc w:val="center"/>
              <w:rPr>
                <w:szCs w:val="21"/>
              </w:rPr>
            </w:pPr>
            <w:r>
              <w:rPr>
                <w:szCs w:val="21"/>
              </w:rPr>
              <w:t>分值</w:t>
            </w:r>
          </w:p>
        </w:tc>
        <w:tc>
          <w:tcPr>
            <w:tcW w:w="6636" w:type="dxa"/>
            <w:vAlign w:val="center"/>
          </w:tcPr>
          <w:p w14:paraId="55B2AE00">
            <w:pPr>
              <w:adjustRightInd w:val="0"/>
              <w:snapToGrid w:val="0"/>
              <w:jc w:val="center"/>
              <w:rPr>
                <w:szCs w:val="21"/>
              </w:rPr>
            </w:pPr>
            <w:r>
              <w:rPr>
                <w:szCs w:val="21"/>
              </w:rPr>
              <w:t>评分标准</w:t>
            </w:r>
          </w:p>
        </w:tc>
        <w:tc>
          <w:tcPr>
            <w:tcW w:w="725" w:type="dxa"/>
            <w:gridSpan w:val="2"/>
            <w:vAlign w:val="center"/>
          </w:tcPr>
          <w:p w14:paraId="55B2AE01">
            <w:pPr>
              <w:adjustRightInd w:val="0"/>
              <w:snapToGrid w:val="0"/>
              <w:jc w:val="center"/>
              <w:rPr>
                <w:b/>
                <w:szCs w:val="21"/>
              </w:rPr>
            </w:pPr>
          </w:p>
        </w:tc>
      </w:tr>
      <w:tr w14:paraId="55B2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604" w:type="dxa"/>
            <w:vAlign w:val="center"/>
          </w:tcPr>
          <w:p w14:paraId="55B2AE03">
            <w:pPr>
              <w:adjustRightInd w:val="0"/>
              <w:jc w:val="center"/>
              <w:rPr>
                <w:szCs w:val="21"/>
              </w:rPr>
            </w:pPr>
            <w:r>
              <w:rPr>
                <w:rFonts w:hint="eastAsia"/>
                <w:szCs w:val="21"/>
              </w:rPr>
              <w:t>超声波流量计</w:t>
            </w:r>
            <w:r>
              <w:rPr>
                <w:szCs w:val="21"/>
              </w:rPr>
              <w:t>设备性能指标</w:t>
            </w:r>
            <w:r>
              <w:rPr>
                <w:rFonts w:hint="eastAsia"/>
                <w:szCs w:val="21"/>
              </w:rPr>
              <w:t>先进性</w:t>
            </w:r>
            <w:r>
              <w:rPr>
                <w:szCs w:val="21"/>
              </w:rPr>
              <w:t>、智能化、可靠性</w:t>
            </w:r>
          </w:p>
        </w:tc>
        <w:tc>
          <w:tcPr>
            <w:tcW w:w="889" w:type="dxa"/>
            <w:vAlign w:val="center"/>
          </w:tcPr>
          <w:p w14:paraId="55B2AE04">
            <w:pPr>
              <w:adjustRightInd w:val="0"/>
              <w:jc w:val="center"/>
              <w:rPr>
                <w:szCs w:val="21"/>
              </w:rPr>
            </w:pPr>
            <w:r>
              <w:rPr>
                <w:rFonts w:hint="eastAsia"/>
                <w:szCs w:val="21"/>
                <w:highlight w:val="yellow"/>
              </w:rPr>
              <w:t>1</w:t>
            </w:r>
            <w:r>
              <w:rPr>
                <w:rFonts w:hint="eastAsia"/>
                <w:szCs w:val="21"/>
                <w:highlight w:val="yellow"/>
                <w:lang w:val="en-US" w:eastAsia="zh-CN"/>
              </w:rPr>
              <w:t>2</w:t>
            </w:r>
            <w:r>
              <w:rPr>
                <w:rFonts w:hint="eastAsia"/>
                <w:szCs w:val="21"/>
                <w:highlight w:val="yellow"/>
              </w:rPr>
              <w:t>分</w:t>
            </w:r>
          </w:p>
        </w:tc>
        <w:tc>
          <w:tcPr>
            <w:tcW w:w="6636" w:type="dxa"/>
            <w:vAlign w:val="center"/>
          </w:tcPr>
          <w:p w14:paraId="666B6B4F">
            <w:pPr>
              <w:adjustRightInd w:val="0"/>
              <w:jc w:val="left"/>
              <w:rPr>
                <w:szCs w:val="21"/>
              </w:rPr>
            </w:pPr>
            <w:r>
              <w:rPr>
                <w:rFonts w:hint="eastAsia"/>
                <w:szCs w:val="21"/>
              </w:rPr>
              <w:t>1</w:t>
            </w:r>
            <w:r>
              <w:rPr>
                <w:rFonts w:hint="eastAsia"/>
                <w:szCs w:val="21"/>
                <w:lang w:val="en-US" w:eastAsia="zh-CN"/>
              </w:rPr>
              <w:t>.</w:t>
            </w:r>
            <w:r>
              <w:rPr>
                <w:rFonts w:hint="eastAsia"/>
                <w:szCs w:val="21"/>
              </w:rPr>
              <w:t>超声波流量计具有OIML 0.5级证书，满足得</w:t>
            </w:r>
            <w:r>
              <w:rPr>
                <w:rFonts w:hint="eastAsia"/>
                <w:szCs w:val="21"/>
                <w:lang w:val="en-US" w:eastAsia="zh-CN"/>
              </w:rPr>
              <w:t>1.5</w:t>
            </w:r>
            <w:r>
              <w:rPr>
                <w:rFonts w:hint="eastAsia"/>
                <w:szCs w:val="21"/>
              </w:rPr>
              <w:t>分，不满足不得分超</w:t>
            </w:r>
          </w:p>
          <w:p w14:paraId="176CD31C">
            <w:pPr>
              <w:adjustRightInd w:val="0"/>
              <w:jc w:val="left"/>
              <w:rPr>
                <w:szCs w:val="21"/>
              </w:rPr>
            </w:pPr>
            <w:r>
              <w:rPr>
                <w:rFonts w:hint="eastAsia"/>
                <w:szCs w:val="21"/>
              </w:rPr>
              <w:t>2</w:t>
            </w:r>
            <w:r>
              <w:rPr>
                <w:rFonts w:hint="eastAsia"/>
                <w:szCs w:val="21"/>
                <w:lang w:val="en-US" w:eastAsia="zh-CN"/>
              </w:rPr>
              <w:t>.</w:t>
            </w:r>
            <w:r>
              <w:rPr>
                <w:rFonts w:hint="eastAsia"/>
                <w:szCs w:val="21"/>
              </w:rPr>
              <w:t>声波流量计的探头具有专利技术，为对射式，扛脏污能力强，满足得</w:t>
            </w:r>
            <w:r>
              <w:rPr>
                <w:rFonts w:hint="eastAsia"/>
                <w:szCs w:val="21"/>
                <w:lang w:val="en-US" w:eastAsia="zh-CN"/>
              </w:rPr>
              <w:t>1.5</w:t>
            </w:r>
            <w:r>
              <w:rPr>
                <w:rFonts w:hint="eastAsia"/>
                <w:szCs w:val="21"/>
              </w:rPr>
              <w:t>分，不满足不得分</w:t>
            </w:r>
          </w:p>
          <w:p w14:paraId="5D63C3F8">
            <w:pPr>
              <w:adjustRightInd w:val="0"/>
              <w:jc w:val="left"/>
              <w:rPr>
                <w:szCs w:val="21"/>
              </w:rPr>
            </w:pPr>
            <w:r>
              <w:rPr>
                <w:rFonts w:hint="eastAsia"/>
                <w:szCs w:val="21"/>
                <w:lang w:eastAsia="zh-CN"/>
              </w:rPr>
              <w:t>3.</w:t>
            </w:r>
            <w:r>
              <w:rPr>
                <w:rFonts w:hint="eastAsia"/>
                <w:szCs w:val="21"/>
              </w:rPr>
              <w:t>超声波流量计具备远程诊断功能，且诊断软件支持中文界面，长期免费，满足得</w:t>
            </w:r>
            <w:r>
              <w:rPr>
                <w:rFonts w:hint="eastAsia"/>
                <w:szCs w:val="21"/>
                <w:lang w:val="en-US" w:eastAsia="zh-CN"/>
              </w:rPr>
              <w:t>1.5</w:t>
            </w:r>
            <w:r>
              <w:rPr>
                <w:rFonts w:hint="eastAsia"/>
                <w:szCs w:val="21"/>
              </w:rPr>
              <w:t>分，不满足不得分</w:t>
            </w:r>
          </w:p>
          <w:p w14:paraId="397FE7B7">
            <w:pPr>
              <w:adjustRightInd w:val="0"/>
              <w:jc w:val="left"/>
              <w:rPr>
                <w:szCs w:val="21"/>
              </w:rPr>
            </w:pPr>
            <w:r>
              <w:rPr>
                <w:rFonts w:hint="eastAsia"/>
                <w:szCs w:val="21"/>
                <w:lang w:eastAsia="zh-CN"/>
              </w:rPr>
              <w:t>4.</w:t>
            </w:r>
            <w:r>
              <w:rPr>
                <w:rFonts w:hint="eastAsia"/>
                <w:szCs w:val="21"/>
              </w:rPr>
              <w:t>超声波流量计具有红外诊断接口，可在现场不接线的情况下维护设备，满足得</w:t>
            </w:r>
            <w:r>
              <w:rPr>
                <w:rFonts w:hint="eastAsia"/>
                <w:szCs w:val="21"/>
                <w:lang w:val="en-US" w:eastAsia="zh-CN"/>
              </w:rPr>
              <w:t>1.5</w:t>
            </w:r>
            <w:r>
              <w:rPr>
                <w:rFonts w:hint="eastAsia"/>
                <w:szCs w:val="21"/>
              </w:rPr>
              <w:t>分，不满足不得分</w:t>
            </w:r>
          </w:p>
          <w:p w14:paraId="4E4F8DDF">
            <w:pPr>
              <w:adjustRightInd w:val="0"/>
              <w:jc w:val="left"/>
              <w:rPr>
                <w:rFonts w:hint="eastAsia"/>
                <w:szCs w:val="21"/>
              </w:rPr>
            </w:pPr>
            <w:r>
              <w:rPr>
                <w:rFonts w:hint="eastAsia"/>
                <w:szCs w:val="21"/>
                <w:lang w:eastAsia="zh-CN"/>
              </w:rPr>
              <w:t>5.</w:t>
            </w:r>
            <w:r>
              <w:rPr>
                <w:rFonts w:hint="eastAsia"/>
                <w:szCs w:val="21"/>
              </w:rPr>
              <w:t>超声波流量计传感器具有多种频率探头可供选择，满足得</w:t>
            </w:r>
            <w:r>
              <w:rPr>
                <w:rFonts w:hint="eastAsia"/>
                <w:szCs w:val="21"/>
                <w:lang w:val="en-US" w:eastAsia="zh-CN"/>
              </w:rPr>
              <w:t>1.5</w:t>
            </w:r>
            <w:r>
              <w:rPr>
                <w:rFonts w:hint="eastAsia"/>
                <w:szCs w:val="21"/>
              </w:rPr>
              <w:t>分，不满足不得分</w:t>
            </w:r>
          </w:p>
          <w:p w14:paraId="707C4C11">
            <w:pPr>
              <w:adjustRightInd w:val="0"/>
              <w:jc w:val="left"/>
              <w:rPr>
                <w:szCs w:val="21"/>
              </w:rPr>
            </w:pPr>
            <w:r>
              <w:rPr>
                <w:rFonts w:hint="eastAsia"/>
                <w:szCs w:val="21"/>
                <w:lang w:eastAsia="zh-CN"/>
              </w:rPr>
              <w:t>6.</w:t>
            </w:r>
            <w:r>
              <w:rPr>
                <w:rFonts w:hint="eastAsia"/>
                <w:szCs w:val="21"/>
              </w:rPr>
              <w:t>超声波流量计可在负压空气状态下标定替代实流标定的，满足得</w:t>
            </w:r>
            <w:r>
              <w:rPr>
                <w:rFonts w:hint="eastAsia"/>
                <w:szCs w:val="21"/>
                <w:lang w:val="en-US" w:eastAsia="zh-CN"/>
              </w:rPr>
              <w:t>1.5</w:t>
            </w:r>
            <w:r>
              <w:rPr>
                <w:rFonts w:hint="eastAsia"/>
                <w:szCs w:val="21"/>
              </w:rPr>
              <w:t>分，不满足不得分</w:t>
            </w:r>
          </w:p>
          <w:p w14:paraId="39C89875">
            <w:pPr>
              <w:adjustRightInd w:val="0"/>
              <w:jc w:val="left"/>
              <w:rPr>
                <w:szCs w:val="21"/>
              </w:rPr>
            </w:pPr>
            <w:r>
              <w:rPr>
                <w:rFonts w:hint="eastAsia"/>
                <w:szCs w:val="21"/>
                <w:lang w:eastAsia="zh-CN"/>
              </w:rPr>
              <w:t>7.</w:t>
            </w:r>
            <w:r>
              <w:rPr>
                <w:rFonts w:hint="eastAsia"/>
                <w:szCs w:val="21"/>
              </w:rPr>
              <w:t>超声波流量计支持宽电压设计12-24VDC，在现场线路存在压降情况下依然正常工作，满足得</w:t>
            </w:r>
            <w:r>
              <w:rPr>
                <w:rFonts w:hint="eastAsia"/>
                <w:szCs w:val="21"/>
                <w:lang w:val="en-US" w:eastAsia="zh-CN"/>
              </w:rPr>
              <w:t>1.5</w:t>
            </w:r>
            <w:r>
              <w:rPr>
                <w:rFonts w:hint="eastAsia"/>
                <w:szCs w:val="21"/>
              </w:rPr>
              <w:t>分，不满足不得分</w:t>
            </w:r>
          </w:p>
          <w:p w14:paraId="55B2AE08">
            <w:pPr>
              <w:adjustRightInd w:val="0"/>
              <w:jc w:val="left"/>
              <w:rPr>
                <w:szCs w:val="21"/>
              </w:rPr>
            </w:pPr>
            <w:r>
              <w:rPr>
                <w:rFonts w:hint="eastAsia"/>
                <w:szCs w:val="21"/>
                <w:lang w:eastAsia="zh-CN"/>
              </w:rPr>
              <w:t>8.</w:t>
            </w:r>
            <w:r>
              <w:rPr>
                <w:rFonts w:hint="eastAsia"/>
                <w:szCs w:val="21"/>
              </w:rPr>
              <w:t>超声波流量计可支持管道最大30%掺氢气计量且具有相关证书，满足得</w:t>
            </w:r>
            <w:r>
              <w:rPr>
                <w:rFonts w:hint="eastAsia"/>
                <w:szCs w:val="21"/>
                <w:lang w:val="en-US" w:eastAsia="zh-CN"/>
              </w:rPr>
              <w:t>1.5</w:t>
            </w:r>
            <w:r>
              <w:rPr>
                <w:rFonts w:hint="eastAsia"/>
                <w:szCs w:val="21"/>
              </w:rPr>
              <w:t>分，不满足不得分</w:t>
            </w:r>
          </w:p>
        </w:tc>
        <w:tc>
          <w:tcPr>
            <w:tcW w:w="725" w:type="dxa"/>
            <w:gridSpan w:val="2"/>
            <w:vAlign w:val="center"/>
          </w:tcPr>
          <w:p w14:paraId="55B2AE09">
            <w:pPr>
              <w:adjustRightInd w:val="0"/>
              <w:snapToGrid w:val="0"/>
              <w:jc w:val="center"/>
              <w:rPr>
                <w:b/>
                <w:szCs w:val="21"/>
              </w:rPr>
            </w:pPr>
          </w:p>
        </w:tc>
      </w:tr>
      <w:tr w14:paraId="55B2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4" w:type="dxa"/>
            <w:vAlign w:val="center"/>
          </w:tcPr>
          <w:p w14:paraId="55B2AE0B">
            <w:pPr>
              <w:adjustRightInd w:val="0"/>
              <w:jc w:val="center"/>
              <w:rPr>
                <w:szCs w:val="21"/>
              </w:rPr>
            </w:pPr>
            <w:r>
              <w:rPr>
                <w:rFonts w:hint="eastAsia"/>
                <w:szCs w:val="21"/>
              </w:rPr>
              <w:t>流量计算机性能指标、智能化、可靠性</w:t>
            </w:r>
          </w:p>
        </w:tc>
        <w:tc>
          <w:tcPr>
            <w:tcW w:w="889" w:type="dxa"/>
            <w:vAlign w:val="center"/>
          </w:tcPr>
          <w:p w14:paraId="55B2AE0C">
            <w:pPr>
              <w:adjustRightInd w:val="0"/>
              <w:jc w:val="center"/>
              <w:rPr>
                <w:szCs w:val="21"/>
              </w:rPr>
            </w:pPr>
            <w:r>
              <w:rPr>
                <w:rFonts w:hint="eastAsia"/>
                <w:szCs w:val="21"/>
              </w:rPr>
              <w:t>9分</w:t>
            </w:r>
          </w:p>
        </w:tc>
        <w:tc>
          <w:tcPr>
            <w:tcW w:w="6636" w:type="dxa"/>
            <w:vAlign w:val="center"/>
          </w:tcPr>
          <w:p w14:paraId="7D08C641">
            <w:pPr>
              <w:adjustRightInd w:val="0"/>
              <w:jc w:val="left"/>
              <w:rPr>
                <w:szCs w:val="21"/>
              </w:rPr>
            </w:pPr>
            <w:r>
              <w:rPr>
                <w:rStyle w:val="25"/>
                <w:rFonts w:hint="eastAsia" w:cs="Times New Roman"/>
                <w:color w:val="auto"/>
                <w:lang w:eastAsia="zh-CN"/>
              </w:rPr>
              <w:t>1.</w:t>
            </w:r>
            <w:r>
              <w:rPr>
                <w:rStyle w:val="25"/>
                <w:rFonts w:ascii="Times New Roman" w:hAnsi="Times New Roman" w:cs="Times New Roman"/>
                <w:color w:val="auto"/>
                <w:lang w:eastAsia="zh-CN"/>
              </w:rPr>
              <w:t>流量计算机取得相应的MID认证，</w:t>
            </w:r>
            <w:r>
              <w:rPr>
                <w:rFonts w:hint="eastAsia"/>
                <w:szCs w:val="21"/>
              </w:rPr>
              <w:t>满足得1.5分，不满足不得分</w:t>
            </w:r>
          </w:p>
          <w:p w14:paraId="44A22BE4">
            <w:pPr>
              <w:adjustRightInd w:val="0"/>
              <w:jc w:val="left"/>
              <w:rPr>
                <w:szCs w:val="21"/>
              </w:rPr>
            </w:pPr>
            <w:r>
              <w:rPr>
                <w:rFonts w:hint="eastAsia"/>
                <w:szCs w:val="21"/>
                <w:lang w:eastAsia="zh-CN"/>
              </w:rPr>
              <w:t>2.</w:t>
            </w:r>
            <w:r>
              <w:rPr>
                <w:rFonts w:hint="eastAsia"/>
                <w:szCs w:val="21"/>
              </w:rPr>
              <w:t>流量计算机采用800MHz及以上CPU，采用512MB以上内存，4G以上内部存储，满足得1.5分，不满足不得分</w:t>
            </w:r>
          </w:p>
          <w:p w14:paraId="4D10C66E">
            <w:pPr>
              <w:adjustRightInd w:val="0"/>
              <w:jc w:val="left"/>
              <w:rPr>
                <w:szCs w:val="21"/>
              </w:rPr>
            </w:pPr>
            <w:r>
              <w:rPr>
                <w:rFonts w:hint="eastAsia"/>
                <w:szCs w:val="21"/>
                <w:lang w:eastAsia="zh-CN"/>
              </w:rPr>
              <w:t>3.</w:t>
            </w:r>
            <w:r>
              <w:rPr>
                <w:rFonts w:hint="eastAsia"/>
                <w:szCs w:val="21"/>
              </w:rPr>
              <w:t>流量计算机采用中文界面，满足得1.5分，不满足不得分</w:t>
            </w:r>
          </w:p>
          <w:p w14:paraId="49748359">
            <w:pPr>
              <w:adjustRightInd w:val="0"/>
              <w:jc w:val="left"/>
              <w:rPr>
                <w:szCs w:val="21"/>
              </w:rPr>
            </w:pPr>
            <w:r>
              <w:rPr>
                <w:rFonts w:hint="eastAsia"/>
                <w:szCs w:val="21"/>
                <w:lang w:eastAsia="zh-CN"/>
              </w:rPr>
              <w:t>4.</w:t>
            </w:r>
            <w:r>
              <w:rPr>
                <w:rFonts w:hint="eastAsia"/>
                <w:szCs w:val="21"/>
              </w:rPr>
              <w:t>流量计算机可手动输入组分信息，也支持站控输入，满足得1.5分，不满足不得分</w:t>
            </w:r>
            <w:r>
              <w:rPr>
                <w:szCs w:val="21"/>
              </w:rPr>
              <w:br w:type="textWrapping"/>
            </w:r>
            <w:r>
              <w:rPr>
                <w:rFonts w:hint="eastAsia"/>
                <w:szCs w:val="21"/>
              </w:rPr>
              <w:t>5、流量计算机具备流量计诊断功能，可显示流量计的各种参数并且具备报警功能，满足得1.5分，不满足不得分</w:t>
            </w:r>
          </w:p>
          <w:p w14:paraId="55B2AE0E">
            <w:pPr>
              <w:adjustRightInd w:val="0"/>
              <w:jc w:val="left"/>
              <w:rPr>
                <w:rFonts w:hint="eastAsia"/>
                <w:szCs w:val="21"/>
              </w:rPr>
            </w:pPr>
            <w:r>
              <w:rPr>
                <w:rFonts w:hint="eastAsia"/>
                <w:szCs w:val="21"/>
                <w:lang w:eastAsia="zh-CN"/>
              </w:rPr>
              <w:t>6.</w:t>
            </w:r>
            <w:r>
              <w:rPr>
                <w:rFonts w:hint="eastAsia"/>
                <w:szCs w:val="21"/>
              </w:rPr>
              <w:t>流量计算机支持以太网接口，可向站控系统提供远程诊断数据，满足得1.5分，不满足不得分</w:t>
            </w:r>
          </w:p>
        </w:tc>
        <w:tc>
          <w:tcPr>
            <w:tcW w:w="725" w:type="dxa"/>
            <w:gridSpan w:val="2"/>
            <w:vAlign w:val="center"/>
          </w:tcPr>
          <w:p w14:paraId="55B2AE0F">
            <w:pPr>
              <w:adjustRightInd w:val="0"/>
              <w:snapToGrid w:val="0"/>
              <w:jc w:val="center"/>
              <w:rPr>
                <w:b/>
                <w:szCs w:val="21"/>
              </w:rPr>
            </w:pPr>
          </w:p>
        </w:tc>
      </w:tr>
      <w:tr w14:paraId="55B2A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4" w:type="dxa"/>
            <w:vAlign w:val="center"/>
          </w:tcPr>
          <w:p w14:paraId="55B2AE11">
            <w:pPr>
              <w:adjustRightInd w:val="0"/>
              <w:jc w:val="center"/>
              <w:rPr>
                <w:szCs w:val="21"/>
              </w:rPr>
            </w:pPr>
            <w:r>
              <w:rPr>
                <w:szCs w:val="21"/>
              </w:rPr>
              <w:t>主要</w:t>
            </w:r>
            <w:r>
              <w:rPr>
                <w:rFonts w:hint="eastAsia"/>
                <w:szCs w:val="21"/>
              </w:rPr>
              <w:t>配套</w:t>
            </w:r>
            <w:r>
              <w:rPr>
                <w:szCs w:val="21"/>
              </w:rPr>
              <w:t>部件材料、结构及附件配置</w:t>
            </w:r>
            <w:r>
              <w:rPr>
                <w:rFonts w:hint="eastAsia"/>
                <w:szCs w:val="21"/>
              </w:rPr>
              <w:t>、合理化建议</w:t>
            </w:r>
          </w:p>
        </w:tc>
        <w:tc>
          <w:tcPr>
            <w:tcW w:w="889" w:type="dxa"/>
            <w:vAlign w:val="center"/>
          </w:tcPr>
          <w:p w14:paraId="55B2AE12">
            <w:pPr>
              <w:adjustRightInd w:val="0"/>
              <w:jc w:val="center"/>
              <w:rPr>
                <w:szCs w:val="21"/>
              </w:rPr>
            </w:pPr>
            <w:r>
              <w:rPr>
                <w:rFonts w:hint="eastAsia"/>
                <w:szCs w:val="21"/>
                <w:lang w:val="en-US" w:eastAsia="zh-CN"/>
              </w:rPr>
              <w:t>5</w:t>
            </w:r>
            <w:r>
              <w:rPr>
                <w:rFonts w:hint="eastAsia"/>
                <w:szCs w:val="21"/>
              </w:rPr>
              <w:t>分</w:t>
            </w:r>
          </w:p>
        </w:tc>
        <w:tc>
          <w:tcPr>
            <w:tcW w:w="6636" w:type="dxa"/>
            <w:vAlign w:val="center"/>
          </w:tcPr>
          <w:p w14:paraId="7CAE1B34">
            <w:pPr>
              <w:widowControl/>
              <w:snapToGrid w:val="0"/>
              <w:jc w:val="left"/>
              <w:rPr>
                <w:rFonts w:hint="eastAsia"/>
                <w:szCs w:val="21"/>
              </w:rPr>
            </w:pPr>
            <w:r>
              <w:rPr>
                <w:rFonts w:hint="eastAsia"/>
                <w:szCs w:val="21"/>
              </w:rPr>
              <w:t>根据现场情况给出项目合理化建议，根据建议酌情打分</w:t>
            </w:r>
          </w:p>
          <w:p w14:paraId="55B2AE14">
            <w:pPr>
              <w:widowControl/>
              <w:snapToGrid w:val="0"/>
              <w:jc w:val="left"/>
            </w:pPr>
            <w:r>
              <w:rPr>
                <w:rFonts w:hint="eastAsia"/>
              </w:rPr>
              <w:t>主要部件材料、配置、合理化建议很好</w:t>
            </w:r>
            <w:r>
              <w:t>：</w:t>
            </w:r>
            <w:r>
              <w:rPr>
                <w:rFonts w:hint="eastAsia"/>
              </w:rPr>
              <w:t>3</w:t>
            </w:r>
            <w:r>
              <w:rPr>
                <w:szCs w:val="21"/>
              </w:rPr>
              <w:t>（</w:t>
            </w:r>
            <w:r>
              <w:rPr>
                <w:rFonts w:hint="eastAsia"/>
                <w:szCs w:val="21"/>
              </w:rPr>
              <w:t>不</w:t>
            </w:r>
            <w:r>
              <w:rPr>
                <w:szCs w:val="21"/>
              </w:rPr>
              <w:t>含）</w:t>
            </w:r>
            <w:r>
              <w:t>-</w:t>
            </w:r>
            <w:r>
              <w:rPr>
                <w:rFonts w:hint="eastAsia"/>
              </w:rPr>
              <w:t>5（</w:t>
            </w:r>
            <w:r>
              <w:t>含）分；</w:t>
            </w:r>
          </w:p>
          <w:p w14:paraId="55B2AE15">
            <w:pPr>
              <w:widowControl/>
              <w:snapToGrid w:val="0"/>
              <w:jc w:val="left"/>
            </w:pPr>
            <w:r>
              <w:t>主要部件材料、</w:t>
            </w:r>
            <w:r>
              <w:rPr>
                <w:rFonts w:hint="eastAsia"/>
              </w:rPr>
              <w:t>配置、合理化建议较好</w:t>
            </w:r>
            <w:r>
              <w:t>：</w:t>
            </w:r>
            <w:r>
              <w:rPr>
                <w:rFonts w:hint="eastAsia"/>
              </w:rPr>
              <w:t>1</w:t>
            </w:r>
            <w:r>
              <w:rPr>
                <w:szCs w:val="21"/>
              </w:rPr>
              <w:t>（</w:t>
            </w:r>
            <w:r>
              <w:rPr>
                <w:rFonts w:hint="eastAsia"/>
                <w:szCs w:val="21"/>
              </w:rPr>
              <w:t>不</w:t>
            </w:r>
            <w:r>
              <w:rPr>
                <w:szCs w:val="21"/>
              </w:rPr>
              <w:t>含）</w:t>
            </w:r>
            <w:r>
              <w:t>-</w:t>
            </w:r>
            <w:r>
              <w:rPr>
                <w:rFonts w:hint="eastAsia"/>
              </w:rPr>
              <w:t>3</w:t>
            </w:r>
            <w:r>
              <w:t>（含）分；</w:t>
            </w:r>
          </w:p>
          <w:p w14:paraId="55B2AE16">
            <w:pPr>
              <w:adjustRightInd w:val="0"/>
              <w:jc w:val="left"/>
              <w:rPr>
                <w:szCs w:val="21"/>
              </w:rPr>
            </w:pPr>
            <w:r>
              <w:t>主要部件材料、</w:t>
            </w:r>
            <w:r>
              <w:rPr>
                <w:rFonts w:hint="eastAsia"/>
              </w:rPr>
              <w:t>配置、合理化建议一般</w:t>
            </w:r>
            <w:r>
              <w:t>：0（含）-</w:t>
            </w:r>
            <w:r>
              <w:rPr>
                <w:rFonts w:hint="eastAsia"/>
              </w:rPr>
              <w:t>1（</w:t>
            </w:r>
            <w:r>
              <w:t>含）分。</w:t>
            </w:r>
          </w:p>
        </w:tc>
        <w:tc>
          <w:tcPr>
            <w:tcW w:w="725" w:type="dxa"/>
            <w:gridSpan w:val="2"/>
            <w:vAlign w:val="center"/>
          </w:tcPr>
          <w:p w14:paraId="55B2AE17">
            <w:pPr>
              <w:adjustRightInd w:val="0"/>
              <w:snapToGrid w:val="0"/>
              <w:jc w:val="center"/>
              <w:rPr>
                <w:b/>
                <w:szCs w:val="21"/>
              </w:rPr>
            </w:pPr>
          </w:p>
        </w:tc>
      </w:tr>
      <w:tr w14:paraId="55B2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604" w:type="dxa"/>
            <w:vAlign w:val="center"/>
          </w:tcPr>
          <w:p w14:paraId="55B2AE19">
            <w:pPr>
              <w:pStyle w:val="21"/>
              <w:kinsoku w:val="0"/>
              <w:overflowPunct w:val="0"/>
              <w:jc w:val="center"/>
              <w:rPr>
                <w:rFonts w:ascii="Times New Roman" w:cs="Times New Roman"/>
                <w:szCs w:val="21"/>
              </w:rPr>
            </w:pPr>
            <w:r>
              <w:rPr>
                <w:rFonts w:ascii="Times New Roman" w:cs="Times New Roman"/>
                <w:szCs w:val="21"/>
              </w:rPr>
              <w:t>进度计划与措施</w:t>
            </w:r>
          </w:p>
        </w:tc>
        <w:tc>
          <w:tcPr>
            <w:tcW w:w="889" w:type="dxa"/>
            <w:vAlign w:val="center"/>
          </w:tcPr>
          <w:p w14:paraId="55B2AE1A">
            <w:pPr>
              <w:jc w:val="center"/>
              <w:rPr>
                <w:szCs w:val="21"/>
              </w:rPr>
            </w:pPr>
            <w:r>
              <w:rPr>
                <w:rFonts w:hint="eastAsia"/>
                <w:szCs w:val="21"/>
                <w:lang w:val="en-US" w:eastAsia="zh-CN"/>
              </w:rPr>
              <w:t>10</w:t>
            </w:r>
            <w:r>
              <w:rPr>
                <w:rFonts w:hint="eastAsia"/>
                <w:szCs w:val="21"/>
              </w:rPr>
              <w:t>分</w:t>
            </w:r>
          </w:p>
        </w:tc>
        <w:tc>
          <w:tcPr>
            <w:tcW w:w="6636" w:type="dxa"/>
            <w:vAlign w:val="center"/>
          </w:tcPr>
          <w:p w14:paraId="55B2AE1B">
            <w:pPr>
              <w:rPr>
                <w:szCs w:val="21"/>
              </w:rPr>
            </w:pPr>
            <w:r>
              <w:t>交货周期满足谈判文件要求，合同签订生效之日起</w:t>
            </w:r>
            <w:r>
              <w:rPr>
                <w:rFonts w:hint="eastAsia"/>
                <w:lang w:val="en-US" w:eastAsia="zh-CN"/>
              </w:rPr>
              <w:t>40</w:t>
            </w:r>
            <w:r>
              <w:t>日内设备具备交货条件得0分，每提前1天加1分，最多加</w:t>
            </w:r>
            <w:r>
              <w:rPr>
                <w:rFonts w:hint="eastAsia"/>
                <w:lang w:val="en-US" w:eastAsia="zh-CN"/>
              </w:rPr>
              <w:t>10</w:t>
            </w:r>
            <w:r>
              <w:t>分。</w:t>
            </w:r>
          </w:p>
        </w:tc>
        <w:tc>
          <w:tcPr>
            <w:tcW w:w="725" w:type="dxa"/>
            <w:gridSpan w:val="2"/>
            <w:vAlign w:val="center"/>
          </w:tcPr>
          <w:p w14:paraId="55B2AE1C">
            <w:pPr>
              <w:adjustRightInd w:val="0"/>
              <w:snapToGrid w:val="0"/>
              <w:jc w:val="center"/>
              <w:rPr>
                <w:b/>
                <w:szCs w:val="21"/>
              </w:rPr>
            </w:pPr>
          </w:p>
        </w:tc>
      </w:tr>
      <w:tr w14:paraId="55B2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4" w:type="dxa"/>
            <w:vAlign w:val="center"/>
          </w:tcPr>
          <w:p w14:paraId="55B2AE1E">
            <w:pPr>
              <w:pStyle w:val="21"/>
              <w:kinsoku w:val="0"/>
              <w:overflowPunct w:val="0"/>
              <w:jc w:val="center"/>
              <w:rPr>
                <w:rFonts w:ascii="Times New Roman" w:cs="Times New Roman"/>
                <w:szCs w:val="21"/>
              </w:rPr>
            </w:pPr>
            <w:r>
              <w:rPr>
                <w:rFonts w:ascii="Times New Roman" w:cs="Times New Roman"/>
              </w:rPr>
              <w:t>服务</w:t>
            </w:r>
            <w:r>
              <w:rPr>
                <w:rFonts w:hint="eastAsia" w:ascii="Times New Roman" w:cs="Times New Roman"/>
                <w:lang w:val="en-US" w:eastAsia="zh-CN"/>
              </w:rPr>
              <w:t>方案</w:t>
            </w:r>
            <w:r>
              <w:rPr>
                <w:rFonts w:hint="eastAsia" w:ascii="Times New Roman" w:cs="Times New Roman"/>
              </w:rPr>
              <w:t>及措施</w:t>
            </w:r>
          </w:p>
        </w:tc>
        <w:tc>
          <w:tcPr>
            <w:tcW w:w="889" w:type="dxa"/>
            <w:vAlign w:val="center"/>
          </w:tcPr>
          <w:p w14:paraId="55B2AE1F">
            <w:pPr>
              <w:jc w:val="center"/>
              <w:rPr>
                <w:szCs w:val="21"/>
              </w:rPr>
            </w:pPr>
            <w:r>
              <w:rPr>
                <w:rFonts w:hint="eastAsia"/>
                <w:szCs w:val="21"/>
              </w:rPr>
              <w:t>1</w:t>
            </w:r>
            <w:r>
              <w:rPr>
                <w:rFonts w:hint="eastAsia"/>
                <w:szCs w:val="21"/>
                <w:lang w:val="en-US" w:eastAsia="zh-CN"/>
              </w:rPr>
              <w:t>4</w:t>
            </w:r>
            <w:r>
              <w:rPr>
                <w:rFonts w:hint="eastAsia"/>
                <w:szCs w:val="21"/>
              </w:rPr>
              <w:t>分</w:t>
            </w:r>
          </w:p>
        </w:tc>
        <w:tc>
          <w:tcPr>
            <w:tcW w:w="6636" w:type="dxa"/>
            <w:vAlign w:val="center"/>
          </w:tcPr>
          <w:p w14:paraId="1D368D1A">
            <w:pPr>
              <w:jc w:val="left"/>
              <w:rPr>
                <w:rFonts w:hint="eastAsia"/>
                <w:szCs w:val="21"/>
              </w:rPr>
            </w:pPr>
            <w:r>
              <w:rPr>
                <w:rFonts w:hint="eastAsia"/>
                <w:szCs w:val="21"/>
                <w:lang w:val="en-US" w:eastAsia="zh-CN"/>
              </w:rPr>
              <w:t>技术服务方案（含现场服务、培训、售后保障服务）</w:t>
            </w:r>
            <w:r>
              <w:rPr>
                <w:szCs w:val="21"/>
              </w:rPr>
              <w:t>完整性、合理性，售后服务承诺</w:t>
            </w:r>
            <w:r>
              <w:rPr>
                <w:rFonts w:hint="eastAsia"/>
                <w:szCs w:val="21"/>
                <w:lang w:eastAsia="zh-CN"/>
              </w:rPr>
              <w:t>（</w:t>
            </w:r>
            <w:r>
              <w:rPr>
                <w:rFonts w:hint="eastAsia"/>
                <w:szCs w:val="21"/>
                <w:lang w:val="en-US" w:eastAsia="zh-CN"/>
              </w:rPr>
              <w:t>合同外技术服务价格</w:t>
            </w:r>
            <w:r>
              <w:rPr>
                <w:rFonts w:hint="eastAsia"/>
                <w:szCs w:val="21"/>
                <w:lang w:eastAsia="zh-CN"/>
              </w:rPr>
              <w:t>）</w:t>
            </w:r>
            <w:r>
              <w:rPr>
                <w:szCs w:val="21"/>
              </w:rPr>
              <w:t>等进行横向对比评分</w:t>
            </w:r>
            <w:r>
              <w:rPr>
                <w:rFonts w:hint="eastAsia"/>
                <w:szCs w:val="21"/>
              </w:rPr>
              <w:t>：满分1</w:t>
            </w:r>
            <w:r>
              <w:rPr>
                <w:rFonts w:hint="eastAsia"/>
                <w:szCs w:val="21"/>
                <w:lang w:val="en-US" w:eastAsia="zh-CN"/>
              </w:rPr>
              <w:t>4</w:t>
            </w:r>
            <w:r>
              <w:rPr>
                <w:szCs w:val="21"/>
              </w:rPr>
              <w:t>分。</w:t>
            </w:r>
          </w:p>
          <w:p w14:paraId="55B2AE21">
            <w:pPr>
              <w:jc w:val="left"/>
              <w:rPr>
                <w:szCs w:val="21"/>
              </w:rPr>
            </w:pPr>
            <w:r>
              <w:rPr>
                <w:szCs w:val="21"/>
              </w:rPr>
              <w:t>技术服务、技术培训完整性、合理性好</w:t>
            </w:r>
            <w:r>
              <w:rPr>
                <w:rFonts w:hint="eastAsia"/>
                <w:szCs w:val="21"/>
              </w:rPr>
              <w:t>，时间及时的</w:t>
            </w:r>
            <w:r>
              <w:rPr>
                <w:szCs w:val="21"/>
              </w:rPr>
              <w:t>：</w:t>
            </w:r>
            <w:r>
              <w:rPr>
                <w:rFonts w:hint="eastAsia"/>
                <w:szCs w:val="21"/>
                <w:lang w:val="en-US" w:eastAsia="zh-CN"/>
              </w:rPr>
              <w:t>10</w:t>
            </w:r>
            <w:r>
              <w:rPr>
                <w:szCs w:val="21"/>
              </w:rPr>
              <w:t>（含）</w:t>
            </w:r>
            <w:r>
              <w:t>-</w:t>
            </w:r>
            <w:r>
              <w:rPr>
                <w:rFonts w:hint="eastAsia"/>
              </w:rPr>
              <w:t>1</w:t>
            </w:r>
            <w:r>
              <w:rPr>
                <w:rFonts w:hint="eastAsia"/>
                <w:lang w:val="en-US" w:eastAsia="zh-CN"/>
              </w:rPr>
              <w:t>4</w:t>
            </w:r>
            <w:r>
              <w:rPr>
                <w:rFonts w:hint="eastAsia"/>
              </w:rPr>
              <w:t>（</w:t>
            </w:r>
            <w:r>
              <w:t>含）分；</w:t>
            </w:r>
          </w:p>
          <w:p w14:paraId="0F2E8D3E">
            <w:pPr>
              <w:jc w:val="left"/>
              <w:rPr>
                <w:szCs w:val="21"/>
              </w:rPr>
            </w:pPr>
            <w:r>
              <w:rPr>
                <w:szCs w:val="21"/>
              </w:rPr>
              <w:t>技术服务、技术培训完整性、合理性较好</w:t>
            </w:r>
            <w:r>
              <w:rPr>
                <w:rFonts w:hint="eastAsia"/>
                <w:szCs w:val="21"/>
              </w:rPr>
              <w:t>，时效较好的</w:t>
            </w:r>
            <w:r>
              <w:rPr>
                <w:szCs w:val="21"/>
              </w:rPr>
              <w:t>：</w:t>
            </w:r>
            <w:r>
              <w:rPr>
                <w:rFonts w:hint="eastAsia"/>
                <w:szCs w:val="21"/>
              </w:rPr>
              <w:t>5</w:t>
            </w:r>
            <w:r>
              <w:rPr>
                <w:szCs w:val="21"/>
              </w:rPr>
              <w:t>（</w:t>
            </w:r>
            <w:r>
              <w:rPr>
                <w:rFonts w:hint="eastAsia"/>
                <w:szCs w:val="21"/>
              </w:rPr>
              <w:t>不</w:t>
            </w:r>
            <w:r>
              <w:rPr>
                <w:szCs w:val="21"/>
              </w:rPr>
              <w:t>含）</w:t>
            </w:r>
            <w:r>
              <w:t>-</w:t>
            </w:r>
            <w:r>
              <w:rPr>
                <w:rFonts w:hint="eastAsia"/>
                <w:lang w:val="en-US" w:eastAsia="zh-CN"/>
              </w:rPr>
              <w:t>10</w:t>
            </w:r>
            <w:r>
              <w:rPr>
                <w:rFonts w:hint="eastAsia"/>
              </w:rPr>
              <w:t>（</w:t>
            </w:r>
            <w:r>
              <w:rPr>
                <w:rFonts w:hint="eastAsia"/>
                <w:lang w:val="en-US" w:eastAsia="zh-CN"/>
              </w:rPr>
              <w:t>不</w:t>
            </w:r>
            <w:r>
              <w:t>含）分；</w:t>
            </w:r>
          </w:p>
          <w:p w14:paraId="55B2AE23">
            <w:pPr>
              <w:jc w:val="left"/>
              <w:rPr>
                <w:szCs w:val="21"/>
              </w:rPr>
            </w:pPr>
            <w:r>
              <w:rPr>
                <w:szCs w:val="21"/>
              </w:rPr>
              <w:t>技术服务、技术培训完整性、合理性一般</w:t>
            </w:r>
            <w:r>
              <w:rPr>
                <w:rFonts w:hint="eastAsia"/>
                <w:szCs w:val="21"/>
              </w:rPr>
              <w:t>，时效一般的</w:t>
            </w:r>
            <w:r>
              <w:rPr>
                <w:szCs w:val="21"/>
              </w:rPr>
              <w:t>：0（含</w:t>
            </w:r>
            <w:r>
              <w:rPr>
                <w:rFonts w:hint="eastAsia"/>
                <w:szCs w:val="21"/>
              </w:rPr>
              <w:t>）</w:t>
            </w:r>
            <w:r>
              <w:rPr>
                <w:szCs w:val="21"/>
              </w:rPr>
              <w:t>-</w:t>
            </w:r>
            <w:r>
              <w:rPr>
                <w:rFonts w:hint="eastAsia"/>
                <w:szCs w:val="21"/>
                <w:lang w:val="en-US" w:eastAsia="zh-CN"/>
              </w:rPr>
              <w:t>5</w:t>
            </w:r>
            <w:r>
              <w:rPr>
                <w:szCs w:val="21"/>
              </w:rPr>
              <w:t>（含）分。</w:t>
            </w:r>
          </w:p>
        </w:tc>
        <w:tc>
          <w:tcPr>
            <w:tcW w:w="725" w:type="dxa"/>
            <w:gridSpan w:val="2"/>
            <w:vAlign w:val="center"/>
          </w:tcPr>
          <w:p w14:paraId="55B2AE24">
            <w:pPr>
              <w:adjustRightInd w:val="0"/>
              <w:snapToGrid w:val="0"/>
              <w:jc w:val="center"/>
              <w:rPr>
                <w:b/>
                <w:szCs w:val="21"/>
              </w:rPr>
            </w:pPr>
          </w:p>
        </w:tc>
      </w:tr>
    </w:tbl>
    <w:p w14:paraId="55B2AE26">
      <w:pPr>
        <w:pStyle w:val="9"/>
        <w:rPr>
          <w:sz w:val="21"/>
          <w:szCs w:val="21"/>
        </w:rPr>
      </w:pPr>
    </w:p>
    <w:p w14:paraId="55B2AE27">
      <w:pPr>
        <w:adjustRightInd w:val="0"/>
        <w:snapToGrid w:val="0"/>
        <w:spacing w:line="360" w:lineRule="auto"/>
        <w:ind w:firstLine="420" w:firstLineChars="200"/>
        <w:jc w:val="left"/>
        <w:rPr>
          <w:szCs w:val="21"/>
        </w:rPr>
      </w:pPr>
      <w:r>
        <w:rPr>
          <w:szCs w:val="21"/>
        </w:rPr>
        <w:t>3.2.9评分</w:t>
      </w:r>
    </w:p>
    <w:p w14:paraId="55B2AE28">
      <w:pPr>
        <w:adjustRightInd w:val="0"/>
        <w:snapToGrid w:val="0"/>
        <w:spacing w:line="360" w:lineRule="auto"/>
        <w:ind w:firstLine="420" w:firstLineChars="200"/>
        <w:jc w:val="left"/>
        <w:rPr>
          <w:szCs w:val="21"/>
        </w:rPr>
      </w:pPr>
      <w:r>
        <w:rPr>
          <w:szCs w:val="21"/>
        </w:rPr>
        <w:t>谈判小组成员必须按规定的评议内容、使用统一的评分表进行打分，该表的制定基础为《评分标准》之相关规定，评委打分时执行评分表各项分值的设定原则。计算得分时，各评委打分的算术平均分即为谈判申请人的得分（保留2位小数）；</w:t>
      </w:r>
    </w:p>
    <w:p w14:paraId="55B2AE29">
      <w:pPr>
        <w:adjustRightInd w:val="0"/>
        <w:snapToGrid w:val="0"/>
        <w:spacing w:line="360" w:lineRule="auto"/>
        <w:ind w:firstLine="420" w:firstLineChars="200"/>
        <w:jc w:val="left"/>
        <w:rPr>
          <w:szCs w:val="21"/>
        </w:rPr>
      </w:pPr>
      <w:r>
        <w:rPr>
          <w:szCs w:val="21"/>
        </w:rPr>
        <w:t>要求：</w:t>
      </w:r>
    </w:p>
    <w:p w14:paraId="55B2AE2A">
      <w:pPr>
        <w:adjustRightInd w:val="0"/>
        <w:snapToGrid w:val="0"/>
        <w:spacing w:line="360" w:lineRule="auto"/>
        <w:ind w:firstLine="420" w:firstLineChars="200"/>
        <w:jc w:val="left"/>
        <w:rPr>
          <w:szCs w:val="21"/>
        </w:rPr>
      </w:pPr>
      <w:r>
        <w:rPr>
          <w:szCs w:val="21"/>
        </w:rPr>
        <w:t>（1）谈判小组评审时要根据评分因素简述各谈判申请人差异并独立打分；</w:t>
      </w:r>
    </w:p>
    <w:p w14:paraId="55B2AE2B">
      <w:pPr>
        <w:adjustRightInd w:val="0"/>
        <w:snapToGrid w:val="0"/>
        <w:spacing w:line="360" w:lineRule="auto"/>
        <w:ind w:firstLine="420" w:firstLineChars="200"/>
        <w:jc w:val="left"/>
        <w:rPr>
          <w:szCs w:val="21"/>
        </w:rPr>
      </w:pPr>
      <w:r>
        <w:rPr>
          <w:szCs w:val="21"/>
        </w:rPr>
        <w:t>（2）评审为记名方式，有涂改的票为废票，如需修改，应另换新票或由评委在修改处小签；</w:t>
      </w:r>
    </w:p>
    <w:p w14:paraId="55B2AE2C">
      <w:pPr>
        <w:adjustRightInd w:val="0"/>
        <w:snapToGrid w:val="0"/>
        <w:spacing w:line="360" w:lineRule="auto"/>
        <w:ind w:firstLine="420" w:firstLineChars="200"/>
        <w:jc w:val="left"/>
        <w:rPr>
          <w:szCs w:val="21"/>
        </w:rPr>
      </w:pPr>
      <w:r>
        <w:rPr>
          <w:szCs w:val="21"/>
        </w:rPr>
        <w:t>（3）评分、投票及计分工作均应在监督人员的监督下进行，计分应准确，并经监督人员签字后计分结果才有效。</w:t>
      </w:r>
    </w:p>
    <w:p w14:paraId="55B2AE2D">
      <w:pPr>
        <w:adjustRightInd w:val="0"/>
        <w:snapToGrid w:val="0"/>
        <w:spacing w:line="360" w:lineRule="auto"/>
        <w:ind w:firstLine="420" w:firstLineChars="200"/>
        <w:jc w:val="left"/>
        <w:rPr>
          <w:szCs w:val="21"/>
        </w:rPr>
      </w:pPr>
      <w:r>
        <w:rPr>
          <w:szCs w:val="21"/>
        </w:rPr>
        <w:t>3.2.10谈判小组成员要依法独立审查，并对审查意见承担个人责任。谈判小组成员对需要共同认定的事项存在争议的，按照少数服从多数的</w:t>
      </w:r>
      <w:r>
        <w:rPr>
          <w:rFonts w:hint="eastAsia"/>
          <w:szCs w:val="21"/>
          <w:lang w:eastAsia="zh-CN"/>
        </w:rPr>
        <w:t>原则作出结论</w:t>
      </w:r>
      <w:r>
        <w:rPr>
          <w:szCs w:val="21"/>
        </w:rPr>
        <w:t>。</w:t>
      </w:r>
    </w:p>
    <w:p w14:paraId="55B2AE2E">
      <w:pPr>
        <w:adjustRightInd w:val="0"/>
        <w:snapToGrid w:val="0"/>
        <w:spacing w:line="360" w:lineRule="auto"/>
        <w:ind w:firstLine="420" w:firstLineChars="200"/>
        <w:jc w:val="left"/>
        <w:rPr>
          <w:szCs w:val="21"/>
        </w:rPr>
      </w:pPr>
      <w:r>
        <w:rPr>
          <w:szCs w:val="21"/>
        </w:rPr>
        <w:t>3.2.11评审报告应当由谈判小组全体人员签字认可。谈判小组成员对评审报告有异议的，谈判小组按照少数服从多数的原则推荐成交候选人，</w:t>
      </w:r>
      <w:r>
        <w:rPr>
          <w:rFonts w:hint="eastAsia"/>
          <w:szCs w:val="21"/>
        </w:rPr>
        <w:t>采购</w:t>
      </w:r>
      <w:r>
        <w:rPr>
          <w:szCs w:val="21"/>
        </w:rPr>
        <w:t>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55B2AE2F">
      <w:pPr>
        <w:pStyle w:val="4"/>
        <w:spacing w:line="480" w:lineRule="exact"/>
        <w:ind w:firstLine="422"/>
        <w:jc w:val="both"/>
        <w:rPr>
          <w:rFonts w:ascii="Times New Roman"/>
          <w:sz w:val="21"/>
          <w:szCs w:val="21"/>
        </w:rPr>
      </w:pPr>
      <w:bookmarkStart w:id="170" w:name="_Toc8935"/>
      <w:r>
        <w:rPr>
          <w:rFonts w:ascii="Times New Roman"/>
          <w:sz w:val="21"/>
          <w:szCs w:val="21"/>
        </w:rPr>
        <w:t>3.3 谈判结果</w:t>
      </w:r>
      <w:bookmarkEnd w:id="170"/>
    </w:p>
    <w:p w14:paraId="55B2AE30">
      <w:pPr>
        <w:adjustRightInd w:val="0"/>
        <w:snapToGrid w:val="0"/>
        <w:spacing w:line="360" w:lineRule="auto"/>
        <w:ind w:firstLine="420" w:firstLineChars="200"/>
        <w:rPr>
          <w:szCs w:val="21"/>
        </w:rPr>
      </w:pPr>
      <w:r>
        <w:rPr>
          <w:szCs w:val="21"/>
        </w:rPr>
        <w:t>谈判小组按综合得分由高到低顺序推荐1-3名成交候选人，并向采购人提交书面评审报告。</w:t>
      </w:r>
    </w:p>
    <w:p w14:paraId="55B2AE31">
      <w:pPr>
        <w:pStyle w:val="2"/>
        <w:jc w:val="center"/>
        <w:rPr>
          <w:rFonts w:ascii="Times New Roman" w:eastAsia="宋体"/>
          <w:color w:val="auto"/>
          <w:sz w:val="32"/>
        </w:rPr>
      </w:pPr>
      <w:r>
        <w:rPr>
          <w:rFonts w:ascii="Times New Roman" w:eastAsia="宋体"/>
          <w:color w:val="auto"/>
          <w:sz w:val="32"/>
        </w:rPr>
        <w:br w:type="page"/>
      </w:r>
      <w:bookmarkStart w:id="171" w:name="_Toc26464"/>
      <w:r>
        <w:rPr>
          <w:rFonts w:ascii="Times New Roman" w:eastAsia="宋体"/>
          <w:color w:val="auto"/>
          <w:sz w:val="32"/>
        </w:rPr>
        <w:t>第四章  合同书样式及主要条款</w:t>
      </w:r>
      <w:bookmarkEnd w:id="160"/>
      <w:bookmarkEnd w:id="161"/>
      <w:bookmarkEnd w:id="162"/>
      <w:bookmarkEnd w:id="165"/>
      <w:bookmarkEnd w:id="171"/>
    </w:p>
    <w:p w14:paraId="55B2AE32">
      <w:pPr>
        <w:pStyle w:val="3"/>
        <w:spacing w:before="260" w:after="260" w:line="413" w:lineRule="auto"/>
        <w:rPr>
          <w:rFonts w:ascii="Times New Roman" w:hAnsi="Times New Roman" w:eastAsia="黑体"/>
          <w:bCs w:val="0"/>
          <w:szCs w:val="20"/>
        </w:rPr>
      </w:pPr>
      <w:bookmarkStart w:id="172" w:name="_Toc10954"/>
      <w:bookmarkStart w:id="173" w:name="_Toc46765062"/>
      <w:bookmarkStart w:id="174" w:name="_Toc27812"/>
      <w:bookmarkStart w:id="175" w:name="_Toc86124091"/>
      <w:r>
        <w:rPr>
          <w:rFonts w:ascii="Times New Roman" w:hAnsi="Times New Roman" w:eastAsia="黑体"/>
          <w:bCs w:val="0"/>
          <w:szCs w:val="20"/>
        </w:rPr>
        <w:t xml:space="preserve">第一部分   </w:t>
      </w:r>
      <w:r>
        <w:rPr>
          <w:rFonts w:hint="eastAsia" w:ascii="Times New Roman" w:hAnsi="Times New Roman" w:eastAsia="黑体"/>
          <w:bCs w:val="0"/>
          <w:szCs w:val="20"/>
        </w:rPr>
        <w:t>合同协议书</w:t>
      </w:r>
    </w:p>
    <w:p w14:paraId="55B2AE33">
      <w:pPr>
        <w:spacing w:before="156" w:beforeLines="50" w:after="156" w:afterLines="50" w:line="300" w:lineRule="auto"/>
        <w:rPr>
          <w:kern w:val="0"/>
          <w:sz w:val="28"/>
          <w:szCs w:val="20"/>
        </w:rPr>
      </w:pPr>
      <w:r>
        <w:rPr>
          <w:kern w:val="0"/>
          <w:sz w:val="28"/>
          <w:szCs w:val="20"/>
        </w:rPr>
        <w:t>甲方：</w:t>
      </w:r>
      <w:r>
        <w:rPr>
          <w:rFonts w:hint="eastAsia"/>
          <w:kern w:val="0"/>
          <w:sz w:val="28"/>
          <w:szCs w:val="20"/>
        </w:rPr>
        <w:t>云南中慧能源有限公司</w:t>
      </w:r>
    </w:p>
    <w:p w14:paraId="55B2AE34">
      <w:pPr>
        <w:spacing w:before="156" w:beforeLines="50" w:after="156" w:afterLines="50" w:line="300" w:lineRule="auto"/>
        <w:rPr>
          <w:kern w:val="0"/>
          <w:sz w:val="28"/>
          <w:szCs w:val="20"/>
        </w:rPr>
      </w:pPr>
      <w:r>
        <w:rPr>
          <w:kern w:val="0"/>
          <w:sz w:val="28"/>
          <w:szCs w:val="20"/>
        </w:rPr>
        <w:t>乙方：</w:t>
      </w:r>
    </w:p>
    <w:p w14:paraId="55B2AE35">
      <w:pPr>
        <w:widowControl/>
        <w:spacing w:line="360" w:lineRule="auto"/>
        <w:ind w:firstLine="480"/>
        <w:jc w:val="left"/>
        <w:rPr>
          <w:kern w:val="0"/>
          <w:szCs w:val="21"/>
        </w:rPr>
      </w:pPr>
      <w:r>
        <w:rPr>
          <w:rFonts w:hint="eastAsia"/>
          <w:kern w:val="0"/>
          <w:szCs w:val="21"/>
        </w:rPr>
        <w:t>根据《</w:t>
      </w:r>
      <w:r>
        <w:rPr>
          <w:rFonts w:hint="eastAsia"/>
          <w:kern w:val="0"/>
          <w:szCs w:val="21"/>
          <w:lang w:eastAsia="zh-CN"/>
        </w:rPr>
        <w:t>中华人民共和国民法典</w:t>
      </w:r>
      <w:r>
        <w:rPr>
          <w:rFonts w:hint="eastAsia"/>
          <w:kern w:val="0"/>
          <w:szCs w:val="21"/>
        </w:rPr>
        <w:t>》</w:t>
      </w:r>
      <w:r>
        <w:rPr>
          <w:kern w:val="0"/>
          <w:szCs w:val="21"/>
        </w:rPr>
        <w:t>等</w:t>
      </w:r>
      <w:r>
        <w:rPr>
          <w:rFonts w:hint="eastAsia"/>
          <w:kern w:val="0"/>
          <w:szCs w:val="21"/>
        </w:rPr>
        <w:t>有关法律规定，遵循平等、自愿、公平和诚实信用的原则，双方就红河文山输气管道流量计</w:t>
      </w:r>
      <w:r>
        <w:rPr>
          <w:kern w:val="0"/>
          <w:szCs w:val="21"/>
        </w:rPr>
        <w:t>采购及有关</w:t>
      </w:r>
      <w:r>
        <w:rPr>
          <w:rFonts w:hint="eastAsia"/>
          <w:kern w:val="0"/>
          <w:szCs w:val="21"/>
        </w:rPr>
        <w:t>事项协商一致</w:t>
      </w:r>
      <w:r>
        <w:rPr>
          <w:kern w:val="0"/>
          <w:szCs w:val="21"/>
        </w:rPr>
        <w:t>，</w:t>
      </w:r>
      <w:r>
        <w:rPr>
          <w:rFonts w:hint="eastAsia"/>
          <w:kern w:val="0"/>
          <w:szCs w:val="21"/>
        </w:rPr>
        <w:t>共同达成如下协议：</w:t>
      </w:r>
    </w:p>
    <w:p w14:paraId="55B2AE36">
      <w:pPr>
        <w:widowControl/>
        <w:snapToGrid w:val="0"/>
        <w:spacing w:line="360" w:lineRule="auto"/>
        <w:jc w:val="left"/>
        <w:rPr>
          <w:b/>
          <w:kern w:val="0"/>
          <w:szCs w:val="21"/>
        </w:rPr>
      </w:pPr>
      <w:bookmarkStart w:id="176" w:name="_Toc9498122"/>
      <w:bookmarkStart w:id="177" w:name="_Toc9498123"/>
      <w:r>
        <w:rPr>
          <w:b/>
          <w:kern w:val="0"/>
          <w:szCs w:val="21"/>
        </w:rPr>
        <w:t>一、词语</w:t>
      </w:r>
      <w:r>
        <w:rPr>
          <w:rFonts w:hint="eastAsia"/>
          <w:b/>
          <w:kern w:val="0"/>
          <w:szCs w:val="21"/>
        </w:rPr>
        <w:t>含义</w:t>
      </w:r>
      <w:bookmarkEnd w:id="176"/>
    </w:p>
    <w:p w14:paraId="55B2AE37">
      <w:pPr>
        <w:spacing w:line="360" w:lineRule="auto"/>
        <w:ind w:firstLine="420" w:firstLineChars="200"/>
        <w:rPr>
          <w:kern w:val="0"/>
          <w:szCs w:val="21"/>
        </w:rPr>
      </w:pPr>
      <w:r>
        <w:rPr>
          <w:kern w:val="0"/>
          <w:szCs w:val="21"/>
        </w:rPr>
        <w:t>本合同构成文件的词语含义与合同条款中赋予的含义相同。</w:t>
      </w:r>
    </w:p>
    <w:p w14:paraId="55B2AE38">
      <w:pPr>
        <w:widowControl/>
        <w:snapToGrid w:val="0"/>
        <w:spacing w:line="360" w:lineRule="auto"/>
        <w:jc w:val="left"/>
        <w:rPr>
          <w:b/>
          <w:kern w:val="0"/>
          <w:szCs w:val="21"/>
        </w:rPr>
      </w:pPr>
      <w:r>
        <w:rPr>
          <w:b/>
          <w:kern w:val="0"/>
          <w:szCs w:val="21"/>
        </w:rPr>
        <w:t>二、合同供货范围、性能指标及制造技术要求</w:t>
      </w:r>
      <w:bookmarkEnd w:id="177"/>
    </w:p>
    <w:p w14:paraId="55B2AE39">
      <w:pPr>
        <w:widowControl/>
        <w:snapToGrid w:val="0"/>
        <w:spacing w:line="360" w:lineRule="auto"/>
        <w:ind w:firstLine="420" w:firstLineChars="200"/>
        <w:jc w:val="left"/>
        <w:rPr>
          <w:kern w:val="0"/>
          <w:szCs w:val="21"/>
          <w:u w:val="single"/>
        </w:rPr>
      </w:pPr>
      <w:bookmarkStart w:id="178" w:name="_Toc9498124"/>
      <w:r>
        <w:rPr>
          <w:kern w:val="0"/>
          <w:szCs w:val="21"/>
          <w:u w:val="single"/>
        </w:rPr>
        <w:t xml:space="preserve">          （根据谈判文件、</w:t>
      </w:r>
      <w:r>
        <w:rPr>
          <w:rFonts w:hint="eastAsia"/>
          <w:kern w:val="0"/>
          <w:szCs w:val="21"/>
          <w:u w:val="single"/>
        </w:rPr>
        <w:t>成交</w:t>
      </w:r>
      <w:r>
        <w:rPr>
          <w:kern w:val="0"/>
          <w:szCs w:val="21"/>
          <w:u w:val="single"/>
        </w:rPr>
        <w:t xml:space="preserve">人响应文件及合同谈判内容确定）                         </w:t>
      </w:r>
    </w:p>
    <w:p w14:paraId="55B2AE3A">
      <w:pPr>
        <w:widowControl/>
        <w:snapToGrid w:val="0"/>
        <w:spacing w:line="360" w:lineRule="auto"/>
        <w:jc w:val="left"/>
        <w:rPr>
          <w:b/>
          <w:kern w:val="0"/>
          <w:szCs w:val="21"/>
        </w:rPr>
      </w:pPr>
      <w:r>
        <w:rPr>
          <w:b/>
          <w:kern w:val="0"/>
          <w:szCs w:val="21"/>
        </w:rPr>
        <w:t>三、合同总价</w:t>
      </w:r>
      <w:bookmarkEnd w:id="178"/>
      <w:r>
        <w:rPr>
          <w:b/>
          <w:kern w:val="0"/>
          <w:szCs w:val="21"/>
        </w:rPr>
        <w:t>及支付方式</w:t>
      </w:r>
    </w:p>
    <w:p w14:paraId="55B2AE3B">
      <w:pPr>
        <w:spacing w:line="360" w:lineRule="auto"/>
        <w:ind w:firstLine="420" w:firstLineChars="200"/>
        <w:rPr>
          <w:kern w:val="0"/>
          <w:szCs w:val="21"/>
        </w:rPr>
      </w:pPr>
      <w:r>
        <w:rPr>
          <w:kern w:val="0"/>
          <w:szCs w:val="21"/>
        </w:rPr>
        <w:t>1. 本合同含增值税固定含税总价为：（大写）人民币</w:t>
      </w:r>
      <w:r>
        <w:rPr>
          <w:kern w:val="0"/>
          <w:szCs w:val="21"/>
          <w:u w:val="single"/>
        </w:rPr>
        <w:t xml:space="preserve">    </w:t>
      </w:r>
      <w:r>
        <w:rPr>
          <w:kern w:val="0"/>
          <w:szCs w:val="21"/>
        </w:rPr>
        <w:t>元整，（小写）</w:t>
      </w:r>
      <w:r>
        <w:rPr>
          <w:kern w:val="0"/>
          <w:szCs w:val="21"/>
          <w:u w:val="single"/>
        </w:rPr>
        <w:t xml:space="preserve">¥   </w:t>
      </w:r>
      <w:r>
        <w:rPr>
          <w:kern w:val="0"/>
          <w:szCs w:val="21"/>
        </w:rPr>
        <w:t>元，增值税税率为：13%。分项价格详见下表：</w:t>
      </w: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617"/>
        <w:gridCol w:w="881"/>
        <w:gridCol w:w="1358"/>
        <w:gridCol w:w="727"/>
        <w:gridCol w:w="765"/>
        <w:gridCol w:w="1031"/>
        <w:gridCol w:w="1077"/>
        <w:gridCol w:w="1450"/>
      </w:tblGrid>
      <w:tr w14:paraId="55B2AE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00" w:type="dxa"/>
            <w:vAlign w:val="center"/>
          </w:tcPr>
          <w:p w14:paraId="55B2AE3C">
            <w:pPr>
              <w:tabs>
                <w:tab w:val="left" w:pos="5670"/>
                <w:tab w:val="left" w:pos="5880"/>
              </w:tabs>
              <w:overflowPunct w:val="0"/>
              <w:topLinePunct/>
              <w:jc w:val="center"/>
              <w:rPr>
                <w:szCs w:val="21"/>
              </w:rPr>
            </w:pPr>
            <w:r>
              <w:rPr>
                <w:szCs w:val="21"/>
              </w:rPr>
              <w:t>1</w:t>
            </w:r>
          </w:p>
        </w:tc>
        <w:tc>
          <w:tcPr>
            <w:tcW w:w="1617" w:type="dxa"/>
            <w:vAlign w:val="center"/>
          </w:tcPr>
          <w:p w14:paraId="55B2AE3D">
            <w:pPr>
              <w:tabs>
                <w:tab w:val="left" w:pos="5670"/>
                <w:tab w:val="left" w:pos="5880"/>
              </w:tabs>
              <w:overflowPunct w:val="0"/>
              <w:topLinePunct/>
              <w:jc w:val="center"/>
              <w:rPr>
                <w:szCs w:val="21"/>
              </w:rPr>
            </w:pPr>
            <w:r>
              <w:rPr>
                <w:szCs w:val="21"/>
              </w:rPr>
              <w:t>2</w:t>
            </w:r>
          </w:p>
        </w:tc>
        <w:tc>
          <w:tcPr>
            <w:tcW w:w="881" w:type="dxa"/>
            <w:vAlign w:val="center"/>
          </w:tcPr>
          <w:p w14:paraId="55B2AE3E">
            <w:pPr>
              <w:tabs>
                <w:tab w:val="left" w:pos="5670"/>
                <w:tab w:val="left" w:pos="5880"/>
              </w:tabs>
              <w:overflowPunct w:val="0"/>
              <w:topLinePunct/>
              <w:jc w:val="center"/>
              <w:rPr>
                <w:szCs w:val="21"/>
              </w:rPr>
            </w:pPr>
            <w:r>
              <w:rPr>
                <w:szCs w:val="21"/>
              </w:rPr>
              <w:t>3</w:t>
            </w:r>
          </w:p>
        </w:tc>
        <w:tc>
          <w:tcPr>
            <w:tcW w:w="1358" w:type="dxa"/>
            <w:vAlign w:val="center"/>
          </w:tcPr>
          <w:p w14:paraId="55B2AE3F">
            <w:pPr>
              <w:tabs>
                <w:tab w:val="left" w:pos="5670"/>
                <w:tab w:val="left" w:pos="5880"/>
              </w:tabs>
              <w:overflowPunct w:val="0"/>
              <w:topLinePunct/>
              <w:jc w:val="center"/>
              <w:rPr>
                <w:szCs w:val="21"/>
              </w:rPr>
            </w:pPr>
            <w:r>
              <w:rPr>
                <w:szCs w:val="21"/>
              </w:rPr>
              <w:t>4</w:t>
            </w:r>
          </w:p>
        </w:tc>
        <w:tc>
          <w:tcPr>
            <w:tcW w:w="727" w:type="dxa"/>
            <w:vAlign w:val="center"/>
          </w:tcPr>
          <w:p w14:paraId="55B2AE40">
            <w:pPr>
              <w:tabs>
                <w:tab w:val="left" w:pos="5670"/>
                <w:tab w:val="left" w:pos="5880"/>
              </w:tabs>
              <w:overflowPunct w:val="0"/>
              <w:topLinePunct/>
              <w:jc w:val="center"/>
              <w:rPr>
                <w:szCs w:val="21"/>
              </w:rPr>
            </w:pPr>
            <w:r>
              <w:rPr>
                <w:szCs w:val="21"/>
              </w:rPr>
              <w:t>5</w:t>
            </w:r>
          </w:p>
        </w:tc>
        <w:tc>
          <w:tcPr>
            <w:tcW w:w="765" w:type="dxa"/>
            <w:vAlign w:val="center"/>
          </w:tcPr>
          <w:p w14:paraId="55B2AE41">
            <w:pPr>
              <w:tabs>
                <w:tab w:val="left" w:pos="5670"/>
                <w:tab w:val="left" w:pos="5880"/>
              </w:tabs>
              <w:overflowPunct w:val="0"/>
              <w:topLinePunct/>
              <w:jc w:val="center"/>
              <w:rPr>
                <w:szCs w:val="21"/>
              </w:rPr>
            </w:pPr>
            <w:r>
              <w:rPr>
                <w:szCs w:val="21"/>
              </w:rPr>
              <w:t>6</w:t>
            </w:r>
          </w:p>
        </w:tc>
        <w:tc>
          <w:tcPr>
            <w:tcW w:w="1031" w:type="dxa"/>
            <w:vAlign w:val="center"/>
          </w:tcPr>
          <w:p w14:paraId="55B2AE42">
            <w:pPr>
              <w:tabs>
                <w:tab w:val="left" w:pos="5670"/>
                <w:tab w:val="left" w:pos="5880"/>
              </w:tabs>
              <w:overflowPunct w:val="0"/>
              <w:topLinePunct/>
              <w:jc w:val="center"/>
              <w:rPr>
                <w:szCs w:val="21"/>
              </w:rPr>
            </w:pPr>
            <w:r>
              <w:rPr>
                <w:szCs w:val="21"/>
              </w:rPr>
              <w:t>7</w:t>
            </w:r>
          </w:p>
        </w:tc>
        <w:tc>
          <w:tcPr>
            <w:tcW w:w="1077" w:type="dxa"/>
            <w:vAlign w:val="center"/>
          </w:tcPr>
          <w:p w14:paraId="55B2AE43">
            <w:pPr>
              <w:tabs>
                <w:tab w:val="left" w:pos="5670"/>
                <w:tab w:val="left" w:pos="5880"/>
              </w:tabs>
              <w:overflowPunct w:val="0"/>
              <w:topLinePunct/>
              <w:jc w:val="center"/>
              <w:rPr>
                <w:szCs w:val="21"/>
              </w:rPr>
            </w:pPr>
            <w:r>
              <w:rPr>
                <w:szCs w:val="21"/>
              </w:rPr>
              <w:t>8</w:t>
            </w:r>
          </w:p>
        </w:tc>
        <w:tc>
          <w:tcPr>
            <w:tcW w:w="1450" w:type="dxa"/>
            <w:vAlign w:val="center"/>
          </w:tcPr>
          <w:p w14:paraId="55B2AE44">
            <w:pPr>
              <w:tabs>
                <w:tab w:val="left" w:pos="5670"/>
                <w:tab w:val="left" w:pos="5880"/>
              </w:tabs>
              <w:overflowPunct w:val="0"/>
              <w:topLinePunct/>
              <w:jc w:val="center"/>
              <w:rPr>
                <w:szCs w:val="21"/>
              </w:rPr>
            </w:pPr>
            <w:r>
              <w:rPr>
                <w:szCs w:val="21"/>
              </w:rPr>
              <w:t>9</w:t>
            </w:r>
          </w:p>
        </w:tc>
      </w:tr>
      <w:tr w14:paraId="55B2AE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00" w:type="dxa"/>
            <w:vAlign w:val="center"/>
          </w:tcPr>
          <w:p w14:paraId="55B2AE46">
            <w:pPr>
              <w:tabs>
                <w:tab w:val="left" w:pos="5670"/>
                <w:tab w:val="left" w:pos="5880"/>
              </w:tabs>
              <w:overflowPunct w:val="0"/>
              <w:topLinePunct/>
              <w:jc w:val="center"/>
              <w:rPr>
                <w:szCs w:val="21"/>
              </w:rPr>
            </w:pPr>
            <w:r>
              <w:rPr>
                <w:szCs w:val="21"/>
              </w:rPr>
              <w:t>序号</w:t>
            </w:r>
          </w:p>
        </w:tc>
        <w:tc>
          <w:tcPr>
            <w:tcW w:w="1617" w:type="dxa"/>
            <w:vAlign w:val="center"/>
          </w:tcPr>
          <w:p w14:paraId="55B2AE47">
            <w:pPr>
              <w:tabs>
                <w:tab w:val="left" w:pos="5670"/>
                <w:tab w:val="left" w:pos="5880"/>
              </w:tabs>
              <w:overflowPunct w:val="0"/>
              <w:topLinePunct/>
              <w:jc w:val="center"/>
              <w:rPr>
                <w:szCs w:val="21"/>
              </w:rPr>
            </w:pPr>
            <w:r>
              <w:rPr>
                <w:szCs w:val="21"/>
              </w:rPr>
              <w:t>物资</w:t>
            </w:r>
          </w:p>
          <w:p w14:paraId="55B2AE48">
            <w:pPr>
              <w:tabs>
                <w:tab w:val="left" w:pos="5670"/>
                <w:tab w:val="left" w:pos="5880"/>
              </w:tabs>
              <w:overflowPunct w:val="0"/>
              <w:topLinePunct/>
              <w:jc w:val="center"/>
              <w:rPr>
                <w:szCs w:val="21"/>
              </w:rPr>
            </w:pPr>
            <w:r>
              <w:rPr>
                <w:szCs w:val="21"/>
              </w:rPr>
              <w:t>名称</w:t>
            </w:r>
          </w:p>
        </w:tc>
        <w:tc>
          <w:tcPr>
            <w:tcW w:w="881" w:type="dxa"/>
            <w:vAlign w:val="center"/>
          </w:tcPr>
          <w:p w14:paraId="55B2AE49">
            <w:pPr>
              <w:tabs>
                <w:tab w:val="left" w:pos="5670"/>
                <w:tab w:val="left" w:pos="5880"/>
              </w:tabs>
              <w:overflowPunct w:val="0"/>
              <w:topLinePunct/>
              <w:jc w:val="center"/>
              <w:rPr>
                <w:szCs w:val="21"/>
              </w:rPr>
            </w:pPr>
            <w:r>
              <w:rPr>
                <w:szCs w:val="21"/>
              </w:rPr>
              <w:t>规格</w:t>
            </w:r>
          </w:p>
          <w:p w14:paraId="55B2AE4A">
            <w:pPr>
              <w:tabs>
                <w:tab w:val="left" w:pos="5670"/>
                <w:tab w:val="left" w:pos="5880"/>
              </w:tabs>
              <w:overflowPunct w:val="0"/>
              <w:topLinePunct/>
              <w:jc w:val="center"/>
              <w:rPr>
                <w:szCs w:val="21"/>
              </w:rPr>
            </w:pPr>
            <w:r>
              <w:rPr>
                <w:szCs w:val="21"/>
              </w:rPr>
              <w:t>型号</w:t>
            </w:r>
          </w:p>
        </w:tc>
        <w:tc>
          <w:tcPr>
            <w:tcW w:w="1358" w:type="dxa"/>
            <w:vAlign w:val="center"/>
          </w:tcPr>
          <w:p w14:paraId="55B2AE4B">
            <w:pPr>
              <w:tabs>
                <w:tab w:val="left" w:pos="5670"/>
                <w:tab w:val="left" w:pos="5880"/>
              </w:tabs>
              <w:overflowPunct w:val="0"/>
              <w:topLinePunct/>
              <w:jc w:val="center"/>
              <w:rPr>
                <w:szCs w:val="21"/>
              </w:rPr>
            </w:pPr>
            <w:r>
              <w:rPr>
                <w:szCs w:val="21"/>
              </w:rPr>
              <w:t>生产商</w:t>
            </w:r>
          </w:p>
          <w:p w14:paraId="55B2AE4C">
            <w:pPr>
              <w:tabs>
                <w:tab w:val="left" w:pos="5670"/>
                <w:tab w:val="left" w:pos="5880"/>
              </w:tabs>
              <w:overflowPunct w:val="0"/>
              <w:topLinePunct/>
              <w:jc w:val="center"/>
              <w:rPr>
                <w:szCs w:val="21"/>
              </w:rPr>
            </w:pPr>
            <w:r>
              <w:rPr>
                <w:szCs w:val="21"/>
              </w:rPr>
              <w:t>名称</w:t>
            </w:r>
          </w:p>
        </w:tc>
        <w:tc>
          <w:tcPr>
            <w:tcW w:w="727" w:type="dxa"/>
            <w:vAlign w:val="center"/>
          </w:tcPr>
          <w:p w14:paraId="55B2AE4D">
            <w:pPr>
              <w:tabs>
                <w:tab w:val="left" w:pos="5670"/>
                <w:tab w:val="left" w:pos="5880"/>
              </w:tabs>
              <w:overflowPunct w:val="0"/>
              <w:topLinePunct/>
              <w:jc w:val="center"/>
              <w:rPr>
                <w:szCs w:val="21"/>
              </w:rPr>
            </w:pPr>
            <w:r>
              <w:rPr>
                <w:szCs w:val="21"/>
              </w:rPr>
              <w:t>单位</w:t>
            </w:r>
          </w:p>
        </w:tc>
        <w:tc>
          <w:tcPr>
            <w:tcW w:w="765" w:type="dxa"/>
            <w:vAlign w:val="center"/>
          </w:tcPr>
          <w:p w14:paraId="55B2AE4E">
            <w:pPr>
              <w:tabs>
                <w:tab w:val="left" w:pos="5670"/>
                <w:tab w:val="left" w:pos="5880"/>
              </w:tabs>
              <w:overflowPunct w:val="0"/>
              <w:topLinePunct/>
              <w:jc w:val="center"/>
              <w:rPr>
                <w:szCs w:val="21"/>
              </w:rPr>
            </w:pPr>
            <w:r>
              <w:rPr>
                <w:szCs w:val="21"/>
              </w:rPr>
              <w:t>数量</w:t>
            </w:r>
          </w:p>
        </w:tc>
        <w:tc>
          <w:tcPr>
            <w:tcW w:w="1031" w:type="dxa"/>
            <w:vAlign w:val="center"/>
          </w:tcPr>
          <w:p w14:paraId="55B2AE4F">
            <w:pPr>
              <w:tabs>
                <w:tab w:val="left" w:pos="5670"/>
                <w:tab w:val="left" w:pos="5880"/>
              </w:tabs>
              <w:overflowPunct w:val="0"/>
              <w:topLinePunct/>
              <w:jc w:val="center"/>
              <w:rPr>
                <w:szCs w:val="21"/>
              </w:rPr>
            </w:pPr>
            <w:r>
              <w:rPr>
                <w:szCs w:val="21"/>
              </w:rPr>
              <w:t>单价（不含税）</w:t>
            </w:r>
          </w:p>
        </w:tc>
        <w:tc>
          <w:tcPr>
            <w:tcW w:w="1077" w:type="dxa"/>
            <w:vAlign w:val="center"/>
          </w:tcPr>
          <w:p w14:paraId="55B2AE50">
            <w:pPr>
              <w:tabs>
                <w:tab w:val="left" w:pos="5670"/>
                <w:tab w:val="left" w:pos="5880"/>
              </w:tabs>
              <w:overflowPunct w:val="0"/>
              <w:topLinePunct/>
              <w:jc w:val="center"/>
              <w:rPr>
                <w:szCs w:val="21"/>
              </w:rPr>
            </w:pPr>
            <w:r>
              <w:rPr>
                <w:szCs w:val="21"/>
              </w:rPr>
              <w:t>单价（含税）</w:t>
            </w:r>
          </w:p>
        </w:tc>
        <w:tc>
          <w:tcPr>
            <w:tcW w:w="1450" w:type="dxa"/>
            <w:vAlign w:val="center"/>
          </w:tcPr>
          <w:p w14:paraId="55B2AE51">
            <w:pPr>
              <w:tabs>
                <w:tab w:val="left" w:pos="5670"/>
                <w:tab w:val="left" w:pos="5880"/>
              </w:tabs>
              <w:overflowPunct w:val="0"/>
              <w:topLinePunct/>
              <w:jc w:val="center"/>
              <w:rPr>
                <w:szCs w:val="21"/>
              </w:rPr>
            </w:pPr>
            <w:r>
              <w:rPr>
                <w:szCs w:val="21"/>
              </w:rPr>
              <w:t>总价（含税）</w:t>
            </w:r>
          </w:p>
        </w:tc>
      </w:tr>
      <w:tr w14:paraId="55B2AE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00" w:type="dxa"/>
            <w:vAlign w:val="center"/>
          </w:tcPr>
          <w:p w14:paraId="55B2AE53">
            <w:pPr>
              <w:tabs>
                <w:tab w:val="left" w:pos="5670"/>
                <w:tab w:val="left" w:pos="5880"/>
              </w:tabs>
              <w:overflowPunct w:val="0"/>
              <w:topLinePunct/>
              <w:jc w:val="center"/>
              <w:rPr>
                <w:szCs w:val="21"/>
              </w:rPr>
            </w:pPr>
            <w:r>
              <w:rPr>
                <w:szCs w:val="21"/>
              </w:rPr>
              <w:t>1</w:t>
            </w:r>
          </w:p>
        </w:tc>
        <w:tc>
          <w:tcPr>
            <w:tcW w:w="1617" w:type="dxa"/>
            <w:vAlign w:val="center"/>
          </w:tcPr>
          <w:p w14:paraId="55B2AE54">
            <w:pPr>
              <w:tabs>
                <w:tab w:val="left" w:pos="5670"/>
                <w:tab w:val="left" w:pos="5880"/>
              </w:tabs>
              <w:overflowPunct w:val="0"/>
              <w:topLinePunct/>
              <w:jc w:val="center"/>
              <w:rPr>
                <w:szCs w:val="21"/>
              </w:rPr>
            </w:pPr>
            <w:r>
              <w:rPr>
                <w:rFonts w:hint="eastAsia"/>
                <w:szCs w:val="21"/>
              </w:rPr>
              <w:t>超声波流量计</w:t>
            </w:r>
          </w:p>
        </w:tc>
        <w:tc>
          <w:tcPr>
            <w:tcW w:w="881" w:type="dxa"/>
            <w:vAlign w:val="center"/>
          </w:tcPr>
          <w:p w14:paraId="55B2AE55">
            <w:pPr>
              <w:tabs>
                <w:tab w:val="left" w:pos="5670"/>
                <w:tab w:val="left" w:pos="5880"/>
              </w:tabs>
              <w:overflowPunct w:val="0"/>
              <w:topLinePunct/>
              <w:jc w:val="center"/>
              <w:rPr>
                <w:szCs w:val="21"/>
              </w:rPr>
            </w:pPr>
            <w:r>
              <w:rPr>
                <w:szCs w:val="21"/>
              </w:rPr>
              <w:t>DN150 CLASS6</w:t>
            </w:r>
            <w:r>
              <w:rPr>
                <w:rFonts w:hint="eastAsia"/>
                <w:szCs w:val="21"/>
              </w:rPr>
              <w:t>0</w:t>
            </w:r>
            <w:r>
              <w:rPr>
                <w:szCs w:val="21"/>
              </w:rPr>
              <w:t>0</w:t>
            </w:r>
          </w:p>
        </w:tc>
        <w:tc>
          <w:tcPr>
            <w:tcW w:w="1358" w:type="dxa"/>
            <w:vAlign w:val="center"/>
          </w:tcPr>
          <w:p w14:paraId="55B2AE56">
            <w:pPr>
              <w:tabs>
                <w:tab w:val="left" w:pos="5670"/>
                <w:tab w:val="left" w:pos="5880"/>
              </w:tabs>
              <w:overflowPunct w:val="0"/>
              <w:topLinePunct/>
              <w:jc w:val="center"/>
              <w:rPr>
                <w:szCs w:val="21"/>
              </w:rPr>
            </w:pPr>
          </w:p>
        </w:tc>
        <w:tc>
          <w:tcPr>
            <w:tcW w:w="727" w:type="dxa"/>
            <w:vAlign w:val="center"/>
          </w:tcPr>
          <w:p w14:paraId="55B2AE57">
            <w:pPr>
              <w:tabs>
                <w:tab w:val="left" w:pos="5670"/>
                <w:tab w:val="left" w:pos="5880"/>
              </w:tabs>
              <w:overflowPunct w:val="0"/>
              <w:topLinePunct/>
              <w:jc w:val="center"/>
              <w:rPr>
                <w:szCs w:val="21"/>
              </w:rPr>
            </w:pPr>
          </w:p>
        </w:tc>
        <w:tc>
          <w:tcPr>
            <w:tcW w:w="765" w:type="dxa"/>
            <w:vAlign w:val="center"/>
          </w:tcPr>
          <w:p w14:paraId="55B2AE58">
            <w:pPr>
              <w:tabs>
                <w:tab w:val="left" w:pos="5670"/>
                <w:tab w:val="left" w:pos="5880"/>
              </w:tabs>
              <w:overflowPunct w:val="0"/>
              <w:topLinePunct/>
              <w:jc w:val="center"/>
              <w:rPr>
                <w:szCs w:val="21"/>
              </w:rPr>
            </w:pPr>
          </w:p>
        </w:tc>
        <w:tc>
          <w:tcPr>
            <w:tcW w:w="1031" w:type="dxa"/>
            <w:vAlign w:val="center"/>
          </w:tcPr>
          <w:p w14:paraId="55B2AE59">
            <w:pPr>
              <w:tabs>
                <w:tab w:val="left" w:pos="5670"/>
                <w:tab w:val="left" w:pos="5880"/>
              </w:tabs>
              <w:overflowPunct w:val="0"/>
              <w:topLinePunct/>
              <w:jc w:val="center"/>
              <w:rPr>
                <w:szCs w:val="21"/>
              </w:rPr>
            </w:pPr>
          </w:p>
        </w:tc>
        <w:tc>
          <w:tcPr>
            <w:tcW w:w="1077" w:type="dxa"/>
            <w:vAlign w:val="center"/>
          </w:tcPr>
          <w:p w14:paraId="55B2AE5A">
            <w:pPr>
              <w:tabs>
                <w:tab w:val="left" w:pos="5670"/>
                <w:tab w:val="left" w:pos="5880"/>
              </w:tabs>
              <w:overflowPunct w:val="0"/>
              <w:topLinePunct/>
              <w:jc w:val="center"/>
              <w:rPr>
                <w:szCs w:val="21"/>
              </w:rPr>
            </w:pPr>
          </w:p>
        </w:tc>
        <w:tc>
          <w:tcPr>
            <w:tcW w:w="1450" w:type="dxa"/>
            <w:vAlign w:val="center"/>
          </w:tcPr>
          <w:p w14:paraId="55B2AE5B">
            <w:pPr>
              <w:tabs>
                <w:tab w:val="left" w:pos="5670"/>
                <w:tab w:val="left" w:pos="5880"/>
              </w:tabs>
              <w:overflowPunct w:val="0"/>
              <w:topLinePunct/>
              <w:jc w:val="center"/>
              <w:rPr>
                <w:szCs w:val="21"/>
              </w:rPr>
            </w:pPr>
          </w:p>
        </w:tc>
      </w:tr>
      <w:tr w14:paraId="55B2A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3098" w:type="dxa"/>
            <w:gridSpan w:val="3"/>
            <w:vAlign w:val="center"/>
          </w:tcPr>
          <w:p w14:paraId="55B2AE6F">
            <w:pPr>
              <w:tabs>
                <w:tab w:val="left" w:pos="5670"/>
                <w:tab w:val="left" w:pos="5880"/>
              </w:tabs>
              <w:overflowPunct w:val="0"/>
              <w:topLinePunct/>
              <w:rPr>
                <w:szCs w:val="21"/>
              </w:rPr>
            </w:pPr>
            <w:r>
              <w:rPr>
                <w:szCs w:val="21"/>
              </w:rPr>
              <w:t>货物</w:t>
            </w:r>
            <w:r>
              <w:rPr>
                <w:rFonts w:hint="eastAsia"/>
                <w:szCs w:val="21"/>
                <w:lang w:val="en-US" w:eastAsia="zh-CN"/>
              </w:rPr>
              <w:t>实流标定合格</w:t>
            </w:r>
            <w:r>
              <w:rPr>
                <w:szCs w:val="21"/>
              </w:rPr>
              <w:t>运抵现场总价（含13%增值税（若国家政策有变化，按新规定）执行，一票制）</w:t>
            </w:r>
          </w:p>
        </w:tc>
        <w:tc>
          <w:tcPr>
            <w:tcW w:w="6408" w:type="dxa"/>
            <w:gridSpan w:val="6"/>
            <w:vAlign w:val="center"/>
          </w:tcPr>
          <w:p w14:paraId="55B2AE70">
            <w:pPr>
              <w:tabs>
                <w:tab w:val="left" w:pos="5670"/>
                <w:tab w:val="left" w:pos="5880"/>
              </w:tabs>
              <w:overflowPunct w:val="0"/>
              <w:topLinePunct/>
              <w:rPr>
                <w:szCs w:val="21"/>
              </w:rPr>
            </w:pPr>
            <w:r>
              <w:rPr>
                <w:szCs w:val="21"/>
              </w:rPr>
              <w:t>小写：XXXXXXXX           大写：XXXXXXX</w:t>
            </w:r>
          </w:p>
        </w:tc>
      </w:tr>
    </w:tbl>
    <w:p w14:paraId="55B2AE72">
      <w:pPr>
        <w:numPr>
          <w:ilvl w:val="0"/>
          <w:numId w:val="3"/>
        </w:numPr>
        <w:spacing w:line="360" w:lineRule="auto"/>
        <w:ind w:firstLine="420" w:firstLineChars="200"/>
        <w:rPr>
          <w:kern w:val="0"/>
          <w:szCs w:val="21"/>
        </w:rPr>
      </w:pPr>
      <w:r>
        <w:rPr>
          <w:kern w:val="0"/>
          <w:szCs w:val="21"/>
        </w:rPr>
        <w:t>付款方式</w:t>
      </w:r>
      <w:bookmarkStart w:id="179" w:name="_Toc9498125"/>
      <w:r>
        <w:rPr>
          <w:kern w:val="0"/>
          <w:szCs w:val="21"/>
        </w:rPr>
        <w:t>：</w:t>
      </w:r>
    </w:p>
    <w:tbl>
      <w:tblPr>
        <w:tblStyle w:val="18"/>
        <w:tblW w:w="0" w:type="auto"/>
        <w:jc w:val="center"/>
        <w:tblLayout w:type="fixed"/>
        <w:tblCellMar>
          <w:top w:w="0" w:type="dxa"/>
          <w:left w:w="0" w:type="dxa"/>
          <w:bottom w:w="0" w:type="dxa"/>
          <w:right w:w="0" w:type="dxa"/>
        </w:tblCellMar>
      </w:tblPr>
      <w:tblGrid>
        <w:gridCol w:w="1235"/>
        <w:gridCol w:w="780"/>
        <w:gridCol w:w="717"/>
        <w:gridCol w:w="7122"/>
      </w:tblGrid>
      <w:tr w14:paraId="55B2AE77">
        <w:tblPrEx>
          <w:tblCellMar>
            <w:top w:w="0" w:type="dxa"/>
            <w:left w:w="0" w:type="dxa"/>
            <w:bottom w:w="0" w:type="dxa"/>
            <w:right w:w="0" w:type="dxa"/>
          </w:tblCellMar>
        </w:tblPrEx>
        <w:trPr>
          <w:trHeight w:val="380" w:hRule="atLeast"/>
          <w:jc w:val="center"/>
        </w:trPr>
        <w:tc>
          <w:tcPr>
            <w:tcW w:w="123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3">
            <w:pPr>
              <w:widowControl/>
              <w:jc w:val="center"/>
              <w:rPr>
                <w:sz w:val="18"/>
                <w:szCs w:val="18"/>
              </w:rPr>
            </w:pPr>
            <w:r>
              <w:rPr>
                <w:sz w:val="18"/>
                <w:szCs w:val="18"/>
              </w:rPr>
              <w:t>付费次序</w:t>
            </w:r>
          </w:p>
        </w:tc>
        <w:tc>
          <w:tcPr>
            <w:tcW w:w="78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4">
            <w:pPr>
              <w:widowControl/>
              <w:jc w:val="center"/>
              <w:rPr>
                <w:sz w:val="18"/>
                <w:szCs w:val="18"/>
              </w:rPr>
            </w:pPr>
            <w:r>
              <w:rPr>
                <w:sz w:val="18"/>
                <w:szCs w:val="18"/>
              </w:rPr>
              <w:t>付费额（万元）</w:t>
            </w:r>
          </w:p>
        </w:tc>
        <w:tc>
          <w:tcPr>
            <w:tcW w:w="7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5">
            <w:pPr>
              <w:widowControl/>
              <w:jc w:val="center"/>
              <w:rPr>
                <w:sz w:val="18"/>
                <w:szCs w:val="18"/>
              </w:rPr>
            </w:pPr>
            <w:r>
              <w:rPr>
                <w:sz w:val="18"/>
                <w:szCs w:val="18"/>
              </w:rPr>
              <w:t>总费用占比（%）</w:t>
            </w:r>
          </w:p>
        </w:tc>
        <w:tc>
          <w:tcPr>
            <w:tcW w:w="712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6">
            <w:pPr>
              <w:widowControl/>
              <w:jc w:val="center"/>
              <w:rPr>
                <w:sz w:val="18"/>
                <w:szCs w:val="18"/>
              </w:rPr>
            </w:pPr>
            <w:r>
              <w:rPr>
                <w:sz w:val="18"/>
                <w:szCs w:val="18"/>
              </w:rPr>
              <w:t>付费条件和时间</w:t>
            </w:r>
          </w:p>
        </w:tc>
      </w:tr>
      <w:tr w14:paraId="55B2AE7C">
        <w:tblPrEx>
          <w:tblCellMar>
            <w:top w:w="0" w:type="dxa"/>
            <w:left w:w="0" w:type="dxa"/>
            <w:bottom w:w="0" w:type="dxa"/>
            <w:right w:w="0" w:type="dxa"/>
          </w:tblCellMar>
        </w:tblPrEx>
        <w:trPr>
          <w:trHeight w:val="652" w:hRule="atLeast"/>
          <w:jc w:val="center"/>
        </w:trPr>
        <w:tc>
          <w:tcPr>
            <w:tcW w:w="123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8">
            <w:pPr>
              <w:widowControl/>
              <w:jc w:val="center"/>
              <w:rPr>
                <w:sz w:val="18"/>
                <w:szCs w:val="18"/>
              </w:rPr>
            </w:pPr>
            <w:r>
              <w:rPr>
                <w:color w:val="auto"/>
                <w:sz w:val="18"/>
                <w:szCs w:val="18"/>
              </w:rPr>
              <w:t>第一次付费</w:t>
            </w:r>
          </w:p>
        </w:tc>
        <w:tc>
          <w:tcPr>
            <w:tcW w:w="78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9">
            <w:pPr>
              <w:widowControl/>
              <w:spacing w:line="360" w:lineRule="auto"/>
              <w:jc w:val="center"/>
              <w:rPr>
                <w:sz w:val="18"/>
                <w:szCs w:val="18"/>
              </w:rPr>
            </w:pPr>
          </w:p>
        </w:tc>
        <w:tc>
          <w:tcPr>
            <w:tcW w:w="7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A">
            <w:pPr>
              <w:widowControl/>
              <w:spacing w:line="360" w:lineRule="auto"/>
              <w:jc w:val="center"/>
              <w:rPr>
                <w:sz w:val="18"/>
                <w:szCs w:val="18"/>
              </w:rPr>
            </w:pPr>
            <w:r>
              <w:rPr>
                <w:color w:val="auto"/>
                <w:sz w:val="18"/>
                <w:szCs w:val="18"/>
              </w:rPr>
              <w:t>30</w:t>
            </w:r>
          </w:p>
        </w:tc>
        <w:tc>
          <w:tcPr>
            <w:tcW w:w="712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B">
            <w:pPr>
              <w:widowControl/>
              <w:jc w:val="left"/>
              <w:rPr>
                <w:sz w:val="18"/>
                <w:szCs w:val="18"/>
              </w:rPr>
            </w:pPr>
            <w:r>
              <w:rPr>
                <w:color w:val="auto"/>
                <w:sz w:val="18"/>
                <w:szCs w:val="18"/>
              </w:rPr>
              <w:t>合同设备具备发货条件并经交货前检验合格后（以甲方发出的书面交货通知为准），同时甲方收到乙方合同等额收款收据后15个工作日内支付合同总价30％</w:t>
            </w:r>
          </w:p>
        </w:tc>
      </w:tr>
      <w:tr w14:paraId="55B2AE81">
        <w:tblPrEx>
          <w:tblCellMar>
            <w:top w:w="0" w:type="dxa"/>
            <w:left w:w="0" w:type="dxa"/>
            <w:bottom w:w="0" w:type="dxa"/>
            <w:right w:w="0" w:type="dxa"/>
          </w:tblCellMar>
        </w:tblPrEx>
        <w:trPr>
          <w:trHeight w:val="652" w:hRule="atLeast"/>
          <w:jc w:val="center"/>
        </w:trPr>
        <w:tc>
          <w:tcPr>
            <w:tcW w:w="123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D">
            <w:pPr>
              <w:widowControl/>
              <w:jc w:val="center"/>
              <w:rPr>
                <w:sz w:val="18"/>
                <w:szCs w:val="18"/>
              </w:rPr>
            </w:pPr>
            <w:r>
              <w:rPr>
                <w:color w:val="auto"/>
                <w:sz w:val="18"/>
                <w:szCs w:val="18"/>
              </w:rPr>
              <w:t>第二次付费</w:t>
            </w:r>
          </w:p>
        </w:tc>
        <w:tc>
          <w:tcPr>
            <w:tcW w:w="78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E">
            <w:pPr>
              <w:widowControl/>
              <w:spacing w:line="360" w:lineRule="auto"/>
              <w:jc w:val="center"/>
              <w:rPr>
                <w:sz w:val="18"/>
                <w:szCs w:val="18"/>
              </w:rPr>
            </w:pPr>
          </w:p>
        </w:tc>
        <w:tc>
          <w:tcPr>
            <w:tcW w:w="7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7F">
            <w:pPr>
              <w:widowControl/>
              <w:spacing w:line="360" w:lineRule="auto"/>
              <w:jc w:val="center"/>
              <w:rPr>
                <w:sz w:val="18"/>
                <w:szCs w:val="18"/>
              </w:rPr>
            </w:pPr>
            <w:r>
              <w:rPr>
                <w:rFonts w:hint="eastAsia"/>
                <w:color w:val="auto"/>
                <w:sz w:val="18"/>
                <w:szCs w:val="18"/>
                <w:lang w:val="en-US" w:eastAsia="zh-CN"/>
              </w:rPr>
              <w:t>65</w:t>
            </w:r>
          </w:p>
        </w:tc>
        <w:tc>
          <w:tcPr>
            <w:tcW w:w="712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80">
            <w:pPr>
              <w:widowControl/>
              <w:jc w:val="left"/>
              <w:rPr>
                <w:sz w:val="18"/>
                <w:szCs w:val="18"/>
              </w:rPr>
            </w:pPr>
            <w:r>
              <w:rPr>
                <w:color w:val="auto"/>
                <w:sz w:val="18"/>
                <w:szCs w:val="18"/>
              </w:rPr>
              <w:t>合同设备到货开箱验收合格，经安装调试、性能考核合格后，甲方在收到乙方提交的甲乙双方签署的合同设备调试、性能考核合格证明文件及全额增值税专用发票后15个工作日内支付合同总价的</w:t>
            </w:r>
            <w:r>
              <w:rPr>
                <w:rFonts w:hint="eastAsia"/>
                <w:color w:val="auto"/>
                <w:sz w:val="18"/>
                <w:szCs w:val="18"/>
                <w:lang w:val="en-US" w:eastAsia="zh-CN"/>
              </w:rPr>
              <w:t>65</w:t>
            </w:r>
            <w:r>
              <w:rPr>
                <w:color w:val="auto"/>
                <w:sz w:val="18"/>
                <w:szCs w:val="18"/>
              </w:rPr>
              <w:t>％。</w:t>
            </w:r>
          </w:p>
        </w:tc>
      </w:tr>
      <w:tr w14:paraId="55B2AE86">
        <w:tblPrEx>
          <w:tblCellMar>
            <w:top w:w="0" w:type="dxa"/>
            <w:left w:w="0" w:type="dxa"/>
            <w:bottom w:w="0" w:type="dxa"/>
            <w:right w:w="0" w:type="dxa"/>
          </w:tblCellMar>
        </w:tblPrEx>
        <w:trPr>
          <w:trHeight w:val="652" w:hRule="atLeast"/>
          <w:jc w:val="center"/>
        </w:trPr>
        <w:tc>
          <w:tcPr>
            <w:tcW w:w="123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82">
            <w:pPr>
              <w:widowControl/>
              <w:jc w:val="center"/>
              <w:rPr>
                <w:sz w:val="18"/>
                <w:szCs w:val="18"/>
              </w:rPr>
            </w:pPr>
            <w:r>
              <w:rPr>
                <w:color w:val="auto"/>
                <w:sz w:val="18"/>
                <w:szCs w:val="18"/>
              </w:rPr>
              <w:t>第三次付费</w:t>
            </w:r>
          </w:p>
        </w:tc>
        <w:tc>
          <w:tcPr>
            <w:tcW w:w="78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83">
            <w:pPr>
              <w:widowControl/>
              <w:spacing w:line="360" w:lineRule="auto"/>
              <w:jc w:val="center"/>
              <w:rPr>
                <w:sz w:val="18"/>
                <w:szCs w:val="18"/>
              </w:rPr>
            </w:pPr>
          </w:p>
        </w:tc>
        <w:tc>
          <w:tcPr>
            <w:tcW w:w="717"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84">
            <w:pPr>
              <w:widowControl/>
              <w:spacing w:line="360" w:lineRule="auto"/>
              <w:jc w:val="center"/>
              <w:rPr>
                <w:sz w:val="18"/>
                <w:szCs w:val="18"/>
              </w:rPr>
            </w:pPr>
            <w:r>
              <w:rPr>
                <w:rFonts w:hint="eastAsia"/>
                <w:color w:val="auto"/>
                <w:sz w:val="18"/>
                <w:szCs w:val="18"/>
                <w:lang w:val="en-US" w:eastAsia="zh-CN"/>
              </w:rPr>
              <w:t>5</w:t>
            </w:r>
          </w:p>
        </w:tc>
        <w:tc>
          <w:tcPr>
            <w:tcW w:w="7122"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E85">
            <w:pPr>
              <w:widowControl/>
              <w:jc w:val="left"/>
              <w:rPr>
                <w:sz w:val="18"/>
                <w:szCs w:val="18"/>
              </w:rPr>
            </w:pPr>
            <w:r>
              <w:rPr>
                <w:color w:val="auto"/>
                <w:sz w:val="18"/>
                <w:szCs w:val="18"/>
              </w:rPr>
              <w:t>质量保证期为设备性能考核合格后12个月，质保期内若合同设备无质量问题则质保期满后30个工作日内支付合同总价</w:t>
            </w:r>
            <w:r>
              <w:rPr>
                <w:rFonts w:hint="eastAsia"/>
                <w:color w:val="auto"/>
                <w:sz w:val="18"/>
                <w:szCs w:val="18"/>
                <w:lang w:val="en-US" w:eastAsia="zh-CN"/>
              </w:rPr>
              <w:t>5</w:t>
            </w:r>
            <w:r>
              <w:rPr>
                <w:color w:val="auto"/>
                <w:sz w:val="18"/>
                <w:szCs w:val="18"/>
              </w:rPr>
              <w:t>%。</w:t>
            </w:r>
          </w:p>
        </w:tc>
      </w:tr>
    </w:tbl>
    <w:p w14:paraId="55B2AE8C">
      <w:pPr>
        <w:spacing w:line="300" w:lineRule="auto"/>
        <w:ind w:firstLine="420" w:firstLineChars="200"/>
        <w:rPr>
          <w:kern w:val="0"/>
          <w:szCs w:val="21"/>
        </w:rPr>
      </w:pPr>
      <w:r>
        <w:rPr>
          <w:rFonts w:hint="eastAsia"/>
          <w:kern w:val="0"/>
          <w:szCs w:val="21"/>
          <w:lang w:eastAsia="zh-CN"/>
        </w:rPr>
        <w:t>1.</w:t>
      </w:r>
      <w:r>
        <w:rPr>
          <w:kern w:val="0"/>
          <w:szCs w:val="21"/>
        </w:rPr>
        <w:t>乙方开户银行及账号信息（基本户）：</w:t>
      </w:r>
    </w:p>
    <w:p w14:paraId="55B2AE8D">
      <w:pPr>
        <w:spacing w:line="300" w:lineRule="auto"/>
        <w:ind w:firstLine="420" w:firstLineChars="200"/>
        <w:rPr>
          <w:kern w:val="0"/>
          <w:szCs w:val="21"/>
        </w:rPr>
      </w:pPr>
      <w:r>
        <w:rPr>
          <w:kern w:val="0"/>
          <w:szCs w:val="21"/>
        </w:rPr>
        <w:t>开户名称：</w:t>
      </w:r>
    </w:p>
    <w:p w14:paraId="55B2AE8E">
      <w:pPr>
        <w:spacing w:line="300" w:lineRule="auto"/>
        <w:ind w:firstLine="420" w:firstLineChars="200"/>
        <w:rPr>
          <w:kern w:val="0"/>
          <w:szCs w:val="21"/>
        </w:rPr>
      </w:pPr>
      <w:r>
        <w:rPr>
          <w:kern w:val="0"/>
          <w:szCs w:val="21"/>
        </w:rPr>
        <w:t>开户银行：</w:t>
      </w:r>
    </w:p>
    <w:p w14:paraId="55B2AE8F">
      <w:pPr>
        <w:spacing w:line="300" w:lineRule="auto"/>
        <w:ind w:firstLine="420" w:firstLineChars="200"/>
        <w:rPr>
          <w:kern w:val="0"/>
          <w:szCs w:val="21"/>
        </w:rPr>
      </w:pPr>
      <w:r>
        <w:rPr>
          <w:kern w:val="0"/>
          <w:szCs w:val="21"/>
        </w:rPr>
        <w:t>开户行行号：</w:t>
      </w:r>
    </w:p>
    <w:p w14:paraId="55B2AE90">
      <w:pPr>
        <w:spacing w:line="300" w:lineRule="auto"/>
        <w:ind w:firstLine="420" w:firstLineChars="200"/>
        <w:rPr>
          <w:kern w:val="0"/>
          <w:szCs w:val="21"/>
        </w:rPr>
      </w:pPr>
      <w:r>
        <w:rPr>
          <w:kern w:val="0"/>
          <w:szCs w:val="21"/>
        </w:rPr>
        <w:t>银行账号：</w:t>
      </w:r>
    </w:p>
    <w:p w14:paraId="55B2AE91">
      <w:pPr>
        <w:spacing w:line="300" w:lineRule="auto"/>
        <w:ind w:firstLine="420" w:firstLineChars="200"/>
        <w:rPr>
          <w:kern w:val="0"/>
          <w:szCs w:val="21"/>
        </w:rPr>
      </w:pPr>
      <w:r>
        <w:rPr>
          <w:kern w:val="0"/>
          <w:szCs w:val="21"/>
        </w:rPr>
        <w:t>乙方确认本合同所列指定收款账户信息真实、准确、有效。若乙方收款账户信息进行变更，应当在变更当日内通过书面方式告知甲方，并经甲方书面同意。因乙方收款账户信息错误或变更后未及时告知，导致甲方未能依约支付的，因此产生的损失及责任均由乙方自行承担。乙方确认：此种情形下甲方不构成违约，甲方有权暂缓支付任何款项。若甲方已支付至乙方提供的错误账户的，则视为甲方已依约完成本合同项下的全部付款义务，乙方不得据此再向甲方主张任何权利；若由此造成甲方损失的，乙方需承担赔偿责任。</w:t>
      </w:r>
    </w:p>
    <w:p w14:paraId="55B2AE92">
      <w:pPr>
        <w:spacing w:line="300" w:lineRule="auto"/>
        <w:ind w:firstLine="420" w:firstLineChars="200"/>
        <w:rPr>
          <w:kern w:val="0"/>
          <w:szCs w:val="21"/>
        </w:rPr>
      </w:pPr>
      <w:r>
        <w:rPr>
          <w:rFonts w:hint="eastAsia"/>
          <w:kern w:val="0"/>
          <w:szCs w:val="21"/>
          <w:lang w:eastAsia="zh-CN"/>
        </w:rPr>
        <w:t>2.</w:t>
      </w:r>
      <w:r>
        <w:rPr>
          <w:kern w:val="0"/>
          <w:szCs w:val="21"/>
        </w:rPr>
        <w:t>甲方支付相应合同款项前，乙方须提供相应的增值税专用发票。甲方在未收到增值税专用发票前，或乙方所开具发票不符合甲方要求的，甲方有权暂不支付相应款项（或下一期款项），且甲方不承担任何违约责任。</w:t>
      </w:r>
    </w:p>
    <w:p w14:paraId="55B2AE93">
      <w:pPr>
        <w:spacing w:line="300" w:lineRule="auto"/>
        <w:ind w:firstLine="420" w:firstLineChars="200"/>
        <w:rPr>
          <w:kern w:val="0"/>
          <w:szCs w:val="21"/>
        </w:rPr>
      </w:pPr>
      <w:r>
        <w:rPr>
          <w:rFonts w:hint="eastAsia"/>
          <w:kern w:val="0"/>
          <w:szCs w:val="21"/>
          <w:lang w:eastAsia="zh-CN"/>
        </w:rPr>
        <w:t>3.</w:t>
      </w:r>
      <w:r>
        <w:rPr>
          <w:kern w:val="0"/>
          <w:szCs w:val="21"/>
        </w:rPr>
        <w:t>若本合同在执行过程中国家税收政策发生变化，导致乙方开具增值税专用发票税率发生变化或乙方开具的发票税率低于合同约定税率的，则本合同不含税总价款保持不变，根据乙方开具的发票税率据实调整合同总价款。</w:t>
      </w:r>
    </w:p>
    <w:p w14:paraId="55B2AE94">
      <w:pPr>
        <w:widowControl/>
        <w:snapToGrid w:val="0"/>
        <w:spacing w:line="360" w:lineRule="auto"/>
        <w:jc w:val="left"/>
        <w:rPr>
          <w:b/>
          <w:kern w:val="0"/>
          <w:szCs w:val="21"/>
        </w:rPr>
      </w:pPr>
      <w:r>
        <w:rPr>
          <w:b/>
          <w:kern w:val="0"/>
          <w:szCs w:val="21"/>
        </w:rPr>
        <w:t>四、设备设计、制造、交货周期</w:t>
      </w:r>
      <w:bookmarkEnd w:id="179"/>
    </w:p>
    <w:p w14:paraId="55B2AE95">
      <w:pPr>
        <w:widowControl/>
        <w:snapToGrid w:val="0"/>
        <w:spacing w:line="360" w:lineRule="auto"/>
        <w:ind w:firstLine="420" w:firstLineChars="200"/>
        <w:jc w:val="left"/>
        <w:rPr>
          <w:kern w:val="0"/>
          <w:szCs w:val="21"/>
        </w:rPr>
      </w:pPr>
      <w:r>
        <w:rPr>
          <w:kern w:val="0"/>
          <w:szCs w:val="21"/>
          <w:u w:val="single"/>
        </w:rPr>
        <w:t>（根据谈判文件、</w:t>
      </w:r>
      <w:r>
        <w:rPr>
          <w:rFonts w:hint="eastAsia"/>
          <w:kern w:val="0"/>
          <w:szCs w:val="21"/>
          <w:u w:val="single"/>
        </w:rPr>
        <w:t>成交</w:t>
      </w:r>
      <w:r>
        <w:rPr>
          <w:kern w:val="0"/>
          <w:szCs w:val="21"/>
          <w:u w:val="single"/>
        </w:rPr>
        <w:t>人响应文件及合同谈判内容确定）</w:t>
      </w:r>
      <w:r>
        <w:rPr>
          <w:kern w:val="0"/>
          <w:szCs w:val="21"/>
        </w:rPr>
        <w:t>。</w:t>
      </w:r>
    </w:p>
    <w:p w14:paraId="55B2AE96">
      <w:pPr>
        <w:tabs>
          <w:tab w:val="center" w:pos="5099"/>
        </w:tabs>
        <w:spacing w:line="560" w:lineRule="exact"/>
        <w:rPr>
          <w:b/>
          <w:kern w:val="0"/>
          <w:szCs w:val="21"/>
        </w:rPr>
      </w:pPr>
      <w:bookmarkStart w:id="180" w:name="_Toc9498126"/>
      <w:r>
        <w:rPr>
          <w:b/>
          <w:kern w:val="0"/>
          <w:szCs w:val="21"/>
        </w:rPr>
        <w:t>五、合同文件构成</w:t>
      </w:r>
      <w:bookmarkEnd w:id="180"/>
    </w:p>
    <w:p w14:paraId="55B2AE97">
      <w:pPr>
        <w:spacing w:line="300" w:lineRule="auto"/>
        <w:ind w:firstLine="420" w:firstLineChars="200"/>
        <w:rPr>
          <w:kern w:val="0"/>
          <w:szCs w:val="21"/>
        </w:rPr>
      </w:pPr>
      <w:r>
        <w:rPr>
          <w:kern w:val="0"/>
          <w:szCs w:val="21"/>
        </w:rPr>
        <w:t>下列文件一起构成合同文件：</w:t>
      </w:r>
    </w:p>
    <w:p w14:paraId="55B2AE98">
      <w:pPr>
        <w:spacing w:line="300" w:lineRule="auto"/>
        <w:ind w:firstLine="420" w:firstLineChars="200"/>
        <w:rPr>
          <w:kern w:val="0"/>
          <w:szCs w:val="21"/>
        </w:rPr>
      </w:pPr>
      <w:bookmarkStart w:id="181" w:name="_Toc9498127"/>
      <w:r>
        <w:rPr>
          <w:kern w:val="0"/>
          <w:szCs w:val="21"/>
        </w:rPr>
        <w:t>（1）合同补充协议及其附件；</w:t>
      </w:r>
    </w:p>
    <w:p w14:paraId="55B2AE99">
      <w:pPr>
        <w:spacing w:line="300" w:lineRule="auto"/>
        <w:ind w:firstLine="420" w:firstLineChars="200"/>
        <w:rPr>
          <w:kern w:val="0"/>
          <w:szCs w:val="21"/>
        </w:rPr>
      </w:pPr>
      <w:r>
        <w:rPr>
          <w:kern w:val="0"/>
          <w:szCs w:val="21"/>
        </w:rPr>
        <w:t>（2）成交通知书；</w:t>
      </w:r>
    </w:p>
    <w:p w14:paraId="55B2AE9A">
      <w:pPr>
        <w:spacing w:line="300" w:lineRule="auto"/>
        <w:ind w:firstLine="420" w:firstLineChars="200"/>
        <w:rPr>
          <w:kern w:val="0"/>
          <w:szCs w:val="21"/>
        </w:rPr>
      </w:pPr>
      <w:r>
        <w:rPr>
          <w:kern w:val="0"/>
          <w:szCs w:val="21"/>
        </w:rPr>
        <w:t>（3）合同协议书；</w:t>
      </w:r>
    </w:p>
    <w:p w14:paraId="55B2AE9B">
      <w:pPr>
        <w:spacing w:line="300" w:lineRule="auto"/>
        <w:ind w:firstLine="420" w:firstLineChars="200"/>
        <w:rPr>
          <w:kern w:val="0"/>
          <w:szCs w:val="21"/>
        </w:rPr>
      </w:pPr>
      <w:r>
        <w:rPr>
          <w:kern w:val="0"/>
          <w:szCs w:val="21"/>
        </w:rPr>
        <w:t>（4）供货及技术要求；</w:t>
      </w:r>
    </w:p>
    <w:p w14:paraId="55B2AE9C">
      <w:pPr>
        <w:spacing w:line="300" w:lineRule="auto"/>
        <w:ind w:firstLine="420" w:firstLineChars="200"/>
        <w:rPr>
          <w:kern w:val="0"/>
          <w:szCs w:val="21"/>
        </w:rPr>
      </w:pPr>
      <w:r>
        <w:rPr>
          <w:kern w:val="0"/>
          <w:szCs w:val="21"/>
        </w:rPr>
        <w:t>（5）合同条款；</w:t>
      </w:r>
    </w:p>
    <w:p w14:paraId="55B2AE9D">
      <w:pPr>
        <w:spacing w:line="300" w:lineRule="auto"/>
        <w:ind w:firstLine="420" w:firstLineChars="200"/>
        <w:rPr>
          <w:kern w:val="0"/>
          <w:szCs w:val="21"/>
        </w:rPr>
      </w:pPr>
      <w:r>
        <w:rPr>
          <w:kern w:val="0"/>
          <w:szCs w:val="21"/>
        </w:rPr>
        <w:t>（6）响应文件、补充文件及其附件；</w:t>
      </w:r>
    </w:p>
    <w:p w14:paraId="55B2AE9E">
      <w:pPr>
        <w:spacing w:line="300" w:lineRule="auto"/>
        <w:ind w:firstLine="420" w:firstLineChars="200"/>
        <w:rPr>
          <w:kern w:val="0"/>
          <w:szCs w:val="21"/>
        </w:rPr>
      </w:pPr>
      <w:r>
        <w:rPr>
          <w:kern w:val="0"/>
          <w:szCs w:val="21"/>
        </w:rPr>
        <w:t>（7）谈判文件、补充文件及其附件；</w:t>
      </w:r>
    </w:p>
    <w:p w14:paraId="55B2AE9F">
      <w:pPr>
        <w:spacing w:line="300" w:lineRule="auto"/>
        <w:ind w:firstLine="420" w:firstLineChars="200"/>
        <w:rPr>
          <w:kern w:val="0"/>
          <w:szCs w:val="21"/>
        </w:rPr>
      </w:pPr>
      <w:r>
        <w:rPr>
          <w:kern w:val="0"/>
          <w:szCs w:val="21"/>
        </w:rPr>
        <w:t>（8）保密协议；</w:t>
      </w:r>
    </w:p>
    <w:p w14:paraId="55B2AEA0">
      <w:pPr>
        <w:spacing w:line="300" w:lineRule="auto"/>
        <w:ind w:firstLine="420" w:firstLineChars="200"/>
        <w:rPr>
          <w:kern w:val="0"/>
          <w:szCs w:val="21"/>
        </w:rPr>
      </w:pPr>
      <w:r>
        <w:rPr>
          <w:kern w:val="0"/>
          <w:szCs w:val="21"/>
        </w:rPr>
        <w:t>（9）廉政合同；</w:t>
      </w:r>
    </w:p>
    <w:p w14:paraId="55B2AEA1">
      <w:pPr>
        <w:spacing w:line="300" w:lineRule="auto"/>
        <w:ind w:firstLine="420" w:firstLineChars="200"/>
        <w:rPr>
          <w:kern w:val="0"/>
          <w:szCs w:val="21"/>
        </w:rPr>
      </w:pPr>
      <w:r>
        <w:rPr>
          <w:kern w:val="0"/>
          <w:szCs w:val="21"/>
        </w:rPr>
        <w:t>（10）</w:t>
      </w:r>
      <w:r>
        <w:rPr>
          <w:rFonts w:hint="eastAsia"/>
          <w:kern w:val="0"/>
          <w:szCs w:val="21"/>
          <w:lang w:eastAsia="zh-CN"/>
        </w:rPr>
        <w:t>其他</w:t>
      </w:r>
      <w:r>
        <w:rPr>
          <w:kern w:val="0"/>
          <w:szCs w:val="21"/>
        </w:rPr>
        <w:t>本合同构成文件；</w:t>
      </w:r>
    </w:p>
    <w:p w14:paraId="55B2AEA2">
      <w:pPr>
        <w:spacing w:line="300" w:lineRule="auto"/>
        <w:ind w:firstLine="420" w:firstLineChars="200"/>
        <w:rPr>
          <w:kern w:val="0"/>
          <w:szCs w:val="21"/>
        </w:rPr>
      </w:pPr>
      <w:r>
        <w:rPr>
          <w:kern w:val="0"/>
          <w:szCs w:val="21"/>
        </w:rPr>
        <w:t>在合同履行过程中形成的与合同有关的文件均构成合同文件组成部分，上述文件将相互补充，若有不明确或不一致处，以上述排序在前者为准。</w:t>
      </w:r>
    </w:p>
    <w:p w14:paraId="55B2AEA3">
      <w:pPr>
        <w:spacing w:line="300" w:lineRule="auto"/>
        <w:ind w:firstLine="420" w:firstLineChars="200"/>
        <w:rPr>
          <w:kern w:val="0"/>
          <w:szCs w:val="21"/>
        </w:rPr>
      </w:pPr>
      <w:r>
        <w:rPr>
          <w:kern w:val="0"/>
          <w:szCs w:val="21"/>
        </w:rPr>
        <w:t>上述各项合同文件包括合同当事人就该项合同文件所作出的补充和修改，属于同一类内容的文件，应以最新签署的为先。</w:t>
      </w:r>
    </w:p>
    <w:p w14:paraId="55B2AEA4">
      <w:pPr>
        <w:tabs>
          <w:tab w:val="center" w:pos="5099"/>
        </w:tabs>
        <w:spacing w:line="560" w:lineRule="exact"/>
        <w:rPr>
          <w:b/>
          <w:kern w:val="0"/>
          <w:szCs w:val="21"/>
        </w:rPr>
      </w:pPr>
      <w:r>
        <w:rPr>
          <w:b/>
          <w:kern w:val="0"/>
          <w:szCs w:val="21"/>
        </w:rPr>
        <w:t>六、交货及验收</w:t>
      </w:r>
      <w:bookmarkEnd w:id="181"/>
    </w:p>
    <w:p w14:paraId="55B2AEA5">
      <w:pPr>
        <w:spacing w:line="360" w:lineRule="auto"/>
        <w:ind w:firstLine="420" w:firstLineChars="200"/>
        <w:rPr>
          <w:kern w:val="0"/>
          <w:szCs w:val="21"/>
        </w:rPr>
      </w:pPr>
      <w:r>
        <w:rPr>
          <w:kern w:val="0"/>
          <w:szCs w:val="21"/>
        </w:rPr>
        <w:t>1. 交货地点：</w:t>
      </w:r>
      <w:r>
        <w:rPr>
          <w:szCs w:val="21"/>
        </w:rPr>
        <w:t>云南省文山州马塘工业园区、云南省红河州蒙自市雨过铺街道蚂蟥塘村施工指定现场</w:t>
      </w:r>
      <w:r>
        <w:rPr>
          <w:kern w:val="0"/>
          <w:szCs w:val="21"/>
        </w:rPr>
        <w:t>。</w:t>
      </w:r>
    </w:p>
    <w:p w14:paraId="55B2AEA6">
      <w:pPr>
        <w:spacing w:line="360" w:lineRule="auto"/>
        <w:ind w:firstLine="420" w:firstLineChars="200"/>
        <w:rPr>
          <w:kern w:val="0"/>
          <w:szCs w:val="21"/>
        </w:rPr>
      </w:pPr>
      <w:r>
        <w:rPr>
          <w:kern w:val="0"/>
          <w:szCs w:val="21"/>
        </w:rPr>
        <w:t>2. 按照甲方确认的技术标准、图纸等、相关的国家及行业最新法规、标准、规范和合同条款及供货及技术要求中约定进行交货。</w:t>
      </w:r>
      <w:bookmarkStart w:id="182" w:name="_Toc8377701"/>
      <w:bookmarkEnd w:id="182"/>
      <w:bookmarkStart w:id="183" w:name="_Toc8374844"/>
      <w:bookmarkEnd w:id="183"/>
      <w:bookmarkStart w:id="184" w:name="_Toc8314641"/>
      <w:bookmarkEnd w:id="184"/>
      <w:bookmarkStart w:id="185" w:name="_Toc8314636"/>
      <w:bookmarkEnd w:id="185"/>
      <w:bookmarkStart w:id="186" w:name="_Toc8374842"/>
      <w:bookmarkEnd w:id="186"/>
      <w:bookmarkStart w:id="187" w:name="_Toc8313253"/>
      <w:bookmarkEnd w:id="187"/>
      <w:bookmarkStart w:id="188" w:name="_Toc8314638"/>
      <w:bookmarkEnd w:id="188"/>
      <w:bookmarkStart w:id="189" w:name="_Toc8374831"/>
      <w:bookmarkEnd w:id="189"/>
      <w:bookmarkStart w:id="190" w:name="_Toc8377706"/>
      <w:bookmarkEnd w:id="190"/>
      <w:bookmarkStart w:id="191" w:name="_Toc8314645"/>
      <w:bookmarkEnd w:id="191"/>
      <w:bookmarkStart w:id="192" w:name="_Toc8314511"/>
      <w:bookmarkEnd w:id="192"/>
      <w:bookmarkStart w:id="193" w:name="_Toc8314522"/>
      <w:bookmarkEnd w:id="193"/>
      <w:bookmarkStart w:id="194" w:name="_Toc8314524"/>
      <w:bookmarkEnd w:id="194"/>
      <w:bookmarkStart w:id="195" w:name="_Toc8314648"/>
      <w:bookmarkEnd w:id="195"/>
      <w:bookmarkStart w:id="196" w:name="_Toc8377704"/>
      <w:bookmarkEnd w:id="196"/>
      <w:bookmarkStart w:id="197" w:name="_Toc8314518"/>
      <w:bookmarkEnd w:id="197"/>
      <w:bookmarkStart w:id="198" w:name="_Toc8314515"/>
      <w:bookmarkEnd w:id="198"/>
      <w:bookmarkStart w:id="199" w:name="_Toc8313256"/>
      <w:bookmarkEnd w:id="199"/>
      <w:bookmarkStart w:id="200" w:name="_Toc8377720"/>
      <w:bookmarkEnd w:id="200"/>
      <w:bookmarkStart w:id="201" w:name="_Toc8314629"/>
      <w:bookmarkEnd w:id="201"/>
      <w:bookmarkStart w:id="202" w:name="_Toc8314651"/>
      <w:bookmarkEnd w:id="202"/>
      <w:bookmarkStart w:id="203" w:name="_Toc8374839"/>
      <w:bookmarkEnd w:id="203"/>
      <w:bookmarkStart w:id="204" w:name="_Toc8313259"/>
      <w:bookmarkEnd w:id="204"/>
      <w:bookmarkStart w:id="205" w:name="_Toc8313265"/>
      <w:bookmarkEnd w:id="205"/>
      <w:bookmarkStart w:id="206" w:name="_Toc8314529"/>
      <w:bookmarkEnd w:id="206"/>
      <w:bookmarkStart w:id="207" w:name="_Toc8314640"/>
      <w:bookmarkEnd w:id="207"/>
      <w:bookmarkStart w:id="208" w:name="_Toc8314530"/>
      <w:bookmarkEnd w:id="208"/>
      <w:bookmarkStart w:id="209" w:name="_Toc8374835"/>
      <w:bookmarkEnd w:id="209"/>
      <w:bookmarkStart w:id="210" w:name="_Toc8374845"/>
      <w:bookmarkEnd w:id="210"/>
      <w:bookmarkStart w:id="211" w:name="_Toc8374827"/>
      <w:bookmarkEnd w:id="211"/>
      <w:bookmarkStart w:id="212" w:name="_Toc8313264"/>
      <w:bookmarkEnd w:id="212"/>
      <w:bookmarkStart w:id="213" w:name="_Toc8313252"/>
      <w:bookmarkEnd w:id="213"/>
      <w:bookmarkStart w:id="214" w:name="_Toc8314634"/>
      <w:bookmarkEnd w:id="214"/>
      <w:bookmarkStart w:id="215" w:name="_Toc8374848"/>
      <w:bookmarkEnd w:id="215"/>
      <w:bookmarkStart w:id="216" w:name="_Toc8314635"/>
      <w:bookmarkEnd w:id="216"/>
      <w:bookmarkStart w:id="217" w:name="_Toc8313270"/>
      <w:bookmarkEnd w:id="217"/>
      <w:bookmarkStart w:id="218" w:name="_Toc8377698"/>
      <w:bookmarkEnd w:id="218"/>
      <w:bookmarkStart w:id="219" w:name="_Toc8313274"/>
      <w:bookmarkEnd w:id="219"/>
      <w:bookmarkStart w:id="220" w:name="_Toc8314643"/>
      <w:bookmarkEnd w:id="220"/>
      <w:bookmarkStart w:id="221" w:name="_Toc8314632"/>
      <w:bookmarkEnd w:id="221"/>
      <w:bookmarkStart w:id="222" w:name="_Toc8374840"/>
      <w:bookmarkEnd w:id="222"/>
      <w:bookmarkStart w:id="223" w:name="_Toc8314514"/>
      <w:bookmarkEnd w:id="223"/>
      <w:bookmarkStart w:id="224" w:name="_Toc8313272"/>
      <w:bookmarkEnd w:id="224"/>
      <w:bookmarkStart w:id="225" w:name="_Toc8377719"/>
      <w:bookmarkEnd w:id="225"/>
      <w:bookmarkStart w:id="226" w:name="_Toc8314650"/>
      <w:bookmarkEnd w:id="226"/>
      <w:bookmarkStart w:id="227" w:name="_Toc8377711"/>
      <w:bookmarkEnd w:id="227"/>
      <w:bookmarkStart w:id="228" w:name="_Toc8377716"/>
      <w:bookmarkEnd w:id="228"/>
      <w:bookmarkStart w:id="229" w:name="_Toc8377699"/>
      <w:bookmarkEnd w:id="229"/>
      <w:bookmarkStart w:id="230" w:name="_Toc8374836"/>
      <w:bookmarkEnd w:id="230"/>
      <w:bookmarkStart w:id="231" w:name="_Toc8313269"/>
      <w:bookmarkEnd w:id="231"/>
      <w:bookmarkStart w:id="232" w:name="_Toc8313271"/>
      <w:bookmarkEnd w:id="232"/>
      <w:bookmarkStart w:id="233" w:name="_Toc8314646"/>
      <w:bookmarkEnd w:id="233"/>
      <w:bookmarkStart w:id="234" w:name="_Toc8314531"/>
      <w:bookmarkEnd w:id="234"/>
      <w:bookmarkStart w:id="235" w:name="_Toc8313268"/>
      <w:bookmarkEnd w:id="235"/>
      <w:bookmarkStart w:id="236" w:name="_Toc8374841"/>
      <w:bookmarkEnd w:id="236"/>
      <w:bookmarkStart w:id="237" w:name="_Toc8313260"/>
      <w:bookmarkEnd w:id="237"/>
      <w:bookmarkStart w:id="238" w:name="_Toc8374834"/>
      <w:bookmarkEnd w:id="238"/>
      <w:bookmarkStart w:id="239" w:name="_Toc8377717"/>
      <w:bookmarkEnd w:id="239"/>
      <w:bookmarkStart w:id="240" w:name="_Toc8374847"/>
      <w:bookmarkEnd w:id="240"/>
      <w:bookmarkStart w:id="241" w:name="_Toc8377707"/>
      <w:bookmarkEnd w:id="241"/>
      <w:bookmarkStart w:id="242" w:name="_Toc8374846"/>
      <w:bookmarkEnd w:id="242"/>
      <w:bookmarkStart w:id="243" w:name="_Toc8374830"/>
      <w:bookmarkEnd w:id="243"/>
      <w:bookmarkStart w:id="244" w:name="_Toc8313266"/>
      <w:bookmarkEnd w:id="244"/>
      <w:bookmarkStart w:id="245" w:name="_Toc8313267"/>
      <w:bookmarkEnd w:id="245"/>
      <w:bookmarkStart w:id="246" w:name="_Toc8377708"/>
      <w:bookmarkEnd w:id="246"/>
      <w:bookmarkStart w:id="247" w:name="_Toc8314647"/>
      <w:bookmarkEnd w:id="247"/>
      <w:bookmarkStart w:id="248" w:name="_Toc8313273"/>
      <w:bookmarkEnd w:id="248"/>
      <w:bookmarkStart w:id="249" w:name="_Toc8314513"/>
      <w:bookmarkEnd w:id="249"/>
      <w:bookmarkStart w:id="250" w:name="_Toc8313261"/>
      <w:bookmarkEnd w:id="250"/>
      <w:bookmarkStart w:id="251" w:name="_Toc8374843"/>
      <w:bookmarkEnd w:id="251"/>
      <w:bookmarkStart w:id="252" w:name="_Toc8374829"/>
      <w:bookmarkEnd w:id="252"/>
      <w:bookmarkStart w:id="253" w:name="_Toc8377712"/>
      <w:bookmarkEnd w:id="253"/>
      <w:bookmarkStart w:id="254" w:name="_Toc8377714"/>
      <w:bookmarkEnd w:id="254"/>
      <w:bookmarkStart w:id="255" w:name="_Toc8314644"/>
      <w:bookmarkEnd w:id="255"/>
      <w:bookmarkStart w:id="256" w:name="_Toc8314526"/>
      <w:bookmarkEnd w:id="256"/>
      <w:bookmarkStart w:id="257" w:name="_Toc8314630"/>
      <w:bookmarkEnd w:id="257"/>
      <w:bookmarkStart w:id="258" w:name="_Toc8377700"/>
      <w:bookmarkEnd w:id="258"/>
      <w:bookmarkStart w:id="259" w:name="_Toc8314527"/>
      <w:bookmarkEnd w:id="259"/>
      <w:bookmarkStart w:id="260" w:name="_Toc8374849"/>
      <w:bookmarkEnd w:id="260"/>
      <w:bookmarkStart w:id="261" w:name="_Toc8374828"/>
      <w:bookmarkEnd w:id="261"/>
      <w:bookmarkStart w:id="262" w:name="_Toc8313262"/>
      <w:bookmarkEnd w:id="262"/>
      <w:bookmarkStart w:id="263" w:name="_Toc8314642"/>
      <w:bookmarkEnd w:id="263"/>
      <w:bookmarkStart w:id="264" w:name="_Toc8314532"/>
      <w:bookmarkEnd w:id="264"/>
      <w:bookmarkStart w:id="265" w:name="_Toc8314633"/>
      <w:bookmarkEnd w:id="265"/>
      <w:bookmarkStart w:id="266" w:name="_Toc8377705"/>
      <w:bookmarkEnd w:id="266"/>
      <w:bookmarkStart w:id="267" w:name="_Toc8314637"/>
      <w:bookmarkEnd w:id="267"/>
      <w:bookmarkStart w:id="268" w:name="_Toc8314525"/>
      <w:bookmarkEnd w:id="268"/>
      <w:bookmarkStart w:id="269" w:name="_Toc8313258"/>
      <w:bookmarkEnd w:id="269"/>
      <w:bookmarkStart w:id="270" w:name="_Toc8313255"/>
      <w:bookmarkEnd w:id="270"/>
      <w:bookmarkStart w:id="271" w:name="_Toc8377709"/>
      <w:bookmarkEnd w:id="271"/>
      <w:bookmarkStart w:id="272" w:name="_Toc8314631"/>
      <w:bookmarkEnd w:id="272"/>
      <w:bookmarkStart w:id="273" w:name="_Toc8313254"/>
      <w:bookmarkEnd w:id="273"/>
      <w:bookmarkStart w:id="274" w:name="_Toc8314516"/>
      <w:bookmarkEnd w:id="274"/>
      <w:bookmarkStart w:id="275" w:name="_Toc8313257"/>
      <w:bookmarkEnd w:id="275"/>
      <w:bookmarkStart w:id="276" w:name="_Toc8314520"/>
      <w:bookmarkEnd w:id="276"/>
      <w:bookmarkStart w:id="277" w:name="_Toc8374833"/>
      <w:bookmarkEnd w:id="277"/>
      <w:bookmarkStart w:id="278" w:name="_Toc8377715"/>
      <w:bookmarkEnd w:id="278"/>
      <w:bookmarkStart w:id="279" w:name="_Toc8314523"/>
      <w:bookmarkEnd w:id="279"/>
      <w:bookmarkStart w:id="280" w:name="_Toc8313263"/>
      <w:bookmarkEnd w:id="280"/>
      <w:bookmarkStart w:id="281" w:name="_Toc8377713"/>
      <w:bookmarkEnd w:id="281"/>
      <w:bookmarkStart w:id="282" w:name="_Toc8314521"/>
      <w:bookmarkEnd w:id="282"/>
      <w:bookmarkStart w:id="283" w:name="_Toc8377710"/>
      <w:bookmarkEnd w:id="283"/>
      <w:bookmarkStart w:id="284" w:name="_Toc8314519"/>
      <w:bookmarkEnd w:id="284"/>
      <w:bookmarkStart w:id="285" w:name="_Toc8377703"/>
      <w:bookmarkEnd w:id="285"/>
      <w:bookmarkStart w:id="286" w:name="_Toc8314639"/>
      <w:bookmarkEnd w:id="286"/>
      <w:bookmarkStart w:id="287" w:name="_Toc8374838"/>
      <w:bookmarkEnd w:id="287"/>
      <w:bookmarkStart w:id="288" w:name="_Toc8314517"/>
      <w:bookmarkEnd w:id="288"/>
      <w:bookmarkStart w:id="289" w:name="_Toc8314528"/>
      <w:bookmarkEnd w:id="289"/>
      <w:bookmarkStart w:id="290" w:name="_Toc8374837"/>
      <w:bookmarkEnd w:id="290"/>
      <w:bookmarkStart w:id="291" w:name="_Toc8314512"/>
      <w:bookmarkEnd w:id="291"/>
      <w:bookmarkStart w:id="292" w:name="_Toc8314649"/>
      <w:bookmarkEnd w:id="292"/>
      <w:bookmarkStart w:id="293" w:name="_Toc8377702"/>
      <w:bookmarkEnd w:id="293"/>
      <w:bookmarkStart w:id="294" w:name="_Toc8377718"/>
      <w:bookmarkEnd w:id="294"/>
      <w:bookmarkStart w:id="295" w:name="_Toc8314510"/>
      <w:bookmarkEnd w:id="295"/>
      <w:bookmarkStart w:id="296" w:name="_Toc8374832"/>
      <w:bookmarkEnd w:id="296"/>
      <w:bookmarkStart w:id="297" w:name="_Toc351203487"/>
      <w:bookmarkStart w:id="298" w:name="_Toc1618"/>
      <w:bookmarkStart w:id="299" w:name="_Toc17052"/>
      <w:bookmarkStart w:id="300" w:name="_Toc16564"/>
      <w:bookmarkStart w:id="301" w:name="_Toc9498128"/>
      <w:bookmarkStart w:id="302" w:name="_Toc29104"/>
    </w:p>
    <w:p w14:paraId="55B2AEA7">
      <w:pPr>
        <w:spacing w:line="360" w:lineRule="auto"/>
        <w:ind w:firstLine="420" w:firstLineChars="200"/>
        <w:rPr>
          <w:kern w:val="0"/>
          <w:szCs w:val="21"/>
        </w:rPr>
      </w:pPr>
      <w:r>
        <w:rPr>
          <w:kern w:val="0"/>
          <w:szCs w:val="21"/>
        </w:rPr>
        <w:t>3. 按照“合同条款”及“供货及技术要求”进行验收。</w:t>
      </w:r>
    </w:p>
    <w:p w14:paraId="55B2AEA8">
      <w:pPr>
        <w:tabs>
          <w:tab w:val="center" w:pos="5099"/>
        </w:tabs>
        <w:spacing w:line="560" w:lineRule="exact"/>
        <w:rPr>
          <w:b/>
          <w:kern w:val="0"/>
          <w:szCs w:val="21"/>
        </w:rPr>
      </w:pPr>
      <w:r>
        <w:rPr>
          <w:b/>
          <w:kern w:val="0"/>
          <w:szCs w:val="21"/>
        </w:rPr>
        <w:t>七、承诺</w:t>
      </w:r>
      <w:bookmarkEnd w:id="297"/>
      <w:bookmarkEnd w:id="298"/>
      <w:bookmarkEnd w:id="299"/>
      <w:bookmarkEnd w:id="300"/>
      <w:bookmarkEnd w:id="301"/>
      <w:bookmarkEnd w:id="302"/>
    </w:p>
    <w:p w14:paraId="55B2AEA9">
      <w:pPr>
        <w:spacing w:line="300" w:lineRule="auto"/>
        <w:ind w:firstLine="420" w:firstLineChars="200"/>
        <w:rPr>
          <w:kern w:val="0"/>
          <w:szCs w:val="21"/>
        </w:rPr>
      </w:pPr>
      <w:r>
        <w:rPr>
          <w:kern w:val="0"/>
          <w:szCs w:val="21"/>
        </w:rPr>
        <w:t>1.乙方承诺严格按照法律和技术标准规定及合同约定供应设备、提供相关技术服务、承担质量保证责任。</w:t>
      </w:r>
    </w:p>
    <w:p w14:paraId="55B2AEAA">
      <w:pPr>
        <w:spacing w:line="300" w:lineRule="auto"/>
        <w:ind w:firstLine="420" w:firstLineChars="200"/>
        <w:rPr>
          <w:kern w:val="0"/>
          <w:szCs w:val="21"/>
        </w:rPr>
      </w:pPr>
      <w:r>
        <w:rPr>
          <w:kern w:val="0"/>
          <w:szCs w:val="21"/>
        </w:rPr>
        <w:t>2.甲方保证按照合同约定的期限和方式向乙方支付合同价款。</w:t>
      </w:r>
      <w:bookmarkStart w:id="303" w:name="_Toc8377723"/>
      <w:bookmarkEnd w:id="303"/>
      <w:bookmarkStart w:id="304" w:name="_Toc8314654"/>
      <w:bookmarkEnd w:id="304"/>
      <w:bookmarkStart w:id="305" w:name="_Toc8314535"/>
      <w:bookmarkEnd w:id="305"/>
      <w:bookmarkStart w:id="306" w:name="_Toc8313276"/>
      <w:bookmarkEnd w:id="306"/>
      <w:bookmarkStart w:id="307" w:name="_Toc8377722"/>
      <w:bookmarkEnd w:id="307"/>
      <w:bookmarkStart w:id="308" w:name="_Toc8314653"/>
      <w:bookmarkEnd w:id="308"/>
      <w:bookmarkStart w:id="309" w:name="_Toc8314534"/>
      <w:bookmarkEnd w:id="309"/>
      <w:bookmarkStart w:id="310" w:name="_Toc8313277"/>
      <w:bookmarkEnd w:id="310"/>
      <w:bookmarkStart w:id="311" w:name="_Toc8374851"/>
      <w:bookmarkEnd w:id="311"/>
      <w:bookmarkStart w:id="312" w:name="_Toc8374852"/>
      <w:bookmarkEnd w:id="312"/>
      <w:bookmarkStart w:id="313" w:name="_Toc20599"/>
      <w:bookmarkStart w:id="314" w:name="_Toc11086"/>
      <w:bookmarkStart w:id="315" w:name="_Toc9498129"/>
      <w:bookmarkStart w:id="316" w:name="_Toc7028"/>
      <w:bookmarkStart w:id="317" w:name="_Toc351203490"/>
      <w:bookmarkStart w:id="318" w:name="_Toc13100"/>
    </w:p>
    <w:p w14:paraId="55B2AEAB">
      <w:pPr>
        <w:tabs>
          <w:tab w:val="center" w:pos="5099"/>
        </w:tabs>
        <w:spacing w:line="560" w:lineRule="exact"/>
        <w:rPr>
          <w:b/>
          <w:kern w:val="0"/>
          <w:szCs w:val="21"/>
        </w:rPr>
      </w:pPr>
      <w:r>
        <w:rPr>
          <w:b/>
          <w:kern w:val="0"/>
          <w:szCs w:val="21"/>
        </w:rPr>
        <w:t>八、签订地点</w:t>
      </w:r>
      <w:bookmarkEnd w:id="313"/>
      <w:bookmarkEnd w:id="314"/>
      <w:bookmarkEnd w:id="315"/>
      <w:bookmarkEnd w:id="316"/>
      <w:bookmarkEnd w:id="317"/>
      <w:bookmarkEnd w:id="318"/>
    </w:p>
    <w:p w14:paraId="55B2AEAC">
      <w:pPr>
        <w:spacing w:line="300" w:lineRule="auto"/>
        <w:ind w:firstLine="420" w:firstLineChars="200"/>
        <w:rPr>
          <w:kern w:val="0"/>
          <w:szCs w:val="21"/>
        </w:rPr>
      </w:pPr>
      <w:r>
        <w:rPr>
          <w:kern w:val="0"/>
          <w:szCs w:val="21"/>
        </w:rPr>
        <w:t>本合同签订地为甲方所在地。</w:t>
      </w:r>
      <w:bookmarkStart w:id="319" w:name="_Toc26091"/>
      <w:bookmarkStart w:id="320" w:name="_Toc24233"/>
      <w:bookmarkStart w:id="321" w:name="_Toc9498130"/>
      <w:bookmarkStart w:id="322" w:name="_Toc25673"/>
      <w:bookmarkStart w:id="323" w:name="_Toc351203491"/>
      <w:bookmarkStart w:id="324" w:name="_Toc19181"/>
    </w:p>
    <w:p w14:paraId="55B2AEAD">
      <w:pPr>
        <w:tabs>
          <w:tab w:val="center" w:pos="5099"/>
        </w:tabs>
        <w:spacing w:line="560" w:lineRule="exact"/>
        <w:rPr>
          <w:b/>
          <w:kern w:val="0"/>
          <w:szCs w:val="21"/>
        </w:rPr>
      </w:pPr>
      <w:r>
        <w:rPr>
          <w:b/>
          <w:kern w:val="0"/>
          <w:szCs w:val="21"/>
        </w:rPr>
        <w:t>九、补充协议</w:t>
      </w:r>
      <w:bookmarkEnd w:id="319"/>
      <w:bookmarkEnd w:id="320"/>
      <w:bookmarkEnd w:id="321"/>
      <w:bookmarkEnd w:id="322"/>
      <w:bookmarkEnd w:id="323"/>
      <w:bookmarkEnd w:id="324"/>
    </w:p>
    <w:p w14:paraId="55B2AEAE">
      <w:pPr>
        <w:spacing w:line="300" w:lineRule="auto"/>
        <w:ind w:firstLine="420" w:firstLineChars="200"/>
        <w:rPr>
          <w:kern w:val="0"/>
          <w:szCs w:val="21"/>
        </w:rPr>
      </w:pPr>
      <w:r>
        <w:rPr>
          <w:kern w:val="0"/>
          <w:szCs w:val="21"/>
        </w:rPr>
        <w:t>合同未尽事宜，合同当事人另行签订补充协议，补充协议是合同的组成部分。</w:t>
      </w:r>
      <w:bookmarkStart w:id="325" w:name="_Toc14337"/>
      <w:bookmarkStart w:id="326" w:name="_Toc27375"/>
      <w:bookmarkStart w:id="327" w:name="_Toc25912"/>
      <w:bookmarkStart w:id="328" w:name="_Toc8210"/>
      <w:bookmarkStart w:id="329" w:name="_Toc351203492"/>
      <w:bookmarkStart w:id="330" w:name="_Toc9498131"/>
    </w:p>
    <w:p w14:paraId="55B2AEAF">
      <w:pPr>
        <w:tabs>
          <w:tab w:val="center" w:pos="5099"/>
        </w:tabs>
        <w:spacing w:line="560" w:lineRule="exact"/>
        <w:rPr>
          <w:b/>
          <w:kern w:val="0"/>
          <w:szCs w:val="21"/>
        </w:rPr>
      </w:pPr>
      <w:r>
        <w:rPr>
          <w:b/>
          <w:kern w:val="0"/>
          <w:szCs w:val="21"/>
        </w:rPr>
        <w:t>十、合同生效</w:t>
      </w:r>
      <w:bookmarkEnd w:id="325"/>
      <w:bookmarkEnd w:id="326"/>
      <w:bookmarkEnd w:id="327"/>
      <w:bookmarkEnd w:id="328"/>
      <w:bookmarkEnd w:id="329"/>
      <w:r>
        <w:rPr>
          <w:b/>
          <w:kern w:val="0"/>
          <w:szCs w:val="21"/>
        </w:rPr>
        <w:t>及变更</w:t>
      </w:r>
      <w:bookmarkEnd w:id="330"/>
    </w:p>
    <w:p w14:paraId="55B2AEB0">
      <w:pPr>
        <w:spacing w:line="480" w:lineRule="exact"/>
        <w:ind w:firstLine="420" w:firstLineChars="200"/>
        <w:rPr>
          <w:kern w:val="0"/>
          <w:szCs w:val="21"/>
        </w:rPr>
      </w:pPr>
      <w:r>
        <w:rPr>
          <w:rFonts w:hint="eastAsia"/>
          <w:kern w:val="0"/>
          <w:szCs w:val="21"/>
          <w:lang w:eastAsia="zh-CN"/>
        </w:rPr>
        <w:t>1.</w:t>
      </w:r>
      <w:r>
        <w:rPr>
          <w:kern w:val="0"/>
          <w:szCs w:val="21"/>
        </w:rPr>
        <w:t>本合同自双方法定代表人或授权</w:t>
      </w:r>
      <w:r>
        <w:rPr>
          <w:rFonts w:hint="eastAsia"/>
          <w:szCs w:val="21"/>
        </w:rPr>
        <w:t>代理人</w:t>
      </w:r>
      <w:r>
        <w:rPr>
          <w:kern w:val="0"/>
          <w:szCs w:val="21"/>
        </w:rPr>
        <w:t>签字或签章并加盖公司公章或合同专用章之日起生效，有效期至双方本合同项下的全部权利义务履行完毕时止。</w:t>
      </w:r>
    </w:p>
    <w:p w14:paraId="55B2AEB1">
      <w:pPr>
        <w:spacing w:line="480" w:lineRule="exact"/>
        <w:ind w:firstLine="420" w:firstLineChars="200"/>
        <w:rPr>
          <w:kern w:val="0"/>
          <w:szCs w:val="21"/>
        </w:rPr>
      </w:pPr>
      <w:r>
        <w:rPr>
          <w:rFonts w:hint="eastAsia"/>
          <w:kern w:val="0"/>
          <w:szCs w:val="21"/>
          <w:lang w:eastAsia="zh-CN"/>
        </w:rPr>
        <w:t>2.</w:t>
      </w:r>
      <w:r>
        <w:rPr>
          <w:kern w:val="0"/>
          <w:szCs w:val="21"/>
        </w:rPr>
        <w:t>合同的变更详见合同条款1.4.2。</w:t>
      </w:r>
      <w:bookmarkStart w:id="331" w:name="_Toc9498132"/>
      <w:bookmarkStart w:id="332" w:name="_Toc3260"/>
      <w:bookmarkStart w:id="333" w:name="_Toc8363"/>
      <w:bookmarkStart w:id="334" w:name="_Toc12919"/>
      <w:bookmarkStart w:id="335" w:name="_Toc16489"/>
      <w:bookmarkStart w:id="336" w:name="_Toc351203493"/>
    </w:p>
    <w:p w14:paraId="55B2AEB2">
      <w:pPr>
        <w:tabs>
          <w:tab w:val="center" w:pos="5099"/>
        </w:tabs>
        <w:spacing w:line="560" w:lineRule="exact"/>
        <w:rPr>
          <w:b/>
          <w:kern w:val="0"/>
          <w:szCs w:val="21"/>
        </w:rPr>
      </w:pPr>
      <w:r>
        <w:rPr>
          <w:b/>
          <w:kern w:val="0"/>
          <w:szCs w:val="21"/>
        </w:rPr>
        <w:t>十一、合同份数</w:t>
      </w:r>
      <w:bookmarkEnd w:id="331"/>
      <w:bookmarkEnd w:id="332"/>
      <w:bookmarkEnd w:id="333"/>
      <w:bookmarkEnd w:id="334"/>
      <w:bookmarkEnd w:id="335"/>
      <w:bookmarkEnd w:id="336"/>
    </w:p>
    <w:p w14:paraId="55B2AEB3">
      <w:pPr>
        <w:spacing w:line="300" w:lineRule="auto"/>
        <w:ind w:firstLine="420" w:firstLineChars="200"/>
        <w:rPr>
          <w:kern w:val="0"/>
          <w:szCs w:val="21"/>
        </w:rPr>
      </w:pPr>
      <w:r>
        <w:rPr>
          <w:kern w:val="0"/>
          <w:szCs w:val="21"/>
        </w:rPr>
        <w:t>本合同正本一式6份，均具有同等法律效力，甲乙双方各执</w:t>
      </w:r>
      <w:r>
        <w:rPr>
          <w:rFonts w:hint="eastAsia"/>
          <w:kern w:val="0"/>
          <w:szCs w:val="21"/>
        </w:rPr>
        <w:t>3</w:t>
      </w:r>
      <w:r>
        <w:rPr>
          <w:kern w:val="0"/>
          <w:szCs w:val="21"/>
        </w:rPr>
        <w:t xml:space="preserve">份。 </w:t>
      </w:r>
    </w:p>
    <w:p w14:paraId="55B2AEB4">
      <w:pPr>
        <w:widowControl/>
        <w:spacing w:line="360" w:lineRule="auto"/>
        <w:ind w:firstLine="420" w:firstLineChars="200"/>
        <w:jc w:val="left"/>
        <w:rPr>
          <w:kern w:val="0"/>
          <w:sz w:val="24"/>
        </w:rPr>
      </w:pPr>
      <w:r>
        <w:rPr>
          <w:kern w:val="0"/>
          <w:szCs w:val="21"/>
        </w:rPr>
        <w:t>（以下无正文）</w:t>
      </w:r>
    </w:p>
    <w:p w14:paraId="55B2AEB5">
      <w:pPr>
        <w:widowControl/>
        <w:spacing w:line="360" w:lineRule="auto"/>
        <w:ind w:firstLine="480" w:firstLineChars="200"/>
        <w:jc w:val="left"/>
        <w:rPr>
          <w:kern w:val="0"/>
          <w:sz w:val="24"/>
        </w:rPr>
      </w:pPr>
    </w:p>
    <w:p w14:paraId="55B2AEB6">
      <w:pPr>
        <w:widowControl/>
        <w:spacing w:line="360" w:lineRule="auto"/>
        <w:ind w:firstLine="480" w:firstLineChars="200"/>
        <w:jc w:val="left"/>
        <w:rPr>
          <w:kern w:val="0"/>
          <w:sz w:val="24"/>
        </w:rPr>
      </w:pPr>
      <w:r>
        <w:rPr>
          <w:kern w:val="0"/>
          <w:sz w:val="24"/>
        </w:rPr>
        <w:t xml:space="preserve">（本页为签署页）                                    </w:t>
      </w:r>
    </w:p>
    <w:tbl>
      <w:tblPr>
        <w:tblStyle w:val="18"/>
        <w:tblW w:w="0" w:type="auto"/>
        <w:jc w:val="center"/>
        <w:tblLayout w:type="fixed"/>
        <w:tblCellMar>
          <w:top w:w="0" w:type="dxa"/>
          <w:left w:w="108" w:type="dxa"/>
          <w:bottom w:w="0" w:type="dxa"/>
          <w:right w:w="108" w:type="dxa"/>
        </w:tblCellMar>
      </w:tblPr>
      <w:tblGrid>
        <w:gridCol w:w="4518"/>
        <w:gridCol w:w="4518"/>
      </w:tblGrid>
      <w:tr w14:paraId="55B2AEBD">
        <w:tblPrEx>
          <w:tblCellMar>
            <w:top w:w="0" w:type="dxa"/>
            <w:left w:w="108" w:type="dxa"/>
            <w:bottom w:w="0" w:type="dxa"/>
            <w:right w:w="108" w:type="dxa"/>
          </w:tblCellMar>
        </w:tblPrEx>
        <w:trPr>
          <w:jc w:val="center"/>
        </w:trPr>
        <w:tc>
          <w:tcPr>
            <w:tcW w:w="4518" w:type="dxa"/>
            <w:vAlign w:val="center"/>
          </w:tcPr>
          <w:p w14:paraId="55B2AEB7">
            <w:pPr>
              <w:spacing w:line="360" w:lineRule="auto"/>
              <w:rPr>
                <w:kern w:val="0"/>
                <w:szCs w:val="21"/>
              </w:rPr>
            </w:pPr>
            <w:r>
              <w:rPr>
                <w:kern w:val="0"/>
                <w:szCs w:val="21"/>
              </w:rPr>
              <w:t xml:space="preserve">甲方： </w:t>
            </w:r>
          </w:p>
          <w:p w14:paraId="55B2AEB8">
            <w:pPr>
              <w:spacing w:line="360" w:lineRule="auto"/>
              <w:rPr>
                <w:kern w:val="0"/>
                <w:szCs w:val="21"/>
                <w:u w:val="single"/>
              </w:rPr>
            </w:pPr>
            <w:r>
              <w:rPr>
                <w:rFonts w:hint="eastAsia"/>
                <w:kern w:val="0"/>
                <w:szCs w:val="21"/>
                <w:u w:val="single"/>
              </w:rPr>
              <w:t>云南中慧能源有限公司</w:t>
            </w:r>
          </w:p>
          <w:p w14:paraId="55B2AEB9">
            <w:pPr>
              <w:spacing w:line="360" w:lineRule="auto"/>
              <w:rPr>
                <w:kern w:val="0"/>
                <w:szCs w:val="21"/>
              </w:rPr>
            </w:pPr>
            <w:r>
              <w:rPr>
                <w:kern w:val="0"/>
                <w:szCs w:val="21"/>
              </w:rPr>
              <w:t xml:space="preserve"> （盖</w:t>
            </w:r>
            <w:r>
              <w:rPr>
                <w:rFonts w:hint="eastAsia"/>
                <w:kern w:val="0"/>
                <w:szCs w:val="21"/>
              </w:rPr>
              <w:t>章</w:t>
            </w:r>
            <w:r>
              <w:rPr>
                <w:kern w:val="0"/>
                <w:szCs w:val="21"/>
              </w:rPr>
              <w:t>）</w:t>
            </w:r>
          </w:p>
        </w:tc>
        <w:tc>
          <w:tcPr>
            <w:tcW w:w="4518" w:type="dxa"/>
            <w:vAlign w:val="center"/>
          </w:tcPr>
          <w:p w14:paraId="55B2AEBA">
            <w:pPr>
              <w:spacing w:line="360" w:lineRule="auto"/>
              <w:rPr>
                <w:kern w:val="0"/>
                <w:szCs w:val="21"/>
              </w:rPr>
            </w:pPr>
            <w:r>
              <w:rPr>
                <w:kern w:val="0"/>
                <w:szCs w:val="21"/>
              </w:rPr>
              <w:t>乙方：</w:t>
            </w:r>
          </w:p>
          <w:p w14:paraId="55B2AEBB">
            <w:pPr>
              <w:spacing w:line="360" w:lineRule="auto"/>
              <w:rPr>
                <w:kern w:val="0"/>
                <w:szCs w:val="21"/>
                <w:u w:val="single"/>
              </w:rPr>
            </w:pPr>
          </w:p>
          <w:p w14:paraId="55B2AEBC">
            <w:pPr>
              <w:spacing w:line="360" w:lineRule="auto"/>
              <w:rPr>
                <w:kern w:val="0"/>
                <w:szCs w:val="21"/>
              </w:rPr>
            </w:pPr>
            <w:r>
              <w:rPr>
                <w:kern w:val="0"/>
                <w:szCs w:val="21"/>
              </w:rPr>
              <w:t>（盖</w:t>
            </w:r>
            <w:r>
              <w:rPr>
                <w:rFonts w:hint="eastAsia"/>
                <w:kern w:val="0"/>
                <w:szCs w:val="21"/>
              </w:rPr>
              <w:t>章</w:t>
            </w:r>
            <w:r>
              <w:rPr>
                <w:kern w:val="0"/>
                <w:szCs w:val="21"/>
              </w:rPr>
              <w:t>）</w:t>
            </w:r>
          </w:p>
        </w:tc>
      </w:tr>
      <w:tr w14:paraId="55B2AEC4">
        <w:tblPrEx>
          <w:tblCellMar>
            <w:top w:w="0" w:type="dxa"/>
            <w:left w:w="108" w:type="dxa"/>
            <w:bottom w:w="0" w:type="dxa"/>
            <w:right w:w="108" w:type="dxa"/>
          </w:tblCellMar>
        </w:tblPrEx>
        <w:trPr>
          <w:jc w:val="center"/>
        </w:trPr>
        <w:tc>
          <w:tcPr>
            <w:tcW w:w="4518" w:type="dxa"/>
            <w:vAlign w:val="center"/>
          </w:tcPr>
          <w:p w14:paraId="55B2AEBE">
            <w:pPr>
              <w:spacing w:line="360" w:lineRule="auto"/>
              <w:rPr>
                <w:kern w:val="0"/>
                <w:szCs w:val="21"/>
              </w:rPr>
            </w:pPr>
            <w:r>
              <w:rPr>
                <w:kern w:val="0"/>
                <w:szCs w:val="21"/>
              </w:rPr>
              <w:t>法定代表人</w:t>
            </w:r>
          </w:p>
          <w:p w14:paraId="55B2AEBF">
            <w:pPr>
              <w:spacing w:line="360" w:lineRule="auto"/>
              <w:rPr>
                <w:kern w:val="0"/>
                <w:szCs w:val="21"/>
              </w:rPr>
            </w:pPr>
            <w:r>
              <w:rPr>
                <w:kern w:val="0"/>
                <w:szCs w:val="21"/>
              </w:rPr>
              <w:t>或委托代理人：</w:t>
            </w:r>
          </w:p>
          <w:p w14:paraId="55B2AEC0">
            <w:pPr>
              <w:spacing w:line="360" w:lineRule="auto"/>
              <w:rPr>
                <w:kern w:val="0"/>
                <w:szCs w:val="21"/>
              </w:rPr>
            </w:pPr>
            <w:r>
              <w:rPr>
                <w:kern w:val="0"/>
                <w:szCs w:val="21"/>
              </w:rPr>
              <w:t>（签字或签章）</w:t>
            </w:r>
          </w:p>
        </w:tc>
        <w:tc>
          <w:tcPr>
            <w:tcW w:w="4518" w:type="dxa"/>
            <w:vAlign w:val="center"/>
          </w:tcPr>
          <w:p w14:paraId="55B2AEC1">
            <w:pPr>
              <w:spacing w:line="360" w:lineRule="auto"/>
              <w:rPr>
                <w:kern w:val="0"/>
                <w:szCs w:val="21"/>
              </w:rPr>
            </w:pPr>
            <w:r>
              <w:rPr>
                <w:kern w:val="0"/>
                <w:szCs w:val="21"/>
              </w:rPr>
              <w:t>法定代表人</w:t>
            </w:r>
          </w:p>
          <w:p w14:paraId="55B2AEC2">
            <w:pPr>
              <w:spacing w:line="360" w:lineRule="auto"/>
              <w:rPr>
                <w:kern w:val="0"/>
                <w:szCs w:val="21"/>
              </w:rPr>
            </w:pPr>
            <w:r>
              <w:rPr>
                <w:kern w:val="0"/>
                <w:szCs w:val="21"/>
              </w:rPr>
              <w:t>或委托代理人：</w:t>
            </w:r>
          </w:p>
          <w:p w14:paraId="55B2AEC3">
            <w:pPr>
              <w:spacing w:before="156" w:beforeLines="50" w:line="360" w:lineRule="auto"/>
              <w:rPr>
                <w:kern w:val="0"/>
                <w:szCs w:val="21"/>
              </w:rPr>
            </w:pPr>
            <w:r>
              <w:rPr>
                <w:kern w:val="0"/>
                <w:szCs w:val="21"/>
              </w:rPr>
              <w:t>（签字或签章）</w:t>
            </w:r>
          </w:p>
        </w:tc>
      </w:tr>
      <w:tr w14:paraId="55B2AEC7">
        <w:tblPrEx>
          <w:tblCellMar>
            <w:top w:w="0" w:type="dxa"/>
            <w:left w:w="108" w:type="dxa"/>
            <w:bottom w:w="0" w:type="dxa"/>
            <w:right w:w="108" w:type="dxa"/>
          </w:tblCellMar>
        </w:tblPrEx>
        <w:trPr>
          <w:jc w:val="center"/>
        </w:trPr>
        <w:tc>
          <w:tcPr>
            <w:tcW w:w="4518" w:type="dxa"/>
            <w:vAlign w:val="center"/>
          </w:tcPr>
          <w:p w14:paraId="55B2AEC5">
            <w:pPr>
              <w:spacing w:before="156" w:beforeLines="50" w:line="360" w:lineRule="auto"/>
              <w:rPr>
                <w:kern w:val="0"/>
                <w:szCs w:val="21"/>
              </w:rPr>
            </w:pPr>
            <w:r>
              <w:rPr>
                <w:rFonts w:hint="eastAsia"/>
                <w:kern w:val="0"/>
                <w:szCs w:val="21"/>
              </w:rPr>
              <w:t>地  址：</w:t>
            </w:r>
          </w:p>
        </w:tc>
        <w:tc>
          <w:tcPr>
            <w:tcW w:w="4518" w:type="dxa"/>
            <w:vAlign w:val="center"/>
          </w:tcPr>
          <w:p w14:paraId="55B2AEC6">
            <w:pPr>
              <w:spacing w:line="360" w:lineRule="auto"/>
              <w:rPr>
                <w:kern w:val="0"/>
                <w:szCs w:val="21"/>
              </w:rPr>
            </w:pPr>
            <w:r>
              <w:rPr>
                <w:rFonts w:hint="eastAsia"/>
                <w:kern w:val="0"/>
                <w:szCs w:val="21"/>
              </w:rPr>
              <w:t>地址：</w:t>
            </w:r>
          </w:p>
        </w:tc>
      </w:tr>
      <w:tr w14:paraId="55B2AECA">
        <w:tblPrEx>
          <w:tblCellMar>
            <w:top w:w="0" w:type="dxa"/>
            <w:left w:w="108" w:type="dxa"/>
            <w:bottom w:w="0" w:type="dxa"/>
            <w:right w:w="108" w:type="dxa"/>
          </w:tblCellMar>
        </w:tblPrEx>
        <w:trPr>
          <w:jc w:val="center"/>
        </w:trPr>
        <w:tc>
          <w:tcPr>
            <w:tcW w:w="4518" w:type="dxa"/>
            <w:vAlign w:val="center"/>
          </w:tcPr>
          <w:p w14:paraId="55B2AEC8">
            <w:pPr>
              <w:spacing w:line="360" w:lineRule="auto"/>
              <w:rPr>
                <w:kern w:val="0"/>
                <w:szCs w:val="21"/>
              </w:rPr>
            </w:pPr>
            <w:r>
              <w:rPr>
                <w:rFonts w:hint="eastAsia"/>
                <w:kern w:val="0"/>
                <w:szCs w:val="21"/>
              </w:rPr>
              <w:t>开户银行：</w:t>
            </w:r>
          </w:p>
        </w:tc>
        <w:tc>
          <w:tcPr>
            <w:tcW w:w="4518" w:type="dxa"/>
            <w:vAlign w:val="center"/>
          </w:tcPr>
          <w:p w14:paraId="55B2AEC9">
            <w:pPr>
              <w:spacing w:line="360" w:lineRule="auto"/>
              <w:rPr>
                <w:kern w:val="0"/>
                <w:szCs w:val="21"/>
              </w:rPr>
            </w:pPr>
            <w:r>
              <w:rPr>
                <w:rFonts w:hint="eastAsia"/>
                <w:kern w:val="0"/>
                <w:szCs w:val="21"/>
              </w:rPr>
              <w:t>开户银行：</w:t>
            </w:r>
          </w:p>
        </w:tc>
      </w:tr>
      <w:tr w14:paraId="55B2AECD">
        <w:tblPrEx>
          <w:tblCellMar>
            <w:top w:w="0" w:type="dxa"/>
            <w:left w:w="108" w:type="dxa"/>
            <w:bottom w:w="0" w:type="dxa"/>
            <w:right w:w="108" w:type="dxa"/>
          </w:tblCellMar>
        </w:tblPrEx>
        <w:trPr>
          <w:jc w:val="center"/>
        </w:trPr>
        <w:tc>
          <w:tcPr>
            <w:tcW w:w="4518" w:type="dxa"/>
            <w:vAlign w:val="center"/>
          </w:tcPr>
          <w:p w14:paraId="55B2AECB">
            <w:pPr>
              <w:spacing w:line="360" w:lineRule="auto"/>
              <w:rPr>
                <w:kern w:val="0"/>
                <w:szCs w:val="21"/>
              </w:rPr>
            </w:pPr>
            <w:r>
              <w:rPr>
                <w:rFonts w:hint="eastAsia"/>
                <w:kern w:val="0"/>
                <w:szCs w:val="21"/>
              </w:rPr>
              <w:t>账 号：</w:t>
            </w:r>
          </w:p>
        </w:tc>
        <w:tc>
          <w:tcPr>
            <w:tcW w:w="4518" w:type="dxa"/>
            <w:vAlign w:val="center"/>
          </w:tcPr>
          <w:p w14:paraId="55B2AECC">
            <w:pPr>
              <w:spacing w:line="360" w:lineRule="auto"/>
              <w:rPr>
                <w:kern w:val="0"/>
                <w:szCs w:val="21"/>
              </w:rPr>
            </w:pPr>
            <w:r>
              <w:rPr>
                <w:rFonts w:hint="eastAsia"/>
                <w:kern w:val="0"/>
                <w:szCs w:val="21"/>
                <w:lang w:eastAsia="zh-CN"/>
              </w:rPr>
              <w:t>账</w:t>
            </w:r>
            <w:r>
              <w:rPr>
                <w:kern w:val="0"/>
                <w:szCs w:val="21"/>
              </w:rPr>
              <w:t xml:space="preserve"> </w:t>
            </w:r>
            <w:r>
              <w:rPr>
                <w:rFonts w:hint="eastAsia"/>
                <w:kern w:val="0"/>
                <w:szCs w:val="21"/>
              </w:rPr>
              <w:t>号：</w:t>
            </w:r>
          </w:p>
        </w:tc>
      </w:tr>
      <w:tr w14:paraId="55B2AED0">
        <w:tblPrEx>
          <w:tblCellMar>
            <w:top w:w="0" w:type="dxa"/>
            <w:left w:w="108" w:type="dxa"/>
            <w:bottom w:w="0" w:type="dxa"/>
            <w:right w:w="108" w:type="dxa"/>
          </w:tblCellMar>
        </w:tblPrEx>
        <w:trPr>
          <w:jc w:val="center"/>
        </w:trPr>
        <w:tc>
          <w:tcPr>
            <w:tcW w:w="4518" w:type="dxa"/>
            <w:vAlign w:val="center"/>
          </w:tcPr>
          <w:p w14:paraId="55B2AECE">
            <w:pPr>
              <w:spacing w:line="360" w:lineRule="auto"/>
              <w:rPr>
                <w:kern w:val="0"/>
                <w:szCs w:val="21"/>
              </w:rPr>
            </w:pPr>
            <w:r>
              <w:rPr>
                <w:kern w:val="0"/>
                <w:szCs w:val="21"/>
              </w:rPr>
              <w:t>时  间：</w:t>
            </w:r>
            <w:r>
              <w:rPr>
                <w:kern w:val="0"/>
                <w:szCs w:val="21"/>
                <w:u w:val="single"/>
              </w:rPr>
              <w:t>2026年  月  日</w:t>
            </w:r>
          </w:p>
        </w:tc>
        <w:tc>
          <w:tcPr>
            <w:tcW w:w="4518" w:type="dxa"/>
            <w:vAlign w:val="center"/>
          </w:tcPr>
          <w:p w14:paraId="55B2AECF">
            <w:pPr>
              <w:spacing w:line="360" w:lineRule="auto"/>
              <w:rPr>
                <w:kern w:val="0"/>
                <w:szCs w:val="21"/>
              </w:rPr>
            </w:pPr>
            <w:r>
              <w:rPr>
                <w:kern w:val="0"/>
                <w:szCs w:val="21"/>
              </w:rPr>
              <w:t>时  间：</w:t>
            </w:r>
            <w:r>
              <w:rPr>
                <w:kern w:val="0"/>
                <w:szCs w:val="21"/>
                <w:u w:val="single"/>
              </w:rPr>
              <w:t>2026年   月   日</w:t>
            </w:r>
          </w:p>
        </w:tc>
      </w:tr>
    </w:tbl>
    <w:p w14:paraId="55B2AED1">
      <w:pPr>
        <w:keepNext/>
        <w:keepLines/>
        <w:spacing w:before="280" w:after="290" w:line="377" w:lineRule="auto"/>
        <w:jc w:val="center"/>
        <w:outlineLvl w:val="1"/>
        <w:rPr>
          <w:rFonts w:eastAsia="黑体"/>
          <w:b/>
          <w:sz w:val="32"/>
        </w:rPr>
      </w:pPr>
      <w:r>
        <w:rPr>
          <w:szCs w:val="21"/>
        </w:rPr>
        <w:br w:type="page"/>
      </w:r>
      <w:r>
        <w:rPr>
          <w:rFonts w:hint="eastAsia" w:eastAsia="黑体"/>
          <w:b/>
          <w:sz w:val="32"/>
        </w:rPr>
        <w:t>第</w:t>
      </w:r>
      <w:r>
        <w:rPr>
          <w:rFonts w:eastAsia="黑体"/>
          <w:b/>
          <w:sz w:val="32"/>
        </w:rPr>
        <w:t>二</w:t>
      </w:r>
      <w:r>
        <w:rPr>
          <w:rFonts w:hint="eastAsia" w:eastAsia="黑体"/>
          <w:b/>
          <w:sz w:val="32"/>
        </w:rPr>
        <w:t>部分</w:t>
      </w:r>
      <w:r>
        <w:rPr>
          <w:rFonts w:eastAsia="黑体"/>
          <w:b/>
          <w:sz w:val="32"/>
        </w:rPr>
        <w:t xml:space="preserve"> 合同条款</w:t>
      </w:r>
    </w:p>
    <w:p w14:paraId="55B2AED2">
      <w:pPr>
        <w:tabs>
          <w:tab w:val="center" w:pos="5099"/>
        </w:tabs>
        <w:spacing w:line="560" w:lineRule="exact"/>
        <w:rPr>
          <w:b/>
          <w:kern w:val="0"/>
          <w:szCs w:val="21"/>
        </w:rPr>
      </w:pPr>
      <w:r>
        <w:rPr>
          <w:b/>
          <w:kern w:val="0"/>
          <w:szCs w:val="21"/>
        </w:rPr>
        <w:t>1.一般约定</w:t>
      </w:r>
    </w:p>
    <w:p w14:paraId="55B2AED3">
      <w:pPr>
        <w:tabs>
          <w:tab w:val="center" w:pos="5099"/>
        </w:tabs>
        <w:spacing w:line="560" w:lineRule="exact"/>
        <w:rPr>
          <w:b/>
          <w:kern w:val="0"/>
          <w:szCs w:val="21"/>
        </w:rPr>
      </w:pPr>
      <w:r>
        <w:rPr>
          <w:b/>
          <w:kern w:val="0"/>
          <w:szCs w:val="21"/>
        </w:rPr>
        <w:t>1.1词语定义</w:t>
      </w:r>
    </w:p>
    <w:p w14:paraId="55B2AED4">
      <w:pPr>
        <w:widowControl/>
        <w:spacing w:line="360" w:lineRule="auto"/>
        <w:jc w:val="left"/>
        <w:rPr>
          <w:szCs w:val="21"/>
        </w:rPr>
      </w:pPr>
      <w:r>
        <w:rPr>
          <w:szCs w:val="21"/>
        </w:rPr>
        <w:t>合同中的下列词语应具有本款所赋予的含义。</w:t>
      </w:r>
    </w:p>
    <w:p w14:paraId="55B2AED5">
      <w:pPr>
        <w:spacing w:line="360" w:lineRule="auto"/>
        <w:ind w:firstLine="420" w:firstLineChars="200"/>
        <w:jc w:val="left"/>
        <w:rPr>
          <w:szCs w:val="21"/>
        </w:rPr>
      </w:pPr>
      <w:r>
        <w:rPr>
          <w:szCs w:val="21"/>
        </w:rPr>
        <w:t>1.1.1合同</w:t>
      </w:r>
    </w:p>
    <w:p w14:paraId="55B2AED6">
      <w:pPr>
        <w:spacing w:line="300" w:lineRule="auto"/>
        <w:ind w:firstLine="420" w:firstLineChars="200"/>
        <w:rPr>
          <w:kern w:val="0"/>
          <w:szCs w:val="21"/>
        </w:rPr>
      </w:pPr>
      <w:r>
        <w:rPr>
          <w:kern w:val="0"/>
          <w:szCs w:val="21"/>
        </w:rPr>
        <w:t>1.1.1.1合同文件（或称合同）：指合同补充协议及其附件、成交通知书、合同协议书、合同条款、供货及技术要求、响应文件、响应文件补充文件及其附件、谈判文件、谈判补充文件及其附件、保密协议、廉政合同、</w:t>
      </w:r>
      <w:r>
        <w:rPr>
          <w:rFonts w:hint="eastAsia"/>
          <w:kern w:val="0"/>
          <w:szCs w:val="21"/>
          <w:lang w:eastAsia="zh-CN"/>
        </w:rPr>
        <w:t>其他</w:t>
      </w:r>
      <w:r>
        <w:rPr>
          <w:kern w:val="0"/>
          <w:szCs w:val="21"/>
        </w:rPr>
        <w:t>本合同构成文件，以及其他构成合同组成部分的文件。</w:t>
      </w:r>
    </w:p>
    <w:p w14:paraId="55B2AED7">
      <w:pPr>
        <w:spacing w:line="300" w:lineRule="auto"/>
        <w:ind w:firstLine="420" w:firstLineChars="200"/>
        <w:rPr>
          <w:kern w:val="0"/>
          <w:sz w:val="24"/>
        </w:rPr>
      </w:pPr>
      <w:r>
        <w:rPr>
          <w:kern w:val="0"/>
          <w:szCs w:val="21"/>
        </w:rPr>
        <w:t>1.1.1.2合同补充协议及其附件：</w:t>
      </w:r>
      <w:r>
        <w:rPr>
          <w:kern w:val="0"/>
          <w:sz w:val="22"/>
          <w:szCs w:val="22"/>
        </w:rPr>
        <w:t>是对原合同的补充或者变更，包括补充协议及其附件等书面确认文件。</w:t>
      </w:r>
    </w:p>
    <w:p w14:paraId="55B2AED8">
      <w:pPr>
        <w:widowControl/>
        <w:spacing w:line="360" w:lineRule="auto"/>
        <w:ind w:firstLine="420" w:firstLineChars="200"/>
        <w:jc w:val="left"/>
        <w:rPr>
          <w:szCs w:val="21"/>
        </w:rPr>
      </w:pPr>
      <w:r>
        <w:rPr>
          <w:szCs w:val="21"/>
        </w:rPr>
        <w:t>1.1.1.3成交通知书：指甲方通知乙方</w:t>
      </w:r>
      <w:r>
        <w:rPr>
          <w:rFonts w:hint="eastAsia"/>
          <w:szCs w:val="21"/>
        </w:rPr>
        <w:t>成交</w:t>
      </w:r>
      <w:r>
        <w:rPr>
          <w:szCs w:val="21"/>
        </w:rPr>
        <w:t>的函件。</w:t>
      </w:r>
    </w:p>
    <w:p w14:paraId="55B2AED9">
      <w:pPr>
        <w:widowControl/>
        <w:spacing w:line="360" w:lineRule="auto"/>
        <w:ind w:firstLine="420" w:firstLineChars="200"/>
        <w:jc w:val="left"/>
        <w:rPr>
          <w:szCs w:val="21"/>
        </w:rPr>
      </w:pPr>
      <w:r>
        <w:rPr>
          <w:szCs w:val="21"/>
        </w:rPr>
        <w:t>1.1.1.4合同协议书：指甲方和乙方共同签署的合同协议书。</w:t>
      </w:r>
    </w:p>
    <w:p w14:paraId="55B2AEDA">
      <w:pPr>
        <w:widowControl/>
        <w:spacing w:line="360" w:lineRule="auto"/>
        <w:ind w:firstLine="420" w:firstLineChars="200"/>
        <w:jc w:val="left"/>
        <w:rPr>
          <w:szCs w:val="21"/>
        </w:rPr>
      </w:pPr>
      <w:r>
        <w:rPr>
          <w:szCs w:val="21"/>
        </w:rPr>
        <w:t>1.1.1.5供货及技术要求：指合同文件中名为“供货及技术要求”的文件。</w:t>
      </w:r>
    </w:p>
    <w:p w14:paraId="55B2AEDB">
      <w:pPr>
        <w:widowControl/>
        <w:spacing w:line="360" w:lineRule="auto"/>
        <w:ind w:firstLine="420" w:firstLineChars="200"/>
        <w:jc w:val="left"/>
        <w:rPr>
          <w:szCs w:val="21"/>
        </w:rPr>
      </w:pPr>
      <w:r>
        <w:rPr>
          <w:szCs w:val="21"/>
        </w:rPr>
        <w:t>1.1.1.6其他合同文件：指经合同双方当事人确认构成合同文件的其他文件。</w:t>
      </w:r>
    </w:p>
    <w:p w14:paraId="55B2AEDC">
      <w:pPr>
        <w:widowControl/>
        <w:spacing w:line="360" w:lineRule="auto"/>
        <w:ind w:firstLine="420" w:firstLineChars="200"/>
        <w:jc w:val="left"/>
        <w:rPr>
          <w:szCs w:val="21"/>
        </w:rPr>
      </w:pPr>
      <w:r>
        <w:rPr>
          <w:szCs w:val="21"/>
        </w:rPr>
        <w:t>1.1.2合同当事人</w:t>
      </w:r>
    </w:p>
    <w:p w14:paraId="55B2AEDD">
      <w:pPr>
        <w:widowControl/>
        <w:spacing w:line="360" w:lineRule="auto"/>
        <w:ind w:firstLine="420" w:firstLineChars="200"/>
        <w:jc w:val="left"/>
        <w:rPr>
          <w:szCs w:val="21"/>
        </w:rPr>
      </w:pPr>
      <w:r>
        <w:rPr>
          <w:szCs w:val="21"/>
        </w:rPr>
        <w:t>1.1.2.1合同当事人：指甲方和（或）乙方。</w:t>
      </w:r>
    </w:p>
    <w:p w14:paraId="55B2AEDE">
      <w:pPr>
        <w:widowControl/>
        <w:spacing w:line="360" w:lineRule="auto"/>
        <w:ind w:firstLine="420" w:firstLineChars="200"/>
        <w:jc w:val="left"/>
        <w:rPr>
          <w:szCs w:val="21"/>
        </w:rPr>
      </w:pPr>
      <w:r>
        <w:rPr>
          <w:szCs w:val="21"/>
        </w:rPr>
        <w:t>1.1.2.2甲方：指与乙方签订合同协议书，购买合同设备和技术服务和质保期服务的当事人，及其合法继承人。</w:t>
      </w:r>
    </w:p>
    <w:p w14:paraId="55B2AEDF">
      <w:pPr>
        <w:widowControl/>
        <w:spacing w:line="360" w:lineRule="auto"/>
        <w:ind w:firstLine="420" w:firstLineChars="200"/>
        <w:jc w:val="left"/>
        <w:rPr>
          <w:szCs w:val="21"/>
        </w:rPr>
      </w:pPr>
      <w:r>
        <w:rPr>
          <w:szCs w:val="21"/>
        </w:rPr>
        <w:t>1.1.2.3乙方：指与甲方签订合同协议书，提供合同设备和技术服务和质保期服务的当事人，及其合法继承人。</w:t>
      </w:r>
    </w:p>
    <w:p w14:paraId="55B2AEE0">
      <w:pPr>
        <w:widowControl/>
        <w:spacing w:line="360" w:lineRule="auto"/>
        <w:ind w:firstLine="420" w:firstLineChars="200"/>
        <w:jc w:val="left"/>
        <w:rPr>
          <w:szCs w:val="21"/>
        </w:rPr>
      </w:pPr>
      <w:r>
        <w:rPr>
          <w:szCs w:val="21"/>
        </w:rPr>
        <w:t>1.1.3合同价格</w:t>
      </w:r>
    </w:p>
    <w:p w14:paraId="55B2AEE1">
      <w:pPr>
        <w:widowControl/>
        <w:spacing w:line="360" w:lineRule="auto"/>
        <w:ind w:firstLine="420" w:firstLineChars="200"/>
        <w:jc w:val="left"/>
        <w:rPr>
          <w:szCs w:val="21"/>
        </w:rPr>
      </w:pPr>
      <w:r>
        <w:rPr>
          <w:szCs w:val="21"/>
        </w:rPr>
        <w:t>1.1.3.1合同固定含税总价：是签订合同时合同协议书中写明的固定含税总金额。</w:t>
      </w:r>
    </w:p>
    <w:p w14:paraId="55B2AEE2">
      <w:pPr>
        <w:widowControl/>
        <w:spacing w:line="360" w:lineRule="auto"/>
        <w:ind w:firstLine="420" w:firstLineChars="200"/>
        <w:jc w:val="left"/>
        <w:rPr>
          <w:szCs w:val="21"/>
        </w:rPr>
      </w:pPr>
      <w:r>
        <w:rPr>
          <w:szCs w:val="21"/>
        </w:rPr>
        <w:t>1.1.3.2合同价格：指乙方按合同约定履行了全部合同义务后，甲方应付给乙方的金额。</w:t>
      </w:r>
    </w:p>
    <w:p w14:paraId="55B2AEE3">
      <w:pPr>
        <w:widowControl/>
        <w:spacing w:line="360" w:lineRule="auto"/>
        <w:ind w:firstLine="420" w:firstLineChars="200"/>
        <w:jc w:val="left"/>
        <w:rPr>
          <w:szCs w:val="21"/>
        </w:rPr>
      </w:pPr>
      <w:r>
        <w:rPr>
          <w:szCs w:val="21"/>
        </w:rPr>
        <w:t>1.1.4合同设备：指乙方按合同约定应向甲方提供的设备、装置、备品、备件、易损易耗件配套使用的软件或其他辅助电子应用程序及技术资料，或其中任何一部分。</w:t>
      </w:r>
    </w:p>
    <w:p w14:paraId="55B2AEE4">
      <w:pPr>
        <w:widowControl/>
        <w:spacing w:line="360" w:lineRule="auto"/>
        <w:ind w:firstLine="420" w:firstLineChars="200"/>
        <w:jc w:val="left"/>
        <w:rPr>
          <w:szCs w:val="21"/>
        </w:rPr>
      </w:pPr>
      <w:r>
        <w:rPr>
          <w:szCs w:val="21"/>
        </w:rPr>
        <w:t>1.1.5技术资料：指各种纸质及电子载体的与合同设备的技术、检验、安装、调试、考核、操作、维修以及保养等有关的技术指标、规格、图纸和说明文件。</w:t>
      </w:r>
    </w:p>
    <w:p w14:paraId="55B2AEE5">
      <w:pPr>
        <w:widowControl/>
        <w:spacing w:line="360" w:lineRule="auto"/>
        <w:ind w:firstLine="420" w:firstLineChars="200"/>
        <w:jc w:val="left"/>
        <w:rPr>
          <w:szCs w:val="21"/>
        </w:rPr>
      </w:pPr>
      <w:r>
        <w:rPr>
          <w:szCs w:val="21"/>
        </w:rPr>
        <w:t>1.1.6安装：指对合同设备进行的组装、连接以及根据需要将合同设备固定在施工场地内一定的位置上，使其就位并与相关设备、工程实现连接。</w:t>
      </w:r>
    </w:p>
    <w:p w14:paraId="55B2AEE6">
      <w:pPr>
        <w:widowControl/>
        <w:spacing w:line="360" w:lineRule="auto"/>
        <w:ind w:firstLine="420" w:firstLineChars="200"/>
        <w:jc w:val="left"/>
        <w:rPr>
          <w:szCs w:val="21"/>
        </w:rPr>
      </w:pPr>
      <w:r>
        <w:rPr>
          <w:szCs w:val="21"/>
        </w:rPr>
        <w:t>1.1.7指导安装（或安装指导）：指对合同设备进行的组装、连接以及根据需要将合同设备固定在施工场地内一定的位置上，使其就位并与相关设备、工程实现连接需提供的安装技术指导、专用工具提供、人员现场服务或协助等服务。</w:t>
      </w:r>
    </w:p>
    <w:p w14:paraId="55B2AEE7">
      <w:pPr>
        <w:widowControl/>
        <w:spacing w:line="360" w:lineRule="auto"/>
        <w:ind w:firstLine="420" w:firstLineChars="200"/>
        <w:jc w:val="left"/>
        <w:rPr>
          <w:szCs w:val="21"/>
        </w:rPr>
      </w:pPr>
      <w:r>
        <w:rPr>
          <w:szCs w:val="21"/>
        </w:rPr>
        <w:t>1.1.8调试：指在合同设备安装完成后，对合同设备所进行的调校和测试。</w:t>
      </w:r>
    </w:p>
    <w:p w14:paraId="55B2AEE8">
      <w:pPr>
        <w:widowControl/>
        <w:spacing w:line="360" w:lineRule="auto"/>
        <w:ind w:firstLine="420" w:firstLineChars="200"/>
        <w:jc w:val="left"/>
        <w:rPr>
          <w:szCs w:val="21"/>
        </w:rPr>
      </w:pPr>
      <w:r>
        <w:rPr>
          <w:szCs w:val="21"/>
        </w:rPr>
        <w:t>1.1.9性能考核：指在合同设备调试完成后，对合同设备进行的用于确定其是否达到合同约定的技术性能考核指标的考核。</w:t>
      </w:r>
    </w:p>
    <w:p w14:paraId="55B2AEE9">
      <w:pPr>
        <w:widowControl/>
        <w:spacing w:line="360" w:lineRule="auto"/>
        <w:ind w:firstLine="420" w:firstLineChars="200"/>
        <w:jc w:val="left"/>
        <w:rPr>
          <w:szCs w:val="21"/>
        </w:rPr>
      </w:pPr>
      <w:r>
        <w:rPr>
          <w:szCs w:val="21"/>
        </w:rPr>
        <w:t>1.1.10验收：指合同设备通过考核达到合同约定的技术性能考核指标后，甲方作出</w:t>
      </w:r>
      <w:r>
        <w:rPr>
          <w:rFonts w:hint="eastAsia"/>
          <w:szCs w:val="21"/>
          <w:lang w:eastAsia="zh-CN"/>
        </w:rPr>
        <w:t>接收</w:t>
      </w:r>
      <w:r>
        <w:rPr>
          <w:szCs w:val="21"/>
        </w:rPr>
        <w:t>合同设备的确认。</w:t>
      </w:r>
    </w:p>
    <w:p w14:paraId="55B2AEEA">
      <w:pPr>
        <w:widowControl/>
        <w:spacing w:line="360" w:lineRule="auto"/>
        <w:ind w:firstLine="420" w:firstLineChars="200"/>
        <w:jc w:val="left"/>
        <w:rPr>
          <w:szCs w:val="21"/>
        </w:rPr>
      </w:pPr>
      <w:r>
        <w:rPr>
          <w:szCs w:val="21"/>
        </w:rPr>
        <w:t>1.1.11技术服务：指乙方按合同约定，在合同设备验收前，向甲方提供的安装、调试服务，或者在由甲方负责的安装、调试、考核中对甲方进行的技术指导、协助、监督和培训等。</w:t>
      </w:r>
    </w:p>
    <w:p w14:paraId="55B2AEEB">
      <w:pPr>
        <w:widowControl/>
        <w:spacing w:line="360" w:lineRule="auto"/>
        <w:ind w:firstLine="420" w:firstLineChars="200"/>
        <w:jc w:val="left"/>
        <w:rPr>
          <w:szCs w:val="21"/>
        </w:rPr>
      </w:pPr>
      <w:r>
        <w:rPr>
          <w:szCs w:val="21"/>
        </w:rPr>
        <w:t>1.1.12履约保证金：指乙方向甲方提供的用于保证合同设备按合同约定性能考核合格的四大国有银行保函或银行转账。</w:t>
      </w:r>
    </w:p>
    <w:p w14:paraId="55B2AEEC">
      <w:pPr>
        <w:widowControl/>
        <w:spacing w:line="360" w:lineRule="auto"/>
        <w:ind w:firstLine="420" w:firstLineChars="200"/>
        <w:jc w:val="left"/>
        <w:rPr>
          <w:szCs w:val="21"/>
        </w:rPr>
      </w:pPr>
      <w:r>
        <w:rPr>
          <w:szCs w:val="21"/>
        </w:rPr>
        <w:t>1.1.13质量保证期：指合同设备验收后，乙方按合同约定保证合同设备适当、稳定运行，并负责消除合同设备故障的期限。</w:t>
      </w:r>
    </w:p>
    <w:p w14:paraId="55B2AEED">
      <w:pPr>
        <w:widowControl/>
        <w:spacing w:line="360" w:lineRule="auto"/>
        <w:ind w:firstLine="420" w:firstLineChars="200"/>
        <w:jc w:val="left"/>
        <w:rPr>
          <w:szCs w:val="21"/>
        </w:rPr>
      </w:pPr>
      <w:r>
        <w:rPr>
          <w:szCs w:val="21"/>
        </w:rPr>
        <w:t>1.1.14质保期服务：指在质量保证期内，乙方向甲方提供的合同设备维护服务、咨询服务、技术指导、协助以及对出现故障的合同设备进行修理或更换的服务。</w:t>
      </w:r>
    </w:p>
    <w:p w14:paraId="55B2AEEE">
      <w:pPr>
        <w:widowControl/>
        <w:spacing w:line="360" w:lineRule="auto"/>
        <w:ind w:firstLine="420" w:firstLineChars="200"/>
        <w:jc w:val="left"/>
        <w:rPr>
          <w:szCs w:val="21"/>
        </w:rPr>
      </w:pPr>
      <w:r>
        <w:rPr>
          <w:szCs w:val="21"/>
        </w:rPr>
        <w:t>1.1.15质量保金（质保金）：指在质量保证期内，从甲方应付的费用中预留的用于设备性能质量保证的资金。</w:t>
      </w:r>
    </w:p>
    <w:p w14:paraId="55B2AEEF">
      <w:pPr>
        <w:widowControl/>
        <w:spacing w:line="360" w:lineRule="auto"/>
        <w:ind w:firstLine="420" w:firstLineChars="200"/>
        <w:jc w:val="left"/>
        <w:rPr>
          <w:szCs w:val="21"/>
        </w:rPr>
      </w:pPr>
      <w:r>
        <w:rPr>
          <w:szCs w:val="21"/>
        </w:rPr>
        <w:t>1.1.16工程</w:t>
      </w:r>
    </w:p>
    <w:p w14:paraId="55B2AEF0">
      <w:pPr>
        <w:widowControl/>
        <w:spacing w:line="360" w:lineRule="auto"/>
        <w:ind w:firstLine="420" w:firstLineChars="200"/>
        <w:jc w:val="left"/>
        <w:rPr>
          <w:szCs w:val="21"/>
        </w:rPr>
      </w:pPr>
      <w:r>
        <w:rPr>
          <w:szCs w:val="21"/>
        </w:rPr>
        <w:t>1.1.16.1工程：指在合同条款中指明的，安装运行合同设备的工程。</w:t>
      </w:r>
    </w:p>
    <w:p w14:paraId="55B2AEF1">
      <w:pPr>
        <w:widowControl/>
        <w:spacing w:line="360" w:lineRule="auto"/>
        <w:ind w:firstLine="420" w:firstLineChars="200"/>
        <w:jc w:val="left"/>
        <w:rPr>
          <w:szCs w:val="21"/>
        </w:rPr>
      </w:pPr>
      <w:r>
        <w:rPr>
          <w:szCs w:val="21"/>
        </w:rPr>
        <w:t>1.1.16.2施工场地（或称工地、施工现场）：指合同条款中指明的工程所在场所。</w:t>
      </w:r>
    </w:p>
    <w:p w14:paraId="55B2AEF2">
      <w:pPr>
        <w:widowControl/>
        <w:spacing w:line="360" w:lineRule="auto"/>
        <w:ind w:firstLine="420" w:firstLineChars="200"/>
        <w:jc w:val="left"/>
        <w:rPr>
          <w:szCs w:val="21"/>
        </w:rPr>
      </w:pPr>
      <w:r>
        <w:rPr>
          <w:szCs w:val="21"/>
        </w:rPr>
        <w:t>1.1.17天（或称日）：除特别指明外，指日历天。合同中按天计算时间的，开始当天不计入，从次日开始计算。合同约定的期间的最后一天是星期日或者其他法定休假日的，以休假日的次日为期间的最后一天。</w:t>
      </w:r>
    </w:p>
    <w:p w14:paraId="55B2AEF3">
      <w:pPr>
        <w:widowControl/>
        <w:spacing w:line="360" w:lineRule="auto"/>
        <w:ind w:firstLine="420" w:firstLineChars="200"/>
        <w:jc w:val="left"/>
        <w:rPr>
          <w:szCs w:val="21"/>
        </w:rPr>
      </w:pPr>
      <w:r>
        <w:rPr>
          <w:szCs w:val="21"/>
        </w:rPr>
        <w:t>1.1.18月：按照公历月计算。合同中按月计算时间的，开始当天不计入，从次日开始计算。合同约定的期间的最后一天是星期日或者其他法定休假日的，以休假日的次日为期间的最后一天。</w:t>
      </w:r>
    </w:p>
    <w:p w14:paraId="55B2AEF4">
      <w:pPr>
        <w:widowControl/>
        <w:spacing w:line="360" w:lineRule="auto"/>
        <w:ind w:firstLine="420" w:firstLineChars="200"/>
        <w:jc w:val="left"/>
        <w:rPr>
          <w:szCs w:val="21"/>
        </w:rPr>
      </w:pPr>
      <w:r>
        <w:rPr>
          <w:szCs w:val="21"/>
        </w:rPr>
        <w:t>1.1.19书面形式：指合同文件、信件和数据电文（包括电报、电传、传真、电子数据交换和电子邮件）等可以有形地表现所载内容的形式。</w:t>
      </w:r>
    </w:p>
    <w:p w14:paraId="55B2AEF5">
      <w:pPr>
        <w:tabs>
          <w:tab w:val="center" w:pos="5099"/>
        </w:tabs>
        <w:spacing w:line="560" w:lineRule="exact"/>
        <w:rPr>
          <w:b/>
          <w:kern w:val="0"/>
          <w:szCs w:val="21"/>
        </w:rPr>
      </w:pPr>
      <w:r>
        <w:rPr>
          <w:rFonts w:hint="eastAsia"/>
          <w:b/>
          <w:kern w:val="0"/>
          <w:szCs w:val="21"/>
        </w:rPr>
        <w:t>1.2语言文字</w:t>
      </w:r>
    </w:p>
    <w:p w14:paraId="55B2AEF6">
      <w:pPr>
        <w:widowControl/>
        <w:spacing w:line="360" w:lineRule="auto"/>
        <w:ind w:firstLine="420" w:firstLineChars="200"/>
        <w:jc w:val="left"/>
        <w:rPr>
          <w:szCs w:val="21"/>
        </w:rPr>
      </w:pPr>
      <w:r>
        <w:rPr>
          <w:szCs w:val="21"/>
        </w:rPr>
        <w:t>合同使用的语言文字为中文。专用术语使用外文的，应附有中文注释。</w:t>
      </w:r>
    </w:p>
    <w:p w14:paraId="55B2AEF7">
      <w:pPr>
        <w:tabs>
          <w:tab w:val="center" w:pos="5099"/>
        </w:tabs>
        <w:spacing w:line="560" w:lineRule="exact"/>
        <w:rPr>
          <w:b/>
          <w:kern w:val="0"/>
          <w:szCs w:val="21"/>
        </w:rPr>
      </w:pPr>
      <w:r>
        <w:rPr>
          <w:rFonts w:hint="eastAsia"/>
          <w:b/>
          <w:kern w:val="0"/>
          <w:szCs w:val="21"/>
        </w:rPr>
        <w:t>1.3合同文件的优先顺序</w:t>
      </w:r>
    </w:p>
    <w:p w14:paraId="55B2AEF8">
      <w:pPr>
        <w:spacing w:line="300" w:lineRule="auto"/>
        <w:ind w:firstLine="420" w:firstLineChars="200"/>
        <w:rPr>
          <w:kern w:val="0"/>
          <w:szCs w:val="21"/>
        </w:rPr>
      </w:pPr>
      <w:r>
        <w:rPr>
          <w:kern w:val="0"/>
          <w:szCs w:val="21"/>
        </w:rPr>
        <w:t>下列文件一起构成合同文件：</w:t>
      </w:r>
    </w:p>
    <w:p w14:paraId="55B2AEF9">
      <w:pPr>
        <w:spacing w:line="300" w:lineRule="auto"/>
        <w:ind w:firstLine="420" w:firstLineChars="200"/>
        <w:rPr>
          <w:kern w:val="0"/>
          <w:szCs w:val="21"/>
        </w:rPr>
      </w:pPr>
      <w:r>
        <w:rPr>
          <w:kern w:val="0"/>
          <w:szCs w:val="21"/>
        </w:rPr>
        <w:t>（1）合同补充协议及其附件；</w:t>
      </w:r>
    </w:p>
    <w:p w14:paraId="55B2AEFA">
      <w:pPr>
        <w:spacing w:line="300" w:lineRule="auto"/>
        <w:ind w:firstLine="420" w:firstLineChars="200"/>
        <w:rPr>
          <w:kern w:val="0"/>
          <w:szCs w:val="21"/>
        </w:rPr>
      </w:pPr>
      <w:r>
        <w:rPr>
          <w:kern w:val="0"/>
          <w:szCs w:val="21"/>
        </w:rPr>
        <w:t>（2）成交通知书；</w:t>
      </w:r>
    </w:p>
    <w:p w14:paraId="55B2AEFB">
      <w:pPr>
        <w:spacing w:line="300" w:lineRule="auto"/>
        <w:ind w:firstLine="420" w:firstLineChars="200"/>
        <w:rPr>
          <w:kern w:val="0"/>
          <w:szCs w:val="21"/>
        </w:rPr>
      </w:pPr>
      <w:r>
        <w:rPr>
          <w:kern w:val="0"/>
          <w:szCs w:val="21"/>
        </w:rPr>
        <w:t>（3）合同协议书；</w:t>
      </w:r>
    </w:p>
    <w:p w14:paraId="55B2AEFC">
      <w:pPr>
        <w:spacing w:line="300" w:lineRule="auto"/>
        <w:ind w:firstLine="420" w:firstLineChars="200"/>
        <w:rPr>
          <w:kern w:val="0"/>
          <w:szCs w:val="21"/>
        </w:rPr>
      </w:pPr>
      <w:r>
        <w:rPr>
          <w:kern w:val="0"/>
          <w:szCs w:val="21"/>
        </w:rPr>
        <w:t>（4）供货及技术要求；</w:t>
      </w:r>
    </w:p>
    <w:p w14:paraId="55B2AEFD">
      <w:pPr>
        <w:spacing w:line="300" w:lineRule="auto"/>
        <w:ind w:firstLine="420" w:firstLineChars="200"/>
        <w:rPr>
          <w:kern w:val="0"/>
          <w:szCs w:val="21"/>
        </w:rPr>
      </w:pPr>
      <w:r>
        <w:rPr>
          <w:kern w:val="0"/>
          <w:szCs w:val="21"/>
        </w:rPr>
        <w:t>（5）合同条款；</w:t>
      </w:r>
    </w:p>
    <w:p w14:paraId="55B2AEFE">
      <w:pPr>
        <w:spacing w:line="300" w:lineRule="auto"/>
        <w:ind w:firstLine="420" w:firstLineChars="200"/>
        <w:rPr>
          <w:kern w:val="0"/>
          <w:szCs w:val="21"/>
        </w:rPr>
      </w:pPr>
      <w:r>
        <w:rPr>
          <w:kern w:val="0"/>
          <w:szCs w:val="21"/>
        </w:rPr>
        <w:t>（6）响应文件、补充文件及其附件；</w:t>
      </w:r>
    </w:p>
    <w:p w14:paraId="55B2AEFF">
      <w:pPr>
        <w:spacing w:line="300" w:lineRule="auto"/>
        <w:ind w:firstLine="420" w:firstLineChars="200"/>
        <w:rPr>
          <w:kern w:val="0"/>
          <w:szCs w:val="21"/>
        </w:rPr>
      </w:pPr>
      <w:r>
        <w:rPr>
          <w:kern w:val="0"/>
          <w:szCs w:val="21"/>
        </w:rPr>
        <w:t>（7）谈判文件、谈判补充文件及其附件；</w:t>
      </w:r>
    </w:p>
    <w:p w14:paraId="55B2AF00">
      <w:pPr>
        <w:spacing w:line="300" w:lineRule="auto"/>
        <w:ind w:firstLine="420" w:firstLineChars="200"/>
        <w:rPr>
          <w:kern w:val="0"/>
          <w:szCs w:val="21"/>
        </w:rPr>
      </w:pPr>
      <w:r>
        <w:rPr>
          <w:kern w:val="0"/>
          <w:szCs w:val="21"/>
        </w:rPr>
        <w:t>（8）保密协议；</w:t>
      </w:r>
    </w:p>
    <w:p w14:paraId="55B2AF01">
      <w:pPr>
        <w:spacing w:line="300" w:lineRule="auto"/>
        <w:ind w:firstLine="420" w:firstLineChars="200"/>
        <w:rPr>
          <w:kern w:val="0"/>
          <w:szCs w:val="21"/>
        </w:rPr>
      </w:pPr>
      <w:r>
        <w:rPr>
          <w:kern w:val="0"/>
          <w:szCs w:val="21"/>
        </w:rPr>
        <w:t>（9）廉政合同；</w:t>
      </w:r>
    </w:p>
    <w:p w14:paraId="55B2AF02">
      <w:pPr>
        <w:spacing w:line="300" w:lineRule="auto"/>
        <w:ind w:firstLine="420" w:firstLineChars="200"/>
        <w:rPr>
          <w:kern w:val="0"/>
          <w:szCs w:val="21"/>
        </w:rPr>
      </w:pPr>
      <w:r>
        <w:rPr>
          <w:kern w:val="0"/>
          <w:szCs w:val="21"/>
        </w:rPr>
        <w:t>（10）其它本合同构成文件；</w:t>
      </w:r>
    </w:p>
    <w:p w14:paraId="55B2AF03">
      <w:pPr>
        <w:spacing w:line="300" w:lineRule="auto"/>
        <w:ind w:firstLine="420" w:firstLineChars="200"/>
        <w:rPr>
          <w:kern w:val="0"/>
          <w:szCs w:val="21"/>
        </w:rPr>
      </w:pPr>
      <w:r>
        <w:rPr>
          <w:kern w:val="0"/>
          <w:szCs w:val="21"/>
        </w:rPr>
        <w:t>在合同履行过程中形成的与合同有关的文件均构成合同文件组成部分，上述文件将相互补充，若有不明确或不一致处，以上述排序在前者为准。。</w:t>
      </w:r>
    </w:p>
    <w:p w14:paraId="55B2AF04">
      <w:pPr>
        <w:spacing w:line="300" w:lineRule="auto"/>
        <w:ind w:firstLine="420" w:firstLineChars="200"/>
        <w:rPr>
          <w:kern w:val="0"/>
          <w:szCs w:val="21"/>
        </w:rPr>
      </w:pPr>
      <w:r>
        <w:rPr>
          <w:kern w:val="0"/>
          <w:szCs w:val="21"/>
        </w:rPr>
        <w:t>上述各项合同文件包括合同当事人就该项合同文件所作出的补充和修改，属于同一类内容的文件，应以最新签署的为先。</w:t>
      </w:r>
    </w:p>
    <w:p w14:paraId="55B2AF05">
      <w:pPr>
        <w:spacing w:line="360" w:lineRule="auto"/>
        <w:rPr>
          <w:b/>
          <w:kern w:val="0"/>
          <w:szCs w:val="21"/>
        </w:rPr>
      </w:pPr>
      <w:r>
        <w:rPr>
          <w:b/>
          <w:kern w:val="0"/>
          <w:szCs w:val="21"/>
        </w:rPr>
        <w:t>1.4合同的生效及变更</w:t>
      </w:r>
    </w:p>
    <w:p w14:paraId="55B2AF06">
      <w:pPr>
        <w:widowControl/>
        <w:spacing w:line="360" w:lineRule="auto"/>
        <w:ind w:firstLine="420" w:firstLineChars="200"/>
        <w:jc w:val="left"/>
        <w:rPr>
          <w:szCs w:val="21"/>
        </w:rPr>
      </w:pPr>
      <w:r>
        <w:rPr>
          <w:szCs w:val="21"/>
        </w:rPr>
        <w:t>1.4.1自双方法定代表人或授权</w:t>
      </w:r>
      <w:r>
        <w:rPr>
          <w:rFonts w:hint="eastAsia"/>
          <w:szCs w:val="21"/>
        </w:rPr>
        <w:t>委托代理人</w:t>
      </w:r>
      <w:r>
        <w:rPr>
          <w:szCs w:val="21"/>
        </w:rPr>
        <w:t>签字或签章并加盖公司公章或合同专用章之日起生效，有效期至双方本合同项下的全部权利义务履行完毕时止。</w:t>
      </w:r>
    </w:p>
    <w:p w14:paraId="55B2AF07">
      <w:pPr>
        <w:widowControl/>
        <w:spacing w:line="360" w:lineRule="auto"/>
        <w:ind w:firstLine="420" w:firstLineChars="200"/>
        <w:jc w:val="left"/>
        <w:rPr>
          <w:szCs w:val="21"/>
        </w:rPr>
      </w:pPr>
      <w:r>
        <w:rPr>
          <w:szCs w:val="21"/>
        </w:rPr>
        <w:t>1.4.2在合同履行过程中，如需对合同进行变更，双方应签订书面协议，并经双方法定代表人（单位负责人）或其授权代表签字或签章并加盖单位公章后生效。</w:t>
      </w:r>
    </w:p>
    <w:p w14:paraId="55B2AF08">
      <w:pPr>
        <w:widowControl/>
        <w:spacing w:line="360" w:lineRule="auto"/>
        <w:ind w:firstLine="420" w:firstLineChars="200"/>
        <w:jc w:val="left"/>
        <w:rPr>
          <w:szCs w:val="21"/>
        </w:rPr>
      </w:pPr>
      <w:r>
        <w:rPr>
          <w:szCs w:val="21"/>
        </w:rPr>
        <w:t>1.4.3甲方要求变更合同时，乙方应按照变更的要求开展工作。如因此而发生费用和交货期的变化，乙方必须在甲方规定时间内提出费用和交货期变化的报告，经甲方审核批准或双方协商后，由双方签订合同变更作为合同履行的依据。</w:t>
      </w:r>
    </w:p>
    <w:p w14:paraId="55B2AF09">
      <w:pPr>
        <w:spacing w:line="360" w:lineRule="auto"/>
        <w:rPr>
          <w:b/>
          <w:kern w:val="0"/>
          <w:szCs w:val="21"/>
        </w:rPr>
      </w:pPr>
      <w:r>
        <w:rPr>
          <w:rFonts w:hint="eastAsia"/>
          <w:b/>
          <w:kern w:val="0"/>
          <w:szCs w:val="21"/>
        </w:rPr>
        <w:t>1.5联络</w:t>
      </w:r>
    </w:p>
    <w:p w14:paraId="55B2AF0A">
      <w:pPr>
        <w:widowControl/>
        <w:spacing w:line="360" w:lineRule="auto"/>
        <w:ind w:firstLine="420" w:firstLineChars="200"/>
        <w:jc w:val="left"/>
        <w:rPr>
          <w:szCs w:val="21"/>
        </w:rPr>
      </w:pPr>
      <w:r>
        <w:rPr>
          <w:szCs w:val="21"/>
        </w:rPr>
        <w:t>1.5.1甲乙双方应就合同履行中有关的事项及时进行联络，重要事项应通过书面形式进行联络或确认。合同履行过程中的任何联络及相关文件的签署，均应通过指定的联系人和联系方式进行。</w:t>
      </w:r>
    </w:p>
    <w:p w14:paraId="55B2AF0B">
      <w:pPr>
        <w:widowControl/>
        <w:spacing w:line="360" w:lineRule="auto"/>
        <w:ind w:firstLine="420" w:firstLineChars="200"/>
        <w:jc w:val="left"/>
        <w:rPr>
          <w:szCs w:val="21"/>
        </w:rPr>
      </w:pPr>
      <w:r>
        <w:rPr>
          <w:szCs w:val="21"/>
        </w:rPr>
        <w:t>甲方联系人：</w:t>
      </w:r>
    </w:p>
    <w:p w14:paraId="55B2AF0C">
      <w:pPr>
        <w:widowControl/>
        <w:spacing w:line="360" w:lineRule="auto"/>
        <w:ind w:firstLine="420" w:firstLineChars="200"/>
        <w:jc w:val="left"/>
        <w:rPr>
          <w:szCs w:val="21"/>
          <w:u w:val="single"/>
        </w:rPr>
      </w:pPr>
      <w:r>
        <w:rPr>
          <w:szCs w:val="21"/>
        </w:rPr>
        <w:t>联系电话：</w:t>
      </w:r>
    </w:p>
    <w:p w14:paraId="55B2AF0D">
      <w:pPr>
        <w:widowControl/>
        <w:spacing w:line="360" w:lineRule="auto"/>
        <w:ind w:firstLine="420" w:firstLineChars="200"/>
        <w:jc w:val="left"/>
        <w:rPr>
          <w:szCs w:val="21"/>
        </w:rPr>
      </w:pPr>
      <w:r>
        <w:rPr>
          <w:szCs w:val="21"/>
        </w:rPr>
        <w:t>电子邮箱：</w:t>
      </w:r>
    </w:p>
    <w:p w14:paraId="55B2AF0E">
      <w:pPr>
        <w:widowControl/>
        <w:spacing w:line="360" w:lineRule="auto"/>
        <w:ind w:firstLine="420" w:firstLineChars="200"/>
        <w:jc w:val="left"/>
        <w:rPr>
          <w:szCs w:val="21"/>
        </w:rPr>
      </w:pPr>
      <w:r>
        <w:rPr>
          <w:szCs w:val="21"/>
        </w:rPr>
        <w:t>联系地址：</w:t>
      </w:r>
    </w:p>
    <w:p w14:paraId="55B2AF0F">
      <w:pPr>
        <w:widowControl/>
        <w:spacing w:line="360" w:lineRule="auto"/>
        <w:ind w:firstLine="420" w:firstLineChars="200"/>
        <w:jc w:val="left"/>
        <w:rPr>
          <w:szCs w:val="21"/>
        </w:rPr>
      </w:pPr>
      <w:r>
        <w:rPr>
          <w:szCs w:val="21"/>
        </w:rPr>
        <w:t>乙方联系人：</w:t>
      </w:r>
    </w:p>
    <w:p w14:paraId="55B2AF10">
      <w:pPr>
        <w:widowControl/>
        <w:spacing w:line="360" w:lineRule="auto"/>
        <w:ind w:firstLine="420" w:firstLineChars="200"/>
        <w:jc w:val="left"/>
        <w:rPr>
          <w:szCs w:val="21"/>
          <w:u w:val="single"/>
        </w:rPr>
      </w:pPr>
      <w:r>
        <w:rPr>
          <w:szCs w:val="21"/>
        </w:rPr>
        <w:t>联系电话：</w:t>
      </w:r>
    </w:p>
    <w:p w14:paraId="55B2AF11">
      <w:pPr>
        <w:widowControl/>
        <w:spacing w:line="360" w:lineRule="auto"/>
        <w:ind w:firstLine="420" w:firstLineChars="200"/>
        <w:jc w:val="left"/>
        <w:rPr>
          <w:szCs w:val="21"/>
        </w:rPr>
      </w:pPr>
      <w:r>
        <w:rPr>
          <w:szCs w:val="21"/>
        </w:rPr>
        <w:t>电子邮箱：</w:t>
      </w:r>
    </w:p>
    <w:p w14:paraId="55B2AF12">
      <w:pPr>
        <w:widowControl/>
        <w:spacing w:line="360" w:lineRule="auto"/>
        <w:ind w:firstLine="420" w:firstLineChars="200"/>
        <w:jc w:val="left"/>
        <w:rPr>
          <w:szCs w:val="21"/>
        </w:rPr>
      </w:pPr>
      <w:r>
        <w:rPr>
          <w:szCs w:val="21"/>
        </w:rPr>
        <w:t>联系地址：</w:t>
      </w:r>
    </w:p>
    <w:p w14:paraId="55B2AF13">
      <w:pPr>
        <w:widowControl/>
        <w:spacing w:line="360" w:lineRule="auto"/>
        <w:ind w:firstLine="420" w:firstLineChars="200"/>
        <w:jc w:val="left"/>
        <w:rPr>
          <w:szCs w:val="21"/>
        </w:rPr>
      </w:pPr>
      <w:r>
        <w:rPr>
          <w:szCs w:val="21"/>
        </w:rPr>
        <w:t>合同履行过程中，双方可以书面形式增加或变更指定联系人。</w:t>
      </w:r>
    </w:p>
    <w:p w14:paraId="55B2AF14">
      <w:pPr>
        <w:widowControl/>
        <w:spacing w:line="360" w:lineRule="auto"/>
        <w:ind w:firstLine="420" w:firstLineChars="200"/>
        <w:jc w:val="left"/>
        <w:rPr>
          <w:szCs w:val="21"/>
        </w:rPr>
      </w:pPr>
      <w:r>
        <w:rPr>
          <w:szCs w:val="21"/>
        </w:rPr>
        <w:t>1.5.2合同履行中或与合同有关的任何联络，送达到第1.5.1项指定的联系人即视为送达。</w:t>
      </w:r>
    </w:p>
    <w:p w14:paraId="55B2AF15">
      <w:pPr>
        <w:widowControl/>
        <w:spacing w:line="360" w:lineRule="auto"/>
        <w:ind w:firstLine="420" w:firstLineChars="200"/>
        <w:jc w:val="left"/>
        <w:rPr>
          <w:szCs w:val="21"/>
        </w:rPr>
      </w:pPr>
      <w:r>
        <w:rPr>
          <w:szCs w:val="21"/>
        </w:rPr>
        <w:t>1.5.3甲方可以安排监理等相关人员作为甲方人员，与乙方进行联络或参加合同设备的监造（如有）、交货前检验（如有）、开箱检验、安装指导、调试、考核、验收等，但应按照第1.5.1项的约定事先书面通知乙方。</w:t>
      </w:r>
    </w:p>
    <w:p w14:paraId="55B2AF16">
      <w:pPr>
        <w:spacing w:line="360" w:lineRule="auto"/>
        <w:rPr>
          <w:b/>
          <w:kern w:val="0"/>
          <w:szCs w:val="21"/>
        </w:rPr>
      </w:pPr>
      <w:r>
        <w:rPr>
          <w:b/>
          <w:kern w:val="0"/>
          <w:szCs w:val="21"/>
        </w:rPr>
        <w:t>1.6</w:t>
      </w:r>
      <w:r>
        <w:rPr>
          <w:rFonts w:hint="eastAsia"/>
          <w:b/>
          <w:kern w:val="0"/>
          <w:szCs w:val="21"/>
        </w:rPr>
        <w:t>转让</w:t>
      </w:r>
    </w:p>
    <w:p w14:paraId="55B2AF17">
      <w:pPr>
        <w:widowControl/>
        <w:spacing w:line="360" w:lineRule="auto"/>
        <w:ind w:firstLine="420" w:firstLineChars="200"/>
        <w:jc w:val="left"/>
        <w:rPr>
          <w:szCs w:val="21"/>
        </w:rPr>
      </w:pPr>
      <w:r>
        <w:rPr>
          <w:szCs w:val="21"/>
        </w:rPr>
        <w:t>未经对方当事人书面同意，合同任何一方均不得转让其在合同项下的权利和（或）义务。</w:t>
      </w:r>
    </w:p>
    <w:p w14:paraId="55B2AF18">
      <w:pPr>
        <w:spacing w:line="360" w:lineRule="auto"/>
        <w:rPr>
          <w:b/>
          <w:kern w:val="0"/>
          <w:szCs w:val="21"/>
        </w:rPr>
      </w:pPr>
      <w:r>
        <w:rPr>
          <w:rFonts w:hint="eastAsia"/>
          <w:b/>
          <w:kern w:val="0"/>
          <w:szCs w:val="21"/>
        </w:rPr>
        <w:t>2.合同范围</w:t>
      </w:r>
    </w:p>
    <w:p w14:paraId="55B2AF19">
      <w:pPr>
        <w:widowControl/>
        <w:spacing w:line="360" w:lineRule="auto"/>
        <w:ind w:firstLine="420" w:firstLineChars="200"/>
        <w:jc w:val="left"/>
        <w:rPr>
          <w:szCs w:val="21"/>
        </w:rPr>
      </w:pPr>
      <w:r>
        <w:rPr>
          <w:szCs w:val="21"/>
        </w:rPr>
        <w:t>乙方应根据供货及技术要求等合同文件的约定向甲方提供合同设备、技术服务和质保期服务。</w:t>
      </w:r>
    </w:p>
    <w:p w14:paraId="55B2AF1A">
      <w:pPr>
        <w:widowControl/>
        <w:snapToGrid w:val="0"/>
        <w:spacing w:line="360" w:lineRule="auto"/>
        <w:ind w:firstLine="420" w:firstLineChars="200"/>
        <w:jc w:val="left"/>
        <w:rPr>
          <w:kern w:val="0"/>
          <w:szCs w:val="21"/>
        </w:rPr>
      </w:pPr>
      <w:r>
        <w:rPr>
          <w:kern w:val="0"/>
          <w:szCs w:val="21"/>
        </w:rPr>
        <w:t>合同供货范围详见“供货及技术要求”，包括了所有设备、技术资料、备品备件，在执行合同过程中如发现有任何漏项和短缺，在发货清单中</w:t>
      </w:r>
      <w:r>
        <w:rPr>
          <w:rFonts w:hint="eastAsia"/>
          <w:kern w:val="0"/>
          <w:szCs w:val="21"/>
          <w:lang w:eastAsia="zh-CN"/>
        </w:rPr>
        <w:t>并未</w:t>
      </w:r>
      <w:r>
        <w:rPr>
          <w:kern w:val="0"/>
          <w:szCs w:val="21"/>
        </w:rPr>
        <w:t>列入，并且是满足对设备的性能要求所必须的，经甲方通知，乙方应当在7日内负责将所缺设备、技术资料、备品备件等补齐，费用由乙方负担，所有设备及其附件设计使用年限按国家相关规定及供货要求执行。</w:t>
      </w:r>
    </w:p>
    <w:p w14:paraId="55B2AF1B">
      <w:pPr>
        <w:spacing w:line="360" w:lineRule="auto"/>
        <w:rPr>
          <w:b/>
          <w:kern w:val="0"/>
          <w:szCs w:val="21"/>
        </w:rPr>
      </w:pPr>
      <w:r>
        <w:rPr>
          <w:rFonts w:hint="eastAsia"/>
          <w:b/>
          <w:kern w:val="0"/>
          <w:szCs w:val="21"/>
        </w:rPr>
        <w:t>3.合同价格与支付</w:t>
      </w:r>
    </w:p>
    <w:p w14:paraId="55B2AF1C">
      <w:pPr>
        <w:spacing w:line="360" w:lineRule="auto"/>
        <w:rPr>
          <w:b/>
          <w:kern w:val="0"/>
          <w:szCs w:val="21"/>
        </w:rPr>
      </w:pPr>
      <w:r>
        <w:rPr>
          <w:kern w:val="0"/>
          <w:szCs w:val="21"/>
        </w:rPr>
        <w:t>★</w:t>
      </w:r>
      <w:r>
        <w:rPr>
          <w:b/>
          <w:kern w:val="0"/>
          <w:szCs w:val="21"/>
        </w:rPr>
        <w:t>3.1合同价格</w:t>
      </w:r>
    </w:p>
    <w:p w14:paraId="55B2AF1D">
      <w:pPr>
        <w:widowControl/>
        <w:spacing w:line="360" w:lineRule="auto"/>
        <w:ind w:firstLine="420" w:firstLineChars="200"/>
        <w:jc w:val="left"/>
        <w:rPr>
          <w:szCs w:val="21"/>
        </w:rPr>
      </w:pPr>
      <w:r>
        <w:rPr>
          <w:szCs w:val="21"/>
        </w:rPr>
        <w:t>3.1.1合同协议书中载明的固定含税总价包括乙方为完成合同全部义务应承担的一切成本、费用和支出以及乙方的合理利润。</w:t>
      </w:r>
    </w:p>
    <w:p w14:paraId="55B2AF1E">
      <w:pPr>
        <w:widowControl/>
        <w:spacing w:line="360" w:lineRule="auto"/>
        <w:ind w:firstLine="420" w:firstLineChars="200"/>
        <w:jc w:val="left"/>
        <w:rPr>
          <w:szCs w:val="21"/>
        </w:rPr>
      </w:pPr>
      <w:r>
        <w:rPr>
          <w:szCs w:val="21"/>
        </w:rPr>
        <w:t>3.1.2合同总价为固定含税总价，包含但不限于本设备材料、制造、检验、涂装、运输、组装安装及安装指导、调试、运输保险、增值税、图纸及资料、专有技术许可及技术服务费、运输工装、人员培训、设备试车现场服务差旅费、住宿等所有费用。</w:t>
      </w:r>
    </w:p>
    <w:p w14:paraId="55B2AF1F">
      <w:pPr>
        <w:spacing w:line="360" w:lineRule="auto"/>
        <w:rPr>
          <w:kern w:val="0"/>
          <w:szCs w:val="21"/>
        </w:rPr>
      </w:pPr>
      <w:r>
        <w:rPr>
          <w:rFonts w:hint="eastAsia"/>
          <w:b/>
          <w:kern w:val="0"/>
          <w:szCs w:val="21"/>
        </w:rPr>
        <w:t>3.2合同价款的支付</w:t>
      </w:r>
      <w:r>
        <w:rPr>
          <w:b/>
          <w:kern w:val="0"/>
          <w:szCs w:val="21"/>
        </w:rPr>
        <w:t xml:space="preserve"> </w:t>
      </w:r>
    </w:p>
    <w:tbl>
      <w:tblPr>
        <w:tblStyle w:val="18"/>
        <w:tblW w:w="0" w:type="auto"/>
        <w:jc w:val="center"/>
        <w:tblLayout w:type="fixed"/>
        <w:tblCellMar>
          <w:top w:w="0" w:type="dxa"/>
          <w:left w:w="0" w:type="dxa"/>
          <w:bottom w:w="0" w:type="dxa"/>
          <w:right w:w="0" w:type="dxa"/>
        </w:tblCellMar>
      </w:tblPr>
      <w:tblGrid>
        <w:gridCol w:w="1235"/>
        <w:gridCol w:w="1023"/>
        <w:gridCol w:w="1066"/>
        <w:gridCol w:w="6530"/>
      </w:tblGrid>
      <w:tr w14:paraId="55B2AF24">
        <w:tblPrEx>
          <w:tblCellMar>
            <w:top w:w="0" w:type="dxa"/>
            <w:left w:w="0" w:type="dxa"/>
            <w:bottom w:w="0" w:type="dxa"/>
            <w:right w:w="0" w:type="dxa"/>
          </w:tblCellMar>
        </w:tblPrEx>
        <w:trPr>
          <w:trHeight w:val="380" w:hRule="atLeast"/>
          <w:jc w:val="center"/>
        </w:trPr>
        <w:tc>
          <w:tcPr>
            <w:tcW w:w="123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0">
            <w:pPr>
              <w:widowControl/>
              <w:jc w:val="center"/>
              <w:rPr>
                <w:sz w:val="18"/>
                <w:szCs w:val="18"/>
              </w:rPr>
            </w:pPr>
            <w:r>
              <w:rPr>
                <w:sz w:val="18"/>
                <w:szCs w:val="18"/>
              </w:rPr>
              <w:t>付费次序</w:t>
            </w:r>
          </w:p>
        </w:tc>
        <w:tc>
          <w:tcPr>
            <w:tcW w:w="102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1">
            <w:pPr>
              <w:widowControl/>
              <w:jc w:val="center"/>
              <w:rPr>
                <w:sz w:val="18"/>
                <w:szCs w:val="18"/>
              </w:rPr>
            </w:pPr>
            <w:r>
              <w:rPr>
                <w:sz w:val="18"/>
                <w:szCs w:val="18"/>
              </w:rPr>
              <w:t>付费额（万元）</w:t>
            </w:r>
          </w:p>
        </w:tc>
        <w:tc>
          <w:tcPr>
            <w:tcW w:w="10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2">
            <w:pPr>
              <w:widowControl/>
              <w:jc w:val="center"/>
              <w:rPr>
                <w:sz w:val="18"/>
                <w:szCs w:val="18"/>
              </w:rPr>
            </w:pPr>
            <w:r>
              <w:rPr>
                <w:sz w:val="18"/>
                <w:szCs w:val="18"/>
              </w:rPr>
              <w:t>总费用占比（%）</w:t>
            </w:r>
          </w:p>
        </w:tc>
        <w:tc>
          <w:tcPr>
            <w:tcW w:w="65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3">
            <w:pPr>
              <w:widowControl/>
              <w:jc w:val="center"/>
              <w:rPr>
                <w:sz w:val="18"/>
                <w:szCs w:val="18"/>
              </w:rPr>
            </w:pPr>
            <w:r>
              <w:rPr>
                <w:sz w:val="18"/>
                <w:szCs w:val="18"/>
              </w:rPr>
              <w:t>付费条件和时间</w:t>
            </w:r>
          </w:p>
        </w:tc>
      </w:tr>
      <w:tr w14:paraId="55B2AF29">
        <w:tblPrEx>
          <w:tblCellMar>
            <w:top w:w="0" w:type="dxa"/>
            <w:left w:w="0" w:type="dxa"/>
            <w:bottom w:w="0" w:type="dxa"/>
            <w:right w:w="0" w:type="dxa"/>
          </w:tblCellMar>
        </w:tblPrEx>
        <w:trPr>
          <w:trHeight w:val="652" w:hRule="atLeast"/>
          <w:jc w:val="center"/>
        </w:trPr>
        <w:tc>
          <w:tcPr>
            <w:tcW w:w="123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5">
            <w:pPr>
              <w:widowControl/>
              <w:jc w:val="center"/>
              <w:rPr>
                <w:color w:val="auto"/>
                <w:sz w:val="18"/>
                <w:szCs w:val="18"/>
              </w:rPr>
            </w:pPr>
            <w:r>
              <w:rPr>
                <w:color w:val="auto"/>
                <w:sz w:val="18"/>
                <w:szCs w:val="18"/>
              </w:rPr>
              <w:t>第一次付费</w:t>
            </w:r>
          </w:p>
        </w:tc>
        <w:tc>
          <w:tcPr>
            <w:tcW w:w="102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6">
            <w:pPr>
              <w:widowControl/>
              <w:spacing w:line="360" w:lineRule="auto"/>
              <w:jc w:val="center"/>
              <w:rPr>
                <w:color w:val="auto"/>
                <w:sz w:val="18"/>
                <w:szCs w:val="18"/>
              </w:rPr>
            </w:pPr>
          </w:p>
        </w:tc>
        <w:tc>
          <w:tcPr>
            <w:tcW w:w="10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7">
            <w:pPr>
              <w:widowControl/>
              <w:spacing w:line="360" w:lineRule="auto"/>
              <w:jc w:val="center"/>
              <w:rPr>
                <w:color w:val="auto"/>
                <w:sz w:val="18"/>
                <w:szCs w:val="18"/>
              </w:rPr>
            </w:pPr>
            <w:r>
              <w:rPr>
                <w:color w:val="auto"/>
                <w:sz w:val="18"/>
                <w:szCs w:val="18"/>
              </w:rPr>
              <w:t>30</w:t>
            </w:r>
          </w:p>
        </w:tc>
        <w:tc>
          <w:tcPr>
            <w:tcW w:w="65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8">
            <w:pPr>
              <w:widowControl/>
              <w:jc w:val="left"/>
              <w:rPr>
                <w:color w:val="auto"/>
                <w:sz w:val="18"/>
                <w:szCs w:val="18"/>
              </w:rPr>
            </w:pPr>
            <w:r>
              <w:rPr>
                <w:color w:val="auto"/>
                <w:sz w:val="18"/>
                <w:szCs w:val="18"/>
              </w:rPr>
              <w:t>合同设备具备发货条件并经交货前检验合格后（以甲方发出的书面交货通知为准），同时甲方收到乙方合同等额收款收据后15个工作日内支付合同总价30％</w:t>
            </w:r>
          </w:p>
        </w:tc>
      </w:tr>
      <w:tr w14:paraId="55B2AF2E">
        <w:tblPrEx>
          <w:tblCellMar>
            <w:top w:w="0" w:type="dxa"/>
            <w:left w:w="0" w:type="dxa"/>
            <w:bottom w:w="0" w:type="dxa"/>
            <w:right w:w="0" w:type="dxa"/>
          </w:tblCellMar>
        </w:tblPrEx>
        <w:trPr>
          <w:trHeight w:val="652" w:hRule="atLeast"/>
          <w:jc w:val="center"/>
        </w:trPr>
        <w:tc>
          <w:tcPr>
            <w:tcW w:w="123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A">
            <w:pPr>
              <w:widowControl/>
              <w:jc w:val="center"/>
              <w:rPr>
                <w:color w:val="auto"/>
                <w:sz w:val="18"/>
                <w:szCs w:val="18"/>
              </w:rPr>
            </w:pPr>
            <w:r>
              <w:rPr>
                <w:color w:val="auto"/>
                <w:sz w:val="18"/>
                <w:szCs w:val="18"/>
              </w:rPr>
              <w:t>第二次付费</w:t>
            </w:r>
          </w:p>
        </w:tc>
        <w:tc>
          <w:tcPr>
            <w:tcW w:w="102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B">
            <w:pPr>
              <w:widowControl/>
              <w:spacing w:line="360" w:lineRule="auto"/>
              <w:jc w:val="center"/>
              <w:rPr>
                <w:color w:val="auto"/>
                <w:sz w:val="18"/>
                <w:szCs w:val="18"/>
              </w:rPr>
            </w:pPr>
          </w:p>
        </w:tc>
        <w:tc>
          <w:tcPr>
            <w:tcW w:w="10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C">
            <w:pPr>
              <w:widowControl/>
              <w:spacing w:line="360" w:lineRule="auto"/>
              <w:jc w:val="center"/>
              <w:rPr>
                <w:rFonts w:hint="default" w:eastAsia="宋体"/>
                <w:color w:val="auto"/>
                <w:sz w:val="18"/>
                <w:szCs w:val="18"/>
                <w:lang w:val="en-US" w:eastAsia="zh-CN"/>
              </w:rPr>
            </w:pPr>
            <w:r>
              <w:rPr>
                <w:rFonts w:hint="eastAsia"/>
                <w:color w:val="auto"/>
                <w:sz w:val="18"/>
                <w:szCs w:val="18"/>
                <w:lang w:val="en-US" w:eastAsia="zh-CN"/>
              </w:rPr>
              <w:t>65</w:t>
            </w:r>
          </w:p>
        </w:tc>
        <w:tc>
          <w:tcPr>
            <w:tcW w:w="65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D">
            <w:pPr>
              <w:widowControl/>
              <w:jc w:val="left"/>
              <w:rPr>
                <w:color w:val="auto"/>
                <w:sz w:val="18"/>
                <w:szCs w:val="18"/>
              </w:rPr>
            </w:pPr>
            <w:r>
              <w:rPr>
                <w:color w:val="auto"/>
                <w:sz w:val="18"/>
                <w:szCs w:val="18"/>
              </w:rPr>
              <w:t>合同设备到货开箱验收合格，经安装调试、性能考核合格后，甲方在收到乙方提交的甲乙双方签署的合同设备调试、性能考核合格证明文件及全额增值税专用发票后15个工作日内支付合同总价的</w:t>
            </w:r>
            <w:r>
              <w:rPr>
                <w:rFonts w:hint="eastAsia"/>
                <w:color w:val="auto"/>
                <w:sz w:val="18"/>
                <w:szCs w:val="18"/>
                <w:lang w:val="en-US" w:eastAsia="zh-CN"/>
              </w:rPr>
              <w:t>65</w:t>
            </w:r>
            <w:r>
              <w:rPr>
                <w:color w:val="auto"/>
                <w:sz w:val="18"/>
                <w:szCs w:val="18"/>
              </w:rPr>
              <w:t>％。</w:t>
            </w:r>
          </w:p>
        </w:tc>
      </w:tr>
      <w:tr w14:paraId="55B2AF33">
        <w:tblPrEx>
          <w:tblCellMar>
            <w:top w:w="0" w:type="dxa"/>
            <w:left w:w="0" w:type="dxa"/>
            <w:bottom w:w="0" w:type="dxa"/>
            <w:right w:w="0" w:type="dxa"/>
          </w:tblCellMar>
        </w:tblPrEx>
        <w:trPr>
          <w:trHeight w:val="652" w:hRule="atLeast"/>
          <w:jc w:val="center"/>
        </w:trPr>
        <w:tc>
          <w:tcPr>
            <w:tcW w:w="1235"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2F">
            <w:pPr>
              <w:widowControl/>
              <w:jc w:val="center"/>
              <w:rPr>
                <w:color w:val="auto"/>
                <w:sz w:val="18"/>
                <w:szCs w:val="18"/>
              </w:rPr>
            </w:pPr>
            <w:r>
              <w:rPr>
                <w:color w:val="auto"/>
                <w:sz w:val="18"/>
                <w:szCs w:val="18"/>
              </w:rPr>
              <w:t>第三次付费</w:t>
            </w:r>
          </w:p>
        </w:tc>
        <w:tc>
          <w:tcPr>
            <w:tcW w:w="1023"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30">
            <w:pPr>
              <w:widowControl/>
              <w:spacing w:line="360" w:lineRule="auto"/>
              <w:jc w:val="center"/>
              <w:rPr>
                <w:color w:val="auto"/>
                <w:sz w:val="18"/>
                <w:szCs w:val="18"/>
              </w:rPr>
            </w:pPr>
          </w:p>
        </w:tc>
        <w:tc>
          <w:tcPr>
            <w:tcW w:w="1066"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31">
            <w:pPr>
              <w:widowControl/>
              <w:spacing w:line="360" w:lineRule="auto"/>
              <w:jc w:val="center"/>
              <w:rPr>
                <w:rFonts w:hint="eastAsia" w:eastAsia="宋体"/>
                <w:color w:val="auto"/>
                <w:sz w:val="18"/>
                <w:szCs w:val="18"/>
                <w:lang w:eastAsia="zh-CN"/>
              </w:rPr>
            </w:pPr>
            <w:r>
              <w:rPr>
                <w:rFonts w:hint="eastAsia"/>
                <w:color w:val="auto"/>
                <w:sz w:val="18"/>
                <w:szCs w:val="18"/>
                <w:lang w:val="en-US" w:eastAsia="zh-CN"/>
              </w:rPr>
              <w:t>5</w:t>
            </w:r>
          </w:p>
        </w:tc>
        <w:tc>
          <w:tcPr>
            <w:tcW w:w="6530" w:type="dxa"/>
            <w:tcBorders>
              <w:top w:val="single" w:color="000000" w:sz="4" w:space="0"/>
              <w:left w:val="single" w:color="000000" w:sz="4" w:space="0"/>
              <w:bottom w:val="single" w:color="000000" w:sz="4" w:space="0"/>
              <w:right w:val="single" w:color="000000" w:sz="4" w:space="0"/>
            </w:tcBorders>
            <w:noWrap/>
            <w:tcMar>
              <w:top w:w="0" w:type="dxa"/>
              <w:left w:w="108" w:type="dxa"/>
              <w:bottom w:w="0" w:type="dxa"/>
              <w:right w:w="108" w:type="dxa"/>
            </w:tcMar>
            <w:vAlign w:val="center"/>
          </w:tcPr>
          <w:p w14:paraId="55B2AF32">
            <w:pPr>
              <w:widowControl/>
              <w:jc w:val="left"/>
              <w:rPr>
                <w:color w:val="auto"/>
                <w:sz w:val="18"/>
                <w:szCs w:val="18"/>
              </w:rPr>
            </w:pPr>
            <w:r>
              <w:rPr>
                <w:color w:val="auto"/>
                <w:sz w:val="18"/>
                <w:szCs w:val="18"/>
              </w:rPr>
              <w:t>质量保证期为设备性能考核合格后12个月，质保期内若合同设备无质量问题则质保期满后30个工作日内支付合同总价</w:t>
            </w:r>
            <w:r>
              <w:rPr>
                <w:rFonts w:hint="eastAsia"/>
                <w:color w:val="auto"/>
                <w:sz w:val="18"/>
                <w:szCs w:val="18"/>
                <w:lang w:val="en-US" w:eastAsia="zh-CN"/>
              </w:rPr>
              <w:t>5</w:t>
            </w:r>
            <w:r>
              <w:rPr>
                <w:color w:val="auto"/>
                <w:sz w:val="18"/>
                <w:szCs w:val="18"/>
              </w:rPr>
              <w:t>%。</w:t>
            </w:r>
          </w:p>
        </w:tc>
      </w:tr>
    </w:tbl>
    <w:p w14:paraId="7FFE74D5">
      <w:pPr>
        <w:spacing w:line="360" w:lineRule="auto"/>
        <w:rPr>
          <w:b/>
          <w:color w:val="auto"/>
          <w:kern w:val="0"/>
          <w:sz w:val="24"/>
        </w:rPr>
      </w:pPr>
    </w:p>
    <w:p w14:paraId="55B2AF3A">
      <w:pPr>
        <w:widowControl/>
        <w:tabs>
          <w:tab w:val="left" w:pos="6510"/>
        </w:tabs>
        <w:spacing w:line="360" w:lineRule="auto"/>
        <w:ind w:firstLine="420" w:firstLineChars="200"/>
        <w:jc w:val="left"/>
        <w:rPr>
          <w:b/>
          <w:kern w:val="0"/>
          <w:szCs w:val="21"/>
        </w:rPr>
      </w:pPr>
      <w:r>
        <w:rPr>
          <w:b/>
          <w:kern w:val="0"/>
          <w:szCs w:val="21"/>
        </w:rPr>
        <w:t>3.3甲方扣款的权利</w:t>
      </w:r>
    </w:p>
    <w:p w14:paraId="55B2AF3B">
      <w:pPr>
        <w:widowControl/>
        <w:spacing w:line="360" w:lineRule="auto"/>
        <w:ind w:firstLine="420" w:firstLineChars="200"/>
        <w:jc w:val="left"/>
        <w:rPr>
          <w:szCs w:val="21"/>
        </w:rPr>
      </w:pPr>
      <w:r>
        <w:rPr>
          <w:szCs w:val="21"/>
        </w:rPr>
        <w:t>当乙方应向甲方支付合同项下的违约金或赔偿金时，甲方有权从上述任何一笔应付款或履约保证金中予以直接扣除和（或）兑付。</w:t>
      </w:r>
    </w:p>
    <w:p w14:paraId="55B2AF3C">
      <w:pPr>
        <w:spacing w:line="360" w:lineRule="auto"/>
        <w:rPr>
          <w:b/>
          <w:kern w:val="0"/>
          <w:szCs w:val="21"/>
        </w:rPr>
      </w:pPr>
      <w:r>
        <w:rPr>
          <w:rFonts w:hint="eastAsia"/>
          <w:b/>
          <w:kern w:val="0"/>
          <w:szCs w:val="21"/>
        </w:rPr>
        <w:t>4.监造及交货前检验</w:t>
      </w:r>
    </w:p>
    <w:p w14:paraId="55B2AF3D">
      <w:pPr>
        <w:spacing w:line="360" w:lineRule="auto"/>
        <w:rPr>
          <w:b/>
          <w:kern w:val="0"/>
          <w:szCs w:val="21"/>
        </w:rPr>
      </w:pPr>
      <w:r>
        <w:rPr>
          <w:b/>
          <w:kern w:val="0"/>
          <w:szCs w:val="21"/>
        </w:rPr>
        <w:t>4.1监造</w:t>
      </w:r>
    </w:p>
    <w:p w14:paraId="55B2AF3E">
      <w:pPr>
        <w:widowControl/>
        <w:snapToGrid w:val="0"/>
        <w:spacing w:line="360" w:lineRule="auto"/>
        <w:ind w:firstLine="420" w:firstLineChars="200"/>
        <w:jc w:val="left"/>
        <w:rPr>
          <w:kern w:val="0"/>
          <w:szCs w:val="21"/>
        </w:rPr>
      </w:pPr>
      <w:r>
        <w:rPr>
          <w:kern w:val="0"/>
          <w:szCs w:val="21"/>
        </w:rPr>
        <w:t>4.1.1合同签订之日起，乙方需要在</w:t>
      </w:r>
      <w:r>
        <w:rPr>
          <w:rFonts w:hint="eastAsia"/>
          <w:kern w:val="0"/>
          <w:szCs w:val="21"/>
        </w:rPr>
        <w:t>5</w:t>
      </w:r>
      <w:r>
        <w:rPr>
          <w:kern w:val="0"/>
          <w:szCs w:val="21"/>
        </w:rPr>
        <w:t>日内提供制造进度计划并提供重要节点和重要监控点，甲方根据需求安排监造事宜。</w:t>
      </w:r>
    </w:p>
    <w:p w14:paraId="55B2AF3F">
      <w:pPr>
        <w:widowControl/>
        <w:spacing w:line="360" w:lineRule="auto"/>
        <w:ind w:firstLine="420" w:firstLineChars="200"/>
        <w:jc w:val="left"/>
        <w:rPr>
          <w:szCs w:val="21"/>
        </w:rPr>
      </w:pPr>
      <w:r>
        <w:rPr>
          <w:szCs w:val="21"/>
        </w:rPr>
        <w:t>4.1.2在合同设备的制造过程中，甲方可派出监造人员，对合同设备的生产制造进行监造，监督合同设备制造、检验等情况。监造的范围、方式等应符合合同条款和供货及技术要求等合同文件的约定。</w:t>
      </w:r>
    </w:p>
    <w:p w14:paraId="55B2AF40">
      <w:pPr>
        <w:widowControl/>
        <w:spacing w:line="360" w:lineRule="auto"/>
        <w:ind w:firstLine="420" w:firstLineChars="200"/>
        <w:jc w:val="left"/>
        <w:rPr>
          <w:szCs w:val="21"/>
        </w:rPr>
      </w:pPr>
      <w:r>
        <w:rPr>
          <w:szCs w:val="21"/>
        </w:rPr>
        <w:t>4.1.3甲方监造人员可到合同设备及其关键部件的生产制造现场进行监造，乙方应予配合。乙方应免费为甲方监造人员提供工作条件及便利，包括但不限于必要的办公场所、技术资料、检测工具及出入许可等，甲方监造人员的交通、食宿费用由甲方承担。</w:t>
      </w:r>
    </w:p>
    <w:p w14:paraId="55B2AF41">
      <w:pPr>
        <w:widowControl/>
        <w:spacing w:line="360" w:lineRule="auto"/>
        <w:ind w:firstLine="420" w:firstLineChars="200"/>
        <w:jc w:val="left"/>
        <w:rPr>
          <w:szCs w:val="21"/>
        </w:rPr>
      </w:pPr>
      <w:r>
        <w:rPr>
          <w:szCs w:val="21"/>
        </w:rPr>
        <w:t>4.1.4乙方制订生产制造合同设备的进度计划时，应将甲方监造纳入计划安排，并提前通知甲方；甲方进行监造不应影响合同设备的正常生产。乙方应提前7日将需要甲方监造人员现场监造事项通知甲方；如甲方监造人员未按通知出席，不影响合同设备及其关键部件的制造或检验，但甲方监造人员有权事后了解、查阅、复制相关制造或检验记录。</w:t>
      </w:r>
    </w:p>
    <w:p w14:paraId="55B2AF42">
      <w:pPr>
        <w:widowControl/>
        <w:spacing w:line="360" w:lineRule="auto"/>
        <w:ind w:firstLine="420" w:firstLineChars="200"/>
        <w:jc w:val="left"/>
        <w:rPr>
          <w:szCs w:val="21"/>
        </w:rPr>
      </w:pPr>
      <w:r>
        <w:rPr>
          <w:szCs w:val="21"/>
        </w:rPr>
        <w:t>4.1.5甲方监造人员在监造中如发现合同设备及其关键部件不符合合同约定的标准，则有权提出意见和建议。乙方应采取必要措施消除合同设备的不符，由此增加的费用和造成的延误由乙方负责。</w:t>
      </w:r>
    </w:p>
    <w:p w14:paraId="55B2AF43">
      <w:pPr>
        <w:widowControl/>
        <w:spacing w:line="360" w:lineRule="auto"/>
        <w:ind w:firstLine="420" w:firstLineChars="200"/>
        <w:jc w:val="left"/>
        <w:rPr>
          <w:szCs w:val="21"/>
        </w:rPr>
      </w:pPr>
      <w:r>
        <w:rPr>
          <w:szCs w:val="21"/>
        </w:rPr>
        <w:t>4.1.6甲方监造人员对合同设备的监造，不视为对合同设备质量的确认，不影响乙方交货后甲方依照合同约定对合同设备提出质量异议和退货的权利，也不免除乙方依照合同约定对合同设备所应承担的任何义务或责任。</w:t>
      </w:r>
    </w:p>
    <w:p w14:paraId="55B2AF44">
      <w:pPr>
        <w:spacing w:line="360" w:lineRule="auto"/>
        <w:rPr>
          <w:b/>
          <w:kern w:val="0"/>
          <w:szCs w:val="21"/>
        </w:rPr>
      </w:pPr>
      <w:r>
        <w:rPr>
          <w:b/>
          <w:kern w:val="0"/>
          <w:szCs w:val="21"/>
        </w:rPr>
        <w:t>4.2交货前检验</w:t>
      </w:r>
    </w:p>
    <w:p w14:paraId="55B2AF45">
      <w:pPr>
        <w:widowControl/>
        <w:snapToGrid w:val="0"/>
        <w:spacing w:line="360" w:lineRule="auto"/>
        <w:ind w:firstLine="420" w:firstLineChars="200"/>
        <w:jc w:val="left"/>
        <w:rPr>
          <w:kern w:val="0"/>
          <w:szCs w:val="21"/>
        </w:rPr>
      </w:pPr>
      <w:r>
        <w:rPr>
          <w:kern w:val="0"/>
          <w:szCs w:val="21"/>
        </w:rPr>
        <w:t>4.2.1在合同设备发货前，乙方对货物质量、规格、性能、数量等进行全面检验，并出具一份证明货物符合合同规定证书；乙方检验的结果应另附质量证书中加以说明。在检验过程中应严格按有关国家标准、行业标准、供货及技术要求进行，取得当地特检院出具的特种设备监督检验报告、国家石油天然气大流量计量站出具的检定合格证书。</w:t>
      </w:r>
    </w:p>
    <w:p w14:paraId="55B2AF46">
      <w:pPr>
        <w:widowControl/>
        <w:spacing w:line="360" w:lineRule="auto"/>
        <w:ind w:firstLine="420" w:firstLineChars="200"/>
        <w:jc w:val="left"/>
        <w:rPr>
          <w:szCs w:val="21"/>
        </w:rPr>
      </w:pPr>
      <w:r>
        <w:rPr>
          <w:szCs w:val="21"/>
        </w:rPr>
        <w:t>4.2.2合同设备交货前，乙方应会同甲方代表根据合同约定对合同设备进行交货前检验并出具交货前检验记录，检验合格后乙方才可发货，有关费用由乙方承担；乙方应免费为甲方代表提供工作条件及便利，包括但不限于必要的办公场所、技术资料、检测工具及出入许可等，甲方代表的交通、食宿费用由甲方承担。</w:t>
      </w:r>
    </w:p>
    <w:p w14:paraId="55B2AF47">
      <w:pPr>
        <w:widowControl/>
        <w:spacing w:line="360" w:lineRule="auto"/>
        <w:ind w:firstLine="420" w:firstLineChars="200"/>
        <w:jc w:val="left"/>
        <w:rPr>
          <w:szCs w:val="21"/>
        </w:rPr>
      </w:pPr>
      <w:r>
        <w:rPr>
          <w:szCs w:val="21"/>
        </w:rPr>
        <w:t>4.2.3乙方应提前7日将需要甲方代表检验事项通知甲方；如甲方代表未按通知出席，不影响合同设备的检验。若乙方未依照合同约定提前通知甲方而自行检验，则甲方有权要求乙方暂停发货并重新进行检验，由此增加的费用和造成的延误由乙方负责。</w:t>
      </w:r>
    </w:p>
    <w:p w14:paraId="55B2AF48">
      <w:pPr>
        <w:widowControl/>
        <w:spacing w:line="360" w:lineRule="auto"/>
        <w:ind w:firstLine="420" w:firstLineChars="200"/>
        <w:jc w:val="left"/>
        <w:rPr>
          <w:szCs w:val="21"/>
        </w:rPr>
      </w:pPr>
      <w:r>
        <w:rPr>
          <w:szCs w:val="21"/>
        </w:rPr>
        <w:t>4.2.4甲方代表在检验中如发现合同设备不符合合同约定的标准，则有权提出书面异议。乙方应采取必要措施消除合同设备的不符，由此增加的费用和造成的延误由乙方负责。</w:t>
      </w:r>
    </w:p>
    <w:p w14:paraId="55B2AF49">
      <w:pPr>
        <w:widowControl/>
        <w:spacing w:line="360" w:lineRule="auto"/>
        <w:ind w:firstLine="420" w:firstLineChars="200"/>
        <w:jc w:val="left"/>
        <w:rPr>
          <w:szCs w:val="21"/>
        </w:rPr>
      </w:pPr>
      <w:r>
        <w:rPr>
          <w:szCs w:val="21"/>
        </w:rPr>
        <w:t>4.2.5甲方代表参与交货前检验及签署交货前检验记录的行为，不视为对合同设备质量的确认，不影响乙方交货后甲方依照合同约定对合同设备提出质量异议和退货的权利，也不免除乙方依照合同约定对合同设备所应承担的任何义务或责任。</w:t>
      </w:r>
    </w:p>
    <w:p w14:paraId="55B2AF4A">
      <w:pPr>
        <w:spacing w:line="360" w:lineRule="auto"/>
        <w:rPr>
          <w:b/>
          <w:kern w:val="0"/>
          <w:szCs w:val="21"/>
        </w:rPr>
      </w:pPr>
      <w:r>
        <w:rPr>
          <w:b/>
          <w:kern w:val="0"/>
          <w:szCs w:val="21"/>
        </w:rPr>
        <w:t>5.包装、标记、运输和交付</w:t>
      </w:r>
    </w:p>
    <w:p w14:paraId="55B2AF4B">
      <w:pPr>
        <w:spacing w:line="360" w:lineRule="auto"/>
        <w:rPr>
          <w:b/>
          <w:kern w:val="0"/>
          <w:szCs w:val="21"/>
        </w:rPr>
      </w:pPr>
      <w:r>
        <w:rPr>
          <w:rFonts w:hint="eastAsia"/>
          <w:b/>
          <w:kern w:val="0"/>
          <w:szCs w:val="21"/>
        </w:rPr>
        <w:t>5.1包装</w:t>
      </w:r>
    </w:p>
    <w:p w14:paraId="55B2AF4C">
      <w:pPr>
        <w:widowControl/>
        <w:spacing w:line="360" w:lineRule="auto"/>
        <w:ind w:firstLine="420" w:firstLineChars="200"/>
        <w:jc w:val="left"/>
        <w:rPr>
          <w:szCs w:val="21"/>
        </w:rPr>
      </w:pPr>
      <w:r>
        <w:rPr>
          <w:szCs w:val="21"/>
        </w:rPr>
        <w:t>5.1.1乙方应对合同设备进行妥善包装，以满足合同设备运至施工场地及在施工场地保管的需要。包装应采取防潮、防晒、防锈、防腐蚀、防震动及防止</w:t>
      </w:r>
      <w:r>
        <w:rPr>
          <w:rFonts w:hint="eastAsia"/>
          <w:szCs w:val="21"/>
          <w:lang w:eastAsia="zh-CN"/>
        </w:rPr>
        <w:t>其他损坏</w:t>
      </w:r>
      <w:r>
        <w:rPr>
          <w:szCs w:val="21"/>
        </w:rPr>
        <w:t>的必要保护措施，从而保护合同设备能够经受多次搬运、装卸、长途运输并适宜保管。</w:t>
      </w:r>
    </w:p>
    <w:p w14:paraId="55B2AF4D">
      <w:pPr>
        <w:widowControl/>
        <w:spacing w:line="360" w:lineRule="auto"/>
        <w:ind w:firstLine="420" w:firstLineChars="200"/>
        <w:jc w:val="left"/>
        <w:rPr>
          <w:szCs w:val="21"/>
        </w:rPr>
      </w:pPr>
      <w:r>
        <w:rPr>
          <w:szCs w:val="21"/>
        </w:rPr>
        <w:t>5.1.2每个独立包装箱内应附装箱清单、质量合格证、装配图、说明书、操作指南等资料。</w:t>
      </w:r>
    </w:p>
    <w:p w14:paraId="55B2AF4E">
      <w:pPr>
        <w:widowControl/>
        <w:spacing w:line="360" w:lineRule="auto"/>
        <w:ind w:firstLine="420" w:firstLineChars="200"/>
        <w:jc w:val="left"/>
        <w:rPr>
          <w:kern w:val="0"/>
          <w:szCs w:val="21"/>
        </w:rPr>
      </w:pPr>
      <w:r>
        <w:rPr>
          <w:rFonts w:hint="eastAsia"/>
          <w:kern w:val="0"/>
          <w:szCs w:val="21"/>
        </w:rPr>
        <w:t>5.1.3对于需要精确装配的明亮洁净加工面的货物</w:t>
      </w:r>
      <w:r>
        <w:rPr>
          <w:kern w:val="0"/>
          <w:szCs w:val="21"/>
        </w:rPr>
        <w:t>，</w:t>
      </w:r>
      <w:r>
        <w:rPr>
          <w:rFonts w:hint="eastAsia"/>
          <w:kern w:val="0"/>
          <w:szCs w:val="21"/>
        </w:rPr>
        <w:t>加工面应采用优良</w:t>
      </w:r>
      <w:r>
        <w:rPr>
          <w:kern w:val="0"/>
          <w:szCs w:val="21"/>
        </w:rPr>
        <w:t>，</w:t>
      </w:r>
      <w:r>
        <w:rPr>
          <w:rFonts w:hint="eastAsia"/>
          <w:kern w:val="0"/>
          <w:szCs w:val="21"/>
        </w:rPr>
        <w:t>耐久的保护层</w:t>
      </w:r>
      <w:r>
        <w:rPr>
          <w:kern w:val="0"/>
          <w:szCs w:val="21"/>
        </w:rPr>
        <w:t>（禁止使用油漆），以防止在安装前发生锈蚀和损坏。</w:t>
      </w:r>
    </w:p>
    <w:p w14:paraId="55B2AF4F">
      <w:pPr>
        <w:widowControl/>
        <w:spacing w:line="360" w:lineRule="auto"/>
        <w:ind w:firstLine="420" w:firstLineChars="200"/>
        <w:jc w:val="left"/>
        <w:rPr>
          <w:kern w:val="0"/>
          <w:szCs w:val="21"/>
        </w:rPr>
      </w:pPr>
      <w:r>
        <w:rPr>
          <w:kern w:val="0"/>
          <w:szCs w:val="21"/>
        </w:rPr>
        <w:t>5</w:t>
      </w:r>
      <w:r>
        <w:rPr>
          <w:rFonts w:hint="eastAsia"/>
          <w:kern w:val="0"/>
          <w:szCs w:val="21"/>
        </w:rPr>
        <w:t>.1.4凡由于乙方包装或保管不善致使货物遭到损坏或丢失时</w:t>
      </w:r>
      <w:r>
        <w:rPr>
          <w:kern w:val="0"/>
          <w:szCs w:val="21"/>
        </w:rPr>
        <w:t>，</w:t>
      </w:r>
      <w:r>
        <w:rPr>
          <w:rFonts w:hint="eastAsia"/>
          <w:kern w:val="0"/>
          <w:szCs w:val="21"/>
        </w:rPr>
        <w:t>无论在何时何地发现</w:t>
      </w:r>
      <w:r>
        <w:rPr>
          <w:kern w:val="0"/>
          <w:szCs w:val="21"/>
        </w:rPr>
        <w:t>，</w:t>
      </w:r>
      <w:r>
        <w:rPr>
          <w:rFonts w:hint="eastAsia"/>
          <w:kern w:val="0"/>
          <w:szCs w:val="21"/>
        </w:rPr>
        <w:t>一经证实</w:t>
      </w:r>
      <w:r>
        <w:rPr>
          <w:kern w:val="0"/>
          <w:szCs w:val="21"/>
        </w:rPr>
        <w:t>，</w:t>
      </w:r>
      <w:r>
        <w:rPr>
          <w:rFonts w:hint="eastAsia"/>
          <w:kern w:val="0"/>
          <w:szCs w:val="21"/>
        </w:rPr>
        <w:t>乙方负责及时维修</w:t>
      </w:r>
      <w:r>
        <w:rPr>
          <w:kern w:val="0"/>
          <w:szCs w:val="21"/>
        </w:rPr>
        <w:t>、</w:t>
      </w:r>
      <w:r>
        <w:rPr>
          <w:rFonts w:hint="eastAsia"/>
          <w:kern w:val="0"/>
          <w:szCs w:val="21"/>
        </w:rPr>
        <w:t>更换或赔偿</w:t>
      </w:r>
      <w:r>
        <w:rPr>
          <w:kern w:val="0"/>
          <w:szCs w:val="21"/>
        </w:rPr>
        <w:t>。</w:t>
      </w:r>
    </w:p>
    <w:p w14:paraId="55B2AF50">
      <w:pPr>
        <w:widowControl/>
        <w:spacing w:line="360" w:lineRule="auto"/>
        <w:ind w:firstLine="420" w:firstLineChars="200"/>
        <w:jc w:val="left"/>
        <w:rPr>
          <w:szCs w:val="21"/>
        </w:rPr>
      </w:pPr>
      <w:r>
        <w:rPr>
          <w:szCs w:val="21"/>
        </w:rPr>
        <w:t>5.1.5甲方无需将包装物退还给乙方。</w:t>
      </w:r>
    </w:p>
    <w:p w14:paraId="55B2AF51">
      <w:pPr>
        <w:spacing w:line="360" w:lineRule="auto"/>
        <w:rPr>
          <w:b/>
          <w:kern w:val="0"/>
          <w:szCs w:val="21"/>
        </w:rPr>
      </w:pPr>
      <w:r>
        <w:rPr>
          <w:rFonts w:hint="eastAsia"/>
          <w:b/>
          <w:kern w:val="0"/>
          <w:szCs w:val="21"/>
        </w:rPr>
        <w:t>5.2标记</w:t>
      </w:r>
    </w:p>
    <w:p w14:paraId="55B2AF52">
      <w:pPr>
        <w:widowControl/>
        <w:spacing w:line="360" w:lineRule="auto"/>
        <w:ind w:firstLine="420" w:firstLineChars="200"/>
        <w:jc w:val="left"/>
        <w:rPr>
          <w:szCs w:val="21"/>
        </w:rPr>
      </w:pPr>
      <w:r>
        <w:rPr>
          <w:szCs w:val="21"/>
        </w:rPr>
        <w:t>5.2.1乙方应在每一包装箱相邻的四个侧面以不可擦除的、明显的方式标记必要的装运信息和标记，以满足合同设备运输和保管的需要，具体如下：</w:t>
      </w:r>
    </w:p>
    <w:p w14:paraId="55B2AF53">
      <w:pPr>
        <w:widowControl/>
        <w:numPr>
          <w:ilvl w:val="0"/>
          <w:numId w:val="4"/>
        </w:numPr>
        <w:spacing w:line="360" w:lineRule="auto"/>
        <w:jc w:val="left"/>
        <w:rPr>
          <w:szCs w:val="21"/>
        </w:rPr>
      </w:pPr>
      <w:r>
        <w:rPr>
          <w:rFonts w:hint="eastAsia"/>
          <w:szCs w:val="21"/>
        </w:rPr>
        <w:t>收货人</w:t>
      </w:r>
    </w:p>
    <w:p w14:paraId="55B2AF54">
      <w:pPr>
        <w:widowControl/>
        <w:numPr>
          <w:ilvl w:val="0"/>
          <w:numId w:val="4"/>
        </w:numPr>
        <w:spacing w:line="360" w:lineRule="auto"/>
        <w:jc w:val="left"/>
        <w:rPr>
          <w:szCs w:val="21"/>
        </w:rPr>
      </w:pPr>
      <w:r>
        <w:rPr>
          <w:rFonts w:hint="eastAsia"/>
          <w:szCs w:val="21"/>
        </w:rPr>
        <w:t>合同号</w:t>
      </w:r>
    </w:p>
    <w:p w14:paraId="55B2AF55">
      <w:pPr>
        <w:widowControl/>
        <w:numPr>
          <w:ilvl w:val="0"/>
          <w:numId w:val="4"/>
        </w:numPr>
        <w:spacing w:line="360" w:lineRule="auto"/>
        <w:jc w:val="left"/>
        <w:rPr>
          <w:szCs w:val="21"/>
        </w:rPr>
      </w:pPr>
      <w:r>
        <w:rPr>
          <w:rFonts w:hint="eastAsia"/>
          <w:szCs w:val="21"/>
        </w:rPr>
        <w:t>发货标记（唛头）</w:t>
      </w:r>
    </w:p>
    <w:p w14:paraId="55B2AF56">
      <w:pPr>
        <w:widowControl/>
        <w:numPr>
          <w:ilvl w:val="0"/>
          <w:numId w:val="4"/>
        </w:numPr>
        <w:spacing w:line="360" w:lineRule="auto"/>
        <w:jc w:val="left"/>
        <w:rPr>
          <w:szCs w:val="21"/>
        </w:rPr>
      </w:pPr>
      <w:r>
        <w:rPr>
          <w:rFonts w:hint="eastAsia"/>
          <w:szCs w:val="21"/>
        </w:rPr>
        <w:t>收货人代号</w:t>
      </w:r>
    </w:p>
    <w:p w14:paraId="55B2AF57">
      <w:pPr>
        <w:widowControl/>
        <w:numPr>
          <w:ilvl w:val="0"/>
          <w:numId w:val="4"/>
        </w:numPr>
        <w:spacing w:line="360" w:lineRule="auto"/>
        <w:jc w:val="left"/>
        <w:rPr>
          <w:szCs w:val="21"/>
        </w:rPr>
      </w:pPr>
      <w:r>
        <w:rPr>
          <w:rFonts w:hint="eastAsia"/>
          <w:szCs w:val="21"/>
        </w:rPr>
        <w:t>目的地</w:t>
      </w:r>
    </w:p>
    <w:p w14:paraId="55B2AF58">
      <w:pPr>
        <w:widowControl/>
        <w:numPr>
          <w:ilvl w:val="0"/>
          <w:numId w:val="4"/>
        </w:numPr>
        <w:spacing w:line="360" w:lineRule="auto"/>
        <w:jc w:val="left"/>
        <w:rPr>
          <w:szCs w:val="21"/>
        </w:rPr>
      </w:pPr>
      <w:r>
        <w:rPr>
          <w:rFonts w:hint="eastAsia"/>
          <w:szCs w:val="21"/>
        </w:rPr>
        <w:t>设备的名称、品目号、箱号</w:t>
      </w:r>
    </w:p>
    <w:p w14:paraId="55B2AF59">
      <w:pPr>
        <w:widowControl/>
        <w:numPr>
          <w:ilvl w:val="0"/>
          <w:numId w:val="4"/>
        </w:numPr>
        <w:spacing w:line="360" w:lineRule="auto"/>
        <w:jc w:val="left"/>
        <w:rPr>
          <w:szCs w:val="21"/>
        </w:rPr>
      </w:pPr>
      <w:r>
        <w:rPr>
          <w:rFonts w:hint="eastAsia"/>
          <w:szCs w:val="21"/>
        </w:rPr>
        <w:t>毛重/净重（公斤）</w:t>
      </w:r>
    </w:p>
    <w:p w14:paraId="55B2AF5A">
      <w:pPr>
        <w:widowControl/>
        <w:numPr>
          <w:ilvl w:val="0"/>
          <w:numId w:val="4"/>
        </w:numPr>
        <w:spacing w:line="360" w:lineRule="auto"/>
        <w:jc w:val="left"/>
        <w:rPr>
          <w:szCs w:val="21"/>
        </w:rPr>
      </w:pPr>
      <w:r>
        <w:rPr>
          <w:rFonts w:hint="eastAsia"/>
          <w:szCs w:val="21"/>
        </w:rPr>
        <w:t>尺寸（长×宽×高，以厘米计）</w:t>
      </w:r>
    </w:p>
    <w:p w14:paraId="55B2AF5B">
      <w:pPr>
        <w:widowControl/>
        <w:spacing w:line="360" w:lineRule="auto"/>
        <w:ind w:firstLine="420" w:firstLineChars="200"/>
        <w:jc w:val="left"/>
        <w:rPr>
          <w:szCs w:val="21"/>
        </w:rPr>
      </w:pPr>
      <w:r>
        <w:rPr>
          <w:szCs w:val="21"/>
        </w:rPr>
        <w:t>5.2.2根据合同设备的特点和运输、保管的不同要求，乙方应在包装箱上清楚地标注“小心轻放</w:t>
      </w:r>
      <w:r>
        <w:rPr>
          <w:rFonts w:hint="eastAsia"/>
          <w:szCs w:val="21"/>
          <w:lang w:eastAsia="zh-CN"/>
        </w:rPr>
        <w:t>”“</w:t>
      </w:r>
      <w:r>
        <w:rPr>
          <w:szCs w:val="21"/>
        </w:rPr>
        <w:t>此端朝上，请勿倒置</w:t>
      </w:r>
      <w:r>
        <w:rPr>
          <w:rFonts w:hint="eastAsia"/>
          <w:szCs w:val="21"/>
          <w:lang w:eastAsia="zh-CN"/>
        </w:rPr>
        <w:t>”“</w:t>
      </w:r>
      <w:r>
        <w:rPr>
          <w:szCs w:val="21"/>
        </w:rPr>
        <w:t>保持干燥”等字样和其他适当标记。对于超大超重件，乙方应在包装箱两侧标注“重心”和“起吊点”以便装卸和搬运。如果发运合同设备中含有易燃易爆物品、腐蚀物品、放射性物质等危险品，则应在包装箱上标明危险品标志。</w:t>
      </w:r>
    </w:p>
    <w:p w14:paraId="55B2AF5C">
      <w:pPr>
        <w:spacing w:line="360" w:lineRule="auto"/>
        <w:rPr>
          <w:b/>
          <w:kern w:val="0"/>
          <w:szCs w:val="21"/>
        </w:rPr>
      </w:pPr>
      <w:r>
        <w:rPr>
          <w:rFonts w:hint="eastAsia"/>
          <w:b/>
          <w:kern w:val="0"/>
          <w:szCs w:val="21"/>
        </w:rPr>
        <w:t>5.3运输</w:t>
      </w:r>
    </w:p>
    <w:p w14:paraId="55B2AF5D">
      <w:pPr>
        <w:widowControl/>
        <w:spacing w:line="360" w:lineRule="auto"/>
        <w:ind w:firstLine="420" w:firstLineChars="200"/>
        <w:jc w:val="left"/>
        <w:rPr>
          <w:szCs w:val="21"/>
        </w:rPr>
      </w:pPr>
      <w:r>
        <w:rPr>
          <w:szCs w:val="21"/>
        </w:rPr>
        <w:t>5.3.1乙方应自行选择适宜的运输工具及线路安排合同设备运输，</w:t>
      </w:r>
      <w:r>
        <w:rPr>
          <w:rFonts w:hint="eastAsia"/>
          <w:szCs w:val="21"/>
        </w:rPr>
        <w:t>本合同设备到货</w:t>
      </w:r>
      <w:r>
        <w:rPr>
          <w:szCs w:val="21"/>
        </w:rPr>
        <w:t>时间</w:t>
      </w:r>
      <w:r>
        <w:rPr>
          <w:rFonts w:hint="eastAsia"/>
          <w:szCs w:val="21"/>
        </w:rPr>
        <w:t>及到货顺序应满足甲方工程建设设备安装进度和顺序的要求，保证设备的及时性和完整性</w:t>
      </w:r>
      <w:r>
        <w:rPr>
          <w:szCs w:val="21"/>
        </w:rPr>
        <w:t>。</w:t>
      </w:r>
    </w:p>
    <w:p w14:paraId="55B2AF5E">
      <w:pPr>
        <w:widowControl/>
        <w:spacing w:line="360" w:lineRule="auto"/>
        <w:ind w:firstLine="420" w:firstLineChars="200"/>
        <w:jc w:val="left"/>
        <w:rPr>
          <w:szCs w:val="21"/>
        </w:rPr>
      </w:pPr>
      <w:r>
        <w:rPr>
          <w:szCs w:val="21"/>
        </w:rPr>
        <w:t>5.3.2每件能够独立运行的设备应整套装运。该设备安装、调试、考核和运行所使用的备品、备件、易损易耗件等应随相关的主机一齐装运。</w:t>
      </w:r>
    </w:p>
    <w:p w14:paraId="55B2AF5F">
      <w:pPr>
        <w:widowControl/>
        <w:snapToGrid w:val="0"/>
        <w:spacing w:line="360" w:lineRule="auto"/>
        <w:ind w:firstLine="420" w:firstLineChars="200"/>
        <w:jc w:val="left"/>
        <w:rPr>
          <w:kern w:val="0"/>
          <w:szCs w:val="21"/>
        </w:rPr>
      </w:pPr>
      <w:r>
        <w:rPr>
          <w:kern w:val="0"/>
          <w:szCs w:val="21"/>
        </w:rPr>
        <w:t>5.3.3</w:t>
      </w:r>
      <w:r>
        <w:rPr>
          <w:rFonts w:hint="eastAsia"/>
          <w:kern w:val="0"/>
          <w:szCs w:val="21"/>
        </w:rPr>
        <w:t>乙方向甲方提供每批货物名称、总重量、总体积及到货日期的初步计划及本合同下的货物总清单和装箱总清单，便于甲方掌握设备到货情况和进展情况。初步计划经甲方确认后作为计划交货日期。</w:t>
      </w:r>
    </w:p>
    <w:p w14:paraId="55B2AF60">
      <w:pPr>
        <w:widowControl/>
        <w:snapToGrid w:val="0"/>
        <w:spacing w:line="360" w:lineRule="auto"/>
        <w:ind w:firstLine="420" w:firstLineChars="200"/>
        <w:jc w:val="left"/>
        <w:rPr>
          <w:kern w:val="0"/>
          <w:szCs w:val="21"/>
        </w:rPr>
      </w:pPr>
      <w:r>
        <w:rPr>
          <w:kern w:val="0"/>
          <w:szCs w:val="21"/>
        </w:rPr>
        <w:t>5.3.4乙方应在合同设备预计启运7日前，将合同设备名称、数量、箱数、总毛重、总体积（用m3表示）、每箱尺寸（长×宽×高）、装运合同设备总金额、运输方式、</w:t>
      </w:r>
      <w:r>
        <w:rPr>
          <w:rFonts w:hint="eastAsia"/>
          <w:kern w:val="0"/>
          <w:szCs w:val="21"/>
        </w:rPr>
        <w:t>交运车站、车号和运单号</w:t>
      </w:r>
      <w:r>
        <w:rPr>
          <w:kern w:val="0"/>
          <w:szCs w:val="21"/>
        </w:rPr>
        <w:t>、预计交付日期和合同设备在运输、装卸、保管中的注意事项等预通知甲方，并在合同设备启运后24小时之内正式书面通知甲方。</w:t>
      </w:r>
    </w:p>
    <w:p w14:paraId="55B2AF61">
      <w:pPr>
        <w:widowControl/>
        <w:spacing w:line="360" w:lineRule="auto"/>
        <w:ind w:firstLine="420" w:firstLineChars="200"/>
        <w:jc w:val="left"/>
        <w:rPr>
          <w:szCs w:val="21"/>
        </w:rPr>
      </w:pPr>
      <w:r>
        <w:rPr>
          <w:szCs w:val="21"/>
        </w:rPr>
        <w:t>5.3.5乙方在根据第5.3.4项进行通知时，如果发运合同设备中包括超大超重包装，则乙方应将超大和（或）超重的每个包装箱的重量和尺寸通知甲方；如果发运合同设备中包括易燃易爆物品、腐蚀物品、放射性物质等危险品，则危险品的品名、性质、在运输、装卸、保管方面的特殊要求、注意事项和处理意外情况的方法等，也应一并书面通知甲方。</w:t>
      </w:r>
    </w:p>
    <w:p w14:paraId="55B2AF62">
      <w:pPr>
        <w:spacing w:line="360" w:lineRule="auto"/>
        <w:rPr>
          <w:b/>
          <w:kern w:val="0"/>
          <w:szCs w:val="21"/>
        </w:rPr>
      </w:pPr>
      <w:r>
        <w:rPr>
          <w:rFonts w:hint="eastAsia"/>
          <w:b/>
          <w:kern w:val="0"/>
          <w:szCs w:val="21"/>
        </w:rPr>
        <w:t>5.4交付</w:t>
      </w:r>
    </w:p>
    <w:p w14:paraId="55B2AF63">
      <w:pPr>
        <w:widowControl/>
        <w:spacing w:line="360" w:lineRule="auto"/>
        <w:ind w:firstLine="420" w:firstLineChars="200"/>
        <w:jc w:val="left"/>
        <w:rPr>
          <w:szCs w:val="21"/>
        </w:rPr>
      </w:pPr>
      <w:r>
        <w:rPr>
          <w:szCs w:val="21"/>
        </w:rPr>
        <w:t>5.4.1乙方应根据合同约定的交付时间和批次在施工场地车板交货，将合同设备交付给甲方。甲方对乙方交付的包装的合同设备的外观及件数进行清点核验后应签发收货清单。甲方签发收货清单不代表对合同设备的接受，双方还应按合同约定进行后续的检验和验收。</w:t>
      </w:r>
    </w:p>
    <w:p w14:paraId="55B2AF64">
      <w:pPr>
        <w:widowControl/>
        <w:spacing w:line="360" w:lineRule="auto"/>
        <w:ind w:firstLine="420" w:firstLineChars="200"/>
        <w:jc w:val="left"/>
        <w:rPr>
          <w:szCs w:val="21"/>
        </w:rPr>
      </w:pPr>
      <w:r>
        <w:rPr>
          <w:szCs w:val="21"/>
        </w:rPr>
        <w:t>5.4.2合同设备交付给甲方之前包括运输在内的所有风险均由乙方承担。</w:t>
      </w:r>
    </w:p>
    <w:p w14:paraId="55B2AF65">
      <w:pPr>
        <w:widowControl/>
        <w:spacing w:line="360" w:lineRule="auto"/>
        <w:ind w:firstLine="420" w:firstLineChars="200"/>
        <w:jc w:val="left"/>
        <w:rPr>
          <w:szCs w:val="21"/>
        </w:rPr>
      </w:pPr>
      <w:r>
        <w:rPr>
          <w:szCs w:val="21"/>
        </w:rPr>
        <w:t>5.4.3甲方如果发现技术资料存在短缺和（或）损坏，乙方应在收到甲方的通知后7日内免费补齐短缺和（或）损坏的部分。如果甲方发现乙方提供的技术资料有误，乙方应在收到甲方通知后7日内免费替换。如由于甲方原因导致技术资料丢失和（或）损坏，乙方应在收到甲方的通知后7日内补齐丢失和（或）损坏的部分，但甲方应向乙方支付合理的复制、邮寄费用。</w:t>
      </w:r>
    </w:p>
    <w:p w14:paraId="55B2AF66">
      <w:pPr>
        <w:spacing w:line="360" w:lineRule="auto"/>
        <w:rPr>
          <w:b/>
          <w:kern w:val="0"/>
          <w:szCs w:val="21"/>
        </w:rPr>
      </w:pPr>
      <w:r>
        <w:rPr>
          <w:rFonts w:hint="eastAsia"/>
          <w:b/>
          <w:kern w:val="0"/>
          <w:szCs w:val="21"/>
        </w:rPr>
        <w:t>6.开箱检验、安装、调试、考核、验收</w:t>
      </w:r>
    </w:p>
    <w:p w14:paraId="55B2AF67">
      <w:pPr>
        <w:spacing w:line="360" w:lineRule="auto"/>
        <w:rPr>
          <w:b/>
          <w:kern w:val="0"/>
          <w:szCs w:val="21"/>
        </w:rPr>
      </w:pPr>
      <w:r>
        <w:rPr>
          <w:b/>
          <w:kern w:val="0"/>
          <w:szCs w:val="21"/>
        </w:rPr>
        <w:t>6.1开箱检验</w:t>
      </w:r>
    </w:p>
    <w:p w14:paraId="55B2AF68">
      <w:pPr>
        <w:widowControl/>
        <w:snapToGrid w:val="0"/>
        <w:spacing w:line="360" w:lineRule="auto"/>
        <w:ind w:firstLine="420" w:firstLineChars="200"/>
        <w:jc w:val="left"/>
        <w:rPr>
          <w:kern w:val="0"/>
          <w:szCs w:val="21"/>
        </w:rPr>
      </w:pPr>
      <w:r>
        <w:rPr>
          <w:kern w:val="0"/>
          <w:szCs w:val="21"/>
        </w:rPr>
        <w:t>6.1.1合同设备交付后应进行开箱检验，即合同设备数量及外观检验。开箱检验在如下时间进行：合同设备到达工作现场30天内，由甲方通知乙方进行开箱检验，确保设备等物资满足合同约定，甲、乙双方可会同安装单位、监理单位等有关单位共同开箱，就合同设备的外观、规格、数量和质量等进行清点验收，并共同签署检验记录，该检验记录各方代表各执一份，并作为甲方向乙方提出索赔的有效证据。</w:t>
      </w:r>
    </w:p>
    <w:p w14:paraId="55B2AF69">
      <w:pPr>
        <w:widowControl/>
        <w:spacing w:line="360" w:lineRule="auto"/>
        <w:ind w:right="-23" w:firstLine="420" w:firstLineChars="200"/>
        <w:jc w:val="left"/>
        <w:rPr>
          <w:szCs w:val="21"/>
        </w:rPr>
      </w:pPr>
      <w:r>
        <w:rPr>
          <w:szCs w:val="21"/>
        </w:rPr>
        <w:t>6.1.2合同设备的开箱检验应在施工场地进行。</w:t>
      </w:r>
    </w:p>
    <w:p w14:paraId="55B2AF6A">
      <w:pPr>
        <w:widowControl/>
        <w:spacing w:line="360" w:lineRule="auto"/>
        <w:ind w:right="-23" w:firstLine="420" w:firstLineChars="200"/>
        <w:jc w:val="left"/>
        <w:rPr>
          <w:szCs w:val="21"/>
        </w:rPr>
      </w:pPr>
      <w:r>
        <w:rPr>
          <w:szCs w:val="21"/>
        </w:rPr>
        <w:t>6.1.3开箱检验由甲乙双方及相关方共同进行，乙方应自负费用派遣代表到场参加开箱检验。</w:t>
      </w:r>
    </w:p>
    <w:p w14:paraId="55B2AF6B">
      <w:pPr>
        <w:widowControl/>
        <w:spacing w:line="360" w:lineRule="auto"/>
        <w:ind w:right="-23" w:firstLine="420" w:firstLineChars="200"/>
        <w:jc w:val="left"/>
        <w:rPr>
          <w:szCs w:val="21"/>
        </w:rPr>
      </w:pPr>
      <w:r>
        <w:rPr>
          <w:szCs w:val="21"/>
        </w:rPr>
        <w:t>6.1.4在开箱检验中，甲方和乙方应共同签署数量、外观检验报告，报告应列明检验结果，包括检验合格或发现的任何短缺、损坏或</w:t>
      </w:r>
      <w:r>
        <w:rPr>
          <w:rFonts w:hint="eastAsia"/>
          <w:szCs w:val="21"/>
          <w:lang w:eastAsia="zh-CN"/>
        </w:rPr>
        <w:t>其他</w:t>
      </w:r>
      <w:r>
        <w:rPr>
          <w:szCs w:val="21"/>
        </w:rPr>
        <w:t>与合同约定不符的情形。</w:t>
      </w:r>
    </w:p>
    <w:p w14:paraId="55B2AF6C">
      <w:pPr>
        <w:widowControl/>
        <w:spacing w:line="360" w:lineRule="auto"/>
        <w:ind w:right="-23" w:firstLine="420" w:firstLineChars="200"/>
        <w:jc w:val="left"/>
        <w:rPr>
          <w:szCs w:val="21"/>
        </w:rPr>
      </w:pPr>
      <w:r>
        <w:rPr>
          <w:szCs w:val="21"/>
        </w:rPr>
        <w:t>6.1.5如果乙方代表未能依约或按甲方通知到场参加开箱检验，甲方有权在乙方代表未在场的情况下进行开箱检验，并签署数量、外观检验报告，对于该检验报告和检验结果，视为乙方已接受，但乙方确有合理理由且事先与甲方协商书面确认推迟开箱检验时间的除外。</w:t>
      </w:r>
    </w:p>
    <w:p w14:paraId="55B2AF6D">
      <w:pPr>
        <w:widowControl/>
        <w:spacing w:line="360" w:lineRule="auto"/>
        <w:ind w:right="-23" w:firstLine="420" w:firstLineChars="200"/>
        <w:jc w:val="left"/>
        <w:rPr>
          <w:szCs w:val="21"/>
        </w:rPr>
      </w:pPr>
      <w:r>
        <w:rPr>
          <w:szCs w:val="21"/>
        </w:rPr>
        <w:t>6.1.6如开箱检验不在合同设备交付时进行，则合同设备交付以后到开箱检验之前，应由甲方负责按交货时外包装原样对合同设备进行妥善保管。在开箱检验时如果合同设备外包装与交货时一致，则开箱检验中发现的合同设备的短缺、损坏或</w:t>
      </w:r>
      <w:r>
        <w:rPr>
          <w:rFonts w:hint="eastAsia"/>
          <w:szCs w:val="21"/>
          <w:lang w:eastAsia="zh-CN"/>
        </w:rPr>
        <w:t>其他</w:t>
      </w:r>
      <w:r>
        <w:rPr>
          <w:szCs w:val="21"/>
        </w:rPr>
        <w:t>与合同约定不符的情形，由乙方负责，乙方应补齐、更换及采取其他补救措施。如果在开箱检验时合同设备外包装不是交货时的包装或虽是交货时的包装但与交货时不一致且出现很可能导致合同设备短缺或损坏的包装破损，则开箱检验中发现合同设备短缺、损坏或</w:t>
      </w:r>
      <w:r>
        <w:rPr>
          <w:rFonts w:hint="eastAsia"/>
          <w:szCs w:val="21"/>
          <w:lang w:eastAsia="zh-CN"/>
        </w:rPr>
        <w:t>其他</w:t>
      </w:r>
      <w:r>
        <w:rPr>
          <w:szCs w:val="21"/>
        </w:rPr>
        <w:t>与合同约定不符的情形的风险，由甲方承担，但甲方能够证明是由于乙方原因或合同设备交付前非甲方原因导致的除外。</w:t>
      </w:r>
    </w:p>
    <w:p w14:paraId="55B2AF6E">
      <w:pPr>
        <w:widowControl/>
        <w:spacing w:line="360" w:lineRule="auto"/>
        <w:ind w:right="-23" w:firstLine="420" w:firstLineChars="200"/>
        <w:jc w:val="left"/>
        <w:rPr>
          <w:szCs w:val="21"/>
        </w:rPr>
      </w:pPr>
      <w:r>
        <w:rPr>
          <w:szCs w:val="21"/>
        </w:rPr>
        <w:t>6.1.7如双方在合同条款和供货及技术要求等合同文件中约定由第三方检测机构对合同设备进行开箱检验或在开箱检验过程中另行书面约定由第三方检验的，则第三方检测机构的检验结果对双方均具有约束力。</w:t>
      </w:r>
    </w:p>
    <w:p w14:paraId="55B2AF6F">
      <w:pPr>
        <w:widowControl/>
        <w:spacing w:line="360" w:lineRule="auto"/>
        <w:ind w:right="-23" w:firstLine="420" w:firstLineChars="200"/>
        <w:jc w:val="left"/>
        <w:rPr>
          <w:szCs w:val="21"/>
        </w:rPr>
      </w:pPr>
      <w:r>
        <w:rPr>
          <w:szCs w:val="21"/>
        </w:rPr>
        <w:t>6.1.8开箱检验的检验结果不能对抗在合同设备的安装、调试、考核、验收中及质量保证期内发现的合同设备质量问题，也不能免除或影响乙方依照合同约定负有的包括合同设备质量在内的任何义务或责任。</w:t>
      </w:r>
    </w:p>
    <w:p w14:paraId="55B2AF70">
      <w:pPr>
        <w:spacing w:line="360" w:lineRule="auto"/>
        <w:rPr>
          <w:b/>
          <w:kern w:val="0"/>
          <w:szCs w:val="21"/>
        </w:rPr>
      </w:pPr>
      <w:r>
        <w:rPr>
          <w:b/>
          <w:kern w:val="0"/>
          <w:szCs w:val="21"/>
        </w:rPr>
        <w:t>6.2组装</w:t>
      </w:r>
      <w:r>
        <w:rPr>
          <w:rFonts w:hint="eastAsia"/>
          <w:b/>
          <w:kern w:val="0"/>
          <w:szCs w:val="21"/>
        </w:rPr>
        <w:t>安装、调试</w:t>
      </w:r>
      <w:r>
        <w:rPr>
          <w:b/>
          <w:kern w:val="0"/>
          <w:szCs w:val="21"/>
        </w:rPr>
        <w:t xml:space="preserve"> </w:t>
      </w:r>
    </w:p>
    <w:p w14:paraId="55B2AF71">
      <w:pPr>
        <w:widowControl/>
        <w:spacing w:line="360" w:lineRule="auto"/>
        <w:ind w:right="-23" w:firstLine="420" w:firstLineChars="200"/>
        <w:jc w:val="left"/>
        <w:rPr>
          <w:szCs w:val="21"/>
        </w:rPr>
      </w:pPr>
      <w:r>
        <w:rPr>
          <w:szCs w:val="21"/>
        </w:rPr>
        <w:t>6.2.1开箱检验完成后，双方应对合同设备进行组装安装、调试，以使其具备考核的状态。组装安装、调试应按照下列第一种方式进行：</w:t>
      </w:r>
    </w:p>
    <w:p w14:paraId="55B2AF72">
      <w:pPr>
        <w:widowControl/>
        <w:spacing w:line="360" w:lineRule="auto"/>
        <w:ind w:right="-23" w:firstLine="420" w:firstLineChars="200"/>
        <w:jc w:val="left"/>
        <w:rPr>
          <w:szCs w:val="21"/>
        </w:rPr>
      </w:pPr>
      <w:r>
        <w:rPr>
          <w:szCs w:val="21"/>
        </w:rPr>
        <w:t>（1）乙方按照合同约定完成合同设备的组装安装、调试工作；</w:t>
      </w:r>
    </w:p>
    <w:p w14:paraId="55B2AF73">
      <w:pPr>
        <w:widowControl/>
        <w:spacing w:line="360" w:lineRule="auto"/>
        <w:ind w:right="-23" w:firstLine="420" w:firstLineChars="200"/>
        <w:jc w:val="left"/>
        <w:rPr>
          <w:szCs w:val="21"/>
        </w:rPr>
      </w:pPr>
      <w:r>
        <w:rPr>
          <w:szCs w:val="21"/>
        </w:rPr>
        <w:t>（2）甲方或甲方安排第三方负责合同设备的安装工作，乙方提供安装指导、调试及相关技术服务。在安装、调试过程中，如由于甲方或甲方安排的第三方未按照乙方现场服务人员的指导导致安装、调试不成功和（或）出现合同设备损坏，甲方应自行承担责任。如在甲方或甲方安排的第三方按照乙方现场服务人员的指导进行安装、调试的情况下出现安装、调试不成功和（或）造成合同设备损坏的情况，乙方应承担责任。</w:t>
      </w:r>
    </w:p>
    <w:p w14:paraId="55B2AF74">
      <w:pPr>
        <w:widowControl/>
        <w:spacing w:line="360" w:lineRule="auto"/>
        <w:ind w:right="-23" w:firstLine="420" w:firstLineChars="200"/>
        <w:jc w:val="left"/>
        <w:rPr>
          <w:szCs w:val="21"/>
        </w:rPr>
      </w:pPr>
      <w:r>
        <w:rPr>
          <w:szCs w:val="21"/>
        </w:rPr>
        <w:t>6.2.2双方应对合同设备的安装、调试情况共同及时进行记录。</w:t>
      </w:r>
    </w:p>
    <w:p w14:paraId="55B2AF75">
      <w:pPr>
        <w:widowControl/>
        <w:snapToGrid w:val="0"/>
        <w:spacing w:line="360" w:lineRule="auto"/>
        <w:ind w:firstLine="420" w:firstLineChars="200"/>
        <w:jc w:val="left"/>
        <w:rPr>
          <w:kern w:val="0"/>
          <w:szCs w:val="21"/>
        </w:rPr>
      </w:pPr>
      <w:r>
        <w:rPr>
          <w:kern w:val="0"/>
          <w:szCs w:val="21"/>
        </w:rPr>
        <w:t>6.2.3</w:t>
      </w:r>
      <w:r>
        <w:rPr>
          <w:rFonts w:hint="eastAsia"/>
          <w:kern w:val="0"/>
          <w:szCs w:val="21"/>
        </w:rPr>
        <w:t>在合同执行过程中的任何时候，对由于</w:t>
      </w:r>
      <w:r>
        <w:rPr>
          <w:kern w:val="0"/>
          <w:szCs w:val="21"/>
        </w:rPr>
        <w:t>乙方</w:t>
      </w:r>
      <w:r>
        <w:rPr>
          <w:rFonts w:hint="eastAsia"/>
          <w:kern w:val="0"/>
          <w:szCs w:val="21"/>
        </w:rPr>
        <w:t>责任需要进行的检查、试验、再试验、修理或调换，在</w:t>
      </w:r>
      <w:r>
        <w:rPr>
          <w:kern w:val="0"/>
          <w:szCs w:val="21"/>
        </w:rPr>
        <w:t>乙方</w:t>
      </w:r>
      <w:r>
        <w:rPr>
          <w:rFonts w:hint="eastAsia"/>
          <w:kern w:val="0"/>
          <w:szCs w:val="21"/>
        </w:rPr>
        <w:t>提出请求时，</w:t>
      </w:r>
      <w:r>
        <w:rPr>
          <w:kern w:val="0"/>
          <w:szCs w:val="21"/>
        </w:rPr>
        <w:t>甲方</w:t>
      </w:r>
      <w:r>
        <w:rPr>
          <w:rFonts w:hint="eastAsia"/>
          <w:kern w:val="0"/>
          <w:szCs w:val="21"/>
        </w:rPr>
        <w:t>应</w:t>
      </w:r>
      <w:r>
        <w:rPr>
          <w:kern w:val="0"/>
          <w:szCs w:val="21"/>
        </w:rPr>
        <w:t>做</w:t>
      </w:r>
      <w:r>
        <w:rPr>
          <w:rFonts w:hint="eastAsia"/>
          <w:kern w:val="0"/>
          <w:szCs w:val="21"/>
        </w:rPr>
        <w:t>好安排进行配合以便进行上述工作。</w:t>
      </w:r>
      <w:r>
        <w:rPr>
          <w:kern w:val="0"/>
          <w:szCs w:val="21"/>
        </w:rPr>
        <w:t>乙方</w:t>
      </w:r>
      <w:r>
        <w:rPr>
          <w:rFonts w:hint="eastAsia"/>
          <w:kern w:val="0"/>
          <w:szCs w:val="21"/>
        </w:rPr>
        <w:t>应负责修理或调换及其人员的费用。如果</w:t>
      </w:r>
      <w:r>
        <w:rPr>
          <w:kern w:val="0"/>
          <w:szCs w:val="21"/>
        </w:rPr>
        <w:t>乙方</w:t>
      </w:r>
      <w:r>
        <w:rPr>
          <w:rFonts w:hint="eastAsia"/>
          <w:kern w:val="0"/>
          <w:szCs w:val="21"/>
        </w:rPr>
        <w:t>委托</w:t>
      </w:r>
      <w:r>
        <w:rPr>
          <w:kern w:val="0"/>
          <w:szCs w:val="21"/>
        </w:rPr>
        <w:t>甲方</w:t>
      </w:r>
      <w:r>
        <w:rPr>
          <w:rFonts w:hint="eastAsia"/>
          <w:kern w:val="0"/>
          <w:szCs w:val="21"/>
        </w:rPr>
        <w:t>施工人员进行加工和/或修理、更换设备，或由于</w:t>
      </w:r>
      <w:r>
        <w:rPr>
          <w:kern w:val="0"/>
          <w:szCs w:val="21"/>
        </w:rPr>
        <w:t>乙方</w:t>
      </w:r>
      <w:r>
        <w:rPr>
          <w:rFonts w:hint="eastAsia"/>
          <w:kern w:val="0"/>
          <w:szCs w:val="21"/>
        </w:rPr>
        <w:t>设计图纸错误或</w:t>
      </w:r>
      <w:r>
        <w:rPr>
          <w:kern w:val="0"/>
          <w:szCs w:val="21"/>
        </w:rPr>
        <w:t>乙方</w:t>
      </w:r>
      <w:r>
        <w:rPr>
          <w:rFonts w:hint="eastAsia"/>
          <w:kern w:val="0"/>
          <w:szCs w:val="21"/>
        </w:rPr>
        <w:t>技术服务人员的指导错误造成返工，</w:t>
      </w:r>
      <w:r>
        <w:rPr>
          <w:kern w:val="0"/>
          <w:szCs w:val="21"/>
        </w:rPr>
        <w:t>所造成的甲方损失由乙方承担全部</w:t>
      </w:r>
      <w:r>
        <w:rPr>
          <w:rFonts w:hint="eastAsia"/>
          <w:kern w:val="0"/>
          <w:szCs w:val="21"/>
        </w:rPr>
        <w:t>损失（包括但不限于设备费用、生产原辅材料费</w:t>
      </w:r>
      <w:r>
        <w:rPr>
          <w:kern w:val="0"/>
          <w:szCs w:val="21"/>
        </w:rPr>
        <w:t>用、动力费用、直接人工成本等），且甲方有权视情况解除合同。</w:t>
      </w:r>
    </w:p>
    <w:p w14:paraId="55B2AF76">
      <w:pPr>
        <w:spacing w:line="360" w:lineRule="auto"/>
        <w:rPr>
          <w:b/>
          <w:kern w:val="0"/>
          <w:szCs w:val="21"/>
        </w:rPr>
      </w:pPr>
      <w:r>
        <w:rPr>
          <w:b/>
          <w:kern w:val="0"/>
          <w:szCs w:val="21"/>
        </w:rPr>
        <w:t>6.3性能考核及验收</w:t>
      </w:r>
    </w:p>
    <w:p w14:paraId="55B2AF77">
      <w:pPr>
        <w:widowControl/>
        <w:spacing w:line="360" w:lineRule="auto"/>
        <w:ind w:right="-23" w:firstLine="420" w:firstLineChars="200"/>
        <w:jc w:val="left"/>
        <w:rPr>
          <w:szCs w:val="21"/>
        </w:rPr>
      </w:pPr>
      <w:r>
        <w:rPr>
          <w:szCs w:val="21"/>
        </w:rPr>
        <w:t>6.3.1安装、调试完成后，双方应对合同设备进行考核，考核指标及考核内容详见“供货及技术要求”，以确定合同设备是否达到合同约定的技术性能考核指标。</w:t>
      </w:r>
    </w:p>
    <w:p w14:paraId="55B2AF78">
      <w:pPr>
        <w:widowControl/>
        <w:spacing w:line="360" w:lineRule="auto"/>
        <w:ind w:right="-23" w:firstLine="420" w:firstLineChars="200"/>
        <w:jc w:val="left"/>
        <w:rPr>
          <w:szCs w:val="21"/>
        </w:rPr>
      </w:pPr>
      <w:r>
        <w:rPr>
          <w:szCs w:val="21"/>
        </w:rPr>
        <w:t>6.3.2性能考核必须在设备达到平稳运行后开始，所有性能保证值的测试时间至少要持续</w:t>
      </w:r>
      <w:r>
        <w:rPr>
          <w:szCs w:val="21"/>
          <w:u w:val="single"/>
        </w:rPr>
        <w:t>72</w:t>
      </w:r>
      <w:r>
        <w:rPr>
          <w:szCs w:val="21"/>
        </w:rPr>
        <w:t>小时连续正常运行。</w:t>
      </w:r>
    </w:p>
    <w:p w14:paraId="55B2AF79">
      <w:pPr>
        <w:widowControl/>
        <w:spacing w:line="360" w:lineRule="auto"/>
        <w:ind w:right="-23" w:firstLine="420" w:firstLineChars="200"/>
        <w:jc w:val="left"/>
        <w:rPr>
          <w:szCs w:val="21"/>
        </w:rPr>
      </w:pPr>
      <w:r>
        <w:rPr>
          <w:szCs w:val="21"/>
        </w:rPr>
        <w:t>6.3.3考核期间，双方应及时共同记录合同设备的用水、用电、其他动力和原材料（如有）的使用及设备考核情况。对于未达到技术性能考核指标的，应如实记录设备表现、可能原因及处理情况等。</w:t>
      </w:r>
    </w:p>
    <w:p w14:paraId="55B2AF7A">
      <w:pPr>
        <w:widowControl/>
        <w:snapToGrid w:val="0"/>
        <w:spacing w:line="360" w:lineRule="auto"/>
        <w:ind w:firstLine="420" w:firstLineChars="200"/>
        <w:jc w:val="left"/>
        <w:rPr>
          <w:kern w:val="0"/>
          <w:szCs w:val="21"/>
        </w:rPr>
      </w:pPr>
      <w:r>
        <w:rPr>
          <w:kern w:val="0"/>
          <w:szCs w:val="21"/>
        </w:rPr>
        <w:t>6.3.4如果性能考核被迫中断，则应重新开始性能考核。如果由于乙方的原因被迫中断，甲方根据实际情况同意延长最多30天时间内再次进行性能考核，以便乙方自费改进。如果由于甲方的原因性能测试被迫中断，性能考核应延长。</w:t>
      </w:r>
    </w:p>
    <w:p w14:paraId="55B2AF7B">
      <w:pPr>
        <w:widowControl/>
        <w:spacing w:line="360" w:lineRule="auto"/>
        <w:ind w:right="-23" w:firstLine="420" w:firstLineChars="200"/>
        <w:jc w:val="left"/>
        <w:rPr>
          <w:szCs w:val="21"/>
        </w:rPr>
      </w:pPr>
      <w:r>
        <w:rPr>
          <w:szCs w:val="21"/>
        </w:rPr>
        <w:t>6.3.5如由于乙方原因合同设备在考核中未能达到合同约定的技术性能考核指标，则乙方应在甲方书面同意的期限内采取措施消除合同设备中存在的缺陷，并在缺陷消除以后，尽快进行再次考核。</w:t>
      </w:r>
    </w:p>
    <w:p w14:paraId="55B2AF7C">
      <w:pPr>
        <w:widowControl/>
        <w:snapToGrid w:val="0"/>
        <w:spacing w:line="360" w:lineRule="auto"/>
        <w:ind w:firstLine="420" w:firstLineChars="200"/>
        <w:jc w:val="left"/>
        <w:rPr>
          <w:kern w:val="0"/>
          <w:szCs w:val="21"/>
        </w:rPr>
      </w:pPr>
      <w:r>
        <w:rPr>
          <w:kern w:val="0"/>
          <w:szCs w:val="21"/>
        </w:rPr>
        <w:t>6.3.6由于乙方原因未能达到技术性能考核指标时，为乙方进行考核的机会不超过三次。如果由于乙方原因，三次考核均未能达到合同约定的技术性能考核指标，甲方有权采取包括但不限于扣除履约保证金、性能验收款及质保金等所有方式，对甲方造成的损失，甲方有权进行索赔，乙方须承担因此给甲方造成的全部损失（包括但不限于设备费用、生产原辅材料费用、动力费用、直接人工成本等），且甲方有权解除合同，如解除合同则乙方应当在15日内返还甲方已支付的全部价款。</w:t>
      </w:r>
    </w:p>
    <w:p w14:paraId="55B2AF7D">
      <w:pPr>
        <w:widowControl/>
        <w:spacing w:line="360" w:lineRule="auto"/>
        <w:ind w:right="-23" w:firstLine="420" w:firstLineChars="200"/>
        <w:jc w:val="left"/>
        <w:rPr>
          <w:szCs w:val="21"/>
        </w:rPr>
      </w:pPr>
      <w:r>
        <w:rPr>
          <w:szCs w:val="21"/>
        </w:rPr>
        <w:t>6.3.7如由于甲方原因合同设备在考核中未能达到合同约定的技术性能考核指标，则乙方应协助甲方安排再次考核。为甲方进行考核的机会不超过三次，合同设备在三次考核中均未能达到技术性能考核指标，甲乙双方应在考核结束后30日内签署性能考核验收证明文件。但乙方有义务在性能考核验收证明文件签署后12个月内应甲方要求提供相关技术服务，协助甲方采取一切必要措施使合同设备达到技术性能考核指标。在上述12个月的期限内，如合同设备经过考核达到或视为达到技术性能考核指标，则甲乙双方应签署合同设备验收合格证书。</w:t>
      </w:r>
    </w:p>
    <w:p w14:paraId="55B2AF7E">
      <w:pPr>
        <w:widowControl/>
        <w:spacing w:line="360" w:lineRule="auto"/>
        <w:ind w:right="-23" w:firstLine="420" w:firstLineChars="200"/>
        <w:jc w:val="left"/>
        <w:rPr>
          <w:szCs w:val="21"/>
        </w:rPr>
      </w:pPr>
      <w:r>
        <w:rPr>
          <w:szCs w:val="21"/>
        </w:rPr>
        <w:t>6.3.8 如合同设备在考核中达到或视为达到技术性能考核指标，则甲乙双方应在考核完成后30日内签署合同设备验收合格证书一式四份，双方各持两份。验收日期应为合同设备达到或视为达到技术性能考核指标的日期。</w:t>
      </w:r>
    </w:p>
    <w:p w14:paraId="55B2AF7F">
      <w:pPr>
        <w:widowControl/>
        <w:spacing w:line="360" w:lineRule="auto"/>
        <w:ind w:right="-23" w:firstLine="420" w:firstLineChars="200"/>
        <w:jc w:val="left"/>
        <w:rPr>
          <w:szCs w:val="21"/>
        </w:rPr>
      </w:pPr>
      <w:r>
        <w:rPr>
          <w:szCs w:val="21"/>
        </w:rPr>
        <w:t>6.3.9合同设备验收证书的签署不能免除乙方在质量保证期内对合同设备应承担的保证责任。</w:t>
      </w:r>
    </w:p>
    <w:p w14:paraId="55B2AF80">
      <w:pPr>
        <w:spacing w:line="360" w:lineRule="auto"/>
        <w:rPr>
          <w:b/>
          <w:kern w:val="0"/>
          <w:szCs w:val="21"/>
        </w:rPr>
      </w:pPr>
      <w:r>
        <w:rPr>
          <w:rFonts w:hint="eastAsia"/>
          <w:b/>
          <w:kern w:val="0"/>
          <w:szCs w:val="21"/>
        </w:rPr>
        <w:t>7.技术服务</w:t>
      </w:r>
    </w:p>
    <w:p w14:paraId="55B2AF81">
      <w:pPr>
        <w:widowControl/>
        <w:spacing w:line="360" w:lineRule="auto"/>
        <w:ind w:right="-23" w:firstLine="420" w:firstLineChars="200"/>
        <w:jc w:val="left"/>
        <w:rPr>
          <w:szCs w:val="21"/>
        </w:rPr>
      </w:pPr>
      <w:r>
        <w:rPr>
          <w:szCs w:val="21"/>
        </w:rPr>
        <w:t>7.1技术服务内容包括但不限于组装安装、安装指导、调试、开车、技术培训等内容。</w:t>
      </w:r>
    </w:p>
    <w:p w14:paraId="55B2AF82">
      <w:pPr>
        <w:widowControl/>
        <w:spacing w:line="360" w:lineRule="auto"/>
        <w:ind w:right="-23" w:firstLine="420" w:firstLineChars="200"/>
        <w:jc w:val="left"/>
        <w:rPr>
          <w:szCs w:val="21"/>
        </w:rPr>
      </w:pPr>
      <w:r>
        <w:rPr>
          <w:szCs w:val="21"/>
        </w:rPr>
        <w:t>7.2乙方应派遣技术熟练、称职的技术人员到施工场地为甲方提供技术服务，拟派遣的技术人员名单需经甲方书面确认，乙方的技术服务应符合合同的约定。</w:t>
      </w:r>
    </w:p>
    <w:p w14:paraId="55B2AF83">
      <w:pPr>
        <w:widowControl/>
        <w:spacing w:line="360" w:lineRule="auto"/>
        <w:ind w:right="-23" w:firstLine="420" w:firstLineChars="200"/>
        <w:jc w:val="left"/>
        <w:rPr>
          <w:szCs w:val="21"/>
        </w:rPr>
      </w:pPr>
      <w:r>
        <w:rPr>
          <w:szCs w:val="21"/>
        </w:rPr>
        <w:t>7.3甲方应免费为乙方技术人员提供工作条件及便利，包括但不限于必要的办公场所、技术资料及出入许可等。乙方技术人员的交通、食宿费用由乙方承担。</w:t>
      </w:r>
    </w:p>
    <w:p w14:paraId="55B2AF84">
      <w:pPr>
        <w:widowControl/>
        <w:spacing w:line="360" w:lineRule="auto"/>
        <w:ind w:right="-23" w:firstLine="420" w:firstLineChars="200"/>
        <w:jc w:val="left"/>
        <w:rPr>
          <w:szCs w:val="21"/>
        </w:rPr>
      </w:pPr>
      <w:r>
        <w:rPr>
          <w:szCs w:val="21"/>
        </w:rPr>
        <w:t>7.4乙方技术人员应遵守甲方施工现场的各项规章制度和安全操作规程，并服从甲方的现场管理。</w:t>
      </w:r>
    </w:p>
    <w:p w14:paraId="55B2AF85">
      <w:pPr>
        <w:widowControl/>
        <w:spacing w:line="360" w:lineRule="auto"/>
        <w:ind w:right="-23" w:firstLine="420" w:firstLineChars="200"/>
        <w:jc w:val="left"/>
        <w:rPr>
          <w:szCs w:val="21"/>
        </w:rPr>
      </w:pPr>
      <w:r>
        <w:rPr>
          <w:szCs w:val="21"/>
        </w:rPr>
        <w:t>7.5如果任何技术人员不合格，甲方有权要求乙方撤换，因撤换而产生的费用应由乙方承担。在不影响技术服务并且征得甲方同意的条件下，乙方也可自负费用更换其技术人员。</w:t>
      </w:r>
    </w:p>
    <w:p w14:paraId="55B2AF86">
      <w:pPr>
        <w:spacing w:line="360" w:lineRule="auto"/>
        <w:rPr>
          <w:b/>
          <w:kern w:val="0"/>
          <w:szCs w:val="21"/>
        </w:rPr>
      </w:pPr>
      <w:r>
        <w:rPr>
          <w:b/>
          <w:kern w:val="0"/>
          <w:szCs w:val="21"/>
        </w:rPr>
        <w:t>8.质量保证期</w:t>
      </w:r>
    </w:p>
    <w:p w14:paraId="55B2AF87">
      <w:pPr>
        <w:spacing w:line="360" w:lineRule="auto"/>
        <w:ind w:firstLine="420" w:firstLineChars="200"/>
        <w:jc w:val="left"/>
      </w:pPr>
      <w:r>
        <w:rPr>
          <w:szCs w:val="21"/>
        </w:rPr>
        <w:t>8.1合同设备整体质量保证期为从设备性能验收合格，签署合同设备性能验收合格证书之日正式开始计算，如对合同设备中关键部件的质量保证期有特殊要求的，甲乙双方可专门约定。</w:t>
      </w:r>
    </w:p>
    <w:p w14:paraId="55B2AF88">
      <w:pPr>
        <w:widowControl/>
        <w:spacing w:line="360" w:lineRule="auto"/>
        <w:ind w:right="-23" w:firstLine="420" w:firstLineChars="200"/>
        <w:jc w:val="left"/>
        <w:rPr>
          <w:szCs w:val="21"/>
        </w:rPr>
      </w:pPr>
      <w:r>
        <w:rPr>
          <w:szCs w:val="21"/>
        </w:rPr>
        <w:t>8.2在质量保证期内如果合同设备出现故障，乙方应自负费用提供质保期服务，对相关合同设备进行修理或更换以消除故障。更换的合同设备和（或）关键部件的质量保证期应重新计算。但如果合同设备的故障是由于甲方原因造成的，则对合同设备进行修理和更换的费用应由甲方承担。</w:t>
      </w:r>
    </w:p>
    <w:p w14:paraId="55B2AF89">
      <w:pPr>
        <w:widowControl/>
        <w:spacing w:line="360" w:lineRule="auto"/>
        <w:ind w:right="-23" w:firstLine="420" w:firstLineChars="200"/>
        <w:jc w:val="left"/>
        <w:rPr>
          <w:szCs w:val="21"/>
        </w:rPr>
      </w:pPr>
      <w:r>
        <w:rPr>
          <w:szCs w:val="21"/>
        </w:rPr>
        <w:t>8.3质量保证期届满后，甲方应在30日内向乙方出具合同设备的质量保证期届满证书。</w:t>
      </w:r>
    </w:p>
    <w:p w14:paraId="55B2AF8A">
      <w:pPr>
        <w:widowControl/>
        <w:spacing w:line="360" w:lineRule="auto"/>
        <w:ind w:right="-23" w:firstLine="420" w:firstLineChars="200"/>
        <w:jc w:val="left"/>
        <w:rPr>
          <w:szCs w:val="21"/>
        </w:rPr>
      </w:pPr>
      <w:r>
        <w:rPr>
          <w:szCs w:val="21"/>
        </w:rPr>
        <w:t>8.4在合同第6.3.7项情形下，如在性能考核验收证明文件签署后12个月内由于甲方原因合同设备仍未能达到技术性能考核指标，则甲方应在该12个月届满后30日内支付质保金；如合同设备经过考核达到或视为达到技术性能考核指标，则从性能考核验收合格证明文件签署之日起12个月届满后30日内支付质保金。</w:t>
      </w:r>
    </w:p>
    <w:p w14:paraId="55B2AF8B">
      <w:pPr>
        <w:spacing w:line="360" w:lineRule="auto"/>
        <w:rPr>
          <w:b/>
          <w:kern w:val="0"/>
          <w:szCs w:val="21"/>
        </w:rPr>
      </w:pPr>
      <w:r>
        <w:rPr>
          <w:rFonts w:hint="eastAsia"/>
          <w:b/>
          <w:kern w:val="0"/>
          <w:szCs w:val="21"/>
        </w:rPr>
        <w:t>9.质保期服务</w:t>
      </w:r>
    </w:p>
    <w:p w14:paraId="55B2AF8C">
      <w:pPr>
        <w:spacing w:line="360" w:lineRule="auto"/>
        <w:ind w:firstLine="420" w:firstLineChars="200"/>
        <w:jc w:val="left"/>
        <w:rPr>
          <w:szCs w:val="21"/>
        </w:rPr>
      </w:pPr>
      <w:r>
        <w:rPr>
          <w:szCs w:val="21"/>
        </w:rPr>
        <w:t>9.1乙方应为质保期服务配备充足的技术人员、工具和备件并保证提供的联系方式畅通。乙方应在收到甲方通知后24小时</w:t>
      </w:r>
      <w:r>
        <w:rPr>
          <w:rFonts w:hint="eastAsia"/>
          <w:szCs w:val="21"/>
          <w:lang w:eastAsia="zh-CN"/>
        </w:rPr>
        <w:t>内作出响应</w:t>
      </w:r>
      <w:r>
        <w:rPr>
          <w:szCs w:val="21"/>
        </w:rPr>
        <w:t>，如需乙方到合同设备现场，乙方应在收到甲方通知后48小时内到达，并在到达后7日内解决合同设备的故障（重大故障除外）。如果乙方未在上述时间内作出响应，则甲方有权自行或委托他人解决相关问题或查找和解决合同设备的故障，乙方应承担由此发生的全部费用并赔偿甲方由此产生的一切损失，</w:t>
      </w:r>
      <w:r>
        <w:t>相应</w:t>
      </w:r>
      <w:r>
        <w:rPr>
          <w:szCs w:val="21"/>
        </w:rPr>
        <w:t>费用和损失甲方有权直接从质保金中予以扣除。</w:t>
      </w:r>
    </w:p>
    <w:p w14:paraId="55B2AF8D">
      <w:pPr>
        <w:widowControl/>
        <w:spacing w:line="360" w:lineRule="auto"/>
        <w:ind w:right="-23" w:firstLine="420" w:firstLineChars="200"/>
        <w:jc w:val="left"/>
        <w:rPr>
          <w:szCs w:val="21"/>
        </w:rPr>
      </w:pPr>
      <w:r>
        <w:rPr>
          <w:szCs w:val="21"/>
        </w:rPr>
        <w:t>9.2如乙方技术人员需到合同设备现场进行质保期服务，则甲方应免费为乙方技术人员提供工作条件及便利，包括但不限于必要的办公场所、技术资料及出入许可等。乙方技术人员的交通、食宿费用由乙方承担。乙方技术人员应遵守甲方施工现场的各项规章制度和安全操作规程，并服从甲方的现场管理。</w:t>
      </w:r>
    </w:p>
    <w:p w14:paraId="55B2AF8E">
      <w:pPr>
        <w:widowControl/>
        <w:spacing w:line="360" w:lineRule="auto"/>
        <w:ind w:right="-23" w:firstLine="420" w:firstLineChars="200"/>
        <w:jc w:val="left"/>
        <w:rPr>
          <w:szCs w:val="21"/>
        </w:rPr>
      </w:pPr>
      <w:r>
        <w:rPr>
          <w:szCs w:val="21"/>
        </w:rPr>
        <w:t>9.3如果任何技术人员不合格，甲方有权要求乙方撤换，因撤换而产生的费用应由乙方承担。在不影响质保期服务并且征得甲方同意的条件下，乙方也可自负费用更换其技术人员。</w:t>
      </w:r>
    </w:p>
    <w:p w14:paraId="55B2AF8F">
      <w:pPr>
        <w:widowControl/>
        <w:spacing w:line="360" w:lineRule="auto"/>
        <w:ind w:right="-23" w:firstLine="420" w:firstLineChars="200"/>
        <w:jc w:val="left"/>
        <w:rPr>
          <w:szCs w:val="21"/>
        </w:rPr>
      </w:pPr>
      <w:r>
        <w:rPr>
          <w:szCs w:val="21"/>
        </w:rPr>
        <w:t>9.4乙方应就在施工现场进行质保期服务的情况进行记录，记载合同设备故障发生的时间、原因及解决情况等，由甲方签字确认，并在质量保证期结束后提交给甲方。</w:t>
      </w:r>
    </w:p>
    <w:p w14:paraId="55B2AF90">
      <w:pPr>
        <w:spacing w:line="360" w:lineRule="auto"/>
        <w:rPr>
          <w:b/>
          <w:kern w:val="0"/>
          <w:szCs w:val="21"/>
        </w:rPr>
      </w:pPr>
      <w:r>
        <w:rPr>
          <w:kern w:val="0"/>
          <w:sz w:val="20"/>
          <w:szCs w:val="20"/>
        </w:rPr>
        <w:t>★</w:t>
      </w:r>
      <w:r>
        <w:rPr>
          <w:rFonts w:hint="eastAsia"/>
          <w:b/>
          <w:kern w:val="0"/>
          <w:szCs w:val="21"/>
        </w:rPr>
        <w:t>10.履约保证金</w:t>
      </w:r>
    </w:p>
    <w:p w14:paraId="55B2AF91">
      <w:pPr>
        <w:widowControl/>
        <w:spacing w:line="360" w:lineRule="auto"/>
        <w:ind w:right="-23" w:firstLine="420" w:firstLineChars="200"/>
        <w:jc w:val="left"/>
        <w:rPr>
          <w:szCs w:val="21"/>
        </w:rPr>
      </w:pPr>
      <w:r>
        <w:rPr>
          <w:szCs w:val="21"/>
        </w:rPr>
        <w:t>履约保证金为合同固定含税总额的10%，在签订合同之日起30日内，乙方以银行保函或银行转账的形式向甲方提交履约保证金，在合同设备性能考核验收合格证明文件签署之日起28日后失效或不计利息退还</w:t>
      </w:r>
      <w:r>
        <w:rPr>
          <w:rFonts w:hint="eastAsia"/>
          <w:szCs w:val="21"/>
        </w:rPr>
        <w:t>（</w:t>
      </w:r>
      <w:r>
        <w:rPr>
          <w:szCs w:val="21"/>
        </w:rPr>
        <w:t>合同</w:t>
      </w:r>
      <w:r>
        <w:rPr>
          <w:rFonts w:hint="eastAsia"/>
          <w:szCs w:val="21"/>
        </w:rPr>
        <w:t>设备性能考核验收合格之前如需</w:t>
      </w:r>
      <w:r>
        <w:rPr>
          <w:szCs w:val="21"/>
        </w:rPr>
        <w:t>继续提供</w:t>
      </w:r>
      <w:r>
        <w:rPr>
          <w:rFonts w:hint="eastAsia"/>
          <w:szCs w:val="21"/>
        </w:rPr>
        <w:t>履约保函的，乙方应提前15天办理</w:t>
      </w:r>
      <w:r>
        <w:rPr>
          <w:szCs w:val="21"/>
        </w:rPr>
        <w:t>延续</w:t>
      </w:r>
      <w:r>
        <w:rPr>
          <w:rFonts w:hint="eastAsia"/>
          <w:szCs w:val="21"/>
        </w:rPr>
        <w:t>保函）</w:t>
      </w:r>
      <w:r>
        <w:rPr>
          <w:szCs w:val="21"/>
        </w:rPr>
        <w:t>。如果乙方不履行合同约定的义务或其履行不符合合同的约定，甲方有权扣划相应金额的履约保证金。</w:t>
      </w:r>
    </w:p>
    <w:p w14:paraId="55B2AF92">
      <w:pPr>
        <w:spacing w:line="360" w:lineRule="auto"/>
        <w:rPr>
          <w:b/>
          <w:kern w:val="0"/>
          <w:szCs w:val="21"/>
        </w:rPr>
      </w:pPr>
      <w:r>
        <w:rPr>
          <w:b/>
          <w:kern w:val="0"/>
          <w:szCs w:val="21"/>
        </w:rPr>
        <w:t>11.保证</w:t>
      </w:r>
    </w:p>
    <w:p w14:paraId="55B2AF93">
      <w:pPr>
        <w:widowControl/>
        <w:spacing w:line="360" w:lineRule="auto"/>
        <w:ind w:right="-23" w:firstLine="420" w:firstLineChars="200"/>
        <w:jc w:val="left"/>
        <w:rPr>
          <w:szCs w:val="21"/>
        </w:rPr>
      </w:pPr>
      <w:r>
        <w:rPr>
          <w:szCs w:val="21"/>
        </w:rPr>
        <w:t>11.1乙方保证其具有完全的能力履行本合同项下的全部义务。</w:t>
      </w:r>
    </w:p>
    <w:p w14:paraId="55B2AF94">
      <w:pPr>
        <w:widowControl/>
        <w:spacing w:line="360" w:lineRule="auto"/>
        <w:ind w:right="-23" w:firstLine="420" w:firstLineChars="200"/>
        <w:jc w:val="left"/>
        <w:rPr>
          <w:szCs w:val="21"/>
        </w:rPr>
      </w:pPr>
      <w:r>
        <w:rPr>
          <w:szCs w:val="21"/>
        </w:rPr>
        <w:t>11.2乙方保证其所提供的合同设备及对合同的履行符合所有应适用的法律、行政法规、地方性法规、自治条例和单行条例、规章及其他规范性文件的强制性规定。</w:t>
      </w:r>
    </w:p>
    <w:p w14:paraId="55B2AF95">
      <w:pPr>
        <w:widowControl/>
        <w:spacing w:line="360" w:lineRule="auto"/>
        <w:ind w:right="-23" w:firstLine="420" w:firstLineChars="200"/>
        <w:jc w:val="left"/>
        <w:rPr>
          <w:szCs w:val="21"/>
        </w:rPr>
      </w:pPr>
      <w:r>
        <w:rPr>
          <w:szCs w:val="21"/>
        </w:rPr>
        <w:t>11.3乙方保证其对合同设备的销售不损害任何第三方的合法权益和社会公众利益。任何第三方不会因乙方原因而基于所有权、抵押权、留置权或其他任何权利或事由对合同设备主张权利。</w:t>
      </w:r>
    </w:p>
    <w:p w14:paraId="55B2AF96">
      <w:pPr>
        <w:widowControl/>
        <w:spacing w:line="360" w:lineRule="auto"/>
        <w:ind w:right="-23" w:firstLine="420" w:firstLineChars="200"/>
        <w:jc w:val="left"/>
        <w:rPr>
          <w:szCs w:val="21"/>
        </w:rPr>
      </w:pPr>
      <w:r>
        <w:rPr>
          <w:szCs w:val="21"/>
        </w:rPr>
        <w:t>11.4乙方保证合同设备符合合同约定的规格、标准、技术性能考核指标等，能够安全和稳定地运行，且合同设备（包括全部部件）全新、完整、未使用过。</w:t>
      </w:r>
    </w:p>
    <w:p w14:paraId="55B2AF97">
      <w:pPr>
        <w:widowControl/>
        <w:spacing w:line="360" w:lineRule="auto"/>
        <w:ind w:right="-23" w:firstLine="420" w:firstLineChars="200"/>
        <w:jc w:val="left"/>
        <w:rPr>
          <w:szCs w:val="21"/>
        </w:rPr>
      </w:pPr>
      <w:r>
        <w:rPr>
          <w:szCs w:val="21"/>
        </w:rPr>
        <w:t>11.5乙方保证，乙方所提供的技术资料完整、清晰、准确，符合合同约定并且能够满足合同设备的安装、调试、考核、操作以及维修和保养的需要。</w:t>
      </w:r>
    </w:p>
    <w:p w14:paraId="55B2AF98">
      <w:pPr>
        <w:widowControl/>
        <w:spacing w:line="360" w:lineRule="auto"/>
        <w:ind w:right="-23" w:firstLine="420" w:firstLineChars="200"/>
        <w:jc w:val="left"/>
        <w:rPr>
          <w:szCs w:val="21"/>
        </w:rPr>
      </w:pPr>
      <w:r>
        <w:rPr>
          <w:szCs w:val="21"/>
        </w:rPr>
        <w:t>11.6乙方保证合同范围内提供的备品备件能够满足合同设备在质量保证期结束前正常运行及维修的需要，如在质量保证期结束前因乙方原因出现备品备件短缺影响合同设备正常运行的，乙方应免费提供。</w:t>
      </w:r>
    </w:p>
    <w:p w14:paraId="55B2AF99">
      <w:pPr>
        <w:widowControl/>
        <w:spacing w:line="360" w:lineRule="auto"/>
        <w:ind w:right="-23" w:firstLine="420" w:firstLineChars="200"/>
        <w:jc w:val="left"/>
        <w:rPr>
          <w:szCs w:val="21"/>
        </w:rPr>
      </w:pPr>
      <w:r>
        <w:rPr>
          <w:szCs w:val="21"/>
        </w:rPr>
        <w:t>11.7如果在合同设备设计使用寿命期内发生合同项下备品备件停止生产的情况，乙方应事先将拟停止生产的计划通知甲方，使甲方有足够的时间考虑备品备件的需求量。根据甲方要求，乙方应：</w:t>
      </w:r>
    </w:p>
    <w:p w14:paraId="55B2AF9A">
      <w:pPr>
        <w:widowControl/>
        <w:spacing w:line="360" w:lineRule="auto"/>
        <w:ind w:right="-23" w:firstLine="420" w:firstLineChars="200"/>
        <w:jc w:val="left"/>
        <w:rPr>
          <w:szCs w:val="21"/>
        </w:rPr>
      </w:pPr>
      <w:r>
        <w:rPr>
          <w:szCs w:val="21"/>
        </w:rPr>
        <w:t>（1）以不高于同期市场价格或其向任何第三方销售同类产品的价格提供合同设备正常运行所需的全部备品备件。</w:t>
      </w:r>
    </w:p>
    <w:p w14:paraId="55B2AF9B">
      <w:pPr>
        <w:widowControl/>
        <w:spacing w:line="360" w:lineRule="auto"/>
        <w:ind w:right="-23" w:firstLine="420" w:firstLineChars="200"/>
        <w:jc w:val="left"/>
        <w:rPr>
          <w:szCs w:val="21"/>
        </w:rPr>
      </w:pPr>
      <w:r>
        <w:rPr>
          <w:szCs w:val="21"/>
        </w:rPr>
        <w:t>（2）免费提供可供甲方或第三方制造停产备品备件所需的全部技术资料，以便甲方持续获得上述备品备件以满足合同设备在寿命期内正常运行的需要。乙方保证甲方或甲方委托的第三方制造及甲方使用这些备品备件不侵犯任何人的知识产权。</w:t>
      </w:r>
    </w:p>
    <w:p w14:paraId="55B2AF9C">
      <w:pPr>
        <w:widowControl/>
        <w:spacing w:line="360" w:lineRule="auto"/>
        <w:ind w:right="-23" w:firstLine="420" w:firstLineChars="200"/>
        <w:jc w:val="left"/>
        <w:rPr>
          <w:szCs w:val="21"/>
        </w:rPr>
      </w:pPr>
      <w:r>
        <w:rPr>
          <w:szCs w:val="21"/>
        </w:rPr>
        <w:t>11.8乙方保证，在合同设备设计使用寿命期内，如果乙方发现合同设备由于设计、制造、标识等原因存在足以危及人身、财产安全的缺陷，乙方将及时通知甲方并及时采取修正或者补充标识、修理、更换等措施消除缺陷，因此产生的费用由乙方承担。</w:t>
      </w:r>
    </w:p>
    <w:p w14:paraId="55B2AF9D">
      <w:pPr>
        <w:spacing w:line="360" w:lineRule="auto"/>
        <w:rPr>
          <w:b/>
          <w:kern w:val="0"/>
          <w:szCs w:val="21"/>
        </w:rPr>
      </w:pPr>
      <w:r>
        <w:rPr>
          <w:b/>
          <w:kern w:val="0"/>
          <w:szCs w:val="21"/>
        </w:rPr>
        <w:t>12.知识产权</w:t>
      </w:r>
    </w:p>
    <w:p w14:paraId="55B2AF9E">
      <w:pPr>
        <w:widowControl/>
        <w:spacing w:line="360" w:lineRule="auto"/>
        <w:ind w:right="-23" w:firstLine="420" w:firstLineChars="200"/>
        <w:jc w:val="left"/>
        <w:rPr>
          <w:szCs w:val="21"/>
        </w:rPr>
      </w:pPr>
      <w:r>
        <w:rPr>
          <w:szCs w:val="21"/>
        </w:rPr>
        <w:t>12.1甲方在履行合同过程中提供给乙方的全部图纸、文件和其他含有数据和信息的资料，其知识产权属于甲方。</w:t>
      </w:r>
    </w:p>
    <w:p w14:paraId="55B2AF9F">
      <w:pPr>
        <w:widowControl/>
        <w:spacing w:line="360" w:lineRule="auto"/>
        <w:ind w:right="-23" w:firstLine="420" w:firstLineChars="200"/>
        <w:jc w:val="left"/>
        <w:rPr>
          <w:szCs w:val="21"/>
        </w:rPr>
      </w:pPr>
      <w:r>
        <w:rPr>
          <w:szCs w:val="21"/>
        </w:rPr>
        <w:t>12.2甲方不因签署和履行合同而享有乙方在履行合同过程中提供给甲方的图纸、文件、配套软件、电子辅助程序和其他含有数据和信息的资料的知识产权。</w:t>
      </w:r>
    </w:p>
    <w:p w14:paraId="55B2AFA0">
      <w:pPr>
        <w:widowControl/>
        <w:spacing w:line="360" w:lineRule="auto"/>
        <w:ind w:right="-23" w:firstLine="420" w:firstLineChars="200"/>
        <w:jc w:val="left"/>
        <w:rPr>
          <w:szCs w:val="21"/>
        </w:rPr>
      </w:pPr>
      <w:r>
        <w:rPr>
          <w:szCs w:val="21"/>
        </w:rPr>
        <w:t>12.3如合同设备涉及知识产权，则乙方保证甲方在使用合同设备过程中免于受到第三方提出的有关知识产权侵权的主张、索赔或诉讼的伤害。</w:t>
      </w:r>
    </w:p>
    <w:p w14:paraId="55B2AFA1">
      <w:pPr>
        <w:widowControl/>
        <w:spacing w:line="360" w:lineRule="auto"/>
        <w:ind w:right="-23" w:firstLine="420" w:firstLineChars="200"/>
        <w:jc w:val="left"/>
        <w:rPr>
          <w:szCs w:val="21"/>
        </w:rPr>
      </w:pPr>
      <w:r>
        <w:rPr>
          <w:szCs w:val="21"/>
        </w:rPr>
        <w:t>12.4如果甲方收到任何第三方有关知识产权的主张、索赔或诉讼，乙方在收到甲方通知后，应以甲方名义并在甲方的协助下，自负费用处理与第三方的索赔或诉讼，并赔偿甲方因此发生的费用和遭受的损失。如果乙方拒绝处理前述索赔或诉讼或在收到甲方通知后28日内未作表示，甲方可以自己的名义进行这些索赔或诉讼，因此发生的费用和遭受的损失均应由乙方承担。</w:t>
      </w:r>
    </w:p>
    <w:p w14:paraId="55B2AFA2">
      <w:pPr>
        <w:widowControl/>
        <w:spacing w:line="360" w:lineRule="auto"/>
        <w:ind w:right="-23" w:firstLine="420" w:firstLineChars="200"/>
        <w:jc w:val="left"/>
        <w:rPr>
          <w:kern w:val="0"/>
          <w:szCs w:val="21"/>
        </w:rPr>
      </w:pPr>
      <w:r>
        <w:rPr>
          <w:kern w:val="0"/>
          <w:szCs w:val="21"/>
        </w:rPr>
        <w:t>12.5甲方有权将乙方所提供的一切与本合同设备有关的资料分发给与本设备有关的各方，并不由此而构成任何侵权，但不得向任何与本设备无关的第三方提供。</w:t>
      </w:r>
    </w:p>
    <w:p w14:paraId="55B2AFA3">
      <w:pPr>
        <w:widowControl/>
        <w:spacing w:line="360" w:lineRule="auto"/>
        <w:ind w:right="-23" w:firstLine="420" w:firstLineChars="200"/>
        <w:jc w:val="left"/>
        <w:rPr>
          <w:kern w:val="0"/>
          <w:szCs w:val="21"/>
        </w:rPr>
      </w:pPr>
      <w:r>
        <w:rPr>
          <w:kern w:val="0"/>
          <w:szCs w:val="21"/>
        </w:rPr>
        <w:t>12.6乙方向甲方交付设备时，视为其已授权甲方永久使用依附设备上的乙方所享有的专有技术。无论因何原因，乙方均不再向甲方另行收取专有技术许可及技术服务费。没有甲方事先书面同意，乙方不得将由甲方或代表甲方提供的有关合同或任何合同条文、设计参数、计划、图纸、模型、样品或资料等提供给与履行本合同无关的任何其他人。即使向与履行本合同有关的人员提供，也应注意保密并限于履行合同必须的范围。否则甲方有权根据由此给甲方造成的损失</w:t>
      </w:r>
      <w:r>
        <w:rPr>
          <w:rFonts w:hint="eastAsia"/>
          <w:kern w:val="0"/>
          <w:szCs w:val="21"/>
          <w:lang w:eastAsia="zh-CN"/>
        </w:rPr>
        <w:t>追究</w:t>
      </w:r>
      <w:r>
        <w:rPr>
          <w:kern w:val="0"/>
          <w:szCs w:val="21"/>
        </w:rPr>
        <w:t>乙方法律责任。</w:t>
      </w:r>
    </w:p>
    <w:p w14:paraId="55B2AFA4">
      <w:pPr>
        <w:widowControl/>
        <w:spacing w:line="360" w:lineRule="auto"/>
        <w:ind w:right="-23" w:firstLine="420" w:firstLineChars="200"/>
        <w:jc w:val="left"/>
        <w:rPr>
          <w:kern w:val="0"/>
          <w:szCs w:val="21"/>
        </w:rPr>
      </w:pPr>
      <w:r>
        <w:rPr>
          <w:rFonts w:hint="eastAsia"/>
          <w:kern w:val="0"/>
          <w:szCs w:val="21"/>
        </w:rPr>
        <w:t>12.7乙方向甲方提供的所有产品、技术、服务及相关成果，以及甲方按乙方要求使用标的物的行为，不侵犯任何第三方的知识产权（包括但不限于专利权、商标权、著作权、商业秘密等）。若标的物的正常使用需依赖第三方的知识产权，乙方应合法取得相关授权，且该等授权所需的全部费用均已包含在合同款项中，甲方无需另行支付任何费用。乙方应在甲方要求时，及时提供相关授权证明文件供甲方核查。若第三方主张标的物侵犯其知识产权，甲方通知乙方后，乙方应在【三】个工作日内确认并自费全权处理（含诉讼、和解等）。乙方采取任何措施前须经甲方书面同意。甲方有权（但无义务）自行参与处理。</w:t>
      </w:r>
    </w:p>
    <w:p w14:paraId="55B2AFA5">
      <w:pPr>
        <w:spacing w:line="360" w:lineRule="auto"/>
        <w:rPr>
          <w:b/>
          <w:kern w:val="0"/>
          <w:szCs w:val="21"/>
        </w:rPr>
      </w:pPr>
      <w:r>
        <w:rPr>
          <w:b/>
          <w:kern w:val="0"/>
          <w:szCs w:val="21"/>
        </w:rPr>
        <w:t>13.保密</w:t>
      </w:r>
    </w:p>
    <w:p w14:paraId="55B2AFA6">
      <w:pPr>
        <w:widowControl/>
        <w:spacing w:line="360" w:lineRule="auto"/>
        <w:ind w:right="-23" w:firstLine="420" w:firstLineChars="200"/>
        <w:jc w:val="left"/>
        <w:rPr>
          <w:szCs w:val="21"/>
        </w:rPr>
      </w:pPr>
      <w:r>
        <w:rPr>
          <w:szCs w:val="21"/>
        </w:rPr>
        <w:t>合同双方应对因履行合同而取得的另一方当事人的信息、资料等予以保密，保密期限为直至相关信息依法公开为社会公众所知悉为止。未经另一方当事人书面同意，任何一方均不得为与履行合同无关的目的使用或向第三方披露另一方当事人提供的信息、资料。合同当事人的保密义务不适用于下列信息：</w:t>
      </w:r>
    </w:p>
    <w:p w14:paraId="55B2AFA7">
      <w:pPr>
        <w:widowControl/>
        <w:spacing w:line="360" w:lineRule="auto"/>
        <w:ind w:right="-23" w:firstLine="420" w:firstLineChars="200"/>
        <w:jc w:val="left"/>
        <w:rPr>
          <w:szCs w:val="21"/>
        </w:rPr>
      </w:pPr>
      <w:r>
        <w:rPr>
          <w:szCs w:val="21"/>
        </w:rPr>
        <w:t>（1）非因</w:t>
      </w:r>
      <w:r>
        <w:rPr>
          <w:rFonts w:hint="eastAsia"/>
          <w:szCs w:val="21"/>
          <w:lang w:eastAsia="zh-CN"/>
        </w:rPr>
        <w:t>接收</w:t>
      </w:r>
      <w:r>
        <w:rPr>
          <w:szCs w:val="21"/>
        </w:rPr>
        <w:t>信息一方的过失现在或以后进入公共领域的信息；</w:t>
      </w:r>
    </w:p>
    <w:p w14:paraId="55B2AFA8">
      <w:pPr>
        <w:widowControl/>
        <w:spacing w:line="360" w:lineRule="auto"/>
        <w:ind w:right="-23" w:firstLine="420" w:firstLineChars="200"/>
        <w:jc w:val="left"/>
        <w:rPr>
          <w:szCs w:val="21"/>
        </w:rPr>
      </w:pPr>
      <w:r>
        <w:rPr>
          <w:szCs w:val="21"/>
        </w:rPr>
        <w:t>（2）</w:t>
      </w:r>
      <w:r>
        <w:rPr>
          <w:rFonts w:hint="eastAsia"/>
          <w:szCs w:val="21"/>
          <w:lang w:eastAsia="zh-CN"/>
        </w:rPr>
        <w:t>接收</w:t>
      </w:r>
      <w:r>
        <w:rPr>
          <w:szCs w:val="21"/>
        </w:rPr>
        <w:t>信息一方当事人合法地从第三方获得并且据其善意了解第三方也不对此承担保密义务的信息；</w:t>
      </w:r>
    </w:p>
    <w:p w14:paraId="55B2AFA9">
      <w:pPr>
        <w:widowControl/>
        <w:spacing w:line="360" w:lineRule="auto"/>
        <w:ind w:right="-23" w:firstLine="420" w:firstLineChars="200"/>
        <w:jc w:val="left"/>
        <w:rPr>
          <w:szCs w:val="21"/>
        </w:rPr>
      </w:pPr>
      <w:r>
        <w:rPr>
          <w:szCs w:val="21"/>
        </w:rPr>
        <w:t>（3）法律或法律的执行要求披露的信息。</w:t>
      </w:r>
    </w:p>
    <w:p w14:paraId="55B2AFAA">
      <w:pPr>
        <w:spacing w:line="360" w:lineRule="auto"/>
        <w:rPr>
          <w:b/>
          <w:kern w:val="0"/>
          <w:szCs w:val="21"/>
        </w:rPr>
      </w:pPr>
      <w:r>
        <w:rPr>
          <w:rFonts w:hint="eastAsia"/>
          <w:b/>
          <w:kern w:val="0"/>
          <w:szCs w:val="21"/>
        </w:rPr>
        <w:t>14.违约责任</w:t>
      </w:r>
    </w:p>
    <w:p w14:paraId="55B2AFAB">
      <w:pPr>
        <w:widowControl/>
        <w:spacing w:line="360" w:lineRule="auto"/>
        <w:ind w:right="-23" w:firstLine="420" w:firstLineChars="200"/>
        <w:jc w:val="left"/>
        <w:rPr>
          <w:szCs w:val="21"/>
        </w:rPr>
      </w:pPr>
      <w:r>
        <w:rPr>
          <w:szCs w:val="21"/>
        </w:rPr>
        <w:t>14.1合同一方不履行合同义务、履行合同义务不符合约定或者违反合同项下所作保证的，应向对方承担继续履行、采取修理、更换、退货等补救措施，并支付合同总金额30%作为违约金。</w:t>
      </w:r>
    </w:p>
    <w:p w14:paraId="55B2AFAC">
      <w:pPr>
        <w:widowControl/>
        <w:spacing w:line="360" w:lineRule="auto"/>
        <w:ind w:right="-23" w:firstLine="420" w:firstLineChars="200"/>
        <w:jc w:val="left"/>
        <w:rPr>
          <w:szCs w:val="21"/>
        </w:rPr>
      </w:pPr>
      <w:r>
        <w:rPr>
          <w:szCs w:val="21"/>
        </w:rPr>
        <w:t>14.2乙方未能按时交付合同设备（包括仅迟延交付技术资料但足以导致合同设备安装、调试、考核、验收工作推迟的）的，应向甲方支付迟延交付违约金。迟延交付违约金的计算方法如下：</w:t>
      </w:r>
    </w:p>
    <w:p w14:paraId="55B2AFAD">
      <w:pPr>
        <w:widowControl/>
        <w:spacing w:line="360" w:lineRule="auto"/>
        <w:ind w:right="-23" w:firstLine="440" w:firstLineChars="200"/>
        <w:jc w:val="left"/>
        <w:rPr>
          <w:sz w:val="22"/>
          <w:szCs w:val="22"/>
        </w:rPr>
      </w:pPr>
      <w:r>
        <w:rPr>
          <w:rFonts w:hint="eastAsia"/>
          <w:sz w:val="22"/>
          <w:szCs w:val="22"/>
        </w:rPr>
        <w:t>迟延交付违约金=</w:t>
      </w:r>
      <w:r>
        <w:rPr>
          <w:sz w:val="22"/>
          <w:szCs w:val="22"/>
        </w:rPr>
        <w:t>1000元/日</w:t>
      </w:r>
      <w:r>
        <w:rPr>
          <w:rFonts w:hint="eastAsia"/>
          <w:sz w:val="22"/>
          <w:szCs w:val="22"/>
        </w:rPr>
        <w:t>×延迟</w:t>
      </w:r>
      <w:r>
        <w:rPr>
          <w:sz w:val="22"/>
          <w:szCs w:val="22"/>
        </w:rPr>
        <w:t>付款</w:t>
      </w:r>
      <w:r>
        <w:rPr>
          <w:rFonts w:hint="eastAsia"/>
          <w:sz w:val="22"/>
          <w:szCs w:val="22"/>
        </w:rPr>
        <w:t>天数。</w:t>
      </w:r>
    </w:p>
    <w:p w14:paraId="55B2AFAE">
      <w:pPr>
        <w:widowControl/>
        <w:spacing w:line="360" w:lineRule="auto"/>
        <w:ind w:right="-23" w:firstLine="440" w:firstLineChars="200"/>
        <w:jc w:val="left"/>
        <w:rPr>
          <w:szCs w:val="21"/>
        </w:rPr>
      </w:pPr>
      <w:r>
        <w:rPr>
          <w:rFonts w:hint="eastAsia"/>
          <w:sz w:val="22"/>
          <w:szCs w:val="22"/>
        </w:rPr>
        <w:t>迟延交付违约金的最高限额为合同价格的</w:t>
      </w:r>
      <w:r>
        <w:rPr>
          <w:sz w:val="22"/>
          <w:szCs w:val="22"/>
        </w:rPr>
        <w:t>1</w:t>
      </w:r>
      <w:r>
        <w:rPr>
          <w:rFonts w:hint="eastAsia"/>
          <w:sz w:val="22"/>
          <w:szCs w:val="22"/>
        </w:rPr>
        <w:t>0%。</w:t>
      </w:r>
    </w:p>
    <w:p w14:paraId="55B2AFAF">
      <w:pPr>
        <w:widowControl/>
        <w:spacing w:line="360" w:lineRule="auto"/>
        <w:ind w:right="-23" w:firstLine="420" w:firstLineChars="200"/>
        <w:jc w:val="left"/>
        <w:rPr>
          <w:szCs w:val="21"/>
        </w:rPr>
      </w:pPr>
      <w:r>
        <w:rPr>
          <w:szCs w:val="21"/>
        </w:rPr>
        <w:t>迟延交付违约金的支付不能免除乙方继续交付相关合同设备的义务，但如迟延交付必然导致合同设备安装、调试、考核、验收工作推迟的，相关工作应相应顺延。</w:t>
      </w:r>
    </w:p>
    <w:p w14:paraId="55B2AFB0">
      <w:pPr>
        <w:spacing w:line="360" w:lineRule="auto"/>
        <w:rPr>
          <w:b/>
          <w:kern w:val="0"/>
          <w:szCs w:val="21"/>
        </w:rPr>
      </w:pPr>
      <w:r>
        <w:rPr>
          <w:b/>
          <w:kern w:val="0"/>
          <w:szCs w:val="21"/>
        </w:rPr>
        <w:t>15.合同的解除</w:t>
      </w:r>
    </w:p>
    <w:p w14:paraId="55B2AFB1">
      <w:pPr>
        <w:widowControl/>
        <w:spacing w:line="360" w:lineRule="auto"/>
        <w:ind w:right="-23" w:firstLine="420" w:firstLineChars="200"/>
        <w:jc w:val="left"/>
        <w:rPr>
          <w:szCs w:val="21"/>
        </w:rPr>
      </w:pPr>
      <w:r>
        <w:rPr>
          <w:szCs w:val="21"/>
        </w:rPr>
        <w:t>15.1有下述情形之一，当事人可发出书面通知全部或部分地解除合同，合同自通知到达对方时全部或部分地解除：</w:t>
      </w:r>
    </w:p>
    <w:p w14:paraId="55B2AFB2">
      <w:pPr>
        <w:widowControl/>
        <w:numPr>
          <w:ilvl w:val="0"/>
          <w:numId w:val="5"/>
        </w:numPr>
        <w:spacing w:line="360" w:lineRule="auto"/>
        <w:ind w:left="0" w:firstLine="420" w:firstLineChars="200"/>
        <w:jc w:val="left"/>
        <w:rPr>
          <w:szCs w:val="21"/>
        </w:rPr>
      </w:pPr>
      <w:r>
        <w:rPr>
          <w:szCs w:val="21"/>
        </w:rPr>
        <w:t>在制作选材、用材及制造核心参数不满足合同要求；</w:t>
      </w:r>
    </w:p>
    <w:p w14:paraId="55B2AFB3">
      <w:pPr>
        <w:widowControl/>
        <w:numPr>
          <w:ilvl w:val="0"/>
          <w:numId w:val="5"/>
        </w:numPr>
        <w:spacing w:line="360" w:lineRule="auto"/>
        <w:ind w:left="0" w:firstLine="420" w:firstLineChars="200"/>
        <w:jc w:val="left"/>
        <w:rPr>
          <w:szCs w:val="21"/>
        </w:rPr>
      </w:pPr>
      <w:r>
        <w:rPr>
          <w:szCs w:val="21"/>
        </w:rPr>
        <w:t>乙方迟延交付合同设备超过三个月；</w:t>
      </w:r>
    </w:p>
    <w:p w14:paraId="55B2AFB4">
      <w:pPr>
        <w:widowControl/>
        <w:numPr>
          <w:ilvl w:val="0"/>
          <w:numId w:val="5"/>
        </w:numPr>
        <w:spacing w:line="360" w:lineRule="auto"/>
        <w:ind w:left="0" w:firstLine="420" w:firstLineChars="200"/>
        <w:jc w:val="left"/>
        <w:rPr>
          <w:szCs w:val="21"/>
        </w:rPr>
      </w:pPr>
      <w:r>
        <w:rPr>
          <w:szCs w:val="21"/>
        </w:rPr>
        <w:t>合同设备由于乙方原因三次考核均未能达到技术性能考核指标或在合同约定了或双方在考核中另行达成了最低技术性能考核指标时均未能达到最低技术性能考核指标，且甲乙双方未就合同的后续履行协商达成一致；</w:t>
      </w:r>
    </w:p>
    <w:p w14:paraId="55B2AFB5">
      <w:pPr>
        <w:widowControl/>
        <w:numPr>
          <w:ilvl w:val="0"/>
          <w:numId w:val="5"/>
        </w:numPr>
        <w:spacing w:line="360" w:lineRule="auto"/>
        <w:ind w:left="0" w:firstLine="420" w:firstLineChars="200"/>
        <w:jc w:val="left"/>
        <w:rPr>
          <w:szCs w:val="21"/>
        </w:rPr>
      </w:pPr>
      <w:r>
        <w:rPr>
          <w:szCs w:val="21"/>
        </w:rPr>
        <w:t>合同一方当事人未能履行合同项下任何其它义务（细微义务除外），或在未事先征得另一方当事人同意的情况下，从事任何可能在实质上不利影响其履行合同能力的活动，经另一方当事人书面通知后10日内未对其行为作出补救；</w:t>
      </w:r>
    </w:p>
    <w:p w14:paraId="55B2AFB6">
      <w:pPr>
        <w:widowControl/>
        <w:numPr>
          <w:ilvl w:val="0"/>
          <w:numId w:val="5"/>
        </w:numPr>
        <w:spacing w:line="360" w:lineRule="auto"/>
        <w:ind w:left="0" w:firstLine="420" w:firstLineChars="200"/>
        <w:jc w:val="left"/>
        <w:rPr>
          <w:szCs w:val="21"/>
        </w:rPr>
      </w:pPr>
      <w:r>
        <w:rPr>
          <w:szCs w:val="21"/>
        </w:rPr>
        <w:t>合同一方当事人出现破产、清算、资不抵债、成为失信被执行人等可能丧失履约能力的情形，且未能提供令对方满意的履约保证金。</w:t>
      </w:r>
    </w:p>
    <w:p w14:paraId="55B2AFB7">
      <w:pPr>
        <w:widowControl/>
        <w:snapToGrid w:val="0"/>
        <w:spacing w:line="360" w:lineRule="auto"/>
        <w:ind w:firstLine="420" w:firstLineChars="200"/>
        <w:jc w:val="left"/>
        <w:rPr>
          <w:kern w:val="0"/>
          <w:szCs w:val="21"/>
        </w:rPr>
      </w:pPr>
      <w:r>
        <w:rPr>
          <w:kern w:val="0"/>
          <w:szCs w:val="21"/>
        </w:rPr>
        <w:t>15.2合同解除的后果如下：</w:t>
      </w:r>
    </w:p>
    <w:p w14:paraId="55B2AFB8">
      <w:pPr>
        <w:widowControl/>
        <w:snapToGrid w:val="0"/>
        <w:spacing w:line="360" w:lineRule="auto"/>
        <w:ind w:firstLine="315" w:firstLineChars="150"/>
        <w:jc w:val="left"/>
        <w:rPr>
          <w:kern w:val="0"/>
          <w:szCs w:val="21"/>
        </w:rPr>
      </w:pPr>
      <w:r>
        <w:rPr>
          <w:kern w:val="0"/>
          <w:szCs w:val="21"/>
        </w:rPr>
        <w:t>（1）依据15.1条第（1）项约定解除的，乙方应当返还甲方已支付的全部款项并赔偿甲方因此造成的全部损失；</w:t>
      </w:r>
    </w:p>
    <w:p w14:paraId="55B2AFB9">
      <w:pPr>
        <w:widowControl/>
        <w:snapToGrid w:val="0"/>
        <w:spacing w:line="360" w:lineRule="auto"/>
        <w:ind w:firstLine="315" w:firstLineChars="150"/>
        <w:jc w:val="left"/>
        <w:rPr>
          <w:kern w:val="0"/>
          <w:szCs w:val="21"/>
        </w:rPr>
      </w:pPr>
      <w:r>
        <w:rPr>
          <w:kern w:val="0"/>
          <w:szCs w:val="21"/>
        </w:rPr>
        <w:t>（2）依据15.1条第（2）、（3）项约定解除的，乙方应当返还甲方已支付的全部款项，并赔偿甲方因此造成的全部损失；</w:t>
      </w:r>
    </w:p>
    <w:p w14:paraId="55B2AFBA">
      <w:pPr>
        <w:widowControl/>
        <w:snapToGrid w:val="0"/>
        <w:spacing w:line="360" w:lineRule="auto"/>
        <w:ind w:firstLine="315" w:firstLineChars="150"/>
        <w:jc w:val="left"/>
        <w:rPr>
          <w:kern w:val="0"/>
          <w:szCs w:val="21"/>
        </w:rPr>
      </w:pPr>
      <w:r>
        <w:rPr>
          <w:kern w:val="0"/>
          <w:szCs w:val="21"/>
        </w:rPr>
        <w:t>（3）依据15.1条第（4）项约定解除的，过错方为乙方则应退还已支付所有款项并赔偿全部损失，过错方为甲方则应支付当期应付款项。</w:t>
      </w:r>
    </w:p>
    <w:p w14:paraId="55B2AFBB">
      <w:pPr>
        <w:spacing w:line="360" w:lineRule="auto"/>
        <w:rPr>
          <w:b/>
          <w:kern w:val="0"/>
          <w:szCs w:val="21"/>
        </w:rPr>
      </w:pPr>
      <w:r>
        <w:rPr>
          <w:rFonts w:hint="eastAsia"/>
          <w:b/>
          <w:kern w:val="0"/>
          <w:szCs w:val="21"/>
        </w:rPr>
        <w:t>16.不可抗力</w:t>
      </w:r>
    </w:p>
    <w:p w14:paraId="55B2AFBC">
      <w:pPr>
        <w:widowControl/>
        <w:spacing w:line="360" w:lineRule="auto"/>
        <w:ind w:right="-23" w:firstLine="420" w:firstLineChars="200"/>
        <w:jc w:val="left"/>
        <w:rPr>
          <w:szCs w:val="21"/>
        </w:rPr>
      </w:pPr>
      <w:r>
        <w:rPr>
          <w:szCs w:val="21"/>
        </w:rPr>
        <w:t>16.1如果任何一方当事人受到不能预见、不能避免且不能克服的不可抗力事件的影响，例如战争、严重的火灾、台风、地震、洪水和合同条款约定的其他情形，而无法履行合同项下的任何义务，则受影响的一方当事人应立即将此类事件的发生通知另一方当事人，并应在不可抗力事件发生后28日内将有关当局或机构出具的证明文件提交给另一方当事人。</w:t>
      </w:r>
    </w:p>
    <w:p w14:paraId="55B2AFBD">
      <w:pPr>
        <w:widowControl/>
        <w:spacing w:line="360" w:lineRule="auto"/>
        <w:ind w:right="-23" w:firstLine="420" w:firstLineChars="200"/>
        <w:jc w:val="left"/>
        <w:rPr>
          <w:szCs w:val="21"/>
        </w:rPr>
      </w:pPr>
      <w:r>
        <w:rPr>
          <w:szCs w:val="21"/>
        </w:rPr>
        <w:t>16.2受不可抗力事件影响的一方当事人对于不可抗力事件导致的任何合同义务的迟延履行或不能履行不承担违约责任。但该方当事人应尽快将不可抗力事件结束或消除的情况通知另一方当事人。</w:t>
      </w:r>
    </w:p>
    <w:p w14:paraId="55B2AFBE">
      <w:pPr>
        <w:widowControl/>
        <w:spacing w:line="360" w:lineRule="auto"/>
        <w:ind w:right="-23" w:firstLine="420" w:firstLineChars="200"/>
        <w:jc w:val="left"/>
        <w:rPr>
          <w:szCs w:val="21"/>
        </w:rPr>
      </w:pPr>
      <w:r>
        <w:rPr>
          <w:szCs w:val="21"/>
        </w:rPr>
        <w:t>16.3双方当事人应在不可抗力事件结束或其影响消除后立即继续履行其合同义务，合同期限也应相应顺延。</w:t>
      </w:r>
    </w:p>
    <w:p w14:paraId="55B2AFBF">
      <w:pPr>
        <w:spacing w:line="360" w:lineRule="auto"/>
        <w:rPr>
          <w:b/>
          <w:kern w:val="0"/>
          <w:szCs w:val="21"/>
        </w:rPr>
      </w:pPr>
      <w:r>
        <w:rPr>
          <w:kern w:val="0"/>
          <w:sz w:val="20"/>
          <w:szCs w:val="20"/>
        </w:rPr>
        <w:t>★</w:t>
      </w:r>
      <w:r>
        <w:rPr>
          <w:b/>
          <w:kern w:val="0"/>
          <w:szCs w:val="21"/>
        </w:rPr>
        <w:t>17.争议的解决</w:t>
      </w:r>
    </w:p>
    <w:p w14:paraId="55B2AFC0">
      <w:pPr>
        <w:widowControl/>
        <w:spacing w:line="360" w:lineRule="auto"/>
        <w:ind w:right="-23" w:firstLine="420" w:firstLineChars="200"/>
        <w:jc w:val="left"/>
        <w:rPr>
          <w:szCs w:val="21"/>
        </w:rPr>
      </w:pPr>
      <w:r>
        <w:rPr>
          <w:szCs w:val="21"/>
        </w:rPr>
        <w:t>因本合同引起的或与本合同有关的任何争议</w:t>
      </w:r>
      <w:r>
        <w:rPr>
          <w:rFonts w:hint="eastAsia"/>
          <w:szCs w:val="21"/>
          <w:lang w:eastAsia="zh-CN"/>
        </w:rPr>
        <w:t>，</w:t>
      </w:r>
      <w:r>
        <w:rPr>
          <w:szCs w:val="21"/>
        </w:rPr>
        <w:t>双方可通过友好协商解决。友好协商解决不成的，向甲方所在地人民法院提起诉讼。</w:t>
      </w:r>
    </w:p>
    <w:p w14:paraId="55B2AFC1">
      <w:pPr>
        <w:widowControl/>
        <w:spacing w:line="360" w:lineRule="auto"/>
        <w:ind w:right="-23" w:firstLine="420" w:firstLineChars="200"/>
        <w:jc w:val="left"/>
        <w:rPr>
          <w:szCs w:val="21"/>
        </w:rPr>
      </w:pPr>
      <w:r>
        <w:rPr>
          <w:szCs w:val="21"/>
        </w:rPr>
        <w:t>附件1、合同总价表及分项价格明细表</w:t>
      </w:r>
    </w:p>
    <w:p w14:paraId="55B2AFC2">
      <w:pPr>
        <w:widowControl/>
        <w:spacing w:line="360" w:lineRule="auto"/>
        <w:ind w:right="-23" w:firstLine="420" w:firstLineChars="200"/>
        <w:jc w:val="left"/>
        <w:rPr>
          <w:szCs w:val="21"/>
        </w:rPr>
      </w:pPr>
      <w:r>
        <w:rPr>
          <w:szCs w:val="21"/>
        </w:rPr>
        <w:t>附件2、设备提交技术资料清单</w:t>
      </w:r>
    </w:p>
    <w:p w14:paraId="55B2AFC3">
      <w:pPr>
        <w:widowControl/>
        <w:spacing w:line="360" w:lineRule="auto"/>
        <w:ind w:right="-23" w:firstLine="420" w:firstLineChars="200"/>
        <w:jc w:val="left"/>
        <w:rPr>
          <w:szCs w:val="21"/>
        </w:rPr>
      </w:pPr>
      <w:r>
        <w:rPr>
          <w:szCs w:val="21"/>
        </w:rPr>
        <w:t>附件3、《廉政合同》</w:t>
      </w:r>
    </w:p>
    <w:p w14:paraId="55B2AFC4">
      <w:pPr>
        <w:widowControl/>
        <w:spacing w:line="360" w:lineRule="auto"/>
        <w:ind w:right="-23" w:firstLine="420" w:firstLineChars="200"/>
        <w:jc w:val="left"/>
        <w:rPr>
          <w:szCs w:val="21"/>
        </w:rPr>
      </w:pPr>
      <w:bookmarkStart w:id="337" w:name="_Toc366057682"/>
      <w:bookmarkStart w:id="338" w:name="_Toc432668644"/>
      <w:bookmarkStart w:id="339" w:name="_Toc430156075"/>
      <w:bookmarkStart w:id="340" w:name="_Toc391899249"/>
      <w:r>
        <w:rPr>
          <w:szCs w:val="21"/>
        </w:rPr>
        <w:t>附件</w:t>
      </w:r>
      <w:bookmarkEnd w:id="337"/>
      <w:bookmarkEnd w:id="338"/>
      <w:bookmarkEnd w:id="339"/>
      <w:bookmarkEnd w:id="340"/>
      <w:r>
        <w:rPr>
          <w:szCs w:val="21"/>
        </w:rPr>
        <w:t>4、《HSE协议》</w:t>
      </w:r>
    </w:p>
    <w:p w14:paraId="55B2AFC5">
      <w:pPr>
        <w:widowControl/>
        <w:spacing w:line="360" w:lineRule="auto"/>
        <w:ind w:right="-23" w:firstLine="420" w:firstLineChars="200"/>
        <w:jc w:val="left"/>
        <w:rPr>
          <w:szCs w:val="21"/>
        </w:rPr>
        <w:sectPr>
          <w:footerReference r:id="rId11" w:type="first"/>
          <w:headerReference r:id="rId9" w:type="default"/>
          <w:footerReference r:id="rId10" w:type="default"/>
          <w:pgSz w:w="11906" w:h="16838"/>
          <w:pgMar w:top="936" w:right="1134" w:bottom="1089" w:left="1134" w:header="510" w:footer="680" w:gutter="0"/>
          <w:cols w:space="720" w:num="1"/>
          <w:titlePg/>
          <w:docGrid w:type="linesAndChars" w:linePitch="312" w:charSpace="0"/>
        </w:sectPr>
      </w:pPr>
      <w:bookmarkStart w:id="341" w:name="_Toc432668645"/>
      <w:bookmarkStart w:id="342" w:name="_Toc391899250"/>
      <w:bookmarkStart w:id="343" w:name="_Toc366057683"/>
      <w:bookmarkStart w:id="344" w:name="_Toc430156076"/>
      <w:r>
        <w:rPr>
          <w:szCs w:val="21"/>
        </w:rPr>
        <w:t>附件5、《保密协议》</w:t>
      </w:r>
      <w:bookmarkEnd w:id="341"/>
      <w:bookmarkEnd w:id="342"/>
      <w:bookmarkEnd w:id="343"/>
      <w:bookmarkEnd w:id="344"/>
    </w:p>
    <w:p w14:paraId="55B2AFC6">
      <w:pPr>
        <w:ind w:right="-333" w:rightChars="-159"/>
        <w:jc w:val="center"/>
        <w:rPr>
          <w:rFonts w:eastAsia="黑体"/>
          <w:b/>
          <w:sz w:val="44"/>
          <w:szCs w:val="44"/>
        </w:rPr>
      </w:pPr>
      <w:bookmarkStart w:id="345" w:name="_Toc97027595"/>
      <w:r>
        <w:rPr>
          <w:rFonts w:eastAsia="黑体"/>
          <w:b/>
          <w:sz w:val="44"/>
          <w:szCs w:val="44"/>
        </w:rPr>
        <w:t>廉政合同</w:t>
      </w:r>
      <w:bookmarkEnd w:id="345"/>
    </w:p>
    <w:p w14:paraId="55B2AFC7">
      <w:pPr>
        <w:tabs>
          <w:tab w:val="left" w:pos="6825"/>
        </w:tabs>
        <w:autoSpaceDE w:val="0"/>
        <w:autoSpaceDN w:val="0"/>
        <w:spacing w:line="480" w:lineRule="auto"/>
        <w:ind w:firstLine="420" w:firstLineChars="200"/>
        <w:rPr>
          <w:szCs w:val="21"/>
        </w:rPr>
      </w:pPr>
    </w:p>
    <w:p w14:paraId="55B2AFC8">
      <w:pPr>
        <w:tabs>
          <w:tab w:val="left" w:pos="851"/>
        </w:tabs>
        <w:snapToGrid w:val="0"/>
        <w:spacing w:before="120" w:line="360" w:lineRule="auto"/>
        <w:rPr>
          <w:sz w:val="24"/>
        </w:rPr>
      </w:pPr>
      <w:r>
        <w:rPr>
          <w:sz w:val="24"/>
        </w:rPr>
        <w:t>甲方（全称）：</w:t>
      </w:r>
      <w:r>
        <w:rPr>
          <w:rFonts w:hint="eastAsia"/>
          <w:sz w:val="24"/>
        </w:rPr>
        <w:t>云南中慧能源有限公司</w:t>
      </w:r>
    </w:p>
    <w:p w14:paraId="55B2AFC9">
      <w:pPr>
        <w:tabs>
          <w:tab w:val="left" w:pos="851"/>
        </w:tabs>
        <w:snapToGrid w:val="0"/>
        <w:spacing w:before="120" w:line="360" w:lineRule="auto"/>
        <w:rPr>
          <w:sz w:val="24"/>
        </w:rPr>
      </w:pPr>
      <w:r>
        <w:rPr>
          <w:sz w:val="24"/>
        </w:rPr>
        <w:t xml:space="preserve">乙方（全称）：                          </w:t>
      </w:r>
    </w:p>
    <w:p w14:paraId="55B2AFCA">
      <w:pPr>
        <w:tabs>
          <w:tab w:val="left" w:pos="851"/>
        </w:tabs>
        <w:snapToGrid w:val="0"/>
        <w:spacing w:before="120" w:line="360" w:lineRule="auto"/>
        <w:ind w:firstLine="480" w:firstLineChars="200"/>
        <w:rPr>
          <w:sz w:val="24"/>
        </w:rPr>
      </w:pPr>
      <w:r>
        <w:rPr>
          <w:sz w:val="24"/>
        </w:rPr>
        <w:t>根据国家建设部、监察部《关于在工程建设中深入开展反对腐败和反对不正当竞争的通知》精神，坚决执行《</w:t>
      </w:r>
      <w:r>
        <w:rPr>
          <w:rFonts w:hint="eastAsia"/>
          <w:sz w:val="24"/>
          <w:lang w:eastAsia="zh-CN"/>
        </w:rPr>
        <w:t>中华人民共和国反不正当竞争法》《</w:t>
      </w:r>
      <w:r>
        <w:rPr>
          <w:rFonts w:hint="eastAsia"/>
          <w:sz w:val="24"/>
        </w:rPr>
        <w:t>中华人民共和国</w:t>
      </w:r>
      <w:r>
        <w:rPr>
          <w:sz w:val="24"/>
        </w:rPr>
        <w:t>建筑法》和有关法规。确定工程甲、乙双方秉公行事，自愿签订建设工程廉政合同。</w:t>
      </w:r>
    </w:p>
    <w:p w14:paraId="55B2AFCB">
      <w:pPr>
        <w:tabs>
          <w:tab w:val="left" w:pos="851"/>
        </w:tabs>
        <w:snapToGrid w:val="0"/>
        <w:spacing w:before="120" w:line="360" w:lineRule="auto"/>
        <w:ind w:firstLine="480" w:firstLineChars="200"/>
        <w:rPr>
          <w:sz w:val="24"/>
        </w:rPr>
      </w:pPr>
      <w:r>
        <w:rPr>
          <w:sz w:val="24"/>
        </w:rPr>
        <w:t>一、甲方不得接受乙方请吃、请玩；不得接受乙方赠送的礼品、礼金和各种有价证券、信用卡及其他支付凭证；不得接受乙方任何好处费及工程回扣；不得向乙方报销任何应由采购人支付的费用，</w:t>
      </w:r>
      <w:r>
        <w:rPr>
          <w:rFonts w:hint="eastAsia"/>
          <w:sz w:val="24"/>
          <w:lang w:eastAsia="zh-CN"/>
        </w:rPr>
        <w:t>不得</w:t>
      </w:r>
      <w:r>
        <w:rPr>
          <w:sz w:val="24"/>
        </w:rPr>
        <w:t>参加乙方举行的任何庆典活动。</w:t>
      </w:r>
    </w:p>
    <w:p w14:paraId="55B2AFCC">
      <w:pPr>
        <w:tabs>
          <w:tab w:val="left" w:pos="851"/>
        </w:tabs>
        <w:snapToGrid w:val="0"/>
        <w:spacing w:before="120" w:line="360" w:lineRule="auto"/>
        <w:ind w:firstLine="480" w:firstLineChars="200"/>
        <w:rPr>
          <w:sz w:val="24"/>
        </w:rPr>
      </w:pPr>
      <w:r>
        <w:rPr>
          <w:sz w:val="24"/>
        </w:rPr>
        <w:t>二、甲方人员向乙方索贿，乙方应予拒绝和检举，经乙方检举，被纪检监察、检察机关查实的，依法或按有关规定处理。</w:t>
      </w:r>
    </w:p>
    <w:p w14:paraId="55B2AFCD">
      <w:pPr>
        <w:tabs>
          <w:tab w:val="left" w:pos="851"/>
        </w:tabs>
        <w:snapToGrid w:val="0"/>
        <w:spacing w:before="120" w:line="360" w:lineRule="auto"/>
        <w:ind w:firstLine="480" w:firstLineChars="200"/>
        <w:rPr>
          <w:sz w:val="24"/>
        </w:rPr>
      </w:pPr>
      <w:r>
        <w:rPr>
          <w:sz w:val="24"/>
        </w:rPr>
        <w:t>三、乙方不得以任何形式邀请采购人及代建方吃、玩或向采购人及代建方赠送礼品、礼金、各种有价证券、信用卡及其他支付凭证。如有违反，对乙方处以收费估算价 3%以下的违约金。</w:t>
      </w:r>
    </w:p>
    <w:p w14:paraId="55B2AFCE">
      <w:pPr>
        <w:tabs>
          <w:tab w:val="left" w:pos="851"/>
        </w:tabs>
        <w:snapToGrid w:val="0"/>
        <w:spacing w:before="120" w:line="360" w:lineRule="auto"/>
        <w:ind w:firstLine="480" w:firstLineChars="200"/>
        <w:rPr>
          <w:sz w:val="24"/>
        </w:rPr>
      </w:pPr>
      <w:r>
        <w:rPr>
          <w:sz w:val="24"/>
        </w:rPr>
        <w:t>四、乙方在工程项目建设中贿赂采购人及代建方人员，被纪检监察或司法机关立案查处的，采购人有权中止项目合同，由此使采购人所造成的损失以及发生的一切费用均由乙方承担。</w:t>
      </w:r>
    </w:p>
    <w:p w14:paraId="55B2AFCF">
      <w:pPr>
        <w:tabs>
          <w:tab w:val="left" w:pos="851"/>
        </w:tabs>
        <w:snapToGrid w:val="0"/>
        <w:spacing w:before="120" w:line="360" w:lineRule="auto"/>
        <w:ind w:firstLine="480" w:firstLineChars="200"/>
        <w:rPr>
          <w:sz w:val="24"/>
        </w:rPr>
      </w:pPr>
      <w:r>
        <w:rPr>
          <w:sz w:val="24"/>
        </w:rPr>
        <w:t>五、甲方、乙方双方人员赠送、贿赂、接受或索要钱物，如果一方发生，另一方当事人应立即报告本单位领导和纪检监察机关或向检察机关举报。对不主动报告情况的有关人员，一经查出，视情节轻重给予党纪、政纪处分直至追究刑事责任。</w:t>
      </w:r>
    </w:p>
    <w:p w14:paraId="55B2AFD0">
      <w:pPr>
        <w:tabs>
          <w:tab w:val="left" w:pos="851"/>
        </w:tabs>
        <w:snapToGrid w:val="0"/>
        <w:spacing w:before="120" w:line="360" w:lineRule="auto"/>
        <w:ind w:firstLine="480" w:firstLineChars="200"/>
        <w:rPr>
          <w:sz w:val="24"/>
        </w:rPr>
      </w:pPr>
      <w:r>
        <w:rPr>
          <w:sz w:val="24"/>
        </w:rPr>
        <w:t>六、甲方、乙方双方领导干部或法人代表要严格履行《工程廉政合同》，如有违反，对主要领导或法人代表要依法按有关规定进行处理。</w:t>
      </w:r>
    </w:p>
    <w:p w14:paraId="55B2AFD1">
      <w:pPr>
        <w:tabs>
          <w:tab w:val="left" w:pos="851"/>
        </w:tabs>
        <w:snapToGrid w:val="0"/>
        <w:spacing w:before="120" w:line="360" w:lineRule="auto"/>
        <w:ind w:firstLine="480" w:firstLineChars="200"/>
        <w:rPr>
          <w:sz w:val="24"/>
        </w:rPr>
      </w:pPr>
      <w:r>
        <w:rPr>
          <w:sz w:val="24"/>
        </w:rPr>
        <w:t>七、合同份数：与主合同份数一致，双方签字盖章后生效。</w:t>
      </w:r>
    </w:p>
    <w:p w14:paraId="55B2AFD2">
      <w:pPr>
        <w:tabs>
          <w:tab w:val="left" w:pos="851"/>
        </w:tabs>
        <w:snapToGrid w:val="0"/>
        <w:spacing w:before="120" w:line="360" w:lineRule="auto"/>
        <w:rPr>
          <w:sz w:val="24"/>
        </w:rPr>
      </w:pPr>
      <w:r>
        <w:rPr>
          <w:sz w:val="24"/>
        </w:rPr>
        <w:t>（以下无正文）</w:t>
      </w:r>
    </w:p>
    <w:p w14:paraId="55B2AFD3">
      <w:pPr>
        <w:tabs>
          <w:tab w:val="left" w:pos="851"/>
        </w:tabs>
        <w:snapToGrid w:val="0"/>
        <w:spacing w:before="120" w:line="360" w:lineRule="auto"/>
        <w:rPr>
          <w:sz w:val="24"/>
        </w:rPr>
      </w:pPr>
    </w:p>
    <w:p w14:paraId="55B2AFD4">
      <w:pPr>
        <w:pStyle w:val="8"/>
        <w:rPr>
          <w:rFonts w:ascii="Times New Roman" w:hAnsi="Times New Roman"/>
          <w:color w:val="auto"/>
          <w:sz w:val="24"/>
        </w:rPr>
      </w:pPr>
    </w:p>
    <w:p w14:paraId="55B2AFD5">
      <w:pPr>
        <w:pStyle w:val="8"/>
        <w:rPr>
          <w:rFonts w:ascii="Times New Roman" w:hAnsi="Times New Roman"/>
          <w:color w:val="auto"/>
          <w:sz w:val="24"/>
        </w:rPr>
      </w:pPr>
    </w:p>
    <w:p w14:paraId="55B2AFD6">
      <w:pPr>
        <w:pStyle w:val="8"/>
        <w:rPr>
          <w:rFonts w:ascii="Times New Roman" w:hAnsi="Times New Roman"/>
          <w:color w:val="auto"/>
          <w:sz w:val="24"/>
        </w:rPr>
      </w:pPr>
    </w:p>
    <w:p w14:paraId="55B2AFD7">
      <w:pPr>
        <w:pStyle w:val="8"/>
        <w:rPr>
          <w:rFonts w:ascii="Times New Roman" w:hAnsi="Times New Roman"/>
          <w:color w:val="auto"/>
          <w:sz w:val="24"/>
        </w:rPr>
      </w:pPr>
    </w:p>
    <w:p w14:paraId="55B2AFD8">
      <w:pPr>
        <w:pStyle w:val="8"/>
        <w:jc w:val="center"/>
        <w:rPr>
          <w:rFonts w:ascii="Times New Roman" w:hAnsi="Times New Roman"/>
          <w:color w:val="auto"/>
          <w:sz w:val="24"/>
        </w:rPr>
      </w:pPr>
      <w:r>
        <w:rPr>
          <w:rFonts w:ascii="Times New Roman" w:hAnsi="Times New Roman"/>
          <w:color w:val="auto"/>
          <w:sz w:val="24"/>
        </w:rPr>
        <w:t>（签署页）</w:t>
      </w:r>
    </w:p>
    <w:tbl>
      <w:tblPr>
        <w:tblStyle w:val="18"/>
        <w:tblW w:w="0" w:type="auto"/>
        <w:tblInd w:w="0" w:type="dxa"/>
        <w:tblLayout w:type="fixed"/>
        <w:tblCellMar>
          <w:top w:w="0" w:type="dxa"/>
          <w:left w:w="108" w:type="dxa"/>
          <w:bottom w:w="0" w:type="dxa"/>
          <w:right w:w="108" w:type="dxa"/>
        </w:tblCellMar>
      </w:tblPr>
      <w:tblGrid>
        <w:gridCol w:w="4927"/>
        <w:gridCol w:w="4927"/>
      </w:tblGrid>
      <w:tr w14:paraId="55B2AFE6">
        <w:tblPrEx>
          <w:tblCellMar>
            <w:top w:w="0" w:type="dxa"/>
            <w:left w:w="108" w:type="dxa"/>
            <w:bottom w:w="0" w:type="dxa"/>
            <w:right w:w="108" w:type="dxa"/>
          </w:tblCellMar>
        </w:tblPrEx>
        <w:tc>
          <w:tcPr>
            <w:tcW w:w="4927" w:type="dxa"/>
          </w:tcPr>
          <w:p w14:paraId="55B2AFD9">
            <w:pPr>
              <w:tabs>
                <w:tab w:val="left" w:pos="851"/>
              </w:tabs>
              <w:snapToGrid w:val="0"/>
              <w:spacing w:before="120" w:line="360" w:lineRule="auto"/>
              <w:rPr>
                <w:sz w:val="24"/>
              </w:rPr>
            </w:pPr>
            <w:r>
              <w:rPr>
                <w:sz w:val="24"/>
              </w:rPr>
              <w:t>甲方（盖章）：</w:t>
            </w:r>
            <w:r>
              <w:rPr>
                <w:rFonts w:hint="eastAsia"/>
                <w:sz w:val="24"/>
              </w:rPr>
              <w:t>云南中慧能源有限公司</w:t>
            </w:r>
          </w:p>
          <w:p w14:paraId="55B2AFDA">
            <w:pPr>
              <w:tabs>
                <w:tab w:val="left" w:pos="851"/>
              </w:tabs>
              <w:snapToGrid w:val="0"/>
              <w:spacing w:before="120" w:line="360" w:lineRule="auto"/>
              <w:rPr>
                <w:sz w:val="24"/>
              </w:rPr>
            </w:pPr>
            <w:r>
              <w:rPr>
                <w:sz w:val="24"/>
              </w:rPr>
              <w:t>法定代表人或其委托代理人：</w:t>
            </w:r>
          </w:p>
          <w:p w14:paraId="55B2AFDB">
            <w:pPr>
              <w:tabs>
                <w:tab w:val="left" w:pos="851"/>
              </w:tabs>
              <w:snapToGrid w:val="0"/>
              <w:spacing w:before="120" w:line="360" w:lineRule="auto"/>
              <w:rPr>
                <w:sz w:val="24"/>
              </w:rPr>
            </w:pPr>
          </w:p>
          <w:p w14:paraId="55B2AFDC">
            <w:pPr>
              <w:tabs>
                <w:tab w:val="left" w:pos="851"/>
              </w:tabs>
              <w:snapToGrid w:val="0"/>
              <w:spacing w:before="120" w:line="360" w:lineRule="auto"/>
              <w:rPr>
                <w:sz w:val="24"/>
              </w:rPr>
            </w:pPr>
            <w:r>
              <w:rPr>
                <w:sz w:val="24"/>
              </w:rPr>
              <w:t>统一社会信用代码：</w:t>
            </w:r>
          </w:p>
          <w:p w14:paraId="55B2AFDD">
            <w:pPr>
              <w:tabs>
                <w:tab w:val="left" w:pos="851"/>
              </w:tabs>
              <w:snapToGrid w:val="0"/>
              <w:spacing w:before="120" w:line="360" w:lineRule="auto"/>
              <w:rPr>
                <w:sz w:val="24"/>
              </w:rPr>
            </w:pPr>
            <w:r>
              <w:rPr>
                <w:sz w:val="24"/>
              </w:rPr>
              <w:t>地址：</w:t>
            </w:r>
          </w:p>
          <w:p w14:paraId="55B2AFDE">
            <w:pPr>
              <w:tabs>
                <w:tab w:val="left" w:pos="851"/>
              </w:tabs>
              <w:snapToGrid w:val="0"/>
              <w:spacing w:before="120" w:line="360" w:lineRule="auto"/>
              <w:rPr>
                <w:sz w:val="24"/>
              </w:rPr>
            </w:pPr>
          </w:p>
        </w:tc>
        <w:tc>
          <w:tcPr>
            <w:tcW w:w="4927" w:type="dxa"/>
          </w:tcPr>
          <w:p w14:paraId="55B2AFDF">
            <w:pPr>
              <w:tabs>
                <w:tab w:val="left" w:pos="851"/>
              </w:tabs>
              <w:snapToGrid w:val="0"/>
              <w:spacing w:before="120" w:line="360" w:lineRule="auto"/>
              <w:rPr>
                <w:sz w:val="24"/>
              </w:rPr>
            </w:pPr>
            <w:r>
              <w:rPr>
                <w:sz w:val="24"/>
              </w:rPr>
              <w:t>乙方（盖章）：</w:t>
            </w:r>
          </w:p>
          <w:p w14:paraId="55B2AFE0">
            <w:pPr>
              <w:tabs>
                <w:tab w:val="left" w:pos="851"/>
              </w:tabs>
              <w:snapToGrid w:val="0"/>
              <w:spacing w:before="120" w:line="360" w:lineRule="auto"/>
              <w:rPr>
                <w:sz w:val="24"/>
              </w:rPr>
            </w:pPr>
          </w:p>
          <w:p w14:paraId="55B2AFE1">
            <w:pPr>
              <w:tabs>
                <w:tab w:val="left" w:pos="851"/>
              </w:tabs>
              <w:snapToGrid w:val="0"/>
              <w:spacing w:before="120" w:line="360" w:lineRule="auto"/>
              <w:rPr>
                <w:sz w:val="24"/>
              </w:rPr>
            </w:pPr>
            <w:r>
              <w:rPr>
                <w:sz w:val="24"/>
              </w:rPr>
              <w:t>法定代表人或其委托代理人：</w:t>
            </w:r>
          </w:p>
          <w:p w14:paraId="55B2AFE2">
            <w:pPr>
              <w:tabs>
                <w:tab w:val="left" w:pos="851"/>
              </w:tabs>
              <w:snapToGrid w:val="0"/>
              <w:spacing w:before="120" w:line="360" w:lineRule="auto"/>
              <w:rPr>
                <w:sz w:val="24"/>
              </w:rPr>
            </w:pPr>
          </w:p>
          <w:p w14:paraId="55B2AFE3">
            <w:pPr>
              <w:tabs>
                <w:tab w:val="left" w:pos="851"/>
              </w:tabs>
              <w:snapToGrid w:val="0"/>
              <w:spacing w:before="120" w:line="360" w:lineRule="auto"/>
              <w:rPr>
                <w:sz w:val="24"/>
              </w:rPr>
            </w:pPr>
            <w:r>
              <w:rPr>
                <w:sz w:val="24"/>
              </w:rPr>
              <w:t>统一社会信用代码：</w:t>
            </w:r>
          </w:p>
          <w:p w14:paraId="55B2AFE4">
            <w:pPr>
              <w:tabs>
                <w:tab w:val="left" w:pos="851"/>
              </w:tabs>
              <w:snapToGrid w:val="0"/>
              <w:spacing w:before="120" w:line="360" w:lineRule="auto"/>
              <w:rPr>
                <w:sz w:val="24"/>
              </w:rPr>
            </w:pPr>
            <w:r>
              <w:rPr>
                <w:sz w:val="24"/>
              </w:rPr>
              <w:t>地址：</w:t>
            </w:r>
          </w:p>
          <w:p w14:paraId="55B2AFE5">
            <w:pPr>
              <w:tabs>
                <w:tab w:val="left" w:pos="851"/>
              </w:tabs>
              <w:snapToGrid w:val="0"/>
              <w:spacing w:before="120" w:line="360" w:lineRule="auto"/>
              <w:rPr>
                <w:sz w:val="24"/>
              </w:rPr>
            </w:pPr>
          </w:p>
        </w:tc>
      </w:tr>
    </w:tbl>
    <w:p w14:paraId="55B2AFE7"/>
    <w:p w14:paraId="55B2AFE8">
      <w:pPr>
        <w:pStyle w:val="8"/>
        <w:rPr>
          <w:rFonts w:ascii="Times New Roman" w:hAnsi="Times New Roman" w:eastAsia="黑体"/>
          <w:b/>
          <w:color w:val="auto"/>
          <w:sz w:val="44"/>
          <w:szCs w:val="44"/>
        </w:rPr>
        <w:sectPr>
          <w:footerReference r:id="rId13" w:type="first"/>
          <w:footerReference r:id="rId12" w:type="default"/>
          <w:pgSz w:w="11906" w:h="16838"/>
          <w:pgMar w:top="936" w:right="1134" w:bottom="1089" w:left="1134" w:header="510" w:footer="680" w:gutter="0"/>
          <w:cols w:space="720" w:num="1"/>
          <w:titlePg/>
          <w:docGrid w:type="linesAndChars" w:linePitch="312" w:charSpace="0"/>
        </w:sectPr>
      </w:pPr>
    </w:p>
    <w:p w14:paraId="55B2AFE9">
      <w:pPr>
        <w:ind w:right="-333" w:rightChars="-159"/>
        <w:jc w:val="center"/>
        <w:rPr>
          <w:rFonts w:eastAsia="黑体"/>
          <w:b/>
          <w:sz w:val="44"/>
          <w:szCs w:val="44"/>
        </w:rPr>
      </w:pPr>
      <w:r>
        <w:rPr>
          <w:rFonts w:eastAsia="黑体"/>
          <w:b/>
          <w:sz w:val="44"/>
          <w:szCs w:val="44"/>
        </w:rPr>
        <w:t>HSE合同</w:t>
      </w:r>
    </w:p>
    <w:p w14:paraId="55B2AFEA">
      <w:pPr>
        <w:ind w:right="-333" w:rightChars="-159"/>
        <w:rPr>
          <w:b/>
          <w:sz w:val="28"/>
          <w:szCs w:val="28"/>
        </w:rPr>
      </w:pPr>
      <w:r>
        <w:rPr>
          <w:b/>
          <w:sz w:val="28"/>
          <w:szCs w:val="28"/>
        </w:rPr>
        <w:t>1总则</w:t>
      </w:r>
    </w:p>
    <w:p w14:paraId="55B2AFEB">
      <w:pPr>
        <w:spacing w:line="360" w:lineRule="auto"/>
        <w:ind w:firstLine="560"/>
        <w:rPr>
          <w:sz w:val="24"/>
        </w:rPr>
      </w:pPr>
      <w:r>
        <w:rPr>
          <w:sz w:val="24"/>
        </w:rPr>
        <w:t>1.1为进一步明确主合同履行期间甲乙双方在安全生产方面的权利、义务和责任，防止或减少安全事故，保障人身安全及企业财产安全，有效促进各方全面履行自己的职责到位，维护好各方的合法权益，依照《中华人民共和国安全生产法》、《中华人民共和国产品质量法》、《中华人民共和国合同法》、《中华人民共和国劳动法》、《中华人民共和国环境保护法》、《中华人民共和国职业病防治法》等法律、法规规章和项目所在省地方性法规、地方政府规章相关规定，结合</w:t>
      </w:r>
      <w:r>
        <w:rPr>
          <w:rFonts w:hint="eastAsia"/>
          <w:sz w:val="24"/>
        </w:rPr>
        <w:t>云南中慧能源有限公司</w:t>
      </w:r>
      <w:r>
        <w:rPr>
          <w:sz w:val="24"/>
        </w:rPr>
        <w:t>关于项目采购的具体要求，保障员工人身安全和社会财物安全，共同维护公共安全。同时为了提高安全责任意识，保证产品质量合格并安全地将产品运送到甲方指定现场。双方在平等、自愿和诚实信用的原则下，就各方的职责义务予以明确，协商一致的基础上，签订本合同。</w:t>
      </w:r>
      <w:bookmarkStart w:id="346" w:name="_Toc49153459"/>
      <w:bookmarkStart w:id="347" w:name="_Toc49659430"/>
    </w:p>
    <w:p w14:paraId="55B2AFEC">
      <w:pPr>
        <w:spacing w:line="460" w:lineRule="exact"/>
        <w:rPr>
          <w:b/>
          <w:sz w:val="28"/>
          <w:szCs w:val="28"/>
        </w:rPr>
      </w:pPr>
      <w:r>
        <w:rPr>
          <w:b/>
          <w:sz w:val="28"/>
          <w:szCs w:val="28"/>
        </w:rPr>
        <w:t>2 定义及解释</w:t>
      </w:r>
      <w:bookmarkEnd w:id="346"/>
      <w:bookmarkEnd w:id="347"/>
      <w:r>
        <w:rPr>
          <w:b/>
          <w:sz w:val="28"/>
          <w:szCs w:val="28"/>
        </w:rPr>
        <w:tab/>
      </w:r>
    </w:p>
    <w:p w14:paraId="55B2AFED">
      <w:pPr>
        <w:spacing w:line="460" w:lineRule="exact"/>
        <w:rPr>
          <w:sz w:val="24"/>
        </w:rPr>
      </w:pPr>
      <w:r>
        <w:rPr>
          <w:sz w:val="24"/>
        </w:rPr>
        <w:t>2.1 HSE：指健康、安全与环境。</w:t>
      </w:r>
    </w:p>
    <w:p w14:paraId="55B2AFEE">
      <w:pPr>
        <w:spacing w:line="460" w:lineRule="exact"/>
        <w:rPr>
          <w:sz w:val="24"/>
        </w:rPr>
      </w:pPr>
      <w:r>
        <w:rPr>
          <w:sz w:val="24"/>
        </w:rPr>
        <w:t>2.2违法、违章、违规：指HSE合同当事人违反职业健康、安全、环保等方面的法律、法规以及有关规章制度和标准的行为。</w:t>
      </w:r>
    </w:p>
    <w:p w14:paraId="55B2AFEF">
      <w:pPr>
        <w:spacing w:line="460" w:lineRule="exact"/>
        <w:rPr>
          <w:sz w:val="24"/>
        </w:rPr>
      </w:pPr>
      <w:r>
        <w:rPr>
          <w:sz w:val="24"/>
        </w:rPr>
        <w:t>2.3事故：指在HSE合同规定的范围内，由于当事人责任或不可抗力造成的停工、经济财产损失和人员伤亡事件。</w:t>
      </w:r>
    </w:p>
    <w:p w14:paraId="55B2AFF0">
      <w:pPr>
        <w:spacing w:line="460" w:lineRule="exact"/>
        <w:rPr>
          <w:sz w:val="24"/>
        </w:rPr>
      </w:pPr>
      <w:r>
        <w:rPr>
          <w:sz w:val="24"/>
        </w:rPr>
        <w:t>2.4不可抗力：不可抗力是指不能预见、不能避免并不能克服的客观情况，包括地震、雷击、风暴等自然事件以及战争等社会事件。</w:t>
      </w:r>
    </w:p>
    <w:p w14:paraId="55B2AFF1">
      <w:pPr>
        <w:spacing w:line="460" w:lineRule="exact"/>
        <w:rPr>
          <w:sz w:val="24"/>
        </w:rPr>
      </w:pPr>
      <w:r>
        <w:rPr>
          <w:sz w:val="24"/>
        </w:rPr>
        <w:t>2.5 HSE作业方案：指乙方对重要的、高度危险的设备或活动，描述其现存的健康安全环境危险和危害，以及为把该危险、危害控制到国家和行业标准能够接受水平所采取措施的文本。</w:t>
      </w:r>
    </w:p>
    <w:p w14:paraId="55B2AFF2">
      <w:pPr>
        <w:spacing w:line="460" w:lineRule="exact"/>
        <w:rPr>
          <w:b/>
          <w:sz w:val="28"/>
          <w:szCs w:val="28"/>
        </w:rPr>
      </w:pPr>
      <w:bookmarkStart w:id="348" w:name="_Toc49659431"/>
      <w:bookmarkStart w:id="349" w:name="_Toc49153460"/>
      <w:r>
        <w:rPr>
          <w:b/>
          <w:sz w:val="28"/>
          <w:szCs w:val="28"/>
        </w:rPr>
        <w:t>3 工程概况</w:t>
      </w:r>
      <w:bookmarkEnd w:id="348"/>
      <w:bookmarkEnd w:id="349"/>
    </w:p>
    <w:p w14:paraId="55B2AFF3">
      <w:pPr>
        <w:spacing w:line="460" w:lineRule="exact"/>
        <w:rPr>
          <w:sz w:val="24"/>
        </w:rPr>
      </w:pPr>
      <w:r>
        <w:rPr>
          <w:sz w:val="24"/>
        </w:rPr>
        <w:t>详见主合同。</w:t>
      </w:r>
      <w:bookmarkStart w:id="350" w:name="_Toc49153461"/>
      <w:bookmarkStart w:id="351" w:name="_Toc49659432"/>
    </w:p>
    <w:p w14:paraId="55B2AFF4">
      <w:pPr>
        <w:spacing w:line="460" w:lineRule="exact"/>
        <w:rPr>
          <w:b/>
          <w:sz w:val="28"/>
          <w:szCs w:val="28"/>
        </w:rPr>
      </w:pPr>
      <w:r>
        <w:rPr>
          <w:b/>
          <w:sz w:val="28"/>
          <w:szCs w:val="28"/>
        </w:rPr>
        <w:t>4 合同期限</w:t>
      </w:r>
      <w:bookmarkEnd w:id="350"/>
      <w:bookmarkEnd w:id="351"/>
    </w:p>
    <w:p w14:paraId="55B2AFF5">
      <w:pPr>
        <w:spacing w:line="460" w:lineRule="exact"/>
        <w:rPr>
          <w:sz w:val="24"/>
        </w:rPr>
      </w:pPr>
      <w:r>
        <w:rPr>
          <w:sz w:val="24"/>
        </w:rPr>
        <w:t>4.1该HSE合同期限与主合同期限一致。主合同因工作实际需要变更期限，HSE合同应随之变更至相同期限。</w:t>
      </w:r>
      <w:bookmarkStart w:id="352" w:name="_Toc49153462"/>
      <w:bookmarkStart w:id="353" w:name="_Toc49659433"/>
    </w:p>
    <w:p w14:paraId="55B2AFF6">
      <w:pPr>
        <w:spacing w:line="460" w:lineRule="exact"/>
        <w:rPr>
          <w:b/>
          <w:sz w:val="28"/>
          <w:szCs w:val="28"/>
        </w:rPr>
      </w:pPr>
      <w:r>
        <w:rPr>
          <w:b/>
          <w:sz w:val="28"/>
          <w:szCs w:val="28"/>
        </w:rPr>
        <w:t>5 健康安全环保标准</w:t>
      </w:r>
      <w:bookmarkEnd w:id="352"/>
      <w:bookmarkEnd w:id="353"/>
    </w:p>
    <w:p w14:paraId="55B2AFF7">
      <w:pPr>
        <w:spacing w:line="460" w:lineRule="exact"/>
        <w:rPr>
          <w:sz w:val="24"/>
        </w:rPr>
      </w:pPr>
      <w:r>
        <w:rPr>
          <w:sz w:val="24"/>
        </w:rPr>
        <w:t>5.1国家、行业和地方的健康、安全、环保等方面的法律、法规以及有关规章制度和标准。</w:t>
      </w:r>
      <w:bookmarkStart w:id="354" w:name="_Toc49659434"/>
      <w:bookmarkStart w:id="355" w:name="_Toc49153463"/>
    </w:p>
    <w:p w14:paraId="55B2AFF8">
      <w:pPr>
        <w:spacing w:line="360" w:lineRule="auto"/>
        <w:rPr>
          <w:sz w:val="24"/>
        </w:rPr>
      </w:pPr>
      <w:r>
        <w:rPr>
          <w:sz w:val="24"/>
        </w:rPr>
        <w:t>5.2乙方应在作业中执行下列（包括但不限于）健康、安全与环境标准，若此标准有调整，按新标准执行：</w:t>
      </w:r>
    </w:p>
    <w:p w14:paraId="55B2AFF9">
      <w:pPr>
        <w:numPr>
          <w:ilvl w:val="0"/>
          <w:numId w:val="6"/>
        </w:numPr>
        <w:spacing w:line="360" w:lineRule="auto"/>
        <w:rPr>
          <w:sz w:val="24"/>
        </w:rPr>
      </w:pPr>
      <w:r>
        <w:rPr>
          <w:sz w:val="24"/>
        </w:rPr>
        <w:t>《中石油健康安全环境（HSE）管理规范》Q/SY1002.1-2007</w:t>
      </w:r>
    </w:p>
    <w:p w14:paraId="55B2AFFA">
      <w:pPr>
        <w:numPr>
          <w:ilvl w:val="0"/>
          <w:numId w:val="6"/>
        </w:numPr>
        <w:spacing w:line="360" w:lineRule="auto"/>
        <w:rPr>
          <w:sz w:val="24"/>
        </w:rPr>
      </w:pPr>
      <w:r>
        <w:rPr>
          <w:sz w:val="24"/>
        </w:rPr>
        <w:t>《项目部HSE管理计划》</w:t>
      </w:r>
    </w:p>
    <w:p w14:paraId="55B2AFFB">
      <w:pPr>
        <w:numPr>
          <w:ilvl w:val="0"/>
          <w:numId w:val="6"/>
        </w:numPr>
        <w:spacing w:line="360" w:lineRule="auto"/>
        <w:rPr>
          <w:sz w:val="24"/>
        </w:rPr>
      </w:pPr>
      <w:r>
        <w:rPr>
          <w:sz w:val="24"/>
        </w:rPr>
        <w:t>《MIS项目承包单位HSE管理规范》</w:t>
      </w:r>
    </w:p>
    <w:p w14:paraId="55B2AFFC">
      <w:pPr>
        <w:numPr>
          <w:ilvl w:val="0"/>
          <w:numId w:val="6"/>
        </w:numPr>
        <w:spacing w:line="460" w:lineRule="exact"/>
        <w:rPr>
          <w:sz w:val="24"/>
        </w:rPr>
      </w:pPr>
      <w:r>
        <w:rPr>
          <w:sz w:val="24"/>
        </w:rPr>
        <w:t>GB/T14000-1996《环境管理体系》</w:t>
      </w:r>
    </w:p>
    <w:p w14:paraId="55B2AFFD">
      <w:pPr>
        <w:numPr>
          <w:ilvl w:val="0"/>
          <w:numId w:val="6"/>
        </w:numPr>
        <w:spacing w:line="360" w:lineRule="auto"/>
        <w:rPr>
          <w:sz w:val="24"/>
        </w:rPr>
      </w:pPr>
      <w:r>
        <w:rPr>
          <w:sz w:val="24"/>
        </w:rPr>
        <w:t>SY/T6276-1997《石油天然气工业健康、安全与环保管理体系》；</w:t>
      </w:r>
    </w:p>
    <w:bookmarkEnd w:id="354"/>
    <w:bookmarkEnd w:id="355"/>
    <w:p w14:paraId="55B2AFFE">
      <w:pPr>
        <w:spacing w:line="460" w:lineRule="exact"/>
        <w:rPr>
          <w:b/>
          <w:sz w:val="28"/>
          <w:szCs w:val="28"/>
        </w:rPr>
      </w:pPr>
      <w:bookmarkStart w:id="356" w:name="_Toc49153464"/>
      <w:bookmarkStart w:id="357" w:name="_Toc49659435"/>
      <w:r>
        <w:rPr>
          <w:b/>
          <w:sz w:val="28"/>
          <w:szCs w:val="28"/>
        </w:rPr>
        <w:t>6对乙方的HSE要求</w:t>
      </w:r>
    </w:p>
    <w:p w14:paraId="55B2AFFF">
      <w:pPr>
        <w:spacing w:line="460" w:lineRule="exact"/>
        <w:rPr>
          <w:sz w:val="24"/>
        </w:rPr>
      </w:pPr>
      <w:r>
        <w:rPr>
          <w:sz w:val="24"/>
        </w:rPr>
        <w:t>6.1.应具备《中华人民共和国安全生产法》</w:t>
      </w:r>
      <w:r>
        <w:rPr>
          <w:rFonts w:hint="eastAsia"/>
          <w:sz w:val="24"/>
          <w:lang w:eastAsia="zh-CN"/>
        </w:rPr>
        <w:t>和其他有关</w:t>
      </w:r>
      <w:r>
        <w:rPr>
          <w:sz w:val="24"/>
        </w:rPr>
        <w:t>法律、法规和国家标准或行业标准规定的安全生产条件，有健全的安全生产制度、安全操作规程和具体的安全措施。努力实现“零事故、零伤害、零污染”的HSE目标。</w:t>
      </w:r>
    </w:p>
    <w:p w14:paraId="55B2B000">
      <w:pPr>
        <w:spacing w:line="460" w:lineRule="exact"/>
        <w:rPr>
          <w:sz w:val="24"/>
        </w:rPr>
      </w:pPr>
      <w:r>
        <w:rPr>
          <w:sz w:val="24"/>
        </w:rPr>
        <w:t>6.2.遵照ISO14001环境管理体系，坚持预防为主、防治结合、综合治理的原则，做到施工作业与环境保护并举，响应国家号召，推行清洁生产，实行污染物排放浓度控制与总量控制相结合，实现环境污染全过程控制。</w:t>
      </w:r>
    </w:p>
    <w:p w14:paraId="55B2B001">
      <w:pPr>
        <w:spacing w:line="460" w:lineRule="exact"/>
        <w:rPr>
          <w:sz w:val="24"/>
        </w:rPr>
      </w:pPr>
      <w:r>
        <w:rPr>
          <w:sz w:val="24"/>
        </w:rPr>
        <w:t>6.3.预防、控制和消除职业危害，以人为本，保护员工健康，以确保工程项目的安全生产。</w:t>
      </w:r>
    </w:p>
    <w:p w14:paraId="55B2B002">
      <w:pPr>
        <w:spacing w:line="460" w:lineRule="exact"/>
        <w:rPr>
          <w:sz w:val="24"/>
        </w:rPr>
      </w:pPr>
      <w:r>
        <w:rPr>
          <w:sz w:val="24"/>
        </w:rPr>
        <w:t>6.4.乙方应执行甲方的HSE管理体系，建立健全所承担项目的有关生产安全制度、操作规程、安全措施并严格执行。</w:t>
      </w:r>
    </w:p>
    <w:p w14:paraId="55B2B003">
      <w:pPr>
        <w:spacing w:line="460" w:lineRule="exact"/>
        <w:rPr>
          <w:sz w:val="24"/>
        </w:rPr>
      </w:pPr>
      <w:r>
        <w:rPr>
          <w:sz w:val="24"/>
        </w:rPr>
        <w:t>6.5 乙方在进行风险较高的工作前，国家规范有要求制订专项安全（环保）技术措施方案及应急救援预案的，承包商应制订并报企业主管领导审批，办理工作许可证后方可实施，并设专人监督管理。</w:t>
      </w:r>
    </w:p>
    <w:p w14:paraId="55B2B004">
      <w:pPr>
        <w:spacing w:line="460" w:lineRule="exact"/>
        <w:rPr>
          <w:b/>
          <w:sz w:val="28"/>
          <w:szCs w:val="28"/>
        </w:rPr>
      </w:pPr>
      <w:r>
        <w:rPr>
          <w:b/>
          <w:sz w:val="28"/>
          <w:szCs w:val="28"/>
        </w:rPr>
        <w:t>7合同执行过程中可能存在的危害</w:t>
      </w:r>
    </w:p>
    <w:p w14:paraId="55B2B005">
      <w:pPr>
        <w:spacing w:line="460" w:lineRule="exact"/>
        <w:rPr>
          <w:sz w:val="24"/>
        </w:rPr>
      </w:pPr>
      <w:r>
        <w:rPr>
          <w:sz w:val="24"/>
        </w:rPr>
        <w:t>7.1甲乙双方应共同积极采取有效的安全措施消减可能存在的风险，以防止安全环保事故的发生。甲方郑重告知乙方，在合同执行期间，可能存在但不限于以下的危险危害</w:t>
      </w:r>
      <w:bookmarkEnd w:id="356"/>
      <w:bookmarkEnd w:id="357"/>
      <w:r>
        <w:rPr>
          <w:sz w:val="24"/>
        </w:rPr>
        <w:t>因素：</w:t>
      </w:r>
    </w:p>
    <w:p w14:paraId="55B2B006">
      <w:pPr>
        <w:spacing w:line="460" w:lineRule="exact"/>
        <w:rPr>
          <w:sz w:val="24"/>
        </w:rPr>
      </w:pPr>
      <w:r>
        <w:rPr>
          <w:sz w:val="24"/>
        </w:rPr>
        <w:t>7.1.1合同执行过程中可能接触易燃、易爆、有毒物质，以及这些物质泄漏、爆炸、着火造成人员伤亡、财产损失或环境污染。</w:t>
      </w:r>
    </w:p>
    <w:p w14:paraId="55B2B007">
      <w:pPr>
        <w:spacing w:line="460" w:lineRule="exact"/>
        <w:rPr>
          <w:sz w:val="24"/>
        </w:rPr>
      </w:pPr>
      <w:r>
        <w:rPr>
          <w:sz w:val="24"/>
        </w:rPr>
        <w:t>7.1.2自然灾害（包括高温、滑坡、泥石流、塌方、沙尘风暴等）、有毒有害气体中毒、火灾、爆炸、放射性物质危害、油料、燃料及其他有毒物质</w:t>
      </w:r>
      <w:r>
        <w:rPr>
          <w:rFonts w:hint="eastAsia"/>
          <w:sz w:val="24"/>
          <w:lang w:eastAsia="zh-CN"/>
        </w:rPr>
        <w:t>泄漏</w:t>
      </w:r>
      <w:r>
        <w:rPr>
          <w:sz w:val="24"/>
        </w:rPr>
        <w:t>等造成人员伤亡、财产损失或环境污染。</w:t>
      </w:r>
    </w:p>
    <w:p w14:paraId="55B2B008">
      <w:pPr>
        <w:spacing w:line="460" w:lineRule="exact"/>
        <w:rPr>
          <w:sz w:val="24"/>
        </w:rPr>
      </w:pPr>
      <w:r>
        <w:rPr>
          <w:sz w:val="24"/>
        </w:rPr>
        <w:t>7.1.3由于违章作业、违章指挥、违反劳动纪律，以及生产、运输、装卸、检验、安装、调试和培训作业现场的设备和设施不安全，劳动条件和作业环境不良，管理不善等原因造成安全环保事故。</w:t>
      </w:r>
    </w:p>
    <w:p w14:paraId="55B2B009">
      <w:pPr>
        <w:spacing w:line="460" w:lineRule="exact"/>
        <w:rPr>
          <w:sz w:val="24"/>
        </w:rPr>
      </w:pPr>
      <w:r>
        <w:rPr>
          <w:sz w:val="24"/>
        </w:rPr>
        <w:t>7.1.4起重吊装伤害、车辆伤害、物体打击、机械伤害、焊接时的灼伤、火灾、爆炸、尘毒、噪声、施工现场的流动污染源（固体废弃物、生活污水、生产污水、车辆尾气、工业噪声等）、冬季施工中的低温冻伤等。</w:t>
      </w:r>
    </w:p>
    <w:p w14:paraId="55B2B00A">
      <w:pPr>
        <w:spacing w:line="460" w:lineRule="exact"/>
        <w:rPr>
          <w:sz w:val="24"/>
        </w:rPr>
      </w:pPr>
      <w:r>
        <w:rPr>
          <w:sz w:val="24"/>
        </w:rPr>
        <w:t>7.1.5由于企业的设备和设施不安全、劳动条件和作业环境不良、管理不善所发生的人身伤害、急性中毒、群发性传染病事故等人员健康危害。</w:t>
      </w:r>
    </w:p>
    <w:p w14:paraId="55B2B00B">
      <w:pPr>
        <w:spacing w:line="460" w:lineRule="exact"/>
        <w:rPr>
          <w:b/>
          <w:sz w:val="28"/>
          <w:szCs w:val="28"/>
        </w:rPr>
      </w:pPr>
      <w:r>
        <w:rPr>
          <w:b/>
          <w:sz w:val="28"/>
          <w:szCs w:val="28"/>
        </w:rPr>
        <w:t>8 甲方的权利和义务</w:t>
      </w:r>
    </w:p>
    <w:p w14:paraId="55B2B00C">
      <w:pPr>
        <w:spacing w:line="460" w:lineRule="exact"/>
        <w:rPr>
          <w:sz w:val="24"/>
        </w:rPr>
      </w:pPr>
      <w:r>
        <w:rPr>
          <w:sz w:val="24"/>
        </w:rPr>
        <w:t>8.1贯彻落实“安全第一、预防为主、综合治理”的安全生产方针，认真执行国家、地方及行业有关安全环保的法律、法规、标准、规章制度及操作规程等。</w:t>
      </w:r>
    </w:p>
    <w:p w14:paraId="55B2B00D">
      <w:pPr>
        <w:spacing w:line="460" w:lineRule="exact"/>
        <w:rPr>
          <w:sz w:val="24"/>
        </w:rPr>
      </w:pPr>
      <w:r>
        <w:rPr>
          <w:sz w:val="24"/>
        </w:rPr>
        <w:t>8.2按规定对乙方的安全、环保业绩、资质、技术水平和安全、环保保证条件进行审查，对乙方针对作业项目制定的HSE计划书、指导书、检查表、安全环保措施方案、现场事故应急预案等进行审查并备案。</w:t>
      </w:r>
    </w:p>
    <w:p w14:paraId="55B2B00E">
      <w:pPr>
        <w:spacing w:line="460" w:lineRule="exact"/>
        <w:rPr>
          <w:sz w:val="24"/>
        </w:rPr>
      </w:pPr>
      <w:r>
        <w:rPr>
          <w:sz w:val="24"/>
        </w:rPr>
        <w:t>8.3对乙方的生产、运输、装卸、检验、安装、调试和培训作业现场的安全作业、环境保护、污染物排放情况进行监督检查，有权对乙方违章作业、违章指挥、违反劳动纪律等行为责令其停止，并根据相关规定追究乙方责任。</w:t>
      </w:r>
    </w:p>
    <w:p w14:paraId="55B2B00F">
      <w:pPr>
        <w:spacing w:line="460" w:lineRule="exact"/>
        <w:rPr>
          <w:sz w:val="24"/>
        </w:rPr>
      </w:pPr>
      <w:r>
        <w:rPr>
          <w:sz w:val="24"/>
        </w:rPr>
        <w:t>8.4要求乙方配备和维护相关的安全生产、环保设施、设备和器材；有权要求没有经过健康、安全、环境教育或教育不合格的人员停止参与合同规定的工作；有权要求乙方调换身体条件和安全技能素质不符合要求的人员。</w:t>
      </w:r>
    </w:p>
    <w:p w14:paraId="55B2B010">
      <w:pPr>
        <w:spacing w:line="460" w:lineRule="exact"/>
        <w:rPr>
          <w:sz w:val="24"/>
        </w:rPr>
      </w:pPr>
      <w:r>
        <w:rPr>
          <w:sz w:val="24"/>
        </w:rPr>
        <w:t>8.5在事故发生后，积极协助乙方进行抢救，防止事故扩大；同时，有权根据有关规定组织、参与事故的调查，有权对分包商事故进行统计上报和处理</w:t>
      </w:r>
      <w:r>
        <w:rPr>
          <w:rFonts w:hint="eastAsia"/>
          <w:sz w:val="24"/>
          <w:lang w:eastAsia="zh-CN"/>
        </w:rPr>
        <w:t>。</w:t>
      </w:r>
    </w:p>
    <w:p w14:paraId="55B2B011">
      <w:pPr>
        <w:spacing w:line="460" w:lineRule="exact"/>
        <w:rPr>
          <w:sz w:val="24"/>
        </w:rPr>
      </w:pPr>
      <w:r>
        <w:rPr>
          <w:sz w:val="24"/>
        </w:rPr>
        <w:t>8.6要求乙方通报安全生产及环境污染事故，可根据有关规定，组织、参与事故的调查，可向乙方索取事故调查、处理的有关资料。</w:t>
      </w:r>
    </w:p>
    <w:p w14:paraId="55B2B012">
      <w:pPr>
        <w:spacing w:line="460" w:lineRule="exact"/>
        <w:rPr>
          <w:sz w:val="24"/>
        </w:rPr>
      </w:pPr>
      <w:r>
        <w:rPr>
          <w:sz w:val="24"/>
        </w:rPr>
        <w:t>8.7积极配合乙方解决合同执行中出现的问题，及时答复乙方提出的合同范围内有关问题和咨询，并协助提供相关资料。</w:t>
      </w:r>
    </w:p>
    <w:p w14:paraId="55B2B013">
      <w:pPr>
        <w:spacing w:line="460" w:lineRule="exact"/>
        <w:rPr>
          <w:sz w:val="24"/>
        </w:rPr>
      </w:pPr>
      <w:r>
        <w:rPr>
          <w:sz w:val="24"/>
        </w:rPr>
        <w:t>8.8以书面方式向乙方通报HSE业绩、资质审查和监督检查情况。</w:t>
      </w:r>
      <w:bookmarkStart w:id="358" w:name="_Toc49153468"/>
      <w:bookmarkStart w:id="359" w:name="_Toc49659439"/>
    </w:p>
    <w:p w14:paraId="55B2B014">
      <w:pPr>
        <w:spacing w:line="460" w:lineRule="exact"/>
        <w:rPr>
          <w:b/>
          <w:sz w:val="28"/>
          <w:szCs w:val="28"/>
        </w:rPr>
      </w:pPr>
      <w:r>
        <w:rPr>
          <w:b/>
          <w:sz w:val="28"/>
          <w:szCs w:val="28"/>
        </w:rPr>
        <w:t>9 乙方的权利与义务</w:t>
      </w:r>
    </w:p>
    <w:p w14:paraId="55B2B015">
      <w:pPr>
        <w:spacing w:line="460" w:lineRule="exact"/>
        <w:rPr>
          <w:sz w:val="24"/>
        </w:rPr>
      </w:pPr>
      <w:r>
        <w:rPr>
          <w:sz w:val="24"/>
        </w:rPr>
        <w:t>9.1贯彻落实“安全第一、预防为主、综合治理”的安全生产方针，认真执行国家、地方及行业有关安全环保的法律、法规、标准、规章制度及操作规程等。</w:t>
      </w:r>
    </w:p>
    <w:p w14:paraId="55B2B016">
      <w:pPr>
        <w:spacing w:line="460" w:lineRule="exact"/>
        <w:rPr>
          <w:sz w:val="24"/>
        </w:rPr>
      </w:pPr>
      <w:r>
        <w:rPr>
          <w:sz w:val="24"/>
        </w:rPr>
        <w:t>9.2向甲方提交本工程的HSE计划书、检查表、安全环保措施方案、现场事故应急预案等，经相关部门审批同意后实施。建立健全HSE组织机构，落实相关责任人的HSE职责，为作业人员配备必需的劳保用品，遵守国家、地方和企业内的相关HSE规定。</w:t>
      </w:r>
    </w:p>
    <w:p w14:paraId="55B2B017">
      <w:pPr>
        <w:spacing w:line="460" w:lineRule="exact"/>
        <w:rPr>
          <w:sz w:val="24"/>
        </w:rPr>
      </w:pPr>
      <w:r>
        <w:rPr>
          <w:sz w:val="24"/>
        </w:rPr>
        <w:t>9.3严格遵守国家和地方的相关法律、法规和标准，严格执行行业、甲方及其内部的HSE标准、规范；应认真检查、审核HSE管理体系文件和合同执行期间HSE管理体系实施情况。研究制定健康、安全、环境和技能培训要求，并严格落实。</w:t>
      </w:r>
    </w:p>
    <w:p w14:paraId="55B2B018">
      <w:pPr>
        <w:spacing w:line="460" w:lineRule="exact"/>
        <w:rPr>
          <w:sz w:val="24"/>
        </w:rPr>
      </w:pPr>
      <w:r>
        <w:rPr>
          <w:sz w:val="24"/>
        </w:rPr>
        <w:t>9.4乙方在其企业资质文件中已表明其有足够的能力管理与该合同有关的危害</w:t>
      </w:r>
      <w:r>
        <w:rPr>
          <w:rFonts w:hint="eastAsia"/>
          <w:sz w:val="24"/>
          <w:lang w:eastAsia="zh-CN"/>
        </w:rPr>
        <w:t>，</w:t>
      </w:r>
      <w:r>
        <w:rPr>
          <w:sz w:val="24"/>
        </w:rPr>
        <w:t>在合同执行中将履行其承诺</w:t>
      </w:r>
      <w:r>
        <w:rPr>
          <w:rFonts w:hint="eastAsia"/>
          <w:sz w:val="24"/>
          <w:lang w:eastAsia="zh-CN"/>
        </w:rPr>
        <w:t>，</w:t>
      </w:r>
      <w:r>
        <w:rPr>
          <w:sz w:val="24"/>
        </w:rPr>
        <w:t>配备足够的HSE 管理资源。</w:t>
      </w:r>
    </w:p>
    <w:p w14:paraId="55B2B019">
      <w:pPr>
        <w:spacing w:line="460" w:lineRule="exact"/>
        <w:rPr>
          <w:sz w:val="24"/>
        </w:rPr>
      </w:pPr>
      <w:r>
        <w:rPr>
          <w:sz w:val="24"/>
        </w:rPr>
        <w:t>9.5乙方提供的设备、材料等必须符合规定要求，并有质量保证记录证明；乙方为完成合同而自用的设备、材料、工具等应符合健康安全环保要求。</w:t>
      </w:r>
    </w:p>
    <w:p w14:paraId="55B2B01A">
      <w:pPr>
        <w:spacing w:line="460" w:lineRule="exact"/>
        <w:rPr>
          <w:sz w:val="24"/>
        </w:rPr>
      </w:pPr>
      <w:r>
        <w:rPr>
          <w:sz w:val="24"/>
        </w:rPr>
        <w:t>9.6对参与合同工作的员工进行健康安全环保培训教育，确保只有经考核合格、具有相关技能的人员方能参与合同规定的工作。</w:t>
      </w:r>
    </w:p>
    <w:p w14:paraId="55B2B01B">
      <w:pPr>
        <w:spacing w:line="460" w:lineRule="exact"/>
        <w:rPr>
          <w:sz w:val="24"/>
        </w:rPr>
      </w:pPr>
      <w:r>
        <w:rPr>
          <w:sz w:val="24"/>
        </w:rPr>
        <w:t>9.7乙方应做好施工场所有害因素监测记录、误工情况记录等，并在周、月报中如实上报。</w:t>
      </w:r>
    </w:p>
    <w:p w14:paraId="55B2B01C">
      <w:pPr>
        <w:spacing w:line="460" w:lineRule="exact"/>
        <w:rPr>
          <w:sz w:val="24"/>
        </w:rPr>
      </w:pPr>
      <w:r>
        <w:rPr>
          <w:sz w:val="24"/>
        </w:rPr>
        <w:t>9.8接受业主、乙方和当地有关管理部门对安全、健康、环境、林业、水土保持、文物保护等的监督检查。</w:t>
      </w:r>
    </w:p>
    <w:p w14:paraId="55B2B01D">
      <w:pPr>
        <w:spacing w:line="460" w:lineRule="exact"/>
        <w:rPr>
          <w:sz w:val="24"/>
        </w:rPr>
      </w:pPr>
      <w:r>
        <w:rPr>
          <w:sz w:val="24"/>
        </w:rPr>
        <w:t>9.9严格按甲方有关环境、生态保护与管理规定及有关管理方案的要求开展工程施工，注意保护好施工区域的水质量、土地质量、空气质量、社会环境质量等，做到文明施工。</w:t>
      </w:r>
    </w:p>
    <w:p w14:paraId="55B2B01E">
      <w:pPr>
        <w:spacing w:line="460" w:lineRule="exact"/>
        <w:rPr>
          <w:sz w:val="24"/>
        </w:rPr>
      </w:pPr>
      <w:r>
        <w:rPr>
          <w:sz w:val="24"/>
        </w:rPr>
        <w:t>9.10遵守甲方的安全、环保等规章制度和现场管理规定。控制危险点源，制定并熟练掌握事故防范措施及事故应急处理预案等。</w:t>
      </w:r>
    </w:p>
    <w:p w14:paraId="55B2B01F">
      <w:pPr>
        <w:spacing w:line="460" w:lineRule="exact"/>
        <w:rPr>
          <w:sz w:val="24"/>
        </w:rPr>
      </w:pPr>
      <w:r>
        <w:rPr>
          <w:sz w:val="24"/>
        </w:rPr>
        <w:t>9.11编制合同实施方案时应对危险源及从事活动的环境影响、环境因素进行辨识、对风险和环境因素进行评价，要制定消减风险的方案和措施，落实消除环境影响的控制措施。经有关单位或部门审批同意后，方可实施。</w:t>
      </w:r>
    </w:p>
    <w:p w14:paraId="55B2B020">
      <w:pPr>
        <w:spacing w:line="460" w:lineRule="exact"/>
        <w:rPr>
          <w:sz w:val="24"/>
        </w:rPr>
      </w:pPr>
      <w:r>
        <w:rPr>
          <w:sz w:val="24"/>
        </w:rPr>
        <w:t>9.12合同执行过程中发现设计与实际情况不相符时，应及时报告甲方，在得到甲方的书面设计变更或指令后，及时变更作业方式或实施措施。</w:t>
      </w:r>
    </w:p>
    <w:p w14:paraId="55B2B021">
      <w:pPr>
        <w:spacing w:line="460" w:lineRule="exact"/>
        <w:rPr>
          <w:sz w:val="24"/>
        </w:rPr>
      </w:pPr>
      <w:r>
        <w:rPr>
          <w:sz w:val="24"/>
        </w:rPr>
        <w:t>9.13应根据设计和应急预案配备完善的安全防护设施、环保设施和应急救援器材，对应急救援预案应定期组织演练。</w:t>
      </w:r>
    </w:p>
    <w:bookmarkEnd w:id="358"/>
    <w:bookmarkEnd w:id="359"/>
    <w:p w14:paraId="55B2B022">
      <w:pPr>
        <w:spacing w:line="460" w:lineRule="exact"/>
        <w:rPr>
          <w:sz w:val="24"/>
        </w:rPr>
      </w:pPr>
      <w:r>
        <w:rPr>
          <w:sz w:val="24"/>
        </w:rPr>
        <w:t>9.14乙方应维护好相关的安全生产设施、设备和器材，在合同实施作业现场等不具备安全生产条件的，乙方应停止作业，并及时进行整改。</w:t>
      </w:r>
    </w:p>
    <w:p w14:paraId="55B2B023">
      <w:pPr>
        <w:spacing w:line="460" w:lineRule="exact"/>
        <w:rPr>
          <w:sz w:val="24"/>
        </w:rPr>
      </w:pPr>
      <w:r>
        <w:rPr>
          <w:sz w:val="24"/>
        </w:rPr>
        <w:t>9.15不得购买或使用不符合国家、行业标准和甲方规定的原材料、设备、装置、防护用品、器材、安全环保检测仪器等。</w:t>
      </w:r>
    </w:p>
    <w:p w14:paraId="55B2B024">
      <w:pPr>
        <w:spacing w:line="460" w:lineRule="exact"/>
        <w:rPr>
          <w:sz w:val="24"/>
        </w:rPr>
      </w:pPr>
      <w:r>
        <w:rPr>
          <w:sz w:val="24"/>
        </w:rPr>
        <w:t>9.16负责对乙方作业人员进行安全、环保教育培训，并建立培训档案。从事特种作业的人员必须经过专业培训并取得特种作业证书。</w:t>
      </w:r>
    </w:p>
    <w:p w14:paraId="55B2B025">
      <w:pPr>
        <w:spacing w:line="460" w:lineRule="exact"/>
        <w:rPr>
          <w:sz w:val="24"/>
        </w:rPr>
      </w:pPr>
      <w:r>
        <w:rPr>
          <w:sz w:val="24"/>
        </w:rPr>
        <w:t>9.17按规定组织好安全、环保检查，发现合同执行过程中不安全行为和隐患，以及违反环保规定的行为，应采取有效措施积极处理。</w:t>
      </w:r>
    </w:p>
    <w:p w14:paraId="55B2B026">
      <w:pPr>
        <w:spacing w:line="460" w:lineRule="exact"/>
        <w:rPr>
          <w:sz w:val="24"/>
        </w:rPr>
      </w:pPr>
      <w:r>
        <w:rPr>
          <w:sz w:val="24"/>
        </w:rPr>
        <w:t>9.18发生事故时，应积极抢险，服从统一指挥，避免事故进一步扩大，负责事故上报，调查处理乙方责任的事故，处理有关善后事宜（包括甲方责任造成乙方人员伤亡事故的善后处理），事故报告及处理结果及时报告甲方。</w:t>
      </w:r>
    </w:p>
    <w:p w14:paraId="55B2B027">
      <w:pPr>
        <w:spacing w:line="460" w:lineRule="exact"/>
        <w:rPr>
          <w:sz w:val="24"/>
        </w:rPr>
      </w:pPr>
      <w:r>
        <w:rPr>
          <w:sz w:val="24"/>
        </w:rPr>
        <w:t>9.19应识别地方环保法规要求，开展合规性评价。做好污染防治工作，以防止污染事故发生。向甲方提交合同实施现场环保应急预案以及所遵循的法律法规清单、环保法规合规性评价报告和有效处理生产、生活垃圾、排放污水的书面证据。</w:t>
      </w:r>
    </w:p>
    <w:p w14:paraId="55B2B028">
      <w:pPr>
        <w:spacing w:line="460" w:lineRule="exact"/>
        <w:rPr>
          <w:sz w:val="24"/>
        </w:rPr>
      </w:pPr>
      <w:r>
        <w:rPr>
          <w:sz w:val="24"/>
        </w:rPr>
        <w:t>9.20对施工区域内宗教建筑、文物古迹、文物遗址、动植物和植被、草原、水源及生态环境</w:t>
      </w:r>
      <w:r>
        <w:rPr>
          <w:rFonts w:hint="eastAsia"/>
          <w:sz w:val="24"/>
          <w:lang w:eastAsia="zh-CN"/>
        </w:rPr>
        <w:t>负有</w:t>
      </w:r>
      <w:r>
        <w:rPr>
          <w:sz w:val="24"/>
        </w:rPr>
        <w:t>保护责任。</w:t>
      </w:r>
    </w:p>
    <w:p w14:paraId="55B2B029">
      <w:pPr>
        <w:spacing w:line="460" w:lineRule="exact"/>
        <w:rPr>
          <w:sz w:val="24"/>
        </w:rPr>
      </w:pPr>
      <w:r>
        <w:rPr>
          <w:sz w:val="24"/>
        </w:rPr>
        <w:t>9.21乙方招用的分包商，应具备承担工程项目的资质和安全资质等，乙方对招用的分包商的职业健康、安全、环境保护等责任负责，并通报甲方。</w:t>
      </w:r>
    </w:p>
    <w:p w14:paraId="55B2B02A">
      <w:pPr>
        <w:spacing w:line="460" w:lineRule="exact"/>
        <w:rPr>
          <w:sz w:val="24"/>
        </w:rPr>
      </w:pPr>
      <w:r>
        <w:rPr>
          <w:sz w:val="24"/>
        </w:rPr>
        <w:t>9.22作业完毕，按合同规定对垃圾进行清除，并恢复现场整洁状态。</w:t>
      </w:r>
      <w:bookmarkStart w:id="360" w:name="_Toc49659441"/>
      <w:bookmarkStart w:id="361" w:name="_Toc49153470"/>
    </w:p>
    <w:p w14:paraId="55B2B02B">
      <w:pPr>
        <w:spacing w:line="460" w:lineRule="exact"/>
        <w:rPr>
          <w:sz w:val="24"/>
        </w:rPr>
      </w:pPr>
      <w:r>
        <w:rPr>
          <w:sz w:val="24"/>
        </w:rPr>
        <w:t>9.23根据项目的技术要求履行应尽义务。</w:t>
      </w:r>
    </w:p>
    <w:p w14:paraId="55B2B02C">
      <w:pPr>
        <w:spacing w:line="460" w:lineRule="exact"/>
        <w:rPr>
          <w:sz w:val="24"/>
        </w:rPr>
      </w:pPr>
      <w:r>
        <w:rPr>
          <w:sz w:val="24"/>
        </w:rPr>
        <w:t>9.24 按时向甲方提交HSE周报、月报和</w:t>
      </w:r>
      <w:r>
        <w:rPr>
          <w:rFonts w:hint="eastAsia"/>
          <w:sz w:val="24"/>
          <w:lang w:eastAsia="zh-CN"/>
        </w:rPr>
        <w:t>其他</w:t>
      </w:r>
      <w:r>
        <w:rPr>
          <w:sz w:val="24"/>
        </w:rPr>
        <w:t>甲方认为必要的实施方案和工作危险分析等相关HSE文件。</w:t>
      </w:r>
    </w:p>
    <w:p w14:paraId="55B2B02D">
      <w:pPr>
        <w:spacing w:line="460" w:lineRule="exact"/>
        <w:rPr>
          <w:sz w:val="24"/>
        </w:rPr>
      </w:pPr>
      <w:r>
        <w:rPr>
          <w:sz w:val="24"/>
        </w:rPr>
        <w:t>9.25对甲方的健康、安全与环保工作提出合理化建议和改进意见。</w:t>
      </w:r>
    </w:p>
    <w:p w14:paraId="55B2B02E">
      <w:pPr>
        <w:spacing w:line="460" w:lineRule="exact"/>
        <w:rPr>
          <w:sz w:val="24"/>
        </w:rPr>
      </w:pPr>
      <w:r>
        <w:rPr>
          <w:sz w:val="24"/>
        </w:rPr>
        <w:t>9.26对甲方违章指挥、强令分包商冒险作业，有权拒绝执行；对由此产生的打击报复，有权向有关部门举报。</w:t>
      </w:r>
    </w:p>
    <w:p w14:paraId="55B2B02F">
      <w:pPr>
        <w:spacing w:line="460" w:lineRule="exact"/>
        <w:rPr>
          <w:b/>
          <w:sz w:val="28"/>
          <w:szCs w:val="28"/>
        </w:rPr>
      </w:pPr>
      <w:r>
        <w:rPr>
          <w:b/>
          <w:sz w:val="28"/>
          <w:szCs w:val="28"/>
        </w:rPr>
        <w:t>10 HSE监督与检查</w:t>
      </w:r>
    </w:p>
    <w:p w14:paraId="55B2B030">
      <w:pPr>
        <w:spacing w:line="460" w:lineRule="exact"/>
        <w:rPr>
          <w:sz w:val="24"/>
        </w:rPr>
      </w:pPr>
      <w:r>
        <w:rPr>
          <w:sz w:val="24"/>
        </w:rPr>
        <w:t>10.1甲方依据本合同可以对乙方承包的工程项目进行下列内容的监督检查。</w:t>
      </w:r>
    </w:p>
    <w:p w14:paraId="55B2B031">
      <w:pPr>
        <w:spacing w:line="460" w:lineRule="exact"/>
        <w:rPr>
          <w:sz w:val="24"/>
        </w:rPr>
      </w:pPr>
      <w:r>
        <w:rPr>
          <w:sz w:val="24"/>
        </w:rPr>
        <w:t>10.1.1生产、运输、装卸、检验、安装、调试和培训作业现场安全状况。</w:t>
      </w:r>
    </w:p>
    <w:p w14:paraId="55B2B032">
      <w:pPr>
        <w:spacing w:line="460" w:lineRule="exact"/>
        <w:rPr>
          <w:sz w:val="24"/>
        </w:rPr>
      </w:pPr>
      <w:r>
        <w:rPr>
          <w:sz w:val="24"/>
        </w:rPr>
        <w:t>10.1.2乙方执行设计、安全生产规章制度和标准</w:t>
      </w:r>
      <w:r>
        <w:rPr>
          <w:rFonts w:hint="eastAsia"/>
          <w:sz w:val="24"/>
          <w:lang w:eastAsia="zh-CN"/>
        </w:rPr>
        <w:t>等</w:t>
      </w:r>
      <w:r>
        <w:rPr>
          <w:sz w:val="24"/>
        </w:rPr>
        <w:t>情况。</w:t>
      </w:r>
    </w:p>
    <w:p w14:paraId="55B2B033">
      <w:pPr>
        <w:spacing w:line="460" w:lineRule="exact"/>
        <w:rPr>
          <w:sz w:val="24"/>
        </w:rPr>
      </w:pPr>
      <w:r>
        <w:rPr>
          <w:sz w:val="24"/>
        </w:rPr>
        <w:t>10.1.3安全、环保设施和设备的使用、维护情况。</w:t>
      </w:r>
    </w:p>
    <w:p w14:paraId="55B2B034">
      <w:pPr>
        <w:spacing w:line="460" w:lineRule="exact"/>
        <w:rPr>
          <w:sz w:val="24"/>
        </w:rPr>
      </w:pPr>
      <w:r>
        <w:rPr>
          <w:sz w:val="24"/>
        </w:rPr>
        <w:t>10.1.4特种作业人员持证上岗情况。</w:t>
      </w:r>
    </w:p>
    <w:p w14:paraId="55B2B035">
      <w:pPr>
        <w:spacing w:line="460" w:lineRule="exact"/>
        <w:rPr>
          <w:sz w:val="24"/>
        </w:rPr>
      </w:pPr>
      <w:r>
        <w:rPr>
          <w:sz w:val="24"/>
        </w:rPr>
        <w:t>10.1.5安全、环保技术措施及事故隐患整改计划的制定和执行情况，事故应急预案及演练情况。</w:t>
      </w:r>
    </w:p>
    <w:p w14:paraId="55B2B036">
      <w:pPr>
        <w:spacing w:line="460" w:lineRule="exact"/>
        <w:rPr>
          <w:sz w:val="24"/>
        </w:rPr>
      </w:pPr>
      <w:r>
        <w:rPr>
          <w:sz w:val="24"/>
        </w:rPr>
        <w:t xml:space="preserve">10.1.6乙方员工劳动防护用品、器具的配备和使用情况，职业健康、安全与环境警示标志的设置情况。 </w:t>
      </w:r>
    </w:p>
    <w:p w14:paraId="55B2B037">
      <w:pPr>
        <w:spacing w:line="460" w:lineRule="exact"/>
        <w:rPr>
          <w:sz w:val="24"/>
        </w:rPr>
      </w:pPr>
      <w:r>
        <w:rPr>
          <w:sz w:val="24"/>
        </w:rPr>
        <w:t>10.1.7其他需要监督与检查的项目。</w:t>
      </w:r>
    </w:p>
    <w:p w14:paraId="55B2B038">
      <w:pPr>
        <w:spacing w:line="460" w:lineRule="exact"/>
        <w:rPr>
          <w:sz w:val="24"/>
        </w:rPr>
      </w:pPr>
      <w:r>
        <w:rPr>
          <w:sz w:val="24"/>
        </w:rPr>
        <w:t>10.2在检查过程中，若发现乙方有下列情况之一的，视情节轻重做出相应处理：</w:t>
      </w:r>
    </w:p>
    <w:p w14:paraId="55B2B039">
      <w:pPr>
        <w:spacing w:line="460" w:lineRule="exact"/>
        <w:rPr>
          <w:sz w:val="24"/>
        </w:rPr>
      </w:pPr>
      <w:r>
        <w:rPr>
          <w:sz w:val="24"/>
        </w:rPr>
        <w:t>10.2.1对“三违”行为、违法行为责令纠正；</w:t>
      </w:r>
    </w:p>
    <w:p w14:paraId="55B2B03A">
      <w:pPr>
        <w:spacing w:line="460" w:lineRule="exact"/>
        <w:rPr>
          <w:sz w:val="24"/>
        </w:rPr>
      </w:pPr>
      <w:r>
        <w:rPr>
          <w:sz w:val="24"/>
        </w:rPr>
        <w:t>10.2.2对严重违章行为，给予警告；</w:t>
      </w:r>
    </w:p>
    <w:p w14:paraId="55B2B03B">
      <w:pPr>
        <w:spacing w:line="460" w:lineRule="exact"/>
        <w:rPr>
          <w:sz w:val="24"/>
        </w:rPr>
      </w:pPr>
      <w:r>
        <w:rPr>
          <w:sz w:val="24"/>
        </w:rPr>
        <w:t>10.2.3对一般事故隐患责令整改或限期整改，并下达“隐患整改通知书”；</w:t>
      </w:r>
    </w:p>
    <w:p w14:paraId="55B2B03C">
      <w:pPr>
        <w:spacing w:line="460" w:lineRule="exact"/>
        <w:rPr>
          <w:sz w:val="24"/>
        </w:rPr>
      </w:pPr>
      <w:r>
        <w:rPr>
          <w:sz w:val="24"/>
        </w:rPr>
        <w:t>10.2.4对存在重大事故隐患，以及可能造成严重环境污染或生态破坏的作业，责令立即停止作业；</w:t>
      </w:r>
    </w:p>
    <w:p w14:paraId="55B2B03D">
      <w:pPr>
        <w:spacing w:line="460" w:lineRule="exact"/>
        <w:rPr>
          <w:sz w:val="24"/>
        </w:rPr>
      </w:pPr>
      <w:r>
        <w:rPr>
          <w:sz w:val="24"/>
        </w:rPr>
        <w:t>10.2.5对生产安全事故、重大以上环境污染及生态破坏事故、严重职业病伤害等隐瞒不报、谎报或者拖延不报，发生事故不立即组织抢险救援，不承担相应污染赔偿责任的，终身禁止进入分公司市场。</w:t>
      </w:r>
    </w:p>
    <w:p w14:paraId="55B2B03E">
      <w:pPr>
        <w:spacing w:line="460" w:lineRule="exact"/>
        <w:rPr>
          <w:b/>
          <w:sz w:val="28"/>
          <w:szCs w:val="28"/>
        </w:rPr>
      </w:pPr>
      <w:r>
        <w:rPr>
          <w:b/>
          <w:sz w:val="28"/>
          <w:szCs w:val="28"/>
        </w:rPr>
        <w:t>11 事故的应急救援与调查处理</w:t>
      </w:r>
    </w:p>
    <w:p w14:paraId="55B2B03F">
      <w:pPr>
        <w:spacing w:line="460" w:lineRule="exact"/>
        <w:rPr>
          <w:sz w:val="24"/>
        </w:rPr>
      </w:pPr>
      <w:r>
        <w:rPr>
          <w:sz w:val="24"/>
        </w:rPr>
        <w:t>11.1在生产、运输、装卸、检验、安装、调试和培训作业中，如发生安全环保事故时，各方现场人员应</w:t>
      </w:r>
      <w:r>
        <w:rPr>
          <w:rFonts w:hint="eastAsia"/>
          <w:sz w:val="24"/>
          <w:lang w:eastAsia="zh-CN"/>
        </w:rPr>
        <w:t>做</w:t>
      </w:r>
      <w:r>
        <w:rPr>
          <w:sz w:val="24"/>
        </w:rPr>
        <w:t>适当处理，保护好现场迅速逐级报告有关领导和部门，必要时应采取避让、疏散、报警、救援、封闭、切断和隔离危险源等措施，防止损害和事故扩大。事故发生后，在最短的时间内寻求第三方（如消防队、抢修队、119、120急救）援助和救护，并按工程项目应急预案组织抢险救援，事故调查处理按有关法律、法规和规定执行。</w:t>
      </w:r>
    </w:p>
    <w:bookmarkEnd w:id="360"/>
    <w:bookmarkEnd w:id="361"/>
    <w:p w14:paraId="55B2B040">
      <w:pPr>
        <w:spacing w:line="460" w:lineRule="exact"/>
        <w:rPr>
          <w:b/>
          <w:sz w:val="28"/>
          <w:szCs w:val="28"/>
        </w:rPr>
      </w:pPr>
      <w:bookmarkStart w:id="362" w:name="_Toc49153472"/>
      <w:bookmarkStart w:id="363" w:name="_Toc49659443"/>
      <w:r>
        <w:rPr>
          <w:b/>
          <w:sz w:val="28"/>
          <w:szCs w:val="28"/>
        </w:rPr>
        <w:t>12 安全生产信息的报告</w:t>
      </w:r>
      <w:bookmarkEnd w:id="362"/>
      <w:bookmarkEnd w:id="363"/>
    </w:p>
    <w:p w14:paraId="55B2B041">
      <w:pPr>
        <w:spacing w:line="460" w:lineRule="exact"/>
        <w:rPr>
          <w:sz w:val="24"/>
        </w:rPr>
      </w:pPr>
      <w:r>
        <w:rPr>
          <w:sz w:val="24"/>
        </w:rPr>
        <w:t>12.1为了加强安全生产管理，乙方在向甲方通报工程动态、生产信息的同时，应一并向甲方通报安全生产信息。</w:t>
      </w:r>
      <w:bookmarkStart w:id="364" w:name="_Toc49153473"/>
      <w:bookmarkStart w:id="365" w:name="_Toc49659444"/>
    </w:p>
    <w:p w14:paraId="55B2B042">
      <w:pPr>
        <w:spacing w:line="460" w:lineRule="exact"/>
        <w:rPr>
          <w:b/>
          <w:sz w:val="28"/>
          <w:szCs w:val="28"/>
        </w:rPr>
      </w:pPr>
      <w:r>
        <w:rPr>
          <w:b/>
          <w:sz w:val="28"/>
          <w:szCs w:val="28"/>
        </w:rPr>
        <w:t>13 违约责任</w:t>
      </w:r>
      <w:bookmarkEnd w:id="364"/>
      <w:bookmarkEnd w:id="365"/>
    </w:p>
    <w:p w14:paraId="55B2B043">
      <w:pPr>
        <w:spacing w:line="460" w:lineRule="exact"/>
        <w:rPr>
          <w:sz w:val="24"/>
        </w:rPr>
      </w:pPr>
      <w:r>
        <w:rPr>
          <w:sz w:val="24"/>
        </w:rPr>
        <w:t>13.1甲方未按本合同要求履行职责，对乙方造成危害或经济损失的，甲方应按危害程度和实际经济损失进行赔偿。</w:t>
      </w:r>
    </w:p>
    <w:p w14:paraId="55B2B044">
      <w:pPr>
        <w:spacing w:line="460" w:lineRule="exact"/>
        <w:rPr>
          <w:sz w:val="24"/>
        </w:rPr>
      </w:pPr>
      <w:r>
        <w:rPr>
          <w:sz w:val="24"/>
        </w:rPr>
        <w:t>13.2乙方未按本合同的要求履行职责，对甲方造成危害或经济损失的，乙方应按危害程度和实际经济损失进行赔偿。</w:t>
      </w:r>
    </w:p>
    <w:p w14:paraId="55B2B045">
      <w:pPr>
        <w:spacing w:line="460" w:lineRule="exact"/>
        <w:rPr>
          <w:sz w:val="24"/>
        </w:rPr>
      </w:pPr>
      <w:r>
        <w:rPr>
          <w:sz w:val="24"/>
        </w:rPr>
        <w:t>13.3发生事故时，甲乙双方均有抢险、救灾的义务，所发生的费用由责任方承担。</w:t>
      </w:r>
    </w:p>
    <w:p w14:paraId="55B2B046">
      <w:pPr>
        <w:spacing w:line="460" w:lineRule="exact"/>
        <w:rPr>
          <w:sz w:val="24"/>
        </w:rPr>
      </w:pPr>
      <w:r>
        <w:rPr>
          <w:sz w:val="24"/>
        </w:rPr>
        <w:t>13.4乙方未按本合同的要求履行义务</w:t>
      </w:r>
      <w:r>
        <w:rPr>
          <w:rFonts w:hint="eastAsia"/>
          <w:sz w:val="24"/>
          <w:lang w:eastAsia="zh-CN"/>
        </w:rPr>
        <w:t>，</w:t>
      </w:r>
      <w:r>
        <w:rPr>
          <w:sz w:val="24"/>
        </w:rPr>
        <w:t xml:space="preserve"> 造成环境污染、人身伤亡或财产损失等事故的，由乙方承担一切经济责任和法律责任。</w:t>
      </w:r>
      <w:bookmarkStart w:id="366" w:name="_Toc49659445"/>
      <w:bookmarkStart w:id="367" w:name="_Toc49153474"/>
    </w:p>
    <w:p w14:paraId="55B2B047">
      <w:pPr>
        <w:spacing w:line="460" w:lineRule="exact"/>
        <w:rPr>
          <w:sz w:val="24"/>
        </w:rPr>
      </w:pPr>
      <w:r>
        <w:rPr>
          <w:sz w:val="24"/>
        </w:rPr>
        <w:t>13.5在HSE监督与检查过程中，甲方对乙方做出的处理，并不免除乙方应承担的违约责任，同时因乙方的行为给甲方造成的损失，乙方应承担赔偿责任。</w:t>
      </w:r>
    </w:p>
    <w:p w14:paraId="55B2B048">
      <w:pPr>
        <w:spacing w:line="460" w:lineRule="exact"/>
        <w:rPr>
          <w:b/>
          <w:sz w:val="28"/>
          <w:szCs w:val="28"/>
        </w:rPr>
      </w:pPr>
      <w:r>
        <w:rPr>
          <w:b/>
          <w:sz w:val="28"/>
          <w:szCs w:val="28"/>
        </w:rPr>
        <w:t>14 争议的解决</w:t>
      </w:r>
      <w:bookmarkEnd w:id="366"/>
    </w:p>
    <w:p w14:paraId="55B2B049">
      <w:pPr>
        <w:spacing w:line="460" w:lineRule="exact"/>
        <w:rPr>
          <w:sz w:val="24"/>
        </w:rPr>
      </w:pPr>
      <w:r>
        <w:rPr>
          <w:sz w:val="24"/>
        </w:rPr>
        <w:t>14.1在本合同履行过程中发生争议时，按甲乙双方签订的主合同约定的方式解决。</w:t>
      </w:r>
      <w:bookmarkStart w:id="368" w:name="_Toc49659446"/>
    </w:p>
    <w:p w14:paraId="55B2B04A">
      <w:pPr>
        <w:spacing w:line="460" w:lineRule="exact"/>
        <w:rPr>
          <w:b/>
          <w:sz w:val="28"/>
          <w:szCs w:val="28"/>
        </w:rPr>
      </w:pPr>
      <w:r>
        <w:rPr>
          <w:b/>
          <w:sz w:val="28"/>
          <w:szCs w:val="28"/>
        </w:rPr>
        <w:t>15 其他事宜</w:t>
      </w:r>
      <w:bookmarkEnd w:id="367"/>
      <w:bookmarkEnd w:id="368"/>
    </w:p>
    <w:p w14:paraId="55B2B04B">
      <w:pPr>
        <w:spacing w:line="460" w:lineRule="exact"/>
        <w:rPr>
          <w:sz w:val="24"/>
        </w:rPr>
      </w:pPr>
      <w:r>
        <w:rPr>
          <w:sz w:val="24"/>
        </w:rPr>
        <w:t>15.1本合同未尽事宜，由双方根据有关规定订立补充协议或协商解决。</w:t>
      </w:r>
    </w:p>
    <w:p w14:paraId="55B2B04C">
      <w:pPr>
        <w:spacing w:line="460" w:lineRule="exact"/>
        <w:rPr>
          <w:sz w:val="24"/>
        </w:rPr>
      </w:pPr>
      <w:r>
        <w:rPr>
          <w:sz w:val="24"/>
        </w:rPr>
        <w:t>15.2合同份数：与主合同份数一致，双方签字盖章后生效。</w:t>
      </w:r>
    </w:p>
    <w:p w14:paraId="55B2B04D">
      <w:pPr>
        <w:spacing w:line="460" w:lineRule="exact"/>
        <w:rPr>
          <w:sz w:val="24"/>
        </w:rPr>
      </w:pPr>
      <w:r>
        <w:rPr>
          <w:sz w:val="24"/>
        </w:rPr>
        <w:t>15.3本合同与主合同同时生效，并作为主合同的组成部分。</w:t>
      </w:r>
    </w:p>
    <w:p w14:paraId="55B2B04E">
      <w:pPr>
        <w:spacing w:line="460" w:lineRule="exact"/>
        <w:rPr>
          <w:rFonts w:eastAsia="仿宋_GB2312"/>
          <w:sz w:val="28"/>
          <w:szCs w:val="32"/>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3"/>
        <w:gridCol w:w="4346"/>
      </w:tblGrid>
      <w:tr w14:paraId="55B2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53" w:type="dxa"/>
          </w:tcPr>
          <w:p w14:paraId="55B2B04F">
            <w:pPr>
              <w:spacing w:line="360" w:lineRule="atLeast"/>
              <w:jc w:val="center"/>
              <w:rPr>
                <w:sz w:val="24"/>
              </w:rPr>
            </w:pPr>
          </w:p>
          <w:p w14:paraId="55B2B050">
            <w:pPr>
              <w:spacing w:line="360" w:lineRule="atLeast"/>
              <w:jc w:val="center"/>
              <w:rPr>
                <w:sz w:val="24"/>
              </w:rPr>
            </w:pPr>
            <w:r>
              <w:rPr>
                <w:sz w:val="24"/>
              </w:rPr>
              <w:t xml:space="preserve">甲     方 </w:t>
            </w:r>
          </w:p>
          <w:p w14:paraId="55B2B051">
            <w:pPr>
              <w:pStyle w:val="12"/>
              <w:spacing w:after="156" w:afterLines="50" w:line="360" w:lineRule="exact"/>
              <w:ind w:left="1200" w:hanging="1200" w:hangingChars="500"/>
              <w:rPr>
                <w:rFonts w:ascii="Times New Roman" w:hAnsi="Times New Roman"/>
                <w:sz w:val="24"/>
              </w:rPr>
            </w:pPr>
            <w:r>
              <w:rPr>
                <w:rFonts w:ascii="Times New Roman" w:hAnsi="Times New Roman"/>
                <w:sz w:val="24"/>
                <w:szCs w:val="24"/>
              </w:rPr>
              <w:t>名称（章）：</w:t>
            </w:r>
            <w:r>
              <w:rPr>
                <w:rFonts w:hint="eastAsia" w:ascii="Times New Roman" w:hAnsi="Times New Roman"/>
                <w:sz w:val="24"/>
                <w:szCs w:val="24"/>
              </w:rPr>
              <w:t>云南中慧能源有限公司</w:t>
            </w:r>
          </w:p>
          <w:p w14:paraId="55B2B052">
            <w:pPr>
              <w:spacing w:line="360" w:lineRule="auto"/>
              <w:rPr>
                <w:sz w:val="24"/>
              </w:rPr>
            </w:pPr>
            <w:r>
              <w:rPr>
                <w:sz w:val="24"/>
              </w:rPr>
              <w:t>法定代表人（或负责人）：</w:t>
            </w:r>
          </w:p>
          <w:p w14:paraId="55B2B053">
            <w:pPr>
              <w:spacing w:line="360" w:lineRule="auto"/>
              <w:rPr>
                <w:sz w:val="24"/>
              </w:rPr>
            </w:pPr>
          </w:p>
          <w:p w14:paraId="55B2B054">
            <w:pPr>
              <w:spacing w:line="360" w:lineRule="auto"/>
              <w:rPr>
                <w:sz w:val="24"/>
              </w:rPr>
            </w:pPr>
            <w:r>
              <w:rPr>
                <w:sz w:val="24"/>
              </w:rPr>
              <w:t>委托代理人：</w:t>
            </w:r>
          </w:p>
        </w:tc>
        <w:tc>
          <w:tcPr>
            <w:tcW w:w="4346" w:type="dxa"/>
          </w:tcPr>
          <w:p w14:paraId="55B2B055">
            <w:pPr>
              <w:spacing w:line="360" w:lineRule="atLeast"/>
              <w:jc w:val="center"/>
              <w:rPr>
                <w:sz w:val="24"/>
              </w:rPr>
            </w:pPr>
          </w:p>
          <w:p w14:paraId="55B2B056">
            <w:pPr>
              <w:spacing w:line="360" w:lineRule="atLeast"/>
              <w:jc w:val="center"/>
              <w:rPr>
                <w:sz w:val="24"/>
              </w:rPr>
            </w:pPr>
            <w:r>
              <w:rPr>
                <w:sz w:val="24"/>
              </w:rPr>
              <w:t>乙     方</w:t>
            </w:r>
          </w:p>
          <w:p w14:paraId="55B2B057">
            <w:pPr>
              <w:spacing w:line="360" w:lineRule="atLeast"/>
              <w:ind w:left="1055" w:leftChars="-12" w:hanging="1080" w:hangingChars="450"/>
              <w:rPr>
                <w:sz w:val="24"/>
              </w:rPr>
            </w:pPr>
            <w:r>
              <w:rPr>
                <w:sz w:val="24"/>
              </w:rPr>
              <w:t xml:space="preserve">名称（章）： </w:t>
            </w:r>
          </w:p>
          <w:p w14:paraId="55B2B058">
            <w:pPr>
              <w:spacing w:line="360" w:lineRule="atLeast"/>
              <w:rPr>
                <w:sz w:val="24"/>
              </w:rPr>
            </w:pPr>
          </w:p>
          <w:p w14:paraId="55B2B059">
            <w:pPr>
              <w:spacing w:line="360" w:lineRule="atLeast"/>
              <w:ind w:left="1680" w:hanging="1680" w:hangingChars="700"/>
              <w:rPr>
                <w:sz w:val="24"/>
              </w:rPr>
            </w:pPr>
            <w:r>
              <w:rPr>
                <w:sz w:val="24"/>
              </w:rPr>
              <w:t>法定代表人（或负责人）：</w:t>
            </w:r>
          </w:p>
          <w:p w14:paraId="55B2B05A">
            <w:pPr>
              <w:spacing w:line="360" w:lineRule="atLeast"/>
              <w:ind w:left="1680" w:hanging="1680" w:hangingChars="700"/>
              <w:rPr>
                <w:sz w:val="24"/>
              </w:rPr>
            </w:pPr>
          </w:p>
          <w:p w14:paraId="55B2B05B">
            <w:pPr>
              <w:spacing w:line="360" w:lineRule="auto"/>
              <w:rPr>
                <w:sz w:val="24"/>
              </w:rPr>
            </w:pPr>
            <w:r>
              <w:rPr>
                <w:sz w:val="24"/>
              </w:rPr>
              <w:t>委托代理人：</w:t>
            </w:r>
          </w:p>
          <w:p w14:paraId="55B2B05C">
            <w:pPr>
              <w:spacing w:line="360" w:lineRule="auto"/>
              <w:rPr>
                <w:sz w:val="24"/>
              </w:rPr>
            </w:pPr>
          </w:p>
        </w:tc>
      </w:tr>
    </w:tbl>
    <w:p w14:paraId="55B2B05E">
      <w:pPr>
        <w:pStyle w:val="3"/>
        <w:numPr>
          <w:ilvl w:val="1"/>
          <w:numId w:val="0"/>
        </w:numPr>
        <w:rPr>
          <w:rFonts w:ascii="Times New Roman" w:hAnsi="Times New Roman"/>
          <w:sz w:val="44"/>
          <w:szCs w:val="44"/>
        </w:rPr>
      </w:pPr>
      <w:r>
        <w:rPr>
          <w:rFonts w:ascii="Times New Roman" w:hAnsi="Times New Roman"/>
        </w:rPr>
        <w:br w:type="page"/>
      </w:r>
      <w:bookmarkStart w:id="369" w:name="_Toc430156077"/>
      <w:bookmarkStart w:id="370" w:name="_Toc432668646"/>
      <w:bookmarkStart w:id="371" w:name="_Toc391899251"/>
      <w:bookmarkStart w:id="372" w:name="_Toc333306630"/>
      <w:bookmarkStart w:id="373" w:name="_Toc333389216"/>
      <w:bookmarkStart w:id="374" w:name="_Toc333389315"/>
      <w:r>
        <w:rPr>
          <w:rFonts w:ascii="Times New Roman" w:hAnsi="Times New Roman"/>
          <w:sz w:val="44"/>
          <w:szCs w:val="44"/>
        </w:rPr>
        <w:t>保密协议</w:t>
      </w:r>
      <w:bookmarkEnd w:id="369"/>
      <w:bookmarkEnd w:id="370"/>
      <w:bookmarkEnd w:id="371"/>
    </w:p>
    <w:p w14:paraId="55B2B05F">
      <w:pPr>
        <w:spacing w:line="360" w:lineRule="auto"/>
        <w:ind w:firstLine="480" w:firstLineChars="200"/>
        <w:rPr>
          <w:sz w:val="24"/>
        </w:rPr>
      </w:pPr>
      <w:r>
        <w:rPr>
          <w:rFonts w:hint="eastAsia"/>
          <w:sz w:val="24"/>
        </w:rPr>
        <w:t>为保守国家</w:t>
      </w:r>
      <w:r>
        <w:rPr>
          <w:sz w:val="24"/>
        </w:rPr>
        <w:t>、企业</w:t>
      </w:r>
      <w:r>
        <w:rPr>
          <w:rFonts w:hint="eastAsia"/>
          <w:sz w:val="24"/>
        </w:rPr>
        <w:t>秘密，维护国家</w:t>
      </w:r>
      <w:r>
        <w:rPr>
          <w:sz w:val="24"/>
        </w:rPr>
        <w:t>、企业</w:t>
      </w:r>
      <w:r>
        <w:rPr>
          <w:rFonts w:hint="eastAsia"/>
          <w:sz w:val="24"/>
        </w:rPr>
        <w:t>安全和利益，防止泄密事件发生，根据《中华人民共和国保守国家秘密法</w:t>
      </w:r>
      <w:r>
        <w:rPr>
          <w:rFonts w:hint="eastAsia"/>
          <w:sz w:val="24"/>
          <w:lang w:eastAsia="zh-CN"/>
        </w:rPr>
        <w:t>》《</w:t>
      </w:r>
      <w:r>
        <w:rPr>
          <w:rFonts w:hint="eastAsia"/>
          <w:sz w:val="24"/>
        </w:rPr>
        <w:t>中华人民共和国保守国家秘密法实施办法</w:t>
      </w:r>
      <w:r>
        <w:rPr>
          <w:rFonts w:hint="eastAsia"/>
          <w:sz w:val="24"/>
          <w:lang w:eastAsia="zh-CN"/>
        </w:rPr>
        <w:t>》《</w:t>
      </w:r>
      <w:r>
        <w:rPr>
          <w:rFonts w:hint="eastAsia"/>
          <w:sz w:val="24"/>
        </w:rPr>
        <w:t>国家秘密及其密级具体范围的规定</w:t>
      </w:r>
      <w:r>
        <w:rPr>
          <w:rFonts w:hint="eastAsia"/>
          <w:sz w:val="24"/>
          <w:lang w:eastAsia="zh-CN"/>
        </w:rPr>
        <w:t>》《</w:t>
      </w:r>
      <w:r>
        <w:rPr>
          <w:sz w:val="24"/>
        </w:rPr>
        <w:t>中华人民共和国测绘法</w:t>
      </w:r>
      <w:r>
        <w:rPr>
          <w:rFonts w:hint="eastAsia"/>
          <w:sz w:val="24"/>
          <w:lang w:eastAsia="zh-CN"/>
        </w:rPr>
        <w:t>》《</w:t>
      </w:r>
      <w:r>
        <w:rPr>
          <w:rFonts w:hint="eastAsia"/>
          <w:sz w:val="24"/>
        </w:rPr>
        <w:t>中华人民共和国测绘成果管理条例</w:t>
      </w:r>
      <w:r>
        <w:rPr>
          <w:rFonts w:hint="eastAsia"/>
          <w:sz w:val="24"/>
          <w:lang w:eastAsia="zh-CN"/>
        </w:rPr>
        <w:t>》《</w:t>
      </w:r>
      <w:r>
        <w:rPr>
          <w:rFonts w:hint="eastAsia"/>
          <w:sz w:val="24"/>
        </w:rPr>
        <w:t>科学技术保密规定</w:t>
      </w:r>
      <w:r>
        <w:rPr>
          <w:rFonts w:hint="eastAsia"/>
          <w:sz w:val="24"/>
          <w:lang w:eastAsia="zh-CN"/>
        </w:rPr>
        <w:t>》《</w:t>
      </w:r>
      <w:r>
        <w:rPr>
          <w:rFonts w:hint="eastAsia"/>
          <w:sz w:val="24"/>
        </w:rPr>
        <w:t>对外经济合作提供资料保密暂行规定</w:t>
      </w:r>
      <w:r>
        <w:rPr>
          <w:rFonts w:hint="eastAsia"/>
          <w:sz w:val="24"/>
          <w:lang w:eastAsia="zh-CN"/>
        </w:rPr>
        <w:t>》《</w:t>
      </w:r>
      <w:r>
        <w:rPr>
          <w:rFonts w:hint="eastAsia"/>
          <w:sz w:val="24"/>
        </w:rPr>
        <w:t>禁止邮寄或非法携运国家秘密文件资料和其他物品出境的规定</w:t>
      </w:r>
      <w:r>
        <w:rPr>
          <w:rFonts w:hint="eastAsia"/>
          <w:sz w:val="24"/>
          <w:lang w:eastAsia="zh-CN"/>
        </w:rPr>
        <w:t>》《</w:t>
      </w:r>
      <w:r>
        <w:rPr>
          <w:rFonts w:hint="eastAsia"/>
          <w:sz w:val="24"/>
        </w:rPr>
        <w:t>新闻出版保密规定》</w:t>
      </w:r>
      <w:r>
        <w:rPr>
          <w:sz w:val="24"/>
        </w:rPr>
        <w:t xml:space="preserve">、 </w:t>
      </w:r>
      <w:r>
        <w:rPr>
          <w:rFonts w:hint="eastAsia"/>
          <w:sz w:val="24"/>
        </w:rPr>
        <w:t>《中央企业商业秘密保护暂行规定》</w:t>
      </w:r>
      <w:r>
        <w:rPr>
          <w:sz w:val="24"/>
        </w:rPr>
        <w:t>（</w:t>
      </w:r>
      <w:r>
        <w:rPr>
          <w:rFonts w:hint="eastAsia"/>
          <w:sz w:val="24"/>
        </w:rPr>
        <w:t>国资发</w:t>
      </w:r>
      <w:r>
        <w:rPr>
          <w:rFonts w:hint="eastAsia"/>
          <w:sz w:val="24"/>
          <w:lang w:eastAsia="zh-CN"/>
        </w:rPr>
        <w:t>〔2010〕41号</w:t>
      </w:r>
      <w:r>
        <w:rPr>
          <w:rFonts w:hint="eastAsia"/>
          <w:sz w:val="24"/>
        </w:rPr>
        <w:t> </w:t>
      </w:r>
      <w:r>
        <w:rPr>
          <w:sz w:val="24"/>
        </w:rPr>
        <w:t xml:space="preserve">）等法律、法规之要求；根据双方已经签订的合同；鉴于甲方向乙方提供相关资料、文件、数据、图纸等涉及的任何保密信息，无论该保密信息属甲方合法所有还是甲方承诺遵守为国家和政府部门法律、法规、法令要求必须保密的；乙方应保证对本协议所述保密信息予以有效保护，特签订如下协议： </w:t>
      </w:r>
    </w:p>
    <w:p w14:paraId="55B2B060">
      <w:pPr>
        <w:spacing w:line="360" w:lineRule="auto"/>
        <w:rPr>
          <w:sz w:val="24"/>
        </w:rPr>
      </w:pPr>
      <w:r>
        <w:rPr>
          <w:sz w:val="24"/>
        </w:rPr>
        <w:t>1、国家、政府秘密</w:t>
      </w:r>
    </w:p>
    <w:p w14:paraId="55B2B061">
      <w:pPr>
        <w:spacing w:line="360" w:lineRule="auto"/>
        <w:ind w:firstLine="420"/>
        <w:rPr>
          <w:sz w:val="24"/>
        </w:rPr>
      </w:pPr>
      <w:r>
        <w:rPr>
          <w:sz w:val="24"/>
        </w:rPr>
        <w:t xml:space="preserve">甲方依法获得或购买的所有国家地理、地质、气象、水文信息，包括但不限于：带坐标和/或高程的各种地形测绘图、测绘记录文件复制品、扫描件及其根据这些文件和信息而产生衍生品（如详细地形测绘土、地质资料、地震资料、气象资料、水文资料、文物等）工程项目基础资料及现场障碍资料、地理与地质信息、气象与水文记录等。 </w:t>
      </w:r>
    </w:p>
    <w:p w14:paraId="55B2B062">
      <w:pPr>
        <w:spacing w:line="360" w:lineRule="auto"/>
        <w:rPr>
          <w:sz w:val="24"/>
        </w:rPr>
      </w:pPr>
      <w:r>
        <w:rPr>
          <w:sz w:val="24"/>
        </w:rPr>
        <w:t xml:space="preserve">    甲方根据向乙方提供相关产品涉及到上述相关信息及资料的，乙方应承担相关保密义务和其他相关法律责任。</w:t>
      </w:r>
    </w:p>
    <w:p w14:paraId="55B2B063">
      <w:pPr>
        <w:spacing w:line="360" w:lineRule="auto"/>
        <w:rPr>
          <w:sz w:val="24"/>
        </w:rPr>
      </w:pPr>
      <w:r>
        <w:rPr>
          <w:sz w:val="24"/>
        </w:rPr>
        <w:t xml:space="preserve">    涉及到</w:t>
      </w:r>
      <w:r>
        <w:rPr>
          <w:rFonts w:hint="eastAsia"/>
          <w:sz w:val="24"/>
        </w:rPr>
        <w:t>国家秘密测绘成果</w:t>
      </w:r>
      <w:r>
        <w:rPr>
          <w:sz w:val="24"/>
        </w:rPr>
        <w:t>的，乙方</w:t>
      </w:r>
      <w:r>
        <w:rPr>
          <w:rFonts w:hint="eastAsia"/>
          <w:sz w:val="24"/>
        </w:rPr>
        <w:t>不得擅自复制、转让或者转借</w:t>
      </w:r>
      <w:r>
        <w:rPr>
          <w:sz w:val="24"/>
        </w:rPr>
        <w:t>，不得要求甲方提供</w:t>
      </w:r>
      <w:r>
        <w:rPr>
          <w:rFonts w:hint="eastAsia"/>
          <w:sz w:val="24"/>
        </w:rPr>
        <w:t>磁介质、光盘等秘密载体</w:t>
      </w:r>
      <w:r>
        <w:rPr>
          <w:sz w:val="24"/>
        </w:rPr>
        <w:t>，</w:t>
      </w:r>
      <w:r>
        <w:rPr>
          <w:rFonts w:hint="eastAsia"/>
          <w:sz w:val="24"/>
        </w:rPr>
        <w:t>禁止使用电话、传真、INTER网传输保密测绘成果。</w:t>
      </w:r>
    </w:p>
    <w:p w14:paraId="55B2B064">
      <w:pPr>
        <w:spacing w:line="360" w:lineRule="auto"/>
        <w:rPr>
          <w:sz w:val="24"/>
        </w:rPr>
      </w:pPr>
      <w:r>
        <w:rPr>
          <w:sz w:val="24"/>
        </w:rPr>
        <w:t>2、商业秘密</w:t>
      </w:r>
    </w:p>
    <w:p w14:paraId="55B2B065">
      <w:pPr>
        <w:spacing w:line="360" w:lineRule="auto"/>
        <w:rPr>
          <w:sz w:val="24"/>
        </w:rPr>
      </w:pPr>
      <w:r>
        <w:rPr>
          <w:sz w:val="24"/>
        </w:rPr>
        <w:t>　　本协议提及的商业秘密，指甲方拥有的或购买的所有专利、专有技术、技术秘密等，包括但不限于：技术方案、工程设计方案、电路设计、制造方法、配方、工艺流程、技术指标、计算机软件、数据库、研究开发记录、技术报告、检测报告、实验数据、试验结果、图纸、样品、样机、模型、模具、操作手册、技术文档、相关的函电及任何加盖有“油商密”印章的所有文件及资料。</w:t>
      </w:r>
    </w:p>
    <w:p w14:paraId="55B2B066">
      <w:pPr>
        <w:spacing w:line="360" w:lineRule="auto"/>
        <w:rPr>
          <w:sz w:val="24"/>
        </w:rPr>
      </w:pPr>
      <w:r>
        <w:rPr>
          <w:sz w:val="24"/>
        </w:rPr>
        <w:t>　　本协议提及的其他商业秘密，包括但不限于：客户名单、客户地址及联系方式、合同、备忘录、公司决议、需求信息、营销计划、商业计划、商业模式、采购资料、定价政策、进货渠道、产销策略、招投标中的标底及标书内容、项目组人员构成、费用预算、利润情况及不公开的财务资料等等。</w:t>
      </w:r>
    </w:p>
    <w:p w14:paraId="55B2B067">
      <w:pPr>
        <w:spacing w:line="360" w:lineRule="auto"/>
        <w:rPr>
          <w:sz w:val="24"/>
        </w:rPr>
      </w:pPr>
      <w:r>
        <w:rPr>
          <w:sz w:val="24"/>
        </w:rPr>
        <w:t>3、秘密来源</w:t>
      </w:r>
    </w:p>
    <w:p w14:paraId="55B2B068">
      <w:pPr>
        <w:spacing w:line="360" w:lineRule="auto"/>
        <w:rPr>
          <w:sz w:val="24"/>
        </w:rPr>
      </w:pPr>
      <w:r>
        <w:rPr>
          <w:sz w:val="24"/>
        </w:rPr>
        <w:t>　　乙方从甲方获得的与项目有关或因项目产生的任何商业、营销、技术、工程、运营数据或其他性质的资料，无论以何种形式或载于何种载体，无论是否加盖有“油商密”印章，无论在披露时是否以口头、图纸、图像或以书面方式表明其具有保密性。</w:t>
      </w:r>
    </w:p>
    <w:p w14:paraId="55B2B069">
      <w:pPr>
        <w:spacing w:line="360" w:lineRule="auto"/>
        <w:rPr>
          <w:sz w:val="24"/>
        </w:rPr>
      </w:pPr>
      <w:r>
        <w:rPr>
          <w:sz w:val="24"/>
        </w:rPr>
        <w:t>4、保密义务</w:t>
      </w:r>
    </w:p>
    <w:p w14:paraId="55B2B06A">
      <w:pPr>
        <w:spacing w:line="360" w:lineRule="auto"/>
        <w:ind w:firstLine="480" w:firstLineChars="200"/>
        <w:rPr>
          <w:sz w:val="24"/>
        </w:rPr>
      </w:pPr>
      <w:r>
        <w:rPr>
          <w:sz w:val="24"/>
        </w:rPr>
        <w:t>对于甲方提供的国家、政府秘密及商业秘密，乙方在此同意：</w:t>
      </w:r>
    </w:p>
    <w:p w14:paraId="55B2B06B">
      <w:pPr>
        <w:spacing w:line="360" w:lineRule="auto"/>
        <w:ind w:firstLine="480" w:firstLineChars="200"/>
        <w:rPr>
          <w:sz w:val="24"/>
        </w:rPr>
      </w:pPr>
      <w:r>
        <w:rPr>
          <w:sz w:val="24"/>
        </w:rPr>
        <w:t>（1）严守机密，并采取所有保密措施和制度保护该秘密（包括但不仅限于乙方为保护其自有商业秘密所采用的措施和制度）；</w:t>
      </w:r>
    </w:p>
    <w:p w14:paraId="55B2B06C">
      <w:pPr>
        <w:spacing w:line="360" w:lineRule="auto"/>
        <w:rPr>
          <w:sz w:val="24"/>
        </w:rPr>
      </w:pPr>
      <w:r>
        <w:rPr>
          <w:sz w:val="24"/>
        </w:rPr>
        <w:t>　　（2）不泄露给任何第三方；</w:t>
      </w:r>
    </w:p>
    <w:p w14:paraId="55B2B06D">
      <w:pPr>
        <w:spacing w:line="360" w:lineRule="auto"/>
        <w:rPr>
          <w:sz w:val="24"/>
        </w:rPr>
      </w:pPr>
      <w:r>
        <w:rPr>
          <w:sz w:val="24"/>
        </w:rPr>
        <w:t>　　（3）除用于履行本协议之外，任何时候均不得利用该秘密；</w:t>
      </w:r>
    </w:p>
    <w:p w14:paraId="55B2B06E">
      <w:pPr>
        <w:spacing w:line="360" w:lineRule="auto"/>
        <w:rPr>
          <w:sz w:val="24"/>
        </w:rPr>
      </w:pPr>
      <w:r>
        <w:rPr>
          <w:sz w:val="24"/>
        </w:rPr>
        <w:t>　　（4）不复制或通过镜像工程使用该秘密。乙方应当与能接触该商业秘密的员工、代理等签订保密协议，此协议的实质内容应与本协议保密职责与义务一致。</w:t>
      </w:r>
    </w:p>
    <w:p w14:paraId="55B2B06F">
      <w:pPr>
        <w:spacing w:line="360" w:lineRule="auto"/>
        <w:rPr>
          <w:sz w:val="24"/>
        </w:rPr>
      </w:pPr>
      <w:r>
        <w:rPr>
          <w:sz w:val="24"/>
        </w:rPr>
        <w:t>5、例外约定</w:t>
      </w:r>
    </w:p>
    <w:p w14:paraId="55B2B070">
      <w:pPr>
        <w:spacing w:line="360" w:lineRule="auto"/>
        <w:rPr>
          <w:sz w:val="24"/>
        </w:rPr>
      </w:pPr>
      <w:r>
        <w:rPr>
          <w:sz w:val="24"/>
        </w:rPr>
        <w:t>　　甲方同意上述条款不适用于下述情形：</w:t>
      </w:r>
    </w:p>
    <w:p w14:paraId="55B2B071">
      <w:pPr>
        <w:spacing w:line="360" w:lineRule="auto"/>
        <w:rPr>
          <w:sz w:val="24"/>
        </w:rPr>
      </w:pPr>
      <w:r>
        <w:rPr>
          <w:sz w:val="24"/>
        </w:rPr>
        <w:t>　　（1）该保密文件和资料已经或正在变成普通大众可以获取的资料；</w:t>
      </w:r>
    </w:p>
    <w:p w14:paraId="55B2B072">
      <w:pPr>
        <w:spacing w:line="360" w:lineRule="auto"/>
        <w:rPr>
          <w:sz w:val="24"/>
        </w:rPr>
      </w:pPr>
      <w:r>
        <w:rPr>
          <w:sz w:val="24"/>
        </w:rPr>
        <w:t>　　（2）能书面证明乙方从甲方收到技术资料之前已经拥有；</w:t>
      </w:r>
    </w:p>
    <w:p w14:paraId="55B2B073">
      <w:pPr>
        <w:spacing w:line="360" w:lineRule="auto"/>
        <w:rPr>
          <w:sz w:val="24"/>
        </w:rPr>
      </w:pPr>
      <w:r>
        <w:rPr>
          <w:sz w:val="24"/>
        </w:rPr>
        <w:t>　　（3）由第三方合法提供给乙方的资料；</w:t>
      </w:r>
    </w:p>
    <w:p w14:paraId="55B2B074">
      <w:pPr>
        <w:spacing w:line="360" w:lineRule="auto"/>
        <w:ind w:firstLine="480" w:firstLineChars="200"/>
        <w:rPr>
          <w:sz w:val="24"/>
        </w:rPr>
      </w:pPr>
      <w:r>
        <w:rPr>
          <w:sz w:val="24"/>
        </w:rPr>
        <w:t>（4）未使用甲方的技术资料，由乙方独立开发出来的技术。</w:t>
      </w:r>
    </w:p>
    <w:p w14:paraId="55B2B075">
      <w:pPr>
        <w:spacing w:line="360" w:lineRule="auto"/>
        <w:ind w:firstLine="480" w:firstLineChars="200"/>
        <w:rPr>
          <w:sz w:val="24"/>
        </w:rPr>
      </w:pPr>
      <w:r>
        <w:rPr>
          <w:sz w:val="24"/>
        </w:rPr>
        <w:t>（5）能书面证明乙方复制、转让、出版、衍生的所有技术成果和资料未使用甲方的保密资料，所以信息和资料由乙方自身或从第三方获得。</w:t>
      </w:r>
    </w:p>
    <w:p w14:paraId="55B2B076">
      <w:pPr>
        <w:spacing w:line="360" w:lineRule="auto"/>
        <w:rPr>
          <w:sz w:val="24"/>
        </w:rPr>
      </w:pPr>
      <w:r>
        <w:rPr>
          <w:sz w:val="24"/>
        </w:rPr>
        <w:t>6、强制性披露</w:t>
      </w:r>
    </w:p>
    <w:p w14:paraId="55B2B077">
      <w:pPr>
        <w:spacing w:line="360" w:lineRule="auto"/>
        <w:ind w:firstLine="480" w:firstLineChars="200"/>
        <w:rPr>
          <w:sz w:val="24"/>
        </w:rPr>
      </w:pPr>
      <w:r>
        <w:rPr>
          <w:sz w:val="24"/>
        </w:rPr>
        <w:t>若乙方因法律、法规、法令或其他合法途径（如传票等</w:t>
      </w:r>
      <w:r>
        <w:rPr>
          <w:rFonts w:hint="eastAsia"/>
          <w:sz w:val="24"/>
        </w:rPr>
        <w:t>）</w:t>
      </w:r>
      <w:r>
        <w:rPr>
          <w:sz w:val="24"/>
        </w:rPr>
        <w:t>强制性要求披露保密信息时，乙方或其受委派执行合同目的或通过某种途径知悉保密信息之人员须披露甲方的保密信息时，乙方应立即书面通知甲方，以便其能寻求强制性法律保护令或采取其他合理的补救措施。若未能取得相关保护令或其他补救措施，乙方不得披露依法应予保密信息，且应尽最大努力确保对相关保密信息采取可靠的保密措施。</w:t>
      </w:r>
    </w:p>
    <w:p w14:paraId="55B2B078">
      <w:pPr>
        <w:spacing w:line="360" w:lineRule="auto"/>
        <w:rPr>
          <w:sz w:val="24"/>
        </w:rPr>
      </w:pPr>
      <w:r>
        <w:rPr>
          <w:sz w:val="24"/>
        </w:rPr>
        <w:t>7、非授权许可</w:t>
      </w:r>
    </w:p>
    <w:p w14:paraId="55B2B079">
      <w:pPr>
        <w:spacing w:line="360" w:lineRule="auto"/>
        <w:ind w:firstLine="555"/>
        <w:rPr>
          <w:sz w:val="24"/>
        </w:rPr>
      </w:pPr>
      <w:r>
        <w:rPr>
          <w:sz w:val="24"/>
        </w:rPr>
        <w:t>除为查阅或使用保密信息以达成本协议目的之权利外，本协议未将专利权、版权、商业秘密或其他知识产权项下权利转让给乙方，同时也未将甲方的机密信息内所含或所属的权利转让给乙方。</w:t>
      </w:r>
    </w:p>
    <w:p w14:paraId="55B2B07A">
      <w:pPr>
        <w:spacing w:line="360" w:lineRule="auto"/>
        <w:rPr>
          <w:sz w:val="24"/>
        </w:rPr>
      </w:pPr>
      <w:r>
        <w:rPr>
          <w:sz w:val="24"/>
        </w:rPr>
        <w:t>8、保密期限</w:t>
      </w:r>
    </w:p>
    <w:p w14:paraId="55B2B07B">
      <w:pPr>
        <w:spacing w:line="360" w:lineRule="auto"/>
        <w:rPr>
          <w:sz w:val="24"/>
        </w:rPr>
      </w:pPr>
      <w:r>
        <w:rPr>
          <w:sz w:val="24"/>
        </w:rPr>
        <w:t>　　本协议中双方之保密义务应自对方收到机密信息之日起国家、政府秘密为永久保密，商业秘密为二十（20）年内持续有效，且不因合同目的之达成而终止。</w:t>
      </w:r>
    </w:p>
    <w:p w14:paraId="55B2B07C">
      <w:pPr>
        <w:spacing w:line="360" w:lineRule="auto"/>
        <w:rPr>
          <w:sz w:val="24"/>
        </w:rPr>
      </w:pPr>
      <w:r>
        <w:rPr>
          <w:sz w:val="24"/>
        </w:rPr>
        <w:t>9、义务限定</w:t>
      </w:r>
    </w:p>
    <w:p w14:paraId="55B2B07D">
      <w:pPr>
        <w:spacing w:line="360" w:lineRule="auto"/>
        <w:ind w:firstLine="555"/>
        <w:rPr>
          <w:sz w:val="24"/>
        </w:rPr>
      </w:pPr>
      <w:r>
        <w:rPr>
          <w:sz w:val="24"/>
        </w:rPr>
        <w:t>本协议不得被视作或解释为甲方有义务向乙方提供任何信息、与乙方进行商业交易或签订任何最终协议，除非甲方决定向乙方提供信息或与乙方签订与交易有关的最终协议。</w:t>
      </w:r>
    </w:p>
    <w:p w14:paraId="55B2B07E">
      <w:pPr>
        <w:spacing w:line="360" w:lineRule="auto"/>
        <w:rPr>
          <w:sz w:val="24"/>
        </w:rPr>
      </w:pPr>
      <w:r>
        <w:rPr>
          <w:sz w:val="24"/>
        </w:rPr>
        <w:t>10、信息准确性</w:t>
      </w:r>
    </w:p>
    <w:p w14:paraId="55B2B07F">
      <w:pPr>
        <w:spacing w:line="360" w:lineRule="auto"/>
        <w:ind w:firstLine="555"/>
        <w:rPr>
          <w:sz w:val="24"/>
        </w:rPr>
      </w:pPr>
      <w:r>
        <w:rPr>
          <w:sz w:val="24"/>
        </w:rPr>
        <w:t>甲方并未就其向乙方披露的任何保密信息的准确性、可靠性及完整性作出明示或暗示的声明或保证，且对乙方、其代表人员或其他使用该等保密信息的人员不承担任何责任。</w:t>
      </w:r>
    </w:p>
    <w:p w14:paraId="55B2B080">
      <w:pPr>
        <w:spacing w:line="360" w:lineRule="auto"/>
        <w:rPr>
          <w:sz w:val="24"/>
        </w:rPr>
      </w:pPr>
      <w:r>
        <w:rPr>
          <w:rFonts w:hint="eastAsia"/>
          <w:sz w:val="24"/>
          <w:lang w:eastAsia="zh-CN"/>
        </w:rPr>
        <w:t>11.</w:t>
      </w:r>
      <w:r>
        <w:rPr>
          <w:sz w:val="24"/>
        </w:rPr>
        <w:t>民事责任</w:t>
      </w:r>
    </w:p>
    <w:p w14:paraId="55B2B081">
      <w:pPr>
        <w:spacing w:line="360" w:lineRule="auto"/>
        <w:ind w:firstLine="480" w:firstLineChars="200"/>
        <w:rPr>
          <w:sz w:val="24"/>
        </w:rPr>
      </w:pPr>
      <w:r>
        <w:rPr>
          <w:sz w:val="24"/>
        </w:rPr>
        <w:t>（1）如果乙方未履行本协议第4条所规定的保密义务，但尚未给甲方造成损失或严重后果的，乙方应当承担不超过主合同金额10％的违约罚款；</w:t>
      </w:r>
    </w:p>
    <w:p w14:paraId="55B2B082">
      <w:pPr>
        <w:spacing w:line="360" w:lineRule="auto"/>
        <w:rPr>
          <w:sz w:val="24"/>
        </w:rPr>
      </w:pPr>
      <w:r>
        <w:rPr>
          <w:sz w:val="24"/>
        </w:rPr>
        <w:t>　　（2）如果</w:t>
      </w:r>
      <w:r>
        <w:rPr>
          <w:rFonts w:hint="eastAsia"/>
          <w:sz w:val="24"/>
          <w:lang w:eastAsia="zh-CN"/>
        </w:rPr>
        <w:t>因</w:t>
      </w:r>
      <w:r>
        <w:rPr>
          <w:sz w:val="24"/>
        </w:rPr>
        <w:t>乙方前款所称的违约行为造成甲方的损失或严重后果的，乙方应当承担</w:t>
      </w:r>
      <w:r>
        <w:rPr>
          <w:rFonts w:hint="eastAsia"/>
          <w:sz w:val="24"/>
          <w:lang w:eastAsia="zh-CN"/>
        </w:rPr>
        <w:t>违约责任，并赔偿</w:t>
      </w:r>
      <w:r>
        <w:rPr>
          <w:sz w:val="24"/>
        </w:rPr>
        <w:t>甲方因乙方违约而产生的一切损失及费用。</w:t>
      </w:r>
    </w:p>
    <w:p w14:paraId="55B2B083">
      <w:pPr>
        <w:spacing w:line="360" w:lineRule="auto"/>
        <w:rPr>
          <w:sz w:val="24"/>
        </w:rPr>
      </w:pPr>
      <w:r>
        <w:rPr>
          <w:sz w:val="24"/>
        </w:rPr>
        <w:t>　　（3）因乙方的违反协议行为侵犯了甲方权利，甲方可以选择根据本协议要求乙方承担违约责任，或者根据国家有关法律、法规要求乙方承担侵权责任。</w:t>
      </w:r>
    </w:p>
    <w:p w14:paraId="55B2B084">
      <w:pPr>
        <w:spacing w:line="360" w:lineRule="auto"/>
        <w:rPr>
          <w:sz w:val="24"/>
        </w:rPr>
      </w:pPr>
      <w:r>
        <w:rPr>
          <w:rFonts w:hint="eastAsia"/>
          <w:sz w:val="24"/>
          <w:lang w:eastAsia="zh-CN"/>
        </w:rPr>
        <w:t>12.</w:t>
      </w:r>
      <w:r>
        <w:rPr>
          <w:sz w:val="24"/>
        </w:rPr>
        <w:t>刑事及行政责任</w:t>
      </w:r>
    </w:p>
    <w:p w14:paraId="55B2B085">
      <w:pPr>
        <w:spacing w:line="360" w:lineRule="auto"/>
        <w:ind w:firstLine="555"/>
        <w:rPr>
          <w:sz w:val="24"/>
        </w:rPr>
      </w:pPr>
      <w:r>
        <w:rPr>
          <w:sz w:val="24"/>
        </w:rPr>
        <w:t>（1）如果乙方未履行本协议第4条所规定的保密义务，情节严重，可能构成犯罪的，甲方有权及时向公安机关、国家安全机关等有关机关和单位报告、检举，要求对乙方</w:t>
      </w:r>
      <w:r>
        <w:rPr>
          <w:rFonts w:hint="eastAsia"/>
          <w:sz w:val="24"/>
        </w:rPr>
        <w:t>直接负责的主管人员和其他直接责任人员</w:t>
      </w:r>
      <w:r>
        <w:rPr>
          <w:sz w:val="24"/>
        </w:rPr>
        <w:t>依法追究其刑事责任。</w:t>
      </w:r>
    </w:p>
    <w:p w14:paraId="55B2B086">
      <w:pPr>
        <w:spacing w:line="360" w:lineRule="auto"/>
        <w:ind w:firstLine="555"/>
        <w:rPr>
          <w:sz w:val="24"/>
        </w:rPr>
      </w:pPr>
      <w:r>
        <w:rPr>
          <w:sz w:val="24"/>
        </w:rPr>
        <w:t>（2）乙方违反保密义务的行为</w:t>
      </w:r>
      <w:r>
        <w:rPr>
          <w:rFonts w:hint="eastAsia"/>
          <w:sz w:val="24"/>
        </w:rPr>
        <w:t>尚不构成犯罪</w:t>
      </w:r>
      <w:r>
        <w:rPr>
          <w:sz w:val="24"/>
        </w:rPr>
        <w:t>的，甲方有权及时向保密行政管理部门报告、检举，要求对乙方</w:t>
      </w:r>
      <w:r>
        <w:rPr>
          <w:rFonts w:hint="eastAsia"/>
          <w:sz w:val="24"/>
        </w:rPr>
        <w:t>直接负责的主管人员和其他直接责任人员</w:t>
      </w:r>
      <w:r>
        <w:rPr>
          <w:sz w:val="24"/>
        </w:rPr>
        <w:t>给予行政处分，并没收其违法所得。</w:t>
      </w:r>
    </w:p>
    <w:p w14:paraId="55B2B087">
      <w:pPr>
        <w:spacing w:line="360" w:lineRule="auto"/>
        <w:ind w:firstLine="555"/>
        <w:rPr>
          <w:sz w:val="24"/>
        </w:rPr>
      </w:pPr>
      <w:r>
        <w:rPr>
          <w:sz w:val="24"/>
        </w:rPr>
        <w:t>（3）乙方因违反本协议规定的保密义务而可能遭受刑事或行政处罚时，应保护甲方不受相关牵连而承担连带责任。</w:t>
      </w:r>
    </w:p>
    <w:p w14:paraId="55B2B088">
      <w:pPr>
        <w:spacing w:line="360" w:lineRule="auto"/>
        <w:rPr>
          <w:sz w:val="24"/>
        </w:rPr>
      </w:pPr>
      <w:r>
        <w:rPr>
          <w:rFonts w:hint="eastAsia"/>
          <w:sz w:val="24"/>
          <w:lang w:eastAsia="zh-CN"/>
        </w:rPr>
        <w:t>13.</w:t>
      </w:r>
      <w:r>
        <w:rPr>
          <w:sz w:val="24"/>
        </w:rPr>
        <w:t>声明及保证</w:t>
      </w:r>
    </w:p>
    <w:p w14:paraId="55B2B089">
      <w:pPr>
        <w:spacing w:line="360" w:lineRule="auto"/>
        <w:rPr>
          <w:sz w:val="24"/>
        </w:rPr>
      </w:pPr>
      <w:r>
        <w:rPr>
          <w:sz w:val="24"/>
        </w:rPr>
        <w:t>　　甲方：</w:t>
      </w:r>
    </w:p>
    <w:p w14:paraId="55B2B08A">
      <w:pPr>
        <w:spacing w:line="360" w:lineRule="auto"/>
        <w:rPr>
          <w:sz w:val="24"/>
        </w:rPr>
      </w:pPr>
      <w:r>
        <w:rPr>
          <w:sz w:val="24"/>
        </w:rPr>
        <w:t>　　（1）甲方为一家依法设立并合法存续的企业，有权签署并有能力履行本协议。</w:t>
      </w:r>
    </w:p>
    <w:p w14:paraId="55B2B08B">
      <w:pPr>
        <w:spacing w:line="360" w:lineRule="auto"/>
        <w:rPr>
          <w:sz w:val="24"/>
        </w:rPr>
      </w:pPr>
      <w:r>
        <w:rPr>
          <w:sz w:val="24"/>
        </w:rPr>
        <w:t>　　（2）甲方签署和履行本协议所需的一切手续均已办妥并合法有效。</w:t>
      </w:r>
    </w:p>
    <w:p w14:paraId="55B2B08C">
      <w:pPr>
        <w:spacing w:line="360" w:lineRule="auto"/>
        <w:rPr>
          <w:sz w:val="24"/>
        </w:rPr>
      </w:pPr>
      <w:r>
        <w:rPr>
          <w:sz w:val="24"/>
        </w:rPr>
        <w:t>　　（3）在签署本协议时，任何法院、仲裁机构、行政机关或监管机构均未作出任何足以对甲方履行本协议产生重大不利影响的判决、裁定、裁决或具体行政行为。</w:t>
      </w:r>
    </w:p>
    <w:p w14:paraId="55B2B08D">
      <w:pPr>
        <w:spacing w:line="360" w:lineRule="auto"/>
        <w:rPr>
          <w:sz w:val="24"/>
        </w:rPr>
      </w:pPr>
      <w:r>
        <w:rPr>
          <w:sz w:val="24"/>
        </w:rPr>
        <w:t>　　（4）甲方为签署本协议所需的内部授权程序均已完成，本协议的签署人是甲方的法定代表人或授权代表人。本协议生效后即对协议双方具有法律约束力。</w:t>
      </w:r>
    </w:p>
    <w:p w14:paraId="55B2B08E">
      <w:pPr>
        <w:spacing w:line="360" w:lineRule="auto"/>
        <w:rPr>
          <w:sz w:val="24"/>
        </w:rPr>
      </w:pPr>
      <w:r>
        <w:rPr>
          <w:sz w:val="24"/>
        </w:rPr>
        <w:t>　　乙方：</w:t>
      </w:r>
    </w:p>
    <w:p w14:paraId="55B2B08F">
      <w:pPr>
        <w:spacing w:line="360" w:lineRule="auto"/>
        <w:rPr>
          <w:sz w:val="24"/>
        </w:rPr>
      </w:pPr>
      <w:r>
        <w:rPr>
          <w:sz w:val="24"/>
        </w:rPr>
        <w:t>　　（1）乙方为一家依法设立并合法存续的企业，有权签署并有能力履行本协议。</w:t>
      </w:r>
    </w:p>
    <w:p w14:paraId="55B2B090">
      <w:pPr>
        <w:spacing w:line="360" w:lineRule="auto"/>
        <w:rPr>
          <w:sz w:val="24"/>
        </w:rPr>
      </w:pPr>
      <w:r>
        <w:rPr>
          <w:sz w:val="24"/>
        </w:rPr>
        <w:t>　　（2）乙方签署和履行本协议所需的一切手续均已办妥并合法有效。</w:t>
      </w:r>
    </w:p>
    <w:p w14:paraId="55B2B091">
      <w:pPr>
        <w:spacing w:line="360" w:lineRule="auto"/>
        <w:rPr>
          <w:sz w:val="24"/>
        </w:rPr>
      </w:pPr>
      <w:r>
        <w:rPr>
          <w:sz w:val="24"/>
        </w:rPr>
        <w:t>　　（3）在签署本协议时，任何法院、仲裁机构、行政机关或监管机构均未作出任何足以对乙方履行本协议产生重大不利影响的判决、裁定、裁决或具体行政行为。</w:t>
      </w:r>
    </w:p>
    <w:p w14:paraId="55B2B092">
      <w:pPr>
        <w:spacing w:line="360" w:lineRule="auto"/>
        <w:ind w:firstLine="420"/>
        <w:rPr>
          <w:sz w:val="24"/>
        </w:rPr>
      </w:pPr>
      <w:r>
        <w:rPr>
          <w:sz w:val="24"/>
        </w:rPr>
        <w:t>（4）乙方为签署本协议所需的内部授权程序均已完成，本协议的签署人是乙方的法定代表人或授权代表人。本协议生效后即对协议双方具有法律约束力。</w:t>
      </w:r>
    </w:p>
    <w:p w14:paraId="55B2B093">
      <w:pPr>
        <w:spacing w:line="360" w:lineRule="auto"/>
        <w:ind w:firstLine="420"/>
        <w:rPr>
          <w:sz w:val="24"/>
        </w:rPr>
      </w:pPr>
      <w:r>
        <w:rPr>
          <w:rFonts w:hint="eastAsia"/>
          <w:sz w:val="24"/>
          <w:lang w:eastAsia="zh-CN"/>
        </w:rPr>
        <w:t>14.</w:t>
      </w:r>
      <w:r>
        <w:rPr>
          <w:sz w:val="24"/>
        </w:rPr>
        <w:t>其他条款</w:t>
      </w:r>
    </w:p>
    <w:p w14:paraId="55B2B094">
      <w:pPr>
        <w:spacing w:line="360" w:lineRule="auto"/>
        <w:rPr>
          <w:sz w:val="24"/>
        </w:rPr>
      </w:pPr>
      <w:r>
        <w:rPr>
          <w:sz w:val="24"/>
        </w:rPr>
        <w:t xml:space="preserve">　　本协议对双方及其承继人、受让人均具有约束力且保护其合法权益。本协议任一条款之无法实施并不视为该条款被放弃。 </w:t>
      </w:r>
    </w:p>
    <w:p w14:paraId="55B2B095">
      <w:pPr>
        <w:spacing w:line="360" w:lineRule="auto"/>
        <w:rPr>
          <w:sz w:val="24"/>
        </w:rPr>
      </w:pPr>
      <w:r>
        <w:rPr>
          <w:rFonts w:hint="eastAsia"/>
          <w:sz w:val="24"/>
          <w:lang w:eastAsia="zh-CN"/>
        </w:rPr>
        <w:t>15.</w:t>
      </w:r>
      <w:r>
        <w:rPr>
          <w:sz w:val="24"/>
        </w:rPr>
        <w:t>通知</w:t>
      </w:r>
    </w:p>
    <w:p w14:paraId="55B2B096">
      <w:pPr>
        <w:spacing w:line="360" w:lineRule="auto"/>
        <w:ind w:firstLine="480" w:firstLineChars="200"/>
        <w:rPr>
          <w:sz w:val="24"/>
        </w:rPr>
      </w:pPr>
      <w:r>
        <w:rPr>
          <w:sz w:val="24"/>
        </w:rPr>
        <w:t>（1）根据本协议需要发出的全部通知以及双方的文件往来及与本协议有关的通知和要求等，必须用书面形式，可采用（书信、传真、电报、当面送交等方式）传递。以上方式无法送达的，方可采取公告送达的方式。</w:t>
      </w:r>
    </w:p>
    <w:p w14:paraId="55B2B097">
      <w:pPr>
        <w:spacing w:line="360" w:lineRule="auto"/>
        <w:ind w:firstLine="480" w:firstLineChars="200"/>
        <w:rPr>
          <w:sz w:val="24"/>
        </w:rPr>
      </w:pPr>
      <w:r>
        <w:rPr>
          <w:sz w:val="24"/>
        </w:rPr>
        <w:t>（2）各方通讯地址详见主合同。</w:t>
      </w:r>
    </w:p>
    <w:p w14:paraId="55B2B098">
      <w:pPr>
        <w:spacing w:line="360" w:lineRule="auto"/>
        <w:rPr>
          <w:sz w:val="24"/>
        </w:rPr>
      </w:pPr>
      <w:r>
        <w:rPr>
          <w:sz w:val="24"/>
        </w:rPr>
        <w:t>　　（3）一方变更通知或通讯地址，应自变更之日起3日内，以书面形式通知对方；否则，由未通知方承担由此而引起的相应责任。</w:t>
      </w:r>
    </w:p>
    <w:p w14:paraId="55B2B099">
      <w:pPr>
        <w:spacing w:line="360" w:lineRule="auto"/>
        <w:rPr>
          <w:sz w:val="24"/>
        </w:rPr>
      </w:pPr>
      <w:r>
        <w:rPr>
          <w:rFonts w:hint="eastAsia"/>
          <w:sz w:val="24"/>
          <w:lang w:eastAsia="zh-CN"/>
        </w:rPr>
        <w:t>16.</w:t>
      </w:r>
      <w:r>
        <w:rPr>
          <w:sz w:val="24"/>
        </w:rPr>
        <w:t>适用法律及争议的处理</w:t>
      </w:r>
    </w:p>
    <w:p w14:paraId="55B2B09A">
      <w:pPr>
        <w:spacing w:line="360" w:lineRule="auto"/>
        <w:ind w:firstLine="480" w:firstLineChars="200"/>
        <w:rPr>
          <w:sz w:val="24"/>
        </w:rPr>
      </w:pPr>
      <w:r>
        <w:rPr>
          <w:sz w:val="24"/>
        </w:rPr>
        <w:t>（1）本协议受中华人民共和国法律管辖并按其进行解释。</w:t>
      </w:r>
    </w:p>
    <w:p w14:paraId="55B2B09B">
      <w:pPr>
        <w:spacing w:line="360" w:lineRule="auto"/>
        <w:rPr>
          <w:sz w:val="24"/>
        </w:rPr>
      </w:pPr>
      <w:r>
        <w:rPr>
          <w:sz w:val="24"/>
        </w:rPr>
        <w:t>　　（2）本协议在履行过程中发生的争议，由双方当事人协商解决，也可由有关部门调解；协商或调解不成的，按下列第 B种方式解决：</w:t>
      </w:r>
    </w:p>
    <w:p w14:paraId="55B2B09C">
      <w:pPr>
        <w:spacing w:line="360" w:lineRule="auto"/>
        <w:rPr>
          <w:sz w:val="24"/>
        </w:rPr>
      </w:pPr>
      <w:r>
        <w:rPr>
          <w:sz w:val="24"/>
        </w:rPr>
        <w:t>　　A．提交昆明仲裁委员会仲裁；</w:t>
      </w:r>
    </w:p>
    <w:p w14:paraId="55B2B09D">
      <w:pPr>
        <w:spacing w:line="360" w:lineRule="auto"/>
        <w:rPr>
          <w:sz w:val="24"/>
        </w:rPr>
      </w:pPr>
      <w:r>
        <w:rPr>
          <w:sz w:val="24"/>
        </w:rPr>
        <w:t>　　B．依法向人民法院起诉。</w:t>
      </w:r>
    </w:p>
    <w:p w14:paraId="55B2B09E">
      <w:pPr>
        <w:spacing w:line="360" w:lineRule="auto"/>
        <w:rPr>
          <w:sz w:val="24"/>
        </w:rPr>
      </w:pPr>
      <w:r>
        <w:rPr>
          <w:rFonts w:hint="eastAsia"/>
          <w:sz w:val="24"/>
          <w:lang w:eastAsia="zh-CN"/>
        </w:rPr>
        <w:t>17.</w:t>
      </w:r>
      <w:r>
        <w:rPr>
          <w:sz w:val="24"/>
        </w:rPr>
        <w:t>与进出口相关的法律</w:t>
      </w:r>
    </w:p>
    <w:p w14:paraId="55B2B09F">
      <w:pPr>
        <w:spacing w:line="360" w:lineRule="auto"/>
        <w:rPr>
          <w:sz w:val="24"/>
        </w:rPr>
      </w:pPr>
      <w:r>
        <w:rPr>
          <w:sz w:val="24"/>
        </w:rPr>
        <w:t>　　双方应遵守与因本协议而提供的产品、技术数据或软件有关的中国及其他相关国家的进出口法律、法规及条例规定。未经授权许可，乙方不得将该等产品、技术数据、软件或直接产品向该等法律、法规及条例中所列的被限制国家出口或再出口。本条规定义务于本协议终止或继续有效。</w:t>
      </w:r>
    </w:p>
    <w:p w14:paraId="55B2B0A0">
      <w:pPr>
        <w:spacing w:line="360" w:lineRule="auto"/>
        <w:rPr>
          <w:sz w:val="24"/>
        </w:rPr>
      </w:pPr>
      <w:r>
        <w:rPr>
          <w:rFonts w:hint="eastAsia"/>
          <w:sz w:val="24"/>
          <w:lang w:eastAsia="zh-CN"/>
        </w:rPr>
        <w:t>18.</w:t>
      </w:r>
      <w:r>
        <w:rPr>
          <w:sz w:val="24"/>
        </w:rPr>
        <w:t xml:space="preserve">本协议不说明甲乙双方建立任何代理和合作关系。如建立代理和合作关系，需另行签订代理/合作伙伴协议。 </w:t>
      </w:r>
    </w:p>
    <w:p w14:paraId="55B2B0A1">
      <w:pPr>
        <w:spacing w:line="360" w:lineRule="auto"/>
        <w:rPr>
          <w:sz w:val="24"/>
        </w:rPr>
      </w:pPr>
      <w:r>
        <w:rPr>
          <w:rFonts w:hint="eastAsia"/>
          <w:sz w:val="24"/>
          <w:lang w:eastAsia="zh-CN"/>
        </w:rPr>
        <w:t>19.</w:t>
      </w:r>
      <w:r>
        <w:rPr>
          <w:sz w:val="24"/>
        </w:rPr>
        <w:t>合同效力</w:t>
      </w:r>
    </w:p>
    <w:p w14:paraId="55B2B0A2">
      <w:pPr>
        <w:spacing w:line="360" w:lineRule="auto"/>
        <w:ind w:firstLine="480" w:firstLineChars="200"/>
        <w:rPr>
          <w:szCs w:val="21"/>
        </w:rPr>
      </w:pPr>
      <w:r>
        <w:rPr>
          <w:sz w:val="24"/>
        </w:rPr>
        <w:t>本协议自双方或双方法定代表人或其授权代表人签字并加盖公章后立即生效。本协议与主合同份数一致，双方签字盖章后生效。</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3"/>
        <w:gridCol w:w="4500"/>
      </w:tblGrid>
      <w:tr w14:paraId="55B2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9" w:hRule="atLeast"/>
          <w:jc w:val="center"/>
        </w:trPr>
        <w:tc>
          <w:tcPr>
            <w:tcW w:w="4773" w:type="dxa"/>
          </w:tcPr>
          <w:p w14:paraId="55B2B0A3">
            <w:pPr>
              <w:spacing w:line="360" w:lineRule="atLeast"/>
              <w:jc w:val="center"/>
              <w:rPr>
                <w:sz w:val="24"/>
              </w:rPr>
            </w:pPr>
          </w:p>
          <w:p w14:paraId="55B2B0A4">
            <w:pPr>
              <w:spacing w:line="360" w:lineRule="atLeast"/>
              <w:jc w:val="center"/>
              <w:rPr>
                <w:sz w:val="24"/>
              </w:rPr>
            </w:pPr>
            <w:r>
              <w:rPr>
                <w:sz w:val="24"/>
              </w:rPr>
              <w:t xml:space="preserve">甲     方 </w:t>
            </w:r>
          </w:p>
          <w:p w14:paraId="55B2B0A5">
            <w:pPr>
              <w:spacing w:line="360" w:lineRule="atLeast"/>
              <w:ind w:left="1680" w:hanging="1680" w:hangingChars="700"/>
              <w:rPr>
                <w:sz w:val="24"/>
              </w:rPr>
            </w:pPr>
          </w:p>
          <w:p w14:paraId="55B2B0A6">
            <w:pPr>
              <w:pStyle w:val="12"/>
              <w:spacing w:after="156" w:afterLines="50" w:line="360" w:lineRule="exact"/>
              <w:ind w:left="1200" w:hanging="1200" w:hangingChars="500"/>
              <w:rPr>
                <w:rFonts w:ascii="Times New Roman" w:hAnsi="Times New Roman"/>
                <w:sz w:val="24"/>
                <w:szCs w:val="24"/>
              </w:rPr>
            </w:pPr>
            <w:r>
              <w:rPr>
                <w:rFonts w:hint="eastAsia" w:ascii="Times New Roman" w:hAnsi="Times New Roman"/>
                <w:sz w:val="24"/>
                <w:szCs w:val="24"/>
              </w:rPr>
              <w:t>名称（章）：云南中慧能源有限公司</w:t>
            </w:r>
          </w:p>
          <w:p w14:paraId="55B2B0A7">
            <w:pPr>
              <w:spacing w:line="360" w:lineRule="auto"/>
              <w:rPr>
                <w:sz w:val="24"/>
              </w:rPr>
            </w:pPr>
            <w:r>
              <w:rPr>
                <w:sz w:val="24"/>
              </w:rPr>
              <w:t xml:space="preserve">法定代表人（或负责人）： </w:t>
            </w:r>
          </w:p>
          <w:p w14:paraId="55B2B0A8">
            <w:pPr>
              <w:spacing w:line="360" w:lineRule="auto"/>
              <w:rPr>
                <w:sz w:val="24"/>
              </w:rPr>
            </w:pPr>
          </w:p>
          <w:p w14:paraId="55B2B0A9">
            <w:pPr>
              <w:spacing w:line="360" w:lineRule="auto"/>
              <w:rPr>
                <w:sz w:val="24"/>
              </w:rPr>
            </w:pPr>
            <w:r>
              <w:rPr>
                <w:sz w:val="24"/>
              </w:rPr>
              <w:t>委托代理人：</w:t>
            </w:r>
          </w:p>
        </w:tc>
        <w:tc>
          <w:tcPr>
            <w:tcW w:w="4500" w:type="dxa"/>
          </w:tcPr>
          <w:p w14:paraId="55B2B0AA">
            <w:pPr>
              <w:spacing w:line="360" w:lineRule="atLeast"/>
              <w:jc w:val="center"/>
              <w:rPr>
                <w:sz w:val="24"/>
              </w:rPr>
            </w:pPr>
          </w:p>
          <w:p w14:paraId="55B2B0AB">
            <w:pPr>
              <w:spacing w:line="360" w:lineRule="atLeast"/>
              <w:jc w:val="center"/>
              <w:rPr>
                <w:sz w:val="24"/>
              </w:rPr>
            </w:pPr>
            <w:r>
              <w:rPr>
                <w:sz w:val="24"/>
              </w:rPr>
              <w:t>乙     方</w:t>
            </w:r>
          </w:p>
          <w:p w14:paraId="55B2B0AC">
            <w:pPr>
              <w:spacing w:line="360" w:lineRule="atLeast"/>
              <w:ind w:left="1680" w:hanging="1680" w:hangingChars="700"/>
              <w:rPr>
                <w:sz w:val="24"/>
              </w:rPr>
            </w:pPr>
          </w:p>
          <w:p w14:paraId="55B2B0AD">
            <w:pPr>
              <w:pStyle w:val="12"/>
              <w:spacing w:after="156" w:afterLines="50" w:line="360" w:lineRule="exact"/>
              <w:ind w:left="1200" w:hanging="1200" w:hangingChars="500"/>
              <w:rPr>
                <w:rFonts w:ascii="Times New Roman" w:hAnsi="Times New Roman"/>
                <w:sz w:val="24"/>
                <w:szCs w:val="24"/>
              </w:rPr>
            </w:pPr>
            <w:r>
              <w:rPr>
                <w:rFonts w:hint="eastAsia" w:ascii="Times New Roman" w:hAnsi="Times New Roman"/>
                <w:sz w:val="24"/>
                <w:szCs w:val="24"/>
              </w:rPr>
              <w:t xml:space="preserve">名称（章）： </w:t>
            </w:r>
          </w:p>
          <w:p w14:paraId="55B2B0AE">
            <w:pPr>
              <w:pStyle w:val="12"/>
              <w:spacing w:after="156" w:afterLines="50" w:line="360" w:lineRule="exact"/>
              <w:ind w:left="1200" w:hanging="1200" w:hangingChars="500"/>
              <w:rPr>
                <w:rFonts w:ascii="Times New Roman" w:hAnsi="Times New Roman"/>
                <w:sz w:val="24"/>
                <w:szCs w:val="24"/>
              </w:rPr>
            </w:pPr>
            <w:r>
              <w:rPr>
                <w:rFonts w:hint="eastAsia" w:ascii="Times New Roman" w:hAnsi="Times New Roman"/>
                <w:sz w:val="24"/>
                <w:szCs w:val="24"/>
              </w:rPr>
              <w:t>法定代表人（或负责人）：</w:t>
            </w:r>
          </w:p>
          <w:p w14:paraId="55B2B0AF">
            <w:pPr>
              <w:pStyle w:val="12"/>
              <w:spacing w:after="156" w:afterLines="50" w:line="360" w:lineRule="exact"/>
              <w:ind w:left="1200" w:hanging="1200" w:hangingChars="500"/>
              <w:rPr>
                <w:rFonts w:ascii="Times New Roman" w:hAnsi="Times New Roman"/>
                <w:sz w:val="24"/>
                <w:szCs w:val="24"/>
              </w:rPr>
            </w:pPr>
          </w:p>
          <w:p w14:paraId="55B2B0B0">
            <w:pPr>
              <w:pStyle w:val="12"/>
              <w:spacing w:after="156" w:afterLines="50" w:line="360" w:lineRule="exact"/>
              <w:ind w:left="1200" w:hanging="1200" w:hangingChars="500"/>
              <w:rPr>
                <w:rFonts w:ascii="Times New Roman" w:hAnsi="Times New Roman"/>
                <w:sz w:val="24"/>
                <w:szCs w:val="24"/>
              </w:rPr>
            </w:pPr>
            <w:r>
              <w:rPr>
                <w:rFonts w:hint="eastAsia" w:ascii="Times New Roman" w:hAnsi="Times New Roman"/>
                <w:sz w:val="24"/>
                <w:szCs w:val="24"/>
              </w:rPr>
              <w:t>委托代理人：</w:t>
            </w:r>
          </w:p>
        </w:tc>
      </w:tr>
      <w:bookmarkEnd w:id="372"/>
      <w:bookmarkEnd w:id="373"/>
      <w:bookmarkEnd w:id="374"/>
    </w:tbl>
    <w:p w14:paraId="55B2B0B2">
      <w:pPr>
        <w:pStyle w:val="9"/>
        <w:sectPr>
          <w:pgSz w:w="11906" w:h="16838"/>
          <w:pgMar w:top="936" w:right="1134" w:bottom="1089" w:left="1134" w:header="510" w:footer="680" w:gutter="0"/>
          <w:cols w:space="720" w:num="1"/>
          <w:titlePg/>
          <w:docGrid w:type="linesAndChars" w:linePitch="312" w:charSpace="0"/>
        </w:sectPr>
      </w:pPr>
    </w:p>
    <w:p w14:paraId="55B2B0B3">
      <w:pPr>
        <w:spacing w:line="440" w:lineRule="exact"/>
        <w:jc w:val="center"/>
        <w:outlineLvl w:val="0"/>
        <w:rPr>
          <w:b/>
          <w:bCs/>
          <w:kern w:val="0"/>
          <w:sz w:val="32"/>
          <w:szCs w:val="20"/>
        </w:rPr>
      </w:pPr>
      <w:bookmarkStart w:id="375" w:name="_Toc19945"/>
      <w:r>
        <w:rPr>
          <w:b/>
          <w:bCs/>
          <w:kern w:val="0"/>
          <w:sz w:val="32"/>
          <w:szCs w:val="20"/>
        </w:rPr>
        <w:t xml:space="preserve">第五章  </w:t>
      </w:r>
      <w:bookmarkEnd w:id="172"/>
      <w:bookmarkEnd w:id="173"/>
      <w:bookmarkEnd w:id="174"/>
      <w:bookmarkEnd w:id="175"/>
      <w:bookmarkStart w:id="376" w:name="_Toc86124092"/>
      <w:r>
        <w:rPr>
          <w:b/>
          <w:bCs/>
          <w:kern w:val="0"/>
          <w:sz w:val="32"/>
          <w:szCs w:val="20"/>
        </w:rPr>
        <w:t>供货及技术要求</w:t>
      </w:r>
      <w:bookmarkEnd w:id="375"/>
      <w:bookmarkStart w:id="377" w:name="_Toc45818059"/>
      <w:bookmarkStart w:id="378" w:name="_Toc217446057"/>
      <w:bookmarkStart w:id="379" w:name="_Toc183682369"/>
      <w:bookmarkStart w:id="380" w:name="_Toc27527_WPSOffice_Level1"/>
      <w:bookmarkStart w:id="381" w:name="_Toc183582232"/>
      <w:bookmarkStart w:id="382" w:name="_Toc26076"/>
    </w:p>
    <w:p w14:paraId="55B2B0B4">
      <w:pPr>
        <w:snapToGrid w:val="0"/>
        <w:spacing w:line="360" w:lineRule="auto"/>
        <w:ind w:firstLine="480" w:firstLineChars="200"/>
        <w:rPr>
          <w:sz w:val="24"/>
        </w:rPr>
      </w:pPr>
      <w:r>
        <w:rPr>
          <w:sz w:val="24"/>
        </w:rPr>
        <w:t>详见技术规格书。</w:t>
      </w:r>
    </w:p>
    <w:p w14:paraId="55B2B0B5">
      <w:pPr>
        <w:widowControl/>
        <w:spacing w:line="360" w:lineRule="auto"/>
        <w:ind w:left="105" w:firstLine="420" w:firstLineChars="200"/>
        <w:rPr>
          <w:szCs w:val="21"/>
        </w:rPr>
      </w:pPr>
      <w:r>
        <w:rPr>
          <w:szCs w:val="21"/>
        </w:rPr>
        <w:t>本技术文件是为了满足本</w:t>
      </w:r>
      <w:r>
        <w:rPr>
          <w:rFonts w:hint="eastAsia"/>
          <w:szCs w:val="21"/>
        </w:rPr>
        <w:t>项目采购</w:t>
      </w:r>
      <w:r>
        <w:rPr>
          <w:szCs w:val="21"/>
        </w:rPr>
        <w:t>设备所特定的，其设备名称、规格、数量、交货期、交货地点、技术性能指标、检验考核要求、技术服务和质保期服务要求等技术项目应完全满足技术规格书及本技术文件要求，同时必须遵守国家相关法规，符合国家安全，环保，消防，职业卫生等法规要求。</w:t>
      </w:r>
    </w:p>
    <w:p w14:paraId="55B2B0B6">
      <w:pPr>
        <w:spacing w:line="360" w:lineRule="auto"/>
        <w:ind w:left="420" w:leftChars="200"/>
        <w:rPr>
          <w:b/>
          <w:bCs/>
          <w:szCs w:val="21"/>
        </w:rPr>
      </w:pPr>
      <w:r>
        <w:rPr>
          <w:b/>
          <w:bCs/>
          <w:szCs w:val="21"/>
        </w:rPr>
        <w:t>一、项目概况及总体要求</w:t>
      </w:r>
    </w:p>
    <w:p w14:paraId="55B2B0B7">
      <w:pPr>
        <w:tabs>
          <w:tab w:val="left" w:pos="312"/>
        </w:tabs>
        <w:ind w:firstLine="420" w:firstLineChars="200"/>
        <w:rPr>
          <w:bCs/>
          <w:szCs w:val="21"/>
        </w:rPr>
      </w:pPr>
      <w:r>
        <w:rPr>
          <w:bCs/>
          <w:szCs w:val="21"/>
          <w:lang w:bidi="zh-CN"/>
        </w:rPr>
        <w:t>项目名称：</w:t>
      </w:r>
      <w:r>
        <w:rPr>
          <w:rFonts w:hint="eastAsia"/>
          <w:bCs/>
          <w:szCs w:val="21"/>
          <w:lang w:bidi="zh-CN"/>
        </w:rPr>
        <w:t>红河文山输气管道流量计</w:t>
      </w:r>
      <w:r>
        <w:rPr>
          <w:bCs/>
          <w:szCs w:val="21"/>
          <w:lang w:bidi="zh-CN"/>
        </w:rPr>
        <w:t>采购</w:t>
      </w:r>
    </w:p>
    <w:p w14:paraId="55B2B0B8">
      <w:pPr>
        <w:numPr>
          <w:ilvl w:val="0"/>
          <w:numId w:val="7"/>
        </w:numPr>
        <w:spacing w:line="360" w:lineRule="auto"/>
        <w:ind w:firstLine="420" w:firstLineChars="200"/>
        <w:rPr>
          <w:szCs w:val="21"/>
        </w:rPr>
      </w:pPr>
      <w:r>
        <w:rPr>
          <w:szCs w:val="21"/>
        </w:rPr>
        <w:t>项目地点：</w:t>
      </w:r>
      <w:r>
        <w:rPr>
          <w:kern w:val="0"/>
          <w:szCs w:val="21"/>
        </w:rPr>
        <w:t>云南省文山州马塘工业园区</w:t>
      </w:r>
      <w:r>
        <w:rPr>
          <w:rFonts w:hint="eastAsia"/>
          <w:szCs w:val="21"/>
        </w:rPr>
        <w:t>、云南省红河州蒙自市雨过铺街道蚂蟥塘村</w:t>
      </w:r>
    </w:p>
    <w:p w14:paraId="55B2B0B9">
      <w:pPr>
        <w:numPr>
          <w:ilvl w:val="0"/>
          <w:numId w:val="7"/>
        </w:numPr>
        <w:spacing w:line="360" w:lineRule="auto"/>
        <w:ind w:firstLine="420" w:firstLineChars="200"/>
        <w:rPr>
          <w:bCs/>
          <w:szCs w:val="21"/>
        </w:rPr>
      </w:pPr>
      <w:r>
        <w:rPr>
          <w:szCs w:val="21"/>
        </w:rPr>
        <w:t>交货地点：云南省文山州马塘工业园区、云南省红河州蒙自市雨过铺街道蚂蟥塘村施工指定现场</w:t>
      </w:r>
    </w:p>
    <w:p w14:paraId="55B2B0BA">
      <w:pPr>
        <w:widowControl/>
        <w:numPr>
          <w:ilvl w:val="0"/>
          <w:numId w:val="7"/>
        </w:numPr>
        <w:spacing w:line="360" w:lineRule="auto"/>
        <w:ind w:firstLine="420" w:firstLineChars="200"/>
        <w:jc w:val="left"/>
        <w:rPr>
          <w:szCs w:val="21"/>
        </w:rPr>
      </w:pPr>
      <w:r>
        <w:rPr>
          <w:bCs/>
          <w:szCs w:val="21"/>
        </w:rPr>
        <w:t>交货周期：</w:t>
      </w:r>
    </w:p>
    <w:p w14:paraId="55B2B0BB">
      <w:pPr>
        <w:widowControl/>
        <w:ind w:firstLine="420" w:firstLineChars="200"/>
        <w:jc w:val="left"/>
        <w:rPr>
          <w:szCs w:val="21"/>
        </w:rPr>
      </w:pPr>
      <w:r>
        <w:rPr>
          <w:szCs w:val="21"/>
        </w:rPr>
        <w:t>（1）</w:t>
      </w:r>
      <w:r>
        <w:rPr>
          <w:kern w:val="0"/>
          <w:szCs w:val="21"/>
        </w:rPr>
        <w:t>成交通知书下发之日起10</w:t>
      </w:r>
      <w:r>
        <w:rPr>
          <w:rFonts w:hint="eastAsia"/>
          <w:kern w:val="0"/>
          <w:szCs w:val="21"/>
        </w:rPr>
        <w:t>日内向采购人提供详细的</w:t>
      </w:r>
      <w:r>
        <w:rPr>
          <w:kern w:val="0"/>
          <w:szCs w:val="21"/>
        </w:rPr>
        <w:t>制造所需资料、工期计划，及最终的施工图（包括设备制造图及基础安装图）等资料。以上资料均为4份纸质版，2份U盘存储电子版，其中1份不可编辑电子版，1份可编辑电子版。</w:t>
      </w:r>
    </w:p>
    <w:p w14:paraId="55B2B0BC">
      <w:pPr>
        <w:widowControl/>
        <w:spacing w:line="360" w:lineRule="auto"/>
        <w:ind w:firstLine="420" w:firstLineChars="200"/>
        <w:jc w:val="left"/>
        <w:rPr>
          <w:szCs w:val="21"/>
        </w:rPr>
      </w:pPr>
      <w:r>
        <w:rPr>
          <w:szCs w:val="21"/>
        </w:rPr>
        <w:t>（2）合同签订之日起</w:t>
      </w:r>
      <w:r>
        <w:rPr>
          <w:rFonts w:hint="eastAsia"/>
          <w:szCs w:val="21"/>
          <w:u w:val="single"/>
        </w:rPr>
        <w:t>35</w:t>
      </w:r>
      <w:r>
        <w:rPr>
          <w:szCs w:val="21"/>
        </w:rPr>
        <w:t>日内设备具备交货条件，根据采购人工程进度要求及发货通知要求按时完成交货。</w:t>
      </w:r>
    </w:p>
    <w:p w14:paraId="55B2B0BD">
      <w:pPr>
        <w:widowControl/>
        <w:ind w:firstLine="420" w:firstLineChars="200"/>
        <w:rPr>
          <w:szCs w:val="21"/>
        </w:rPr>
      </w:pPr>
      <w:r>
        <w:rPr>
          <w:szCs w:val="21"/>
        </w:rPr>
        <w:t>本次</w:t>
      </w:r>
      <w:r>
        <w:rPr>
          <w:rFonts w:hint="eastAsia"/>
          <w:szCs w:val="21"/>
        </w:rPr>
        <w:t>采购</w:t>
      </w:r>
      <w:r>
        <w:rPr>
          <w:szCs w:val="21"/>
        </w:rPr>
        <w:t>设备清单具体明细如下：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456"/>
        <w:gridCol w:w="3311"/>
        <w:gridCol w:w="650"/>
        <w:gridCol w:w="717"/>
        <w:gridCol w:w="770"/>
        <w:gridCol w:w="2373"/>
      </w:tblGrid>
      <w:tr w14:paraId="55B2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1" w:type="dxa"/>
            <w:gridSpan w:val="7"/>
            <w:vAlign w:val="center"/>
          </w:tcPr>
          <w:p w14:paraId="55B2B0BE">
            <w:pPr>
              <w:jc w:val="center"/>
              <w:rPr>
                <w:sz w:val="22"/>
                <w:szCs w:val="22"/>
              </w:rPr>
            </w:pPr>
            <w:r>
              <w:rPr>
                <w:sz w:val="22"/>
                <w:szCs w:val="22"/>
              </w:rPr>
              <w:t>采购清单</w:t>
            </w:r>
          </w:p>
        </w:tc>
      </w:tr>
      <w:tr w14:paraId="55B2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dxa"/>
            <w:vAlign w:val="center"/>
          </w:tcPr>
          <w:p w14:paraId="55B2B0C0">
            <w:pPr>
              <w:spacing w:line="360" w:lineRule="auto"/>
              <w:jc w:val="center"/>
              <w:rPr>
                <w:szCs w:val="21"/>
              </w:rPr>
            </w:pPr>
            <w:r>
              <w:rPr>
                <w:szCs w:val="21"/>
              </w:rPr>
              <w:t>序号</w:t>
            </w:r>
          </w:p>
        </w:tc>
        <w:tc>
          <w:tcPr>
            <w:tcW w:w="1456" w:type="dxa"/>
            <w:vAlign w:val="center"/>
          </w:tcPr>
          <w:p w14:paraId="55B2B0C1">
            <w:pPr>
              <w:jc w:val="center"/>
              <w:rPr>
                <w:sz w:val="22"/>
                <w:szCs w:val="22"/>
              </w:rPr>
            </w:pPr>
            <w:r>
              <w:rPr>
                <w:sz w:val="22"/>
                <w:szCs w:val="22"/>
              </w:rPr>
              <w:t>设备名称</w:t>
            </w:r>
          </w:p>
        </w:tc>
        <w:tc>
          <w:tcPr>
            <w:tcW w:w="3311" w:type="dxa"/>
            <w:vAlign w:val="center"/>
          </w:tcPr>
          <w:p w14:paraId="55B2B0C2">
            <w:pPr>
              <w:jc w:val="center"/>
              <w:rPr>
                <w:sz w:val="22"/>
                <w:szCs w:val="22"/>
              </w:rPr>
            </w:pPr>
            <w:r>
              <w:rPr>
                <w:sz w:val="22"/>
                <w:szCs w:val="22"/>
              </w:rPr>
              <w:t>规格型号</w:t>
            </w:r>
          </w:p>
        </w:tc>
        <w:tc>
          <w:tcPr>
            <w:tcW w:w="650" w:type="dxa"/>
            <w:vAlign w:val="center"/>
          </w:tcPr>
          <w:p w14:paraId="55B2B0C3">
            <w:pPr>
              <w:jc w:val="center"/>
              <w:rPr>
                <w:sz w:val="22"/>
                <w:szCs w:val="22"/>
              </w:rPr>
            </w:pPr>
            <w:r>
              <w:rPr>
                <w:sz w:val="22"/>
                <w:szCs w:val="22"/>
              </w:rPr>
              <w:t>单位</w:t>
            </w:r>
          </w:p>
        </w:tc>
        <w:tc>
          <w:tcPr>
            <w:tcW w:w="717" w:type="dxa"/>
            <w:vAlign w:val="center"/>
          </w:tcPr>
          <w:p w14:paraId="55B2B0C4">
            <w:pPr>
              <w:jc w:val="center"/>
              <w:rPr>
                <w:sz w:val="22"/>
                <w:szCs w:val="22"/>
              </w:rPr>
            </w:pPr>
            <w:r>
              <w:rPr>
                <w:sz w:val="22"/>
                <w:szCs w:val="22"/>
              </w:rPr>
              <w:t>数量</w:t>
            </w:r>
          </w:p>
        </w:tc>
        <w:tc>
          <w:tcPr>
            <w:tcW w:w="770" w:type="dxa"/>
            <w:vAlign w:val="center"/>
          </w:tcPr>
          <w:p w14:paraId="55B2B0C5">
            <w:pPr>
              <w:jc w:val="center"/>
              <w:rPr>
                <w:sz w:val="22"/>
                <w:szCs w:val="22"/>
              </w:rPr>
            </w:pPr>
            <w:r>
              <w:rPr>
                <w:sz w:val="22"/>
                <w:szCs w:val="22"/>
              </w:rPr>
              <w:t>安装地点</w:t>
            </w:r>
          </w:p>
        </w:tc>
        <w:tc>
          <w:tcPr>
            <w:tcW w:w="2373" w:type="dxa"/>
            <w:vAlign w:val="center"/>
          </w:tcPr>
          <w:p w14:paraId="55B2B0C6">
            <w:pPr>
              <w:jc w:val="center"/>
              <w:rPr>
                <w:sz w:val="22"/>
                <w:szCs w:val="22"/>
              </w:rPr>
            </w:pPr>
            <w:r>
              <w:rPr>
                <w:sz w:val="22"/>
                <w:szCs w:val="22"/>
              </w:rPr>
              <w:t>备注</w:t>
            </w:r>
          </w:p>
        </w:tc>
      </w:tr>
      <w:tr w14:paraId="55B2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4" w:type="dxa"/>
            <w:vAlign w:val="center"/>
          </w:tcPr>
          <w:p w14:paraId="55B2B0C8">
            <w:pPr>
              <w:jc w:val="center"/>
              <w:rPr>
                <w:sz w:val="24"/>
              </w:rPr>
            </w:pPr>
            <w:r>
              <w:t>1</w:t>
            </w:r>
          </w:p>
        </w:tc>
        <w:tc>
          <w:tcPr>
            <w:tcW w:w="1456" w:type="dxa"/>
            <w:vAlign w:val="center"/>
          </w:tcPr>
          <w:p w14:paraId="55B2B0C9">
            <w:pPr>
              <w:jc w:val="center"/>
              <w:rPr>
                <w:sz w:val="22"/>
                <w:szCs w:val="22"/>
              </w:rPr>
            </w:pPr>
            <w:r>
              <w:rPr>
                <w:sz w:val="22"/>
                <w:szCs w:val="22"/>
              </w:rPr>
              <w:t>超声波流量计（含前后直管段）</w:t>
            </w:r>
          </w:p>
        </w:tc>
        <w:tc>
          <w:tcPr>
            <w:tcW w:w="3311" w:type="dxa"/>
            <w:vAlign w:val="center"/>
          </w:tcPr>
          <w:p w14:paraId="55B2B0CA">
            <w:pPr>
              <w:numPr>
                <w:ilvl w:val="255"/>
                <w:numId w:val="0"/>
              </w:numPr>
              <w:jc w:val="left"/>
              <w:rPr>
                <w:lang w:bidi="ar"/>
              </w:rPr>
            </w:pPr>
            <w:r>
              <w:rPr>
                <w:lang w:bidi="ar"/>
              </w:rPr>
              <w:t>管径DN150、法兰厚度CLASS600、精度等级</w:t>
            </w:r>
            <w:r>
              <w:rPr>
                <w:rFonts w:hint="eastAsia"/>
                <w:lang w:bidi="ar"/>
              </w:rPr>
              <w:t>0.5</w:t>
            </w:r>
            <w:r>
              <w:rPr>
                <w:lang w:bidi="ar"/>
              </w:rPr>
              <w:t>级、压力等级10.0MPa、量程范围不低于20</w:t>
            </w:r>
            <w:r>
              <w:rPr>
                <w:rFonts w:hint="eastAsia"/>
                <w:lang w:eastAsia="zh-CN" w:bidi="ar"/>
              </w:rPr>
              <w:t>—</w:t>
            </w:r>
            <w:r>
              <w:rPr>
                <w:lang w:bidi="ar"/>
              </w:rPr>
              <w:t>2500m³/h（工况）；配套前后直管段（含流动调整器）</w:t>
            </w:r>
          </w:p>
        </w:tc>
        <w:tc>
          <w:tcPr>
            <w:tcW w:w="650" w:type="dxa"/>
            <w:vAlign w:val="center"/>
          </w:tcPr>
          <w:p w14:paraId="55B2B0CB">
            <w:pPr>
              <w:jc w:val="center"/>
              <w:rPr>
                <w:sz w:val="22"/>
                <w:szCs w:val="22"/>
              </w:rPr>
            </w:pPr>
            <w:r>
              <w:rPr>
                <w:sz w:val="22"/>
                <w:szCs w:val="22"/>
              </w:rPr>
              <w:t>套</w:t>
            </w:r>
          </w:p>
        </w:tc>
        <w:tc>
          <w:tcPr>
            <w:tcW w:w="717" w:type="dxa"/>
            <w:vAlign w:val="center"/>
          </w:tcPr>
          <w:p w14:paraId="55B2B0CC">
            <w:pPr>
              <w:jc w:val="center"/>
              <w:rPr>
                <w:rFonts w:hint="eastAsia" w:eastAsia="宋体"/>
                <w:sz w:val="22"/>
                <w:szCs w:val="22"/>
                <w:lang w:eastAsia="zh-CN"/>
              </w:rPr>
            </w:pPr>
            <w:r>
              <w:rPr>
                <w:rFonts w:hint="eastAsia"/>
                <w:sz w:val="22"/>
                <w:szCs w:val="22"/>
                <w:lang w:val="en-US" w:eastAsia="zh-CN"/>
              </w:rPr>
              <w:t>2</w:t>
            </w:r>
          </w:p>
        </w:tc>
        <w:tc>
          <w:tcPr>
            <w:tcW w:w="770" w:type="dxa"/>
            <w:vAlign w:val="center"/>
          </w:tcPr>
          <w:p w14:paraId="55B2B0CD">
            <w:pPr>
              <w:jc w:val="center"/>
              <w:rPr>
                <w:rFonts w:hint="default" w:eastAsia="宋体"/>
                <w:sz w:val="22"/>
                <w:szCs w:val="22"/>
                <w:lang w:val="en-US" w:eastAsia="zh-CN"/>
              </w:rPr>
            </w:pPr>
            <w:r>
              <w:rPr>
                <w:sz w:val="22"/>
                <w:szCs w:val="22"/>
              </w:rPr>
              <w:t>蒙自末站</w:t>
            </w:r>
            <w:r>
              <w:rPr>
                <w:rFonts w:hint="eastAsia"/>
                <w:sz w:val="22"/>
                <w:szCs w:val="22"/>
                <w:lang w:val="en-US" w:eastAsia="zh-CN"/>
              </w:rPr>
              <w:t>及文山末站</w:t>
            </w:r>
          </w:p>
        </w:tc>
        <w:tc>
          <w:tcPr>
            <w:tcW w:w="2373" w:type="dxa"/>
            <w:vAlign w:val="center"/>
          </w:tcPr>
          <w:p w14:paraId="55B2B0CE">
            <w:pPr>
              <w:jc w:val="center"/>
              <w:rPr>
                <w:sz w:val="22"/>
                <w:szCs w:val="22"/>
              </w:rPr>
            </w:pPr>
            <w:r>
              <w:rPr>
                <w:sz w:val="22"/>
                <w:szCs w:val="22"/>
              </w:rPr>
              <w:t>供货商应提供超声流量计、补偿仪表、流动调整器、前后直管段、仪表管阀件、配对法兰、紧固件、密封件、配套诊断软件等</w:t>
            </w:r>
          </w:p>
          <w:p w14:paraId="55B2B0CF">
            <w:pPr>
              <w:jc w:val="center"/>
              <w:rPr>
                <w:sz w:val="22"/>
                <w:szCs w:val="22"/>
              </w:rPr>
            </w:pPr>
            <w:r>
              <w:rPr>
                <w:sz w:val="22"/>
                <w:szCs w:val="22"/>
              </w:rPr>
              <w:t>。</w:t>
            </w:r>
          </w:p>
        </w:tc>
      </w:tr>
      <w:tr w14:paraId="55B2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1" w:type="dxa"/>
            <w:gridSpan w:val="7"/>
            <w:vAlign w:val="center"/>
          </w:tcPr>
          <w:p w14:paraId="55B2B0DF">
            <w:pPr>
              <w:jc w:val="left"/>
              <w:rPr>
                <w:sz w:val="22"/>
                <w:szCs w:val="22"/>
              </w:rPr>
            </w:pPr>
            <w:r>
              <w:rPr>
                <w:sz w:val="22"/>
                <w:szCs w:val="22"/>
              </w:rPr>
              <w:t>注：1、蒙自末站及文山末站各更换1台超声波流量计。</w:t>
            </w:r>
          </w:p>
        </w:tc>
      </w:tr>
    </w:tbl>
    <w:p w14:paraId="55B2B0E1">
      <w:pPr>
        <w:widowControl/>
        <w:spacing w:line="360" w:lineRule="auto"/>
        <w:ind w:firstLine="420" w:firstLineChars="200"/>
        <w:jc w:val="left"/>
        <w:rPr>
          <w:szCs w:val="21"/>
          <w:highlight w:val="yellow"/>
        </w:rPr>
      </w:pPr>
      <w:r>
        <w:rPr>
          <w:szCs w:val="21"/>
        </w:rPr>
        <w:t>注：（1）本项目所有设备必须是全新的设备，所选用的零、部件应采用全新优质材料制造，数量以技术规格书或数据单为准。</w:t>
      </w:r>
      <w:r>
        <w:t>流量计和流量计算机性能相当于或不低于</w:t>
      </w:r>
      <w:r>
        <w:rPr>
          <w:b/>
          <w:bCs/>
        </w:rPr>
        <w:t>丹尼尔</w:t>
      </w:r>
      <w:r>
        <w:rPr>
          <w:rFonts w:hint="eastAsia"/>
          <w:b/>
          <w:bCs/>
          <w:lang w:eastAsia="zh-CN"/>
        </w:rPr>
        <w:t>（</w:t>
      </w:r>
      <w:r>
        <w:rPr>
          <w:b/>
          <w:bCs/>
        </w:rPr>
        <w:t>Daniel</w:t>
      </w:r>
      <w:r>
        <w:rPr>
          <w:rFonts w:hint="eastAsia"/>
          <w:b/>
          <w:bCs/>
          <w:lang w:eastAsia="zh-CN"/>
        </w:rPr>
        <w:t>）</w:t>
      </w:r>
      <w:r>
        <w:rPr>
          <w:b/>
          <w:bCs/>
        </w:rPr>
        <w:t>、</w:t>
      </w:r>
      <w:r>
        <w:rPr>
          <w:rFonts w:hint="eastAsia"/>
          <w:b/>
          <w:bCs/>
        </w:rPr>
        <w:t>西克（SICK）、</w:t>
      </w:r>
      <w:r>
        <w:rPr>
          <w:b/>
          <w:bCs/>
        </w:rPr>
        <w:t>RMG</w:t>
      </w:r>
      <w:r>
        <w:t>等</w:t>
      </w:r>
      <w:r>
        <w:rPr>
          <w:rFonts w:hint="eastAsia"/>
        </w:rPr>
        <w:t>品牌</w:t>
      </w:r>
      <w:r>
        <w:t>产品性能</w:t>
      </w:r>
      <w:r>
        <w:rPr>
          <w:szCs w:val="21"/>
        </w:rPr>
        <w:t>。</w:t>
      </w:r>
    </w:p>
    <w:p w14:paraId="55B2B0E2">
      <w:pPr>
        <w:widowControl/>
        <w:spacing w:line="360" w:lineRule="auto"/>
        <w:ind w:firstLine="420" w:firstLineChars="200"/>
        <w:jc w:val="left"/>
        <w:rPr>
          <w:szCs w:val="21"/>
        </w:rPr>
      </w:pPr>
      <w:r>
        <w:rPr>
          <w:rFonts w:hint="eastAsia"/>
          <w:szCs w:val="21"/>
        </w:rPr>
        <w:t>（2）</w:t>
      </w:r>
      <w:r>
        <w:rPr>
          <w:szCs w:val="21"/>
        </w:rPr>
        <w:t>采购文件内品牌无优先顺序，供参考，非必须使用品牌；谈判申请人应根据自身技术及成本要求选择合适品牌，可以选择参考品牌，也可以选择技术上相当于或不低于参考品牌以外的其他品牌；品牌选择必须满足国家技术法规和采购人技术要求；谈判申请人在响应文件中必须明确所选择品牌且唯一。</w:t>
      </w:r>
    </w:p>
    <w:p w14:paraId="55B2B0E3">
      <w:pPr>
        <w:widowControl/>
        <w:spacing w:line="360" w:lineRule="auto"/>
        <w:ind w:firstLine="420" w:firstLineChars="200"/>
        <w:jc w:val="left"/>
        <w:rPr>
          <w:szCs w:val="21"/>
        </w:rPr>
      </w:pPr>
      <w:r>
        <w:rPr>
          <w:szCs w:val="21"/>
        </w:rPr>
        <w:t>（</w:t>
      </w:r>
      <w:r>
        <w:rPr>
          <w:rFonts w:hint="eastAsia"/>
          <w:szCs w:val="21"/>
        </w:rPr>
        <w:t>3</w:t>
      </w:r>
      <w:r>
        <w:rPr>
          <w:szCs w:val="21"/>
        </w:rPr>
        <w:t>）技术规格书另册提供。</w:t>
      </w:r>
    </w:p>
    <w:p w14:paraId="55B2B0E4">
      <w:pPr>
        <w:widowControl/>
        <w:spacing w:line="360" w:lineRule="auto"/>
        <w:ind w:left="105" w:firstLine="420" w:firstLineChars="200"/>
        <w:jc w:val="left"/>
        <w:rPr>
          <w:szCs w:val="21"/>
        </w:rPr>
      </w:pPr>
      <w:r>
        <w:rPr>
          <w:szCs w:val="21"/>
        </w:rPr>
        <w:t>二、性能考核</w:t>
      </w:r>
    </w:p>
    <w:p w14:paraId="55B2B0E5">
      <w:pPr>
        <w:widowControl/>
        <w:spacing w:line="360" w:lineRule="auto"/>
        <w:ind w:left="105" w:firstLine="420" w:firstLineChars="200"/>
        <w:jc w:val="left"/>
        <w:rPr>
          <w:szCs w:val="21"/>
        </w:rPr>
      </w:pPr>
      <w:r>
        <w:rPr>
          <w:szCs w:val="21"/>
        </w:rPr>
        <w:t>2.1、验收指标</w:t>
      </w:r>
    </w:p>
    <w:p w14:paraId="55B2B0E6">
      <w:pPr>
        <w:widowControl/>
        <w:spacing w:line="360" w:lineRule="auto"/>
        <w:ind w:left="105" w:firstLine="420" w:firstLineChars="200"/>
        <w:jc w:val="left"/>
        <w:rPr>
          <w:szCs w:val="21"/>
        </w:rPr>
      </w:pPr>
      <w:r>
        <w:rPr>
          <w:szCs w:val="21"/>
        </w:rPr>
        <w:t>按照供应商提供的</w:t>
      </w:r>
      <w:r>
        <w:rPr>
          <w:rFonts w:hint="eastAsia"/>
          <w:szCs w:val="21"/>
        </w:rPr>
        <w:t>响应文件设备</w:t>
      </w:r>
      <w:r>
        <w:rPr>
          <w:szCs w:val="21"/>
        </w:rPr>
        <w:t>参数及技术规格书进行验收。</w:t>
      </w:r>
    </w:p>
    <w:p w14:paraId="55B2B0E7">
      <w:pPr>
        <w:widowControl/>
        <w:spacing w:line="360" w:lineRule="auto"/>
        <w:ind w:left="105" w:firstLine="420" w:firstLineChars="200"/>
        <w:jc w:val="left"/>
        <w:rPr>
          <w:szCs w:val="21"/>
        </w:rPr>
      </w:pPr>
      <w:r>
        <w:rPr>
          <w:szCs w:val="21"/>
        </w:rPr>
        <w:t>2.2、考核方法</w:t>
      </w:r>
    </w:p>
    <w:p w14:paraId="55B2B0E8">
      <w:pPr>
        <w:widowControl/>
        <w:spacing w:line="360" w:lineRule="auto"/>
        <w:ind w:left="105" w:firstLine="420" w:firstLineChars="200"/>
        <w:jc w:val="left"/>
        <w:rPr>
          <w:szCs w:val="21"/>
        </w:rPr>
      </w:pPr>
      <w:r>
        <w:rPr>
          <w:szCs w:val="21"/>
        </w:rPr>
        <w:t>1）验收方法由供应商制定，经采购人确认后实施。性能验收应在试运行合格后3天内进行，验收时间为72小时连续操作时间。</w:t>
      </w:r>
    </w:p>
    <w:p w14:paraId="55B2B0E9">
      <w:pPr>
        <w:widowControl/>
        <w:spacing w:line="360" w:lineRule="auto"/>
        <w:ind w:left="105" w:firstLine="420" w:firstLineChars="200"/>
        <w:jc w:val="left"/>
        <w:rPr>
          <w:szCs w:val="21"/>
        </w:rPr>
      </w:pPr>
      <w:r>
        <w:rPr>
          <w:szCs w:val="21"/>
        </w:rPr>
        <w:t>2）</w:t>
      </w:r>
      <w:r>
        <w:rPr>
          <w:rFonts w:hint="eastAsia"/>
          <w:szCs w:val="21"/>
        </w:rPr>
        <w:t>采购</w:t>
      </w:r>
      <w:r>
        <w:rPr>
          <w:szCs w:val="21"/>
        </w:rPr>
        <w:t>设备安装完毕和单机调试结束后，由采购人通知供应商在一周内到采购人现场开始试运行，设备达到性能指标要求后试运行考核合格，双方签署试运行考核合格单。</w:t>
      </w:r>
    </w:p>
    <w:p w14:paraId="55B2B0EA">
      <w:pPr>
        <w:widowControl/>
        <w:spacing w:line="360" w:lineRule="auto"/>
        <w:ind w:left="105" w:firstLine="420" w:firstLineChars="200"/>
        <w:jc w:val="left"/>
        <w:rPr>
          <w:kern w:val="0"/>
          <w:sz w:val="24"/>
        </w:rPr>
      </w:pPr>
      <w:r>
        <w:rPr>
          <w:szCs w:val="21"/>
        </w:rPr>
        <w:t>3）试运行考核通过后3日内双方共同对本系统进行连续72小时运行考核，设备达到性能指标要求后即考核通过，双方签署验收单。72小时连续运行性能考核通过后双方签署交接验收单，若试运行考核通过后30日内因</w:t>
      </w:r>
      <w:r>
        <w:rPr>
          <w:rFonts w:hint="eastAsia"/>
          <w:szCs w:val="21"/>
        </w:rPr>
        <w:t>采购人</w:t>
      </w:r>
      <w:r>
        <w:rPr>
          <w:szCs w:val="21"/>
        </w:rPr>
        <w:t>原因无法完成72小时连续运行考核，则视试运行考核验收为性能验收合格。</w:t>
      </w:r>
    </w:p>
    <w:bookmarkEnd w:id="377"/>
    <w:bookmarkEnd w:id="378"/>
    <w:bookmarkEnd w:id="379"/>
    <w:bookmarkEnd w:id="380"/>
    <w:bookmarkEnd w:id="381"/>
    <w:bookmarkEnd w:id="382"/>
    <w:p w14:paraId="55B2B0EB">
      <w:pPr>
        <w:pStyle w:val="2"/>
        <w:jc w:val="center"/>
        <w:rPr>
          <w:rFonts w:ascii="Times New Roman"/>
          <w:b w:val="0"/>
          <w:color w:val="auto"/>
          <w:sz w:val="32"/>
          <w:szCs w:val="32"/>
          <w:u w:val="single"/>
        </w:rPr>
      </w:pPr>
      <w:bookmarkStart w:id="383" w:name="_Toc46765063"/>
      <w:bookmarkStart w:id="384" w:name="_Toc430041035"/>
      <w:bookmarkStart w:id="385" w:name="_Toc432194878"/>
      <w:bookmarkStart w:id="386" w:name="_Toc19290"/>
      <w:bookmarkStart w:id="387" w:name="_Toc432106528"/>
      <w:r>
        <w:rPr>
          <w:rFonts w:ascii="Times New Roman" w:eastAsia="宋体"/>
          <w:color w:val="auto"/>
          <w:sz w:val="32"/>
        </w:rPr>
        <w:br w:type="page"/>
      </w:r>
      <w:bookmarkEnd w:id="376"/>
      <w:bookmarkEnd w:id="383"/>
      <w:bookmarkEnd w:id="384"/>
      <w:bookmarkEnd w:id="385"/>
      <w:bookmarkEnd w:id="386"/>
      <w:bookmarkEnd w:id="387"/>
      <w:bookmarkStart w:id="388" w:name="_Toc3282"/>
      <w:bookmarkStart w:id="389" w:name="_Toc15005"/>
      <w:bookmarkStart w:id="390" w:name="_Toc19000"/>
      <w:bookmarkStart w:id="391" w:name="_Toc46765044"/>
      <w:r>
        <w:rPr>
          <w:rFonts w:ascii="Times New Roman" w:eastAsia="宋体"/>
          <w:color w:val="auto"/>
          <w:sz w:val="32"/>
        </w:rPr>
        <w:t>第六章  响应文件格式</w:t>
      </w:r>
      <w:bookmarkEnd w:id="388"/>
      <w:bookmarkEnd w:id="389"/>
      <w:bookmarkEnd w:id="390"/>
      <w:bookmarkEnd w:id="391"/>
    </w:p>
    <w:p w14:paraId="55B2B0EC">
      <w:r>
        <w:br w:type="page"/>
      </w:r>
    </w:p>
    <w:p w14:paraId="55B2B0ED">
      <w:pPr>
        <w:spacing w:line="360" w:lineRule="auto"/>
        <w:jc w:val="center"/>
        <w:rPr>
          <w:sz w:val="24"/>
        </w:rPr>
      </w:pPr>
      <w:r>
        <w:rPr>
          <w:rFonts w:hint="eastAsia"/>
          <w:b/>
          <w:bCs/>
          <w:sz w:val="44"/>
          <w:szCs w:val="44"/>
        </w:rPr>
        <w:t>红河文山输气管道流量计</w:t>
      </w:r>
      <w:r>
        <w:rPr>
          <w:b/>
          <w:bCs/>
          <w:sz w:val="44"/>
          <w:szCs w:val="44"/>
        </w:rPr>
        <w:t>采购</w:t>
      </w:r>
    </w:p>
    <w:p w14:paraId="55B2B0EE">
      <w:pPr>
        <w:spacing w:line="360" w:lineRule="auto"/>
        <w:jc w:val="center"/>
        <w:rPr>
          <w:sz w:val="24"/>
        </w:rPr>
      </w:pPr>
    </w:p>
    <w:p w14:paraId="55B2B0EF">
      <w:pPr>
        <w:spacing w:line="360" w:lineRule="auto"/>
        <w:jc w:val="center"/>
        <w:rPr>
          <w:sz w:val="24"/>
        </w:rPr>
      </w:pPr>
    </w:p>
    <w:p w14:paraId="55B2B0F0">
      <w:pPr>
        <w:spacing w:line="360" w:lineRule="auto"/>
        <w:jc w:val="center"/>
        <w:rPr>
          <w:sz w:val="24"/>
        </w:rPr>
      </w:pPr>
    </w:p>
    <w:p w14:paraId="55B2B0F1">
      <w:pPr>
        <w:spacing w:line="360" w:lineRule="auto"/>
        <w:jc w:val="center"/>
        <w:rPr>
          <w:sz w:val="24"/>
        </w:rPr>
      </w:pPr>
    </w:p>
    <w:p w14:paraId="55B2B0F2">
      <w:pPr>
        <w:spacing w:line="360" w:lineRule="auto"/>
        <w:jc w:val="center"/>
        <w:rPr>
          <w:sz w:val="24"/>
        </w:rPr>
      </w:pPr>
    </w:p>
    <w:p w14:paraId="55B2B0F3">
      <w:pPr>
        <w:pStyle w:val="12"/>
        <w:spacing w:line="360" w:lineRule="auto"/>
        <w:jc w:val="center"/>
        <w:rPr>
          <w:rFonts w:ascii="Times New Roman" w:hAnsi="Times New Roman"/>
          <w:b/>
          <w:sz w:val="84"/>
          <w:szCs w:val="84"/>
        </w:rPr>
      </w:pPr>
      <w:r>
        <w:rPr>
          <w:rFonts w:ascii="Times New Roman" w:hAnsi="Times New Roman"/>
          <w:b/>
          <w:sz w:val="84"/>
          <w:szCs w:val="84"/>
        </w:rPr>
        <w:t>响应文件</w:t>
      </w:r>
    </w:p>
    <w:p w14:paraId="55B2B0F4">
      <w:pPr>
        <w:spacing w:line="360" w:lineRule="auto"/>
        <w:jc w:val="center"/>
        <w:rPr>
          <w:sz w:val="24"/>
        </w:rPr>
      </w:pPr>
    </w:p>
    <w:p w14:paraId="55B2B0F5">
      <w:pPr>
        <w:pStyle w:val="12"/>
        <w:spacing w:line="360" w:lineRule="auto"/>
        <w:ind w:firstLine="3046" w:firstLineChars="1088"/>
        <w:rPr>
          <w:rFonts w:ascii="Times New Roman" w:hAnsi="Times New Roman"/>
          <w:b/>
          <w:sz w:val="28"/>
          <w:szCs w:val="28"/>
        </w:rPr>
      </w:pPr>
    </w:p>
    <w:p w14:paraId="55B2B0F6">
      <w:pPr>
        <w:pStyle w:val="12"/>
        <w:spacing w:line="360" w:lineRule="auto"/>
        <w:ind w:firstLine="3046" w:firstLineChars="1088"/>
        <w:rPr>
          <w:rFonts w:ascii="Times New Roman" w:hAnsi="Times New Roman"/>
          <w:b/>
          <w:sz w:val="28"/>
          <w:szCs w:val="28"/>
          <w:u w:val="single"/>
        </w:rPr>
      </w:pPr>
      <w:r>
        <w:rPr>
          <w:rFonts w:ascii="Times New Roman" w:hAnsi="Times New Roman"/>
          <w:b/>
          <w:sz w:val="28"/>
          <w:szCs w:val="28"/>
        </w:rPr>
        <w:t>项目编号：</w:t>
      </w:r>
      <w:r>
        <w:rPr>
          <w:rFonts w:hint="eastAsia" w:ascii="Times New Roman" w:hAnsi="Times New Roman"/>
          <w:b/>
          <w:sz w:val="28"/>
          <w:szCs w:val="28"/>
        </w:rPr>
        <w:t>D53A00926001350</w:t>
      </w:r>
    </w:p>
    <w:p w14:paraId="55B2B0F7">
      <w:pPr>
        <w:spacing w:line="360" w:lineRule="auto"/>
        <w:jc w:val="center"/>
        <w:rPr>
          <w:sz w:val="24"/>
        </w:rPr>
      </w:pPr>
    </w:p>
    <w:p w14:paraId="55B2B0F8">
      <w:pPr>
        <w:spacing w:line="360" w:lineRule="auto"/>
        <w:jc w:val="center"/>
        <w:rPr>
          <w:sz w:val="24"/>
        </w:rPr>
      </w:pPr>
    </w:p>
    <w:p w14:paraId="55B2B0F9">
      <w:pPr>
        <w:spacing w:line="360" w:lineRule="auto"/>
        <w:rPr>
          <w:sz w:val="24"/>
        </w:rPr>
      </w:pPr>
    </w:p>
    <w:p w14:paraId="55B2B0FA">
      <w:pPr>
        <w:spacing w:line="360" w:lineRule="auto"/>
        <w:jc w:val="center"/>
        <w:rPr>
          <w:sz w:val="24"/>
        </w:rPr>
      </w:pPr>
    </w:p>
    <w:p w14:paraId="55B2B0FB">
      <w:pPr>
        <w:spacing w:line="360" w:lineRule="auto"/>
        <w:ind w:firstLine="1980" w:firstLineChars="825"/>
        <w:rPr>
          <w:sz w:val="24"/>
        </w:rPr>
      </w:pPr>
      <w:r>
        <w:rPr>
          <w:rFonts w:hint="eastAsia"/>
          <w:sz w:val="24"/>
        </w:rPr>
        <w:t>谈判申请人：（盖单位章）</w:t>
      </w:r>
    </w:p>
    <w:p w14:paraId="55B2B0FC">
      <w:pPr>
        <w:spacing w:line="360" w:lineRule="auto"/>
        <w:ind w:firstLine="1980" w:firstLineChars="825"/>
        <w:rPr>
          <w:sz w:val="24"/>
        </w:rPr>
      </w:pPr>
    </w:p>
    <w:p w14:paraId="55B2B0FD">
      <w:pPr>
        <w:spacing w:line="360" w:lineRule="auto"/>
        <w:ind w:firstLine="1980" w:firstLineChars="825"/>
        <w:rPr>
          <w:sz w:val="24"/>
        </w:rPr>
      </w:pPr>
      <w:r>
        <w:rPr>
          <w:rFonts w:hint="eastAsia"/>
          <w:sz w:val="24"/>
        </w:rPr>
        <w:t>法定代表人或其委托代理人：（签字</w:t>
      </w:r>
      <w:r>
        <w:rPr>
          <w:sz w:val="24"/>
        </w:rPr>
        <w:t>或盖章</w:t>
      </w:r>
      <w:r>
        <w:rPr>
          <w:rFonts w:hint="eastAsia"/>
          <w:sz w:val="24"/>
        </w:rPr>
        <w:t>）</w:t>
      </w:r>
    </w:p>
    <w:p w14:paraId="55B2B0FE">
      <w:pPr>
        <w:spacing w:line="360" w:lineRule="auto"/>
        <w:ind w:firstLine="1980" w:firstLineChars="825"/>
        <w:jc w:val="center"/>
        <w:rPr>
          <w:sz w:val="24"/>
        </w:rPr>
      </w:pPr>
    </w:p>
    <w:p w14:paraId="55B2B0FF">
      <w:pPr>
        <w:spacing w:line="360" w:lineRule="auto"/>
        <w:jc w:val="center"/>
        <w:rPr>
          <w:sz w:val="24"/>
        </w:rPr>
      </w:pPr>
      <w:r>
        <w:rPr>
          <w:sz w:val="24"/>
        </w:rPr>
        <w:t xml:space="preserve">日期：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55B2B100">
      <w:pPr>
        <w:spacing w:line="360" w:lineRule="auto"/>
        <w:ind w:firstLine="1980" w:firstLineChars="825"/>
        <w:rPr>
          <w:sz w:val="24"/>
        </w:rPr>
      </w:pPr>
      <w:bookmarkStart w:id="392" w:name="_Toc383175509"/>
      <w:bookmarkStart w:id="393" w:name="_Toc347849247"/>
      <w:bookmarkStart w:id="394" w:name="_Toc415662824"/>
    </w:p>
    <w:p w14:paraId="55B2B101">
      <w:pPr>
        <w:adjustRightInd w:val="0"/>
        <w:snapToGrid w:val="0"/>
        <w:spacing w:line="360" w:lineRule="auto"/>
        <w:jc w:val="center"/>
        <w:outlineLvl w:val="1"/>
        <w:rPr>
          <w:b/>
          <w:bCs/>
          <w:sz w:val="24"/>
        </w:rPr>
      </w:pPr>
      <w:r>
        <w:rPr>
          <w:b/>
          <w:sz w:val="28"/>
          <w:szCs w:val="28"/>
        </w:rPr>
        <w:br w:type="page"/>
      </w:r>
      <w:bookmarkEnd w:id="392"/>
      <w:bookmarkEnd w:id="393"/>
      <w:bookmarkEnd w:id="394"/>
      <w:bookmarkStart w:id="395" w:name="_Toc490599266"/>
      <w:bookmarkStart w:id="396" w:name="_Toc385344473"/>
      <w:bookmarkStart w:id="397" w:name="_Toc535415622"/>
      <w:bookmarkStart w:id="398" w:name="_Toc11810"/>
      <w:r>
        <w:rPr>
          <w:b/>
          <w:bCs/>
          <w:sz w:val="24"/>
        </w:rPr>
        <w:t>响应文件</w:t>
      </w:r>
      <w:r>
        <w:rPr>
          <w:rFonts w:hint="eastAsia"/>
          <w:b/>
          <w:bCs/>
          <w:sz w:val="24"/>
        </w:rPr>
        <w:t>目录</w:t>
      </w:r>
      <w:bookmarkEnd w:id="395"/>
      <w:bookmarkEnd w:id="396"/>
      <w:bookmarkEnd w:id="397"/>
      <w:bookmarkEnd w:id="398"/>
    </w:p>
    <w:p w14:paraId="55B2B102">
      <w:pPr>
        <w:adjustRightInd w:val="0"/>
        <w:snapToGrid w:val="0"/>
        <w:spacing w:line="360" w:lineRule="auto"/>
        <w:ind w:firstLine="480" w:firstLineChars="200"/>
        <w:jc w:val="left"/>
        <w:rPr>
          <w:sz w:val="24"/>
        </w:rPr>
      </w:pPr>
      <w:r>
        <w:rPr>
          <w:sz w:val="24"/>
        </w:rPr>
        <w:t>注：报价响应文件内容须按照以下格式要求进行目录编制，按顺序进行装订，并每页连续标注页码。</w:t>
      </w:r>
    </w:p>
    <w:p w14:paraId="55B2B103">
      <w:pPr>
        <w:pStyle w:val="26"/>
        <w:widowControl/>
        <w:numPr>
          <w:ilvl w:val="0"/>
          <w:numId w:val="8"/>
        </w:numPr>
        <w:snapToGrid w:val="0"/>
        <w:spacing w:line="360" w:lineRule="auto"/>
        <w:ind w:firstLineChars="0"/>
        <w:jc w:val="center"/>
        <w:outlineLvl w:val="1"/>
        <w:rPr>
          <w:rFonts w:ascii="Times New Roman" w:hAnsi="Times New Roman"/>
          <w:b/>
          <w:kern w:val="0"/>
          <w:sz w:val="32"/>
          <w:szCs w:val="32"/>
        </w:rPr>
      </w:pPr>
      <w:bookmarkStart w:id="399" w:name="_Toc490599267"/>
      <w:r>
        <w:rPr>
          <w:rFonts w:ascii="Times New Roman" w:hAnsi="Times New Roman"/>
          <w:b/>
          <w:bCs/>
          <w:sz w:val="24"/>
        </w:rPr>
        <w:br w:type="page"/>
      </w:r>
      <w:r>
        <w:rPr>
          <w:rFonts w:hint="eastAsia" w:ascii="Times New Roman" w:hAnsi="Times New Roman"/>
          <w:b/>
          <w:kern w:val="0"/>
          <w:sz w:val="32"/>
          <w:szCs w:val="32"/>
        </w:rPr>
        <w:t>商务部分</w:t>
      </w:r>
    </w:p>
    <w:p w14:paraId="55B2B104">
      <w:pPr>
        <w:spacing w:line="360" w:lineRule="auto"/>
        <w:jc w:val="left"/>
        <w:outlineLvl w:val="2"/>
        <w:rPr>
          <w:b/>
          <w:kern w:val="0"/>
          <w:sz w:val="24"/>
        </w:rPr>
      </w:pPr>
      <w:r>
        <w:rPr>
          <w:b/>
          <w:kern w:val="0"/>
          <w:sz w:val="24"/>
        </w:rPr>
        <w:t>1.报价一览表（一次）</w:t>
      </w:r>
      <w:r>
        <w:rPr>
          <w:rFonts w:hint="eastAsia"/>
          <w:b/>
          <w:kern w:val="0"/>
          <w:sz w:val="24"/>
        </w:rPr>
        <w:t>及</w:t>
      </w:r>
      <w:r>
        <w:rPr>
          <w:b/>
          <w:kern w:val="0"/>
          <w:sz w:val="24"/>
        </w:rPr>
        <w:t>谈判申请函</w:t>
      </w:r>
    </w:p>
    <w:p w14:paraId="55B2B105">
      <w:pPr>
        <w:widowControl/>
        <w:spacing w:line="360" w:lineRule="auto"/>
        <w:ind w:left="720"/>
        <w:jc w:val="center"/>
        <w:rPr>
          <w:b/>
          <w:sz w:val="24"/>
        </w:rPr>
      </w:pPr>
      <w:r>
        <w:rPr>
          <w:b/>
          <w:bCs/>
          <w:sz w:val="24"/>
        </w:rPr>
        <w:t>报价一览表（一次）</w:t>
      </w:r>
    </w:p>
    <w:p w14:paraId="55B2B106">
      <w:pPr>
        <w:widowControl/>
        <w:wordWrap w:val="0"/>
        <w:spacing w:line="360" w:lineRule="auto"/>
        <w:jc w:val="right"/>
        <w:rPr>
          <w:szCs w:val="21"/>
          <w:u w:val="single"/>
        </w:rPr>
      </w:pPr>
    </w:p>
    <w:p w14:paraId="55B2B107">
      <w:pPr>
        <w:widowControl/>
        <w:spacing w:line="360" w:lineRule="auto"/>
        <w:jc w:val="right"/>
        <w:rPr>
          <w:szCs w:val="21"/>
        </w:rPr>
      </w:pPr>
      <w:r>
        <w:rPr>
          <w:rFonts w:hint="eastAsia"/>
          <w:szCs w:val="21"/>
        </w:rPr>
        <w:t>单位</w:t>
      </w:r>
      <w:r>
        <w:rPr>
          <w:szCs w:val="21"/>
        </w:rPr>
        <w:t>：人民币</w:t>
      </w:r>
      <w:r>
        <w:rPr>
          <w:rFonts w:hint="eastAsia"/>
          <w:szCs w:val="21"/>
        </w:rPr>
        <w:t>元</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409"/>
        <w:gridCol w:w="3044"/>
        <w:gridCol w:w="2722"/>
      </w:tblGrid>
      <w:tr w14:paraId="55B2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tcBorders>
              <w:top w:val="single" w:color="auto" w:sz="4" w:space="0"/>
              <w:left w:val="single" w:color="auto" w:sz="4" w:space="0"/>
              <w:bottom w:val="single" w:color="auto" w:sz="4" w:space="0"/>
              <w:right w:val="single" w:color="auto" w:sz="4" w:space="0"/>
            </w:tcBorders>
            <w:vAlign w:val="center"/>
          </w:tcPr>
          <w:p w14:paraId="55B2B108">
            <w:pPr>
              <w:jc w:val="center"/>
              <w:rPr>
                <w:kern w:val="0"/>
                <w:szCs w:val="21"/>
              </w:rPr>
            </w:pPr>
            <w:r>
              <w:rPr>
                <w:kern w:val="0"/>
                <w:szCs w:val="21"/>
              </w:rPr>
              <w:t>序号</w:t>
            </w:r>
          </w:p>
        </w:tc>
        <w:tc>
          <w:tcPr>
            <w:tcW w:w="2409" w:type="dxa"/>
            <w:tcBorders>
              <w:top w:val="single" w:color="auto" w:sz="4" w:space="0"/>
              <w:left w:val="single" w:color="auto" w:sz="4" w:space="0"/>
              <w:bottom w:val="single" w:color="auto" w:sz="4" w:space="0"/>
              <w:right w:val="single" w:color="auto" w:sz="4" w:space="0"/>
            </w:tcBorders>
            <w:vAlign w:val="center"/>
          </w:tcPr>
          <w:p w14:paraId="55B2B109">
            <w:pPr>
              <w:jc w:val="center"/>
              <w:rPr>
                <w:kern w:val="0"/>
                <w:szCs w:val="21"/>
              </w:rPr>
            </w:pPr>
            <w:r>
              <w:rPr>
                <w:kern w:val="0"/>
                <w:szCs w:val="21"/>
              </w:rPr>
              <w:t>项目</w:t>
            </w:r>
          </w:p>
        </w:tc>
        <w:tc>
          <w:tcPr>
            <w:tcW w:w="5766" w:type="dxa"/>
            <w:gridSpan w:val="2"/>
            <w:tcBorders>
              <w:top w:val="single" w:color="auto" w:sz="4" w:space="0"/>
              <w:left w:val="single" w:color="auto" w:sz="4" w:space="0"/>
              <w:right w:val="single" w:color="auto" w:sz="4" w:space="0"/>
            </w:tcBorders>
            <w:vAlign w:val="center"/>
          </w:tcPr>
          <w:p w14:paraId="55B2B10A">
            <w:pPr>
              <w:ind w:right="200"/>
              <w:jc w:val="center"/>
              <w:rPr>
                <w:kern w:val="0"/>
                <w:szCs w:val="21"/>
              </w:rPr>
            </w:pPr>
            <w:r>
              <w:rPr>
                <w:rFonts w:hint="eastAsia"/>
                <w:kern w:val="0"/>
                <w:szCs w:val="21"/>
              </w:rPr>
              <w:t>填报内容</w:t>
            </w:r>
          </w:p>
        </w:tc>
      </w:tr>
      <w:tr w14:paraId="55B2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vMerge w:val="restart"/>
            <w:tcBorders>
              <w:left w:val="single" w:color="auto" w:sz="4" w:space="0"/>
              <w:right w:val="single" w:color="auto" w:sz="4" w:space="0"/>
            </w:tcBorders>
            <w:vAlign w:val="center"/>
          </w:tcPr>
          <w:p w14:paraId="55B2B10C">
            <w:pPr>
              <w:jc w:val="center"/>
              <w:rPr>
                <w:kern w:val="0"/>
                <w:szCs w:val="21"/>
              </w:rPr>
            </w:pPr>
            <w:r>
              <w:rPr>
                <w:kern w:val="0"/>
                <w:szCs w:val="21"/>
              </w:rPr>
              <w:t>1</w:t>
            </w:r>
          </w:p>
        </w:tc>
        <w:tc>
          <w:tcPr>
            <w:tcW w:w="2409" w:type="dxa"/>
            <w:tcBorders>
              <w:top w:val="single" w:color="auto" w:sz="4" w:space="0"/>
              <w:left w:val="single" w:color="auto" w:sz="4" w:space="0"/>
              <w:bottom w:val="single" w:color="auto" w:sz="4" w:space="0"/>
              <w:right w:val="single" w:color="auto" w:sz="4" w:space="0"/>
            </w:tcBorders>
            <w:vAlign w:val="center"/>
          </w:tcPr>
          <w:p w14:paraId="55B2B10D">
            <w:pPr>
              <w:jc w:val="center"/>
              <w:rPr>
                <w:kern w:val="0"/>
                <w:szCs w:val="21"/>
              </w:rPr>
            </w:pPr>
            <w:r>
              <w:rPr>
                <w:rFonts w:hint="eastAsia"/>
                <w:kern w:val="0"/>
                <w:szCs w:val="21"/>
              </w:rPr>
              <w:t>谈判总报价（含税）</w:t>
            </w:r>
          </w:p>
        </w:tc>
        <w:tc>
          <w:tcPr>
            <w:tcW w:w="3044" w:type="dxa"/>
            <w:tcBorders>
              <w:top w:val="single" w:color="auto" w:sz="4" w:space="0"/>
              <w:left w:val="single" w:color="auto" w:sz="4" w:space="0"/>
              <w:bottom w:val="single" w:color="auto" w:sz="4" w:space="0"/>
              <w:right w:val="single" w:color="auto" w:sz="4" w:space="0"/>
            </w:tcBorders>
            <w:vAlign w:val="center"/>
          </w:tcPr>
          <w:p w14:paraId="55B2B10E">
            <w:pPr>
              <w:rPr>
                <w:kern w:val="0"/>
                <w:szCs w:val="21"/>
              </w:rPr>
            </w:pPr>
            <w:r>
              <w:rPr>
                <w:rFonts w:hint="eastAsia"/>
                <w:kern w:val="0"/>
                <w:szCs w:val="21"/>
              </w:rPr>
              <w:t>小写：</w:t>
            </w:r>
          </w:p>
        </w:tc>
        <w:tc>
          <w:tcPr>
            <w:tcW w:w="2722" w:type="dxa"/>
            <w:tcBorders>
              <w:top w:val="single" w:color="auto" w:sz="4" w:space="0"/>
              <w:left w:val="single" w:color="auto" w:sz="4" w:space="0"/>
              <w:bottom w:val="single" w:color="auto" w:sz="4" w:space="0"/>
              <w:right w:val="single" w:color="auto" w:sz="4" w:space="0"/>
            </w:tcBorders>
            <w:vAlign w:val="center"/>
          </w:tcPr>
          <w:p w14:paraId="55B2B10F">
            <w:pPr>
              <w:rPr>
                <w:kern w:val="0"/>
                <w:szCs w:val="21"/>
              </w:rPr>
            </w:pPr>
            <w:r>
              <w:rPr>
                <w:rFonts w:hint="eastAsia"/>
                <w:kern w:val="0"/>
                <w:szCs w:val="21"/>
              </w:rPr>
              <w:t>大写：</w:t>
            </w:r>
          </w:p>
        </w:tc>
      </w:tr>
      <w:tr w14:paraId="55B2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vMerge w:val="continue"/>
            <w:tcBorders>
              <w:left w:val="single" w:color="auto" w:sz="4" w:space="0"/>
              <w:bottom w:val="single" w:color="auto" w:sz="4" w:space="0"/>
              <w:right w:val="single" w:color="auto" w:sz="4" w:space="0"/>
            </w:tcBorders>
            <w:vAlign w:val="center"/>
          </w:tcPr>
          <w:p w14:paraId="55B2B111">
            <w:pPr>
              <w:jc w:val="center"/>
              <w:rPr>
                <w:kern w:val="0"/>
                <w:szCs w:val="21"/>
              </w:rPr>
            </w:pPr>
          </w:p>
        </w:tc>
        <w:tc>
          <w:tcPr>
            <w:tcW w:w="2409" w:type="dxa"/>
            <w:tcBorders>
              <w:top w:val="single" w:color="auto" w:sz="4" w:space="0"/>
              <w:left w:val="single" w:color="auto" w:sz="4" w:space="0"/>
              <w:bottom w:val="single" w:color="auto" w:sz="4" w:space="0"/>
              <w:right w:val="single" w:color="auto" w:sz="4" w:space="0"/>
            </w:tcBorders>
            <w:vAlign w:val="center"/>
          </w:tcPr>
          <w:p w14:paraId="55B2B112">
            <w:pPr>
              <w:jc w:val="center"/>
              <w:rPr>
                <w:kern w:val="0"/>
                <w:szCs w:val="21"/>
              </w:rPr>
            </w:pPr>
            <w:r>
              <w:rPr>
                <w:szCs w:val="21"/>
              </w:rPr>
              <w:t>开具增值税专票</w:t>
            </w:r>
            <w:r>
              <w:rPr>
                <w:rFonts w:hint="eastAsia"/>
                <w:szCs w:val="21"/>
              </w:rPr>
              <w:t>税率</w:t>
            </w:r>
          </w:p>
        </w:tc>
        <w:tc>
          <w:tcPr>
            <w:tcW w:w="5766" w:type="dxa"/>
            <w:gridSpan w:val="2"/>
            <w:tcBorders>
              <w:top w:val="single" w:color="auto" w:sz="4" w:space="0"/>
              <w:left w:val="single" w:color="auto" w:sz="4" w:space="0"/>
              <w:bottom w:val="single" w:color="auto" w:sz="4" w:space="0"/>
              <w:right w:val="single" w:color="auto" w:sz="4" w:space="0"/>
            </w:tcBorders>
            <w:vAlign w:val="center"/>
          </w:tcPr>
          <w:p w14:paraId="55B2B113">
            <w:pPr>
              <w:rPr>
                <w:kern w:val="0"/>
                <w:szCs w:val="21"/>
              </w:rPr>
            </w:pPr>
          </w:p>
        </w:tc>
      </w:tr>
      <w:tr w14:paraId="55B2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tcBorders>
              <w:top w:val="single" w:color="auto" w:sz="4" w:space="0"/>
              <w:left w:val="single" w:color="auto" w:sz="4" w:space="0"/>
              <w:bottom w:val="single" w:color="auto" w:sz="4" w:space="0"/>
              <w:right w:val="single" w:color="auto" w:sz="4" w:space="0"/>
            </w:tcBorders>
            <w:vAlign w:val="center"/>
          </w:tcPr>
          <w:p w14:paraId="55B2B115">
            <w:pPr>
              <w:jc w:val="center"/>
              <w:rPr>
                <w:kern w:val="0"/>
                <w:szCs w:val="21"/>
              </w:rPr>
            </w:pPr>
            <w:r>
              <w:rPr>
                <w:kern w:val="0"/>
                <w:szCs w:val="21"/>
              </w:rPr>
              <w:t>2</w:t>
            </w:r>
          </w:p>
        </w:tc>
        <w:tc>
          <w:tcPr>
            <w:tcW w:w="2409" w:type="dxa"/>
            <w:tcBorders>
              <w:top w:val="single" w:color="auto" w:sz="4" w:space="0"/>
              <w:left w:val="single" w:color="auto" w:sz="4" w:space="0"/>
              <w:bottom w:val="single" w:color="auto" w:sz="4" w:space="0"/>
              <w:right w:val="single" w:color="auto" w:sz="4" w:space="0"/>
            </w:tcBorders>
            <w:vAlign w:val="center"/>
          </w:tcPr>
          <w:p w14:paraId="55B2B116">
            <w:pPr>
              <w:jc w:val="center"/>
              <w:rPr>
                <w:kern w:val="0"/>
                <w:szCs w:val="21"/>
              </w:rPr>
            </w:pPr>
            <w:r>
              <w:rPr>
                <w:kern w:val="0"/>
                <w:szCs w:val="21"/>
              </w:rPr>
              <w:t>交货周期</w:t>
            </w:r>
          </w:p>
        </w:tc>
        <w:tc>
          <w:tcPr>
            <w:tcW w:w="5766" w:type="dxa"/>
            <w:gridSpan w:val="2"/>
            <w:tcBorders>
              <w:top w:val="single" w:color="auto" w:sz="4" w:space="0"/>
              <w:left w:val="single" w:color="auto" w:sz="4" w:space="0"/>
              <w:bottom w:val="single" w:color="auto" w:sz="4" w:space="0"/>
              <w:right w:val="single" w:color="auto" w:sz="4" w:space="0"/>
            </w:tcBorders>
            <w:vAlign w:val="center"/>
          </w:tcPr>
          <w:p w14:paraId="55B2B117">
            <w:pPr>
              <w:jc w:val="center"/>
              <w:rPr>
                <w:kern w:val="0"/>
                <w:szCs w:val="21"/>
              </w:rPr>
            </w:pPr>
            <w:r>
              <w:rPr>
                <w:rFonts w:hint="eastAsia"/>
                <w:kern w:val="0"/>
                <w:szCs w:val="21"/>
              </w:rPr>
              <w:t>合同签订生效之日起</w:t>
            </w:r>
            <w:r>
              <w:rPr>
                <w:rFonts w:hint="eastAsia"/>
                <w:kern w:val="0"/>
                <w:szCs w:val="21"/>
                <w:u w:val="single"/>
              </w:rPr>
              <w:t xml:space="preserve">   </w:t>
            </w:r>
            <w:r>
              <w:rPr>
                <w:rFonts w:hint="eastAsia"/>
                <w:kern w:val="0"/>
                <w:szCs w:val="21"/>
              </w:rPr>
              <w:t>日内设备具备交货条件</w:t>
            </w:r>
          </w:p>
        </w:tc>
      </w:tr>
      <w:tr w14:paraId="55B2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tcBorders>
              <w:top w:val="single" w:color="auto" w:sz="4" w:space="0"/>
              <w:left w:val="single" w:color="auto" w:sz="4" w:space="0"/>
              <w:bottom w:val="single" w:color="auto" w:sz="4" w:space="0"/>
              <w:right w:val="single" w:color="auto" w:sz="4" w:space="0"/>
            </w:tcBorders>
            <w:vAlign w:val="center"/>
          </w:tcPr>
          <w:p w14:paraId="55B2B119">
            <w:pPr>
              <w:jc w:val="center"/>
              <w:rPr>
                <w:kern w:val="0"/>
                <w:szCs w:val="21"/>
              </w:rPr>
            </w:pPr>
            <w:r>
              <w:rPr>
                <w:kern w:val="0"/>
                <w:szCs w:val="21"/>
              </w:rPr>
              <w:t>3</w:t>
            </w:r>
          </w:p>
        </w:tc>
        <w:tc>
          <w:tcPr>
            <w:tcW w:w="2409" w:type="dxa"/>
            <w:tcBorders>
              <w:top w:val="single" w:color="auto" w:sz="4" w:space="0"/>
              <w:left w:val="single" w:color="auto" w:sz="4" w:space="0"/>
              <w:bottom w:val="single" w:color="auto" w:sz="4" w:space="0"/>
              <w:right w:val="single" w:color="auto" w:sz="4" w:space="0"/>
            </w:tcBorders>
            <w:vAlign w:val="center"/>
          </w:tcPr>
          <w:p w14:paraId="55B2B11A">
            <w:pPr>
              <w:jc w:val="center"/>
              <w:rPr>
                <w:kern w:val="0"/>
                <w:szCs w:val="21"/>
              </w:rPr>
            </w:pPr>
            <w:r>
              <w:rPr>
                <w:kern w:val="0"/>
                <w:szCs w:val="21"/>
              </w:rPr>
              <w:t>交货地点</w:t>
            </w:r>
          </w:p>
        </w:tc>
        <w:tc>
          <w:tcPr>
            <w:tcW w:w="5766" w:type="dxa"/>
            <w:gridSpan w:val="2"/>
            <w:tcBorders>
              <w:top w:val="single" w:color="auto" w:sz="4" w:space="0"/>
              <w:left w:val="single" w:color="auto" w:sz="4" w:space="0"/>
              <w:bottom w:val="single" w:color="auto" w:sz="4" w:space="0"/>
              <w:right w:val="single" w:color="auto" w:sz="4" w:space="0"/>
            </w:tcBorders>
            <w:vAlign w:val="center"/>
          </w:tcPr>
          <w:p w14:paraId="55B2B11B">
            <w:pPr>
              <w:jc w:val="center"/>
              <w:rPr>
                <w:kern w:val="0"/>
                <w:szCs w:val="21"/>
              </w:rPr>
            </w:pPr>
          </w:p>
        </w:tc>
      </w:tr>
    </w:tbl>
    <w:p w14:paraId="55B2B11D">
      <w:pPr>
        <w:widowControl/>
        <w:snapToGrid w:val="0"/>
        <w:spacing w:line="360" w:lineRule="auto"/>
        <w:rPr>
          <w:b/>
          <w:bCs/>
          <w:iCs/>
          <w:szCs w:val="21"/>
          <w:lang w:bidi="en-US"/>
        </w:rPr>
      </w:pPr>
      <w:r>
        <w:rPr>
          <w:b/>
          <w:bCs/>
          <w:iCs/>
          <w:szCs w:val="21"/>
          <w:lang w:bidi="en-US"/>
        </w:rPr>
        <w:t>注：</w:t>
      </w:r>
    </w:p>
    <w:p w14:paraId="55B2B11E">
      <w:pPr>
        <w:widowControl/>
        <w:snapToGrid w:val="0"/>
        <w:spacing w:line="360" w:lineRule="auto"/>
        <w:rPr>
          <w:b/>
          <w:bCs/>
          <w:iCs/>
          <w:szCs w:val="21"/>
          <w:lang w:bidi="en-US"/>
        </w:rPr>
      </w:pPr>
      <w:r>
        <w:rPr>
          <w:rFonts w:hint="eastAsia"/>
          <w:b/>
          <w:bCs/>
          <w:iCs/>
          <w:szCs w:val="21"/>
          <w:lang w:bidi="en-US"/>
        </w:rPr>
        <w:t>1.</w:t>
      </w:r>
      <w:r>
        <w:rPr>
          <w:b/>
          <w:bCs/>
          <w:iCs/>
          <w:szCs w:val="21"/>
          <w:lang w:bidi="en-US"/>
        </w:rPr>
        <w:t>本表中报价应与第6项“</w:t>
      </w:r>
      <w:r>
        <w:rPr>
          <w:rFonts w:hint="eastAsia"/>
          <w:b/>
          <w:kern w:val="0"/>
          <w:szCs w:val="21"/>
        </w:rPr>
        <w:t>报价清单</w:t>
      </w:r>
      <w:r>
        <w:rPr>
          <w:b/>
          <w:bCs/>
          <w:iCs/>
          <w:szCs w:val="21"/>
          <w:lang w:bidi="en-US"/>
        </w:rPr>
        <w:t>”的总价相同。</w:t>
      </w:r>
    </w:p>
    <w:p w14:paraId="55B2B11F">
      <w:pPr>
        <w:widowControl/>
        <w:snapToGrid w:val="0"/>
        <w:spacing w:line="360" w:lineRule="auto"/>
        <w:rPr>
          <w:b/>
          <w:bCs/>
          <w:iCs/>
          <w:szCs w:val="21"/>
          <w:lang w:bidi="en-US"/>
        </w:rPr>
      </w:pPr>
      <w:r>
        <w:rPr>
          <w:rFonts w:hint="eastAsia"/>
          <w:b/>
          <w:bCs/>
          <w:iCs/>
          <w:szCs w:val="21"/>
          <w:lang w:bidi="en-US"/>
        </w:rPr>
        <w:t>2.谈判</w:t>
      </w:r>
      <w:r>
        <w:rPr>
          <w:b/>
          <w:bCs/>
          <w:iCs/>
          <w:szCs w:val="21"/>
          <w:lang w:bidi="en-US"/>
        </w:rPr>
        <w:t>总价含设备材料费、包装费、运输及运输保险费、现场服务及培训费、厂内装卸费、税费、专用工具、安装试运投产备件等一切相关费用。两年备品备件需单独报价，计入总价中。</w:t>
      </w:r>
    </w:p>
    <w:p w14:paraId="55B2B120">
      <w:pPr>
        <w:widowControl/>
        <w:snapToGrid w:val="0"/>
        <w:spacing w:line="360" w:lineRule="auto"/>
        <w:jc w:val="left"/>
        <w:rPr>
          <w:b/>
          <w:bCs/>
          <w:iCs/>
          <w:szCs w:val="21"/>
          <w:lang w:bidi="en-US"/>
        </w:rPr>
      </w:pPr>
      <w:r>
        <w:rPr>
          <w:rFonts w:hint="eastAsia"/>
          <w:b/>
          <w:bCs/>
          <w:iCs/>
          <w:szCs w:val="21"/>
          <w:lang w:bidi="en-US"/>
        </w:rPr>
        <w:t>3.谈判报价</w:t>
      </w:r>
      <w:r>
        <w:rPr>
          <w:b/>
          <w:bCs/>
          <w:iCs/>
          <w:szCs w:val="21"/>
          <w:lang w:bidi="en-US"/>
        </w:rPr>
        <w:t>小写与大写有出入，以</w:t>
      </w:r>
      <w:r>
        <w:rPr>
          <w:rFonts w:hint="eastAsia"/>
          <w:b/>
          <w:bCs/>
          <w:iCs/>
          <w:szCs w:val="21"/>
          <w:lang w:bidi="en-US"/>
        </w:rPr>
        <w:t>谈判报价</w:t>
      </w:r>
      <w:r>
        <w:rPr>
          <w:b/>
          <w:bCs/>
          <w:iCs/>
          <w:szCs w:val="21"/>
          <w:lang w:bidi="en-US"/>
        </w:rPr>
        <w:t>大写为准。</w:t>
      </w:r>
    </w:p>
    <w:p w14:paraId="55B2B121">
      <w:pPr>
        <w:widowControl/>
        <w:spacing w:line="360" w:lineRule="auto"/>
        <w:ind w:left="720"/>
        <w:rPr>
          <w:b/>
          <w:bCs/>
          <w:iCs/>
          <w:sz w:val="24"/>
          <w:lang w:bidi="en-US"/>
        </w:rPr>
      </w:pPr>
    </w:p>
    <w:p w14:paraId="55B2B122">
      <w:pPr>
        <w:widowControl/>
        <w:spacing w:line="360" w:lineRule="auto"/>
        <w:ind w:right="210" w:firstLine="420" w:firstLineChars="200"/>
        <w:rPr>
          <w:bCs/>
          <w:iCs/>
          <w:szCs w:val="21"/>
          <w:lang w:bidi="en-US"/>
        </w:rPr>
      </w:pPr>
    </w:p>
    <w:p w14:paraId="55B2B123">
      <w:pPr>
        <w:adjustRightInd w:val="0"/>
        <w:snapToGrid w:val="0"/>
        <w:jc w:val="left"/>
      </w:pPr>
      <w:r>
        <w:t>谈判申请人</w:t>
      </w:r>
      <w:r>
        <w:rPr>
          <w:rFonts w:hint="eastAsia"/>
        </w:rPr>
        <w:t>（盖单位公章）：</w:t>
      </w:r>
    </w:p>
    <w:p w14:paraId="55B2B124">
      <w:pPr>
        <w:adjustRightInd w:val="0"/>
        <w:snapToGrid w:val="0"/>
        <w:jc w:val="left"/>
      </w:pPr>
    </w:p>
    <w:p w14:paraId="55B2B125">
      <w:pPr>
        <w:adjustRightInd w:val="0"/>
        <w:snapToGrid w:val="0"/>
        <w:jc w:val="left"/>
      </w:pPr>
    </w:p>
    <w:p w14:paraId="55B2B126">
      <w:pPr>
        <w:adjustRightInd w:val="0"/>
        <w:snapToGrid w:val="0"/>
        <w:jc w:val="left"/>
      </w:pPr>
      <w:r>
        <w:rPr>
          <w:rFonts w:hint="eastAsia"/>
        </w:rPr>
        <w:t>法定代表人或其委托代理人（签字或盖章）：</w:t>
      </w:r>
    </w:p>
    <w:p w14:paraId="55B2B127">
      <w:pPr>
        <w:adjustRightInd w:val="0"/>
        <w:snapToGrid w:val="0"/>
        <w:jc w:val="left"/>
      </w:pPr>
    </w:p>
    <w:p w14:paraId="55B2B128">
      <w:pPr>
        <w:adjustRightInd w:val="0"/>
        <w:snapToGrid w:val="0"/>
        <w:jc w:val="left"/>
      </w:pPr>
    </w:p>
    <w:p w14:paraId="55B2B129">
      <w:pPr>
        <w:adjustRightInd w:val="0"/>
        <w:snapToGrid w:val="0"/>
        <w:jc w:val="left"/>
      </w:pPr>
    </w:p>
    <w:p w14:paraId="55B2B12A">
      <w:pPr>
        <w:wordWrap w:val="0"/>
        <w:spacing w:line="360" w:lineRule="auto"/>
        <w:rPr>
          <w:bCs/>
          <w:iCs/>
          <w:szCs w:val="21"/>
          <w:lang w:bidi="en-US"/>
        </w:rPr>
      </w:pPr>
      <w:r>
        <w:rPr>
          <w:rFonts w:hint="eastAsia"/>
        </w:rPr>
        <w:t>日期：</w:t>
      </w:r>
      <w:r>
        <w:t xml:space="preserve"> </w:t>
      </w:r>
      <w:r>
        <w:rPr>
          <w:rFonts w:hint="eastAsia"/>
        </w:rPr>
        <w:t>年</w:t>
      </w:r>
      <w:r>
        <w:t xml:space="preserve"> </w:t>
      </w:r>
      <w:r>
        <w:rPr>
          <w:rFonts w:hint="eastAsia"/>
        </w:rPr>
        <w:t xml:space="preserve"> 月  日</w:t>
      </w:r>
    </w:p>
    <w:p w14:paraId="55B2B12B">
      <w:pPr>
        <w:spacing w:line="360" w:lineRule="auto"/>
        <w:jc w:val="center"/>
        <w:rPr>
          <w:b/>
          <w:kern w:val="0"/>
          <w:sz w:val="24"/>
        </w:rPr>
      </w:pPr>
    </w:p>
    <w:p w14:paraId="55B2B12C">
      <w:pPr>
        <w:widowControl/>
        <w:jc w:val="left"/>
        <w:rPr>
          <w:b/>
          <w:kern w:val="0"/>
          <w:sz w:val="24"/>
        </w:rPr>
      </w:pPr>
      <w:r>
        <w:rPr>
          <w:b/>
          <w:kern w:val="0"/>
          <w:sz w:val="24"/>
        </w:rPr>
        <w:br w:type="page"/>
      </w:r>
    </w:p>
    <w:p w14:paraId="55B2B12D">
      <w:pPr>
        <w:spacing w:line="360" w:lineRule="auto"/>
        <w:jc w:val="center"/>
        <w:rPr>
          <w:b/>
          <w:kern w:val="0"/>
          <w:sz w:val="24"/>
        </w:rPr>
      </w:pPr>
      <w:r>
        <w:rPr>
          <w:b/>
          <w:kern w:val="0"/>
          <w:sz w:val="24"/>
        </w:rPr>
        <w:t>谈判申请函</w:t>
      </w:r>
    </w:p>
    <w:p w14:paraId="55B2B12E">
      <w:pPr>
        <w:widowControl/>
        <w:snapToGrid w:val="0"/>
        <w:spacing w:line="360" w:lineRule="auto"/>
        <w:ind w:firstLine="420" w:firstLineChars="200"/>
        <w:jc w:val="left"/>
        <w:rPr>
          <w:kern w:val="0"/>
          <w:szCs w:val="21"/>
        </w:rPr>
      </w:pPr>
      <w:r>
        <w:rPr>
          <w:rFonts w:hint="eastAsia"/>
          <w:kern w:val="0"/>
          <w:szCs w:val="21"/>
        </w:rPr>
        <w:t>云南中慧能源有限公司</w:t>
      </w:r>
      <w:r>
        <w:rPr>
          <w:kern w:val="0"/>
          <w:szCs w:val="21"/>
        </w:rPr>
        <w:t>：</w:t>
      </w:r>
    </w:p>
    <w:p w14:paraId="55B2B12F">
      <w:pPr>
        <w:widowControl/>
        <w:snapToGrid w:val="0"/>
        <w:spacing w:line="360" w:lineRule="auto"/>
        <w:ind w:firstLine="420" w:firstLineChars="200"/>
        <w:jc w:val="left"/>
        <w:rPr>
          <w:kern w:val="0"/>
          <w:szCs w:val="21"/>
        </w:rPr>
      </w:pPr>
      <w:r>
        <w:rPr>
          <w:rFonts w:hint="eastAsia"/>
          <w:kern w:val="0"/>
          <w:szCs w:val="21"/>
          <w:lang w:eastAsia="zh-CN"/>
        </w:rPr>
        <w:t>1.</w:t>
      </w:r>
      <w:r>
        <w:rPr>
          <w:rFonts w:hint="eastAsia"/>
          <w:kern w:val="0"/>
          <w:szCs w:val="21"/>
        </w:rPr>
        <w:t>我方已仔细研究了</w:t>
      </w:r>
      <w:r>
        <w:rPr>
          <w:rFonts w:hint="eastAsia"/>
          <w:b/>
          <w:bCs/>
          <w:kern w:val="0"/>
          <w:szCs w:val="21"/>
          <w:u w:val="single"/>
        </w:rPr>
        <w:t>红河文山输气管道流量计</w:t>
      </w:r>
      <w:r>
        <w:rPr>
          <w:b/>
          <w:bCs/>
          <w:kern w:val="0"/>
          <w:szCs w:val="21"/>
          <w:u w:val="single"/>
        </w:rPr>
        <w:t>采购</w:t>
      </w:r>
      <w:r>
        <w:rPr>
          <w:rFonts w:hint="eastAsia"/>
          <w:kern w:val="0"/>
          <w:szCs w:val="21"/>
        </w:rPr>
        <w:t>项目</w:t>
      </w:r>
      <w:r>
        <w:rPr>
          <w:kern w:val="0"/>
          <w:szCs w:val="21"/>
        </w:rPr>
        <w:t>谈判文件</w:t>
      </w:r>
      <w:r>
        <w:rPr>
          <w:rFonts w:hint="eastAsia"/>
          <w:kern w:val="0"/>
          <w:szCs w:val="21"/>
        </w:rPr>
        <w:t>的全部内容，愿意以人民币（大写</w:t>
      </w:r>
      <w:r>
        <w:rPr>
          <w:kern w:val="0"/>
          <w:szCs w:val="21"/>
        </w:rPr>
        <w:t xml:space="preserve"> </w:t>
      </w:r>
      <w:r>
        <w:rPr>
          <w:kern w:val="0"/>
          <w:szCs w:val="21"/>
          <w:u w:val="single"/>
        </w:rPr>
        <w:t xml:space="preserve">      </w:t>
      </w:r>
      <w:r>
        <w:rPr>
          <w:rFonts w:hint="eastAsia"/>
          <w:kern w:val="0"/>
          <w:szCs w:val="21"/>
        </w:rPr>
        <w:t>）（</w:t>
      </w:r>
      <w:r>
        <w:rPr>
          <w:kern w:val="0"/>
          <w:szCs w:val="21"/>
        </w:rPr>
        <w:t>¥</w:t>
      </w:r>
      <w:r>
        <w:rPr>
          <w:kern w:val="0"/>
          <w:szCs w:val="21"/>
          <w:u w:val="single"/>
        </w:rPr>
        <w:t xml:space="preserve">      </w:t>
      </w:r>
      <w:r>
        <w:rPr>
          <w:rFonts w:hint="eastAsia"/>
          <w:kern w:val="0"/>
          <w:szCs w:val="21"/>
        </w:rPr>
        <w:t>）的总报价（其中，增值税税率为</w:t>
      </w:r>
      <w:r>
        <w:rPr>
          <w:kern w:val="0"/>
          <w:szCs w:val="21"/>
          <w:u w:val="single"/>
        </w:rPr>
        <w:t xml:space="preserve">   %</w:t>
      </w:r>
      <w:r>
        <w:rPr>
          <w:rFonts w:hint="eastAsia"/>
          <w:kern w:val="0"/>
          <w:szCs w:val="21"/>
        </w:rPr>
        <w:t>）提供（设备名称及技术服务和质保期服务），并按合同约定履行义务。</w:t>
      </w:r>
    </w:p>
    <w:p w14:paraId="55B2B130">
      <w:pPr>
        <w:widowControl/>
        <w:snapToGrid w:val="0"/>
        <w:spacing w:line="360" w:lineRule="auto"/>
        <w:ind w:firstLine="420" w:firstLineChars="200"/>
        <w:jc w:val="left"/>
        <w:rPr>
          <w:kern w:val="0"/>
          <w:szCs w:val="21"/>
        </w:rPr>
      </w:pPr>
      <w:r>
        <w:rPr>
          <w:rFonts w:hint="eastAsia"/>
          <w:kern w:val="0"/>
          <w:szCs w:val="21"/>
          <w:lang w:eastAsia="zh-CN"/>
        </w:rPr>
        <w:t>2.</w:t>
      </w:r>
      <w:r>
        <w:rPr>
          <w:rFonts w:hint="eastAsia"/>
          <w:kern w:val="0"/>
          <w:szCs w:val="21"/>
        </w:rPr>
        <w:t>我方的</w:t>
      </w:r>
      <w:r>
        <w:rPr>
          <w:kern w:val="0"/>
          <w:szCs w:val="21"/>
        </w:rPr>
        <w:t>响应文件</w:t>
      </w:r>
      <w:r>
        <w:rPr>
          <w:rFonts w:hint="eastAsia"/>
          <w:kern w:val="0"/>
          <w:szCs w:val="21"/>
        </w:rPr>
        <w:t>包括下列内容：</w:t>
      </w:r>
    </w:p>
    <w:p w14:paraId="55B2B131">
      <w:pPr>
        <w:widowControl/>
        <w:spacing w:line="360" w:lineRule="auto"/>
        <w:ind w:firstLine="420" w:firstLineChars="200"/>
        <w:jc w:val="left"/>
        <w:rPr>
          <w:kern w:val="0"/>
          <w:szCs w:val="21"/>
        </w:rPr>
      </w:pPr>
      <w:r>
        <w:rPr>
          <w:rFonts w:hint="eastAsia"/>
          <w:kern w:val="0"/>
          <w:szCs w:val="21"/>
        </w:rPr>
        <w:t>（1）</w:t>
      </w:r>
      <w:r>
        <w:rPr>
          <w:kern w:val="0"/>
          <w:szCs w:val="21"/>
        </w:rPr>
        <w:t>报价一览表（一次）及谈判申请函</w:t>
      </w:r>
    </w:p>
    <w:p w14:paraId="55B2B132">
      <w:pPr>
        <w:widowControl/>
        <w:spacing w:line="360" w:lineRule="auto"/>
        <w:ind w:firstLine="420" w:firstLineChars="200"/>
        <w:jc w:val="left"/>
        <w:rPr>
          <w:kern w:val="0"/>
          <w:szCs w:val="21"/>
        </w:rPr>
      </w:pPr>
      <w:r>
        <w:rPr>
          <w:rFonts w:hint="eastAsia"/>
          <w:kern w:val="0"/>
          <w:szCs w:val="21"/>
        </w:rPr>
        <w:t>（2）法定代表人（单位负责人）身份证明（适用于无委托代理人的情况）</w:t>
      </w:r>
    </w:p>
    <w:p w14:paraId="55B2B133">
      <w:pPr>
        <w:widowControl/>
        <w:spacing w:line="360" w:lineRule="auto"/>
        <w:ind w:firstLine="420" w:firstLineChars="200"/>
        <w:jc w:val="left"/>
        <w:rPr>
          <w:kern w:val="0"/>
          <w:szCs w:val="21"/>
        </w:rPr>
      </w:pPr>
      <w:r>
        <w:rPr>
          <w:rFonts w:hint="eastAsia"/>
          <w:kern w:val="0"/>
          <w:szCs w:val="21"/>
        </w:rPr>
        <w:t>（3）授权委托书（适用于有委托代理人的情况）</w:t>
      </w:r>
    </w:p>
    <w:p w14:paraId="55B2B134">
      <w:pPr>
        <w:widowControl/>
        <w:spacing w:line="360" w:lineRule="auto"/>
        <w:ind w:firstLine="420" w:firstLineChars="200"/>
        <w:jc w:val="left"/>
        <w:rPr>
          <w:kern w:val="0"/>
          <w:szCs w:val="21"/>
        </w:rPr>
      </w:pPr>
      <w:r>
        <w:rPr>
          <w:rFonts w:hint="eastAsia"/>
          <w:kern w:val="0"/>
          <w:szCs w:val="21"/>
        </w:rPr>
        <w:t>（4）</w:t>
      </w:r>
      <w:r>
        <w:rPr>
          <w:kern w:val="0"/>
          <w:szCs w:val="21"/>
        </w:rPr>
        <w:t>谈判保证金</w:t>
      </w:r>
    </w:p>
    <w:p w14:paraId="55B2B135">
      <w:pPr>
        <w:widowControl/>
        <w:spacing w:line="360" w:lineRule="auto"/>
        <w:ind w:firstLine="420" w:firstLineChars="200"/>
        <w:jc w:val="left"/>
        <w:rPr>
          <w:kern w:val="0"/>
          <w:szCs w:val="21"/>
        </w:rPr>
      </w:pPr>
      <w:r>
        <w:rPr>
          <w:rFonts w:hint="eastAsia"/>
          <w:kern w:val="0"/>
          <w:szCs w:val="21"/>
        </w:rPr>
        <w:t>（5）商务和技术偏差表</w:t>
      </w:r>
    </w:p>
    <w:p w14:paraId="55B2B136">
      <w:pPr>
        <w:widowControl/>
        <w:spacing w:line="360" w:lineRule="auto"/>
        <w:ind w:firstLine="420" w:firstLineChars="200"/>
        <w:jc w:val="left"/>
        <w:rPr>
          <w:kern w:val="0"/>
          <w:szCs w:val="21"/>
        </w:rPr>
      </w:pPr>
      <w:r>
        <w:rPr>
          <w:rFonts w:hint="eastAsia"/>
          <w:kern w:val="0"/>
          <w:szCs w:val="21"/>
        </w:rPr>
        <w:t>（6）报价清单</w:t>
      </w:r>
    </w:p>
    <w:p w14:paraId="55B2B137">
      <w:pPr>
        <w:widowControl/>
        <w:spacing w:line="360" w:lineRule="auto"/>
        <w:ind w:firstLine="420" w:firstLineChars="200"/>
        <w:jc w:val="left"/>
        <w:rPr>
          <w:kern w:val="0"/>
          <w:szCs w:val="21"/>
        </w:rPr>
      </w:pPr>
      <w:r>
        <w:rPr>
          <w:rFonts w:hint="eastAsia"/>
          <w:kern w:val="0"/>
          <w:szCs w:val="21"/>
        </w:rPr>
        <w:t>（7）资格审查资料</w:t>
      </w:r>
    </w:p>
    <w:p w14:paraId="55B2B138">
      <w:pPr>
        <w:widowControl/>
        <w:spacing w:line="360" w:lineRule="auto"/>
        <w:ind w:firstLine="420" w:firstLineChars="200"/>
        <w:jc w:val="left"/>
        <w:rPr>
          <w:kern w:val="0"/>
          <w:szCs w:val="21"/>
        </w:rPr>
      </w:pPr>
      <w:r>
        <w:rPr>
          <w:rFonts w:hint="eastAsia"/>
          <w:kern w:val="0"/>
          <w:szCs w:val="21"/>
        </w:rPr>
        <w:t>（8）</w:t>
      </w:r>
      <w:r>
        <w:rPr>
          <w:kern w:val="0"/>
          <w:szCs w:val="21"/>
        </w:rPr>
        <w:t>廉洁承诺书</w:t>
      </w:r>
    </w:p>
    <w:p w14:paraId="55B2B139">
      <w:pPr>
        <w:widowControl/>
        <w:spacing w:line="360" w:lineRule="auto"/>
        <w:ind w:firstLine="420" w:firstLineChars="200"/>
        <w:jc w:val="left"/>
        <w:rPr>
          <w:kern w:val="0"/>
          <w:szCs w:val="21"/>
        </w:rPr>
      </w:pPr>
      <w:r>
        <w:rPr>
          <w:kern w:val="0"/>
          <w:szCs w:val="21"/>
        </w:rPr>
        <w:t>（9）保密承诺书</w:t>
      </w:r>
    </w:p>
    <w:p w14:paraId="55B2B13A">
      <w:pPr>
        <w:widowControl/>
        <w:spacing w:line="360" w:lineRule="auto"/>
        <w:ind w:firstLine="420" w:firstLineChars="200"/>
        <w:jc w:val="left"/>
        <w:rPr>
          <w:kern w:val="0"/>
          <w:szCs w:val="21"/>
        </w:rPr>
      </w:pPr>
      <w:r>
        <w:rPr>
          <w:kern w:val="0"/>
          <w:szCs w:val="21"/>
        </w:rPr>
        <w:t>（10）技术方案、设计制造工艺</w:t>
      </w:r>
    </w:p>
    <w:p w14:paraId="55B2B13B">
      <w:pPr>
        <w:widowControl/>
        <w:spacing w:line="360" w:lineRule="auto"/>
        <w:ind w:left="420" w:leftChars="200"/>
        <w:jc w:val="left"/>
        <w:rPr>
          <w:bCs/>
          <w:spacing w:val="1"/>
          <w:kern w:val="0"/>
          <w:szCs w:val="21"/>
        </w:rPr>
      </w:pPr>
      <w:r>
        <w:rPr>
          <w:kern w:val="0"/>
          <w:szCs w:val="21"/>
        </w:rPr>
        <w:t>（11）</w:t>
      </w:r>
      <w:r>
        <w:rPr>
          <w:bCs/>
          <w:spacing w:val="1"/>
          <w:kern w:val="0"/>
          <w:szCs w:val="21"/>
        </w:rPr>
        <w:t>设备性能指标、设备节能及智能化的详细描述</w:t>
      </w:r>
    </w:p>
    <w:p w14:paraId="55B2B13C">
      <w:pPr>
        <w:spacing w:after="120"/>
        <w:ind w:firstLine="428" w:firstLineChars="204"/>
        <w:rPr>
          <w:rFonts w:hint="eastAsia" w:eastAsia="宋体"/>
          <w:lang w:eastAsia="zh-CN"/>
        </w:rPr>
      </w:pPr>
      <w:r>
        <w:rPr>
          <w:szCs w:val="21"/>
        </w:rPr>
        <w:t>（12）主要部件材料、结构及附件配置</w:t>
      </w:r>
    </w:p>
    <w:p w14:paraId="55B2B13D">
      <w:pPr>
        <w:widowControl/>
        <w:spacing w:line="360" w:lineRule="auto"/>
        <w:ind w:firstLine="420" w:firstLineChars="200"/>
        <w:jc w:val="left"/>
        <w:rPr>
          <w:kern w:val="0"/>
          <w:szCs w:val="21"/>
        </w:rPr>
      </w:pPr>
      <w:r>
        <w:rPr>
          <w:kern w:val="0"/>
          <w:szCs w:val="21"/>
        </w:rPr>
        <w:t>（13）制造进度计划和质保期服务计划</w:t>
      </w:r>
    </w:p>
    <w:p w14:paraId="55B2B13E">
      <w:pPr>
        <w:widowControl/>
        <w:spacing w:line="360" w:lineRule="auto"/>
        <w:ind w:firstLine="420" w:firstLineChars="200"/>
        <w:jc w:val="left"/>
        <w:rPr>
          <w:kern w:val="0"/>
          <w:szCs w:val="21"/>
        </w:rPr>
      </w:pPr>
      <w:r>
        <w:rPr>
          <w:kern w:val="0"/>
          <w:szCs w:val="21"/>
        </w:rPr>
        <w:t>（14）质量保障措施和技术服务</w:t>
      </w:r>
    </w:p>
    <w:p w14:paraId="55B2B13F">
      <w:pPr>
        <w:widowControl/>
        <w:spacing w:line="360" w:lineRule="auto"/>
        <w:ind w:firstLine="420" w:firstLineChars="200"/>
        <w:jc w:val="left"/>
        <w:rPr>
          <w:kern w:val="0"/>
          <w:szCs w:val="21"/>
        </w:rPr>
      </w:pPr>
      <w:r>
        <w:rPr>
          <w:kern w:val="0"/>
          <w:szCs w:val="21"/>
        </w:rPr>
        <w:t>（15）其他技术支持资料及其他自行补充资料</w:t>
      </w:r>
    </w:p>
    <w:p w14:paraId="55B2B140">
      <w:pPr>
        <w:widowControl/>
        <w:snapToGrid w:val="0"/>
        <w:spacing w:line="360" w:lineRule="auto"/>
        <w:ind w:firstLine="420" w:firstLineChars="200"/>
        <w:jc w:val="left"/>
        <w:rPr>
          <w:kern w:val="0"/>
          <w:szCs w:val="21"/>
        </w:rPr>
      </w:pPr>
      <w:r>
        <w:rPr>
          <w:kern w:val="0"/>
          <w:szCs w:val="21"/>
        </w:rPr>
        <w:t>响应文件</w:t>
      </w:r>
      <w:r>
        <w:rPr>
          <w:rFonts w:hint="eastAsia"/>
          <w:kern w:val="0"/>
          <w:szCs w:val="21"/>
        </w:rPr>
        <w:t>的上述组成部分如存在内容不一致的，以</w:t>
      </w:r>
      <w:r>
        <w:rPr>
          <w:kern w:val="0"/>
          <w:szCs w:val="21"/>
        </w:rPr>
        <w:t>谈判申请函</w:t>
      </w:r>
      <w:r>
        <w:rPr>
          <w:rFonts w:hint="eastAsia"/>
          <w:kern w:val="0"/>
          <w:szCs w:val="21"/>
        </w:rPr>
        <w:t>为准。</w:t>
      </w:r>
    </w:p>
    <w:p w14:paraId="55B2B141">
      <w:pPr>
        <w:widowControl/>
        <w:snapToGrid w:val="0"/>
        <w:spacing w:line="360" w:lineRule="auto"/>
        <w:ind w:firstLine="420" w:firstLineChars="200"/>
        <w:jc w:val="left"/>
        <w:rPr>
          <w:kern w:val="0"/>
          <w:szCs w:val="21"/>
        </w:rPr>
      </w:pPr>
      <w:r>
        <w:rPr>
          <w:rFonts w:hint="eastAsia"/>
          <w:kern w:val="0"/>
          <w:szCs w:val="21"/>
          <w:lang w:eastAsia="zh-CN"/>
        </w:rPr>
        <w:t>3.</w:t>
      </w:r>
      <w:r>
        <w:rPr>
          <w:rFonts w:hint="eastAsia"/>
          <w:kern w:val="0"/>
          <w:szCs w:val="21"/>
        </w:rPr>
        <w:t>我方承诺除商务和技术偏差表列出的偏差外，我方响应</w:t>
      </w:r>
      <w:r>
        <w:rPr>
          <w:kern w:val="0"/>
          <w:szCs w:val="21"/>
        </w:rPr>
        <w:t>谈判文件</w:t>
      </w:r>
      <w:r>
        <w:rPr>
          <w:rFonts w:hint="eastAsia"/>
          <w:kern w:val="0"/>
          <w:szCs w:val="21"/>
        </w:rPr>
        <w:t>的全部要求。</w:t>
      </w:r>
    </w:p>
    <w:p w14:paraId="55B2B142">
      <w:pPr>
        <w:widowControl/>
        <w:snapToGrid w:val="0"/>
        <w:spacing w:line="360" w:lineRule="auto"/>
        <w:ind w:firstLine="420" w:firstLineChars="200"/>
        <w:jc w:val="left"/>
        <w:rPr>
          <w:kern w:val="0"/>
          <w:szCs w:val="21"/>
        </w:rPr>
      </w:pPr>
      <w:r>
        <w:rPr>
          <w:rFonts w:hint="eastAsia"/>
          <w:kern w:val="0"/>
          <w:szCs w:val="21"/>
          <w:lang w:eastAsia="zh-CN"/>
        </w:rPr>
        <w:t>4.</w:t>
      </w:r>
      <w:r>
        <w:rPr>
          <w:rFonts w:hint="eastAsia"/>
          <w:kern w:val="0"/>
          <w:szCs w:val="21"/>
        </w:rPr>
        <w:t>我方承诺在</w:t>
      </w:r>
      <w:r>
        <w:rPr>
          <w:kern w:val="0"/>
          <w:szCs w:val="21"/>
        </w:rPr>
        <w:t>谈判文件</w:t>
      </w:r>
      <w:r>
        <w:rPr>
          <w:rFonts w:hint="eastAsia"/>
          <w:kern w:val="0"/>
          <w:szCs w:val="21"/>
        </w:rPr>
        <w:t>规定的响应文件有效期内不撤销</w:t>
      </w:r>
      <w:r>
        <w:rPr>
          <w:kern w:val="0"/>
          <w:szCs w:val="21"/>
        </w:rPr>
        <w:t>响应文件</w:t>
      </w:r>
      <w:r>
        <w:rPr>
          <w:rFonts w:hint="eastAsia"/>
          <w:kern w:val="0"/>
          <w:szCs w:val="21"/>
        </w:rPr>
        <w:t>。</w:t>
      </w:r>
    </w:p>
    <w:p w14:paraId="55B2B143">
      <w:pPr>
        <w:widowControl/>
        <w:snapToGrid w:val="0"/>
        <w:spacing w:line="360" w:lineRule="auto"/>
        <w:ind w:firstLine="420" w:firstLineChars="200"/>
        <w:jc w:val="left"/>
        <w:rPr>
          <w:kern w:val="0"/>
          <w:szCs w:val="21"/>
        </w:rPr>
      </w:pPr>
      <w:r>
        <w:rPr>
          <w:rFonts w:hint="eastAsia"/>
          <w:kern w:val="0"/>
          <w:szCs w:val="21"/>
          <w:lang w:eastAsia="zh-CN"/>
        </w:rPr>
        <w:t>5.</w:t>
      </w:r>
      <w:r>
        <w:rPr>
          <w:rFonts w:hint="eastAsia"/>
          <w:kern w:val="0"/>
          <w:szCs w:val="21"/>
        </w:rPr>
        <w:t>如我方成交，我方承诺：</w:t>
      </w:r>
    </w:p>
    <w:p w14:paraId="55B2B144">
      <w:pPr>
        <w:widowControl/>
        <w:snapToGrid w:val="0"/>
        <w:spacing w:line="360" w:lineRule="auto"/>
        <w:ind w:firstLine="420" w:firstLineChars="200"/>
        <w:jc w:val="left"/>
        <w:rPr>
          <w:kern w:val="0"/>
          <w:szCs w:val="21"/>
        </w:rPr>
      </w:pPr>
      <w:r>
        <w:rPr>
          <w:rFonts w:hint="eastAsia"/>
          <w:kern w:val="0"/>
          <w:szCs w:val="21"/>
        </w:rPr>
        <w:t>（1）在收到</w:t>
      </w:r>
      <w:r>
        <w:rPr>
          <w:kern w:val="0"/>
          <w:szCs w:val="21"/>
        </w:rPr>
        <w:t>成交通知书</w:t>
      </w:r>
      <w:r>
        <w:rPr>
          <w:rFonts w:hint="eastAsia"/>
          <w:kern w:val="0"/>
          <w:szCs w:val="21"/>
        </w:rPr>
        <w:t>后，在</w:t>
      </w:r>
      <w:r>
        <w:rPr>
          <w:kern w:val="0"/>
          <w:szCs w:val="21"/>
        </w:rPr>
        <w:t>成交通知书</w:t>
      </w:r>
      <w:r>
        <w:rPr>
          <w:rFonts w:hint="eastAsia"/>
          <w:kern w:val="0"/>
          <w:szCs w:val="21"/>
        </w:rPr>
        <w:t>规定的期限内与你方签订合同；</w:t>
      </w:r>
    </w:p>
    <w:p w14:paraId="55B2B145">
      <w:pPr>
        <w:widowControl/>
        <w:snapToGrid w:val="0"/>
        <w:spacing w:line="360" w:lineRule="auto"/>
        <w:ind w:firstLine="420" w:firstLineChars="200"/>
        <w:jc w:val="left"/>
        <w:rPr>
          <w:kern w:val="0"/>
          <w:szCs w:val="21"/>
        </w:rPr>
      </w:pPr>
      <w:r>
        <w:rPr>
          <w:rFonts w:hint="eastAsia"/>
          <w:kern w:val="0"/>
          <w:szCs w:val="21"/>
        </w:rPr>
        <w:t>（2）在签订合同时不向你方提出附加条件；</w:t>
      </w:r>
    </w:p>
    <w:p w14:paraId="55B2B146">
      <w:pPr>
        <w:widowControl/>
        <w:snapToGrid w:val="0"/>
        <w:spacing w:line="360" w:lineRule="auto"/>
        <w:ind w:firstLine="420" w:firstLineChars="200"/>
        <w:jc w:val="left"/>
        <w:rPr>
          <w:kern w:val="0"/>
          <w:szCs w:val="21"/>
        </w:rPr>
      </w:pPr>
      <w:r>
        <w:rPr>
          <w:rFonts w:hint="eastAsia"/>
          <w:kern w:val="0"/>
          <w:szCs w:val="21"/>
        </w:rPr>
        <w:t>（3）按照</w:t>
      </w:r>
      <w:r>
        <w:rPr>
          <w:kern w:val="0"/>
          <w:szCs w:val="21"/>
        </w:rPr>
        <w:t>谈判文件</w:t>
      </w:r>
      <w:r>
        <w:rPr>
          <w:rFonts w:hint="eastAsia"/>
          <w:kern w:val="0"/>
          <w:szCs w:val="21"/>
        </w:rPr>
        <w:t>要求提交履约保证金；</w:t>
      </w:r>
    </w:p>
    <w:p w14:paraId="55B2B147">
      <w:pPr>
        <w:widowControl/>
        <w:snapToGrid w:val="0"/>
        <w:spacing w:line="360" w:lineRule="auto"/>
        <w:ind w:firstLine="420" w:firstLineChars="200"/>
        <w:jc w:val="left"/>
        <w:rPr>
          <w:kern w:val="0"/>
          <w:szCs w:val="21"/>
        </w:rPr>
      </w:pPr>
      <w:r>
        <w:rPr>
          <w:rFonts w:hint="eastAsia"/>
          <w:kern w:val="0"/>
          <w:szCs w:val="21"/>
        </w:rPr>
        <w:t>（4）在合同约定的期限内完成合同规定的全部义务。</w:t>
      </w:r>
    </w:p>
    <w:p w14:paraId="55B2B148">
      <w:pPr>
        <w:widowControl/>
        <w:snapToGrid w:val="0"/>
        <w:spacing w:line="360" w:lineRule="auto"/>
        <w:ind w:firstLine="420" w:firstLineChars="200"/>
        <w:jc w:val="left"/>
        <w:rPr>
          <w:kern w:val="0"/>
          <w:szCs w:val="21"/>
        </w:rPr>
      </w:pPr>
      <w:r>
        <w:rPr>
          <w:rFonts w:hint="eastAsia"/>
          <w:kern w:val="0"/>
          <w:szCs w:val="21"/>
          <w:lang w:eastAsia="zh-CN"/>
        </w:rPr>
        <w:t>6.</w:t>
      </w:r>
      <w:r>
        <w:rPr>
          <w:rFonts w:hint="eastAsia"/>
          <w:kern w:val="0"/>
          <w:szCs w:val="21"/>
        </w:rPr>
        <w:t>我方在此声明，所递交的</w:t>
      </w:r>
      <w:r>
        <w:rPr>
          <w:kern w:val="0"/>
          <w:szCs w:val="21"/>
        </w:rPr>
        <w:t>响应文件</w:t>
      </w:r>
      <w:r>
        <w:rPr>
          <w:rFonts w:hint="eastAsia"/>
          <w:kern w:val="0"/>
          <w:szCs w:val="21"/>
        </w:rPr>
        <w:t>及有关资料内容完整、真实和准确。</w:t>
      </w:r>
    </w:p>
    <w:p w14:paraId="55B2B149">
      <w:pPr>
        <w:widowControl/>
        <w:snapToGrid w:val="0"/>
        <w:spacing w:line="360" w:lineRule="auto"/>
        <w:ind w:firstLine="420" w:firstLineChars="200"/>
        <w:jc w:val="left"/>
        <w:rPr>
          <w:kern w:val="0"/>
          <w:szCs w:val="21"/>
        </w:rPr>
      </w:pPr>
      <w:r>
        <w:rPr>
          <w:rFonts w:hint="eastAsia"/>
          <w:kern w:val="0"/>
          <w:szCs w:val="21"/>
          <w:lang w:eastAsia="zh-CN"/>
        </w:rPr>
        <w:t>7.</w:t>
      </w:r>
      <w:r>
        <w:rPr>
          <w:rFonts w:hint="eastAsia"/>
          <w:kern w:val="0"/>
          <w:szCs w:val="21"/>
        </w:rPr>
        <w:t>（其他补充说明）。</w:t>
      </w:r>
    </w:p>
    <w:p w14:paraId="55B2B14A">
      <w:pPr>
        <w:widowControl/>
        <w:spacing w:line="360" w:lineRule="auto"/>
        <w:ind w:right="210" w:firstLine="420" w:firstLineChars="200"/>
        <w:rPr>
          <w:bCs/>
          <w:iCs/>
          <w:szCs w:val="21"/>
          <w:lang w:bidi="en-US"/>
        </w:rPr>
      </w:pPr>
    </w:p>
    <w:p w14:paraId="55B2B14B">
      <w:pPr>
        <w:adjustRightInd w:val="0"/>
        <w:snapToGrid w:val="0"/>
        <w:jc w:val="left"/>
      </w:pPr>
      <w:r>
        <w:t>谈判申请人</w:t>
      </w:r>
      <w:r>
        <w:rPr>
          <w:rFonts w:hint="eastAsia"/>
        </w:rPr>
        <w:t>（盖单位公章）：</w:t>
      </w:r>
    </w:p>
    <w:p w14:paraId="55B2B14C">
      <w:pPr>
        <w:adjustRightInd w:val="0"/>
        <w:snapToGrid w:val="0"/>
        <w:jc w:val="left"/>
      </w:pPr>
    </w:p>
    <w:p w14:paraId="55B2B14D">
      <w:pPr>
        <w:adjustRightInd w:val="0"/>
        <w:snapToGrid w:val="0"/>
        <w:jc w:val="left"/>
      </w:pPr>
    </w:p>
    <w:p w14:paraId="55B2B14E">
      <w:pPr>
        <w:adjustRightInd w:val="0"/>
        <w:snapToGrid w:val="0"/>
        <w:jc w:val="left"/>
      </w:pPr>
      <w:r>
        <w:rPr>
          <w:rFonts w:hint="eastAsia"/>
        </w:rPr>
        <w:t>法定代表人或其委托代理人（签字或盖章）：</w:t>
      </w:r>
    </w:p>
    <w:p w14:paraId="55B2B14F">
      <w:pPr>
        <w:adjustRightInd w:val="0"/>
        <w:snapToGrid w:val="0"/>
        <w:jc w:val="left"/>
      </w:pPr>
    </w:p>
    <w:p w14:paraId="55B2B150">
      <w:pPr>
        <w:adjustRightInd w:val="0"/>
        <w:snapToGrid w:val="0"/>
        <w:jc w:val="left"/>
      </w:pPr>
    </w:p>
    <w:p w14:paraId="55B2B151">
      <w:pPr>
        <w:adjustRightInd w:val="0"/>
        <w:snapToGrid w:val="0"/>
        <w:jc w:val="left"/>
      </w:pPr>
    </w:p>
    <w:p w14:paraId="55B2B152">
      <w:pPr>
        <w:widowControl/>
        <w:jc w:val="left"/>
        <w:rPr>
          <w:kern w:val="0"/>
          <w:sz w:val="20"/>
          <w:szCs w:val="20"/>
        </w:rPr>
      </w:pPr>
      <w:r>
        <w:rPr>
          <w:rFonts w:hint="eastAsia"/>
        </w:rPr>
        <w:t>日期：</w:t>
      </w:r>
      <w:r>
        <w:t xml:space="preserve"> </w:t>
      </w:r>
      <w:r>
        <w:rPr>
          <w:rFonts w:hint="eastAsia"/>
        </w:rPr>
        <w:t>年</w:t>
      </w:r>
      <w:r>
        <w:t xml:space="preserve"> </w:t>
      </w:r>
      <w:r>
        <w:rPr>
          <w:rFonts w:hint="eastAsia"/>
        </w:rPr>
        <w:t xml:space="preserve"> 月  日</w:t>
      </w:r>
      <w:r>
        <w:rPr>
          <w:kern w:val="0"/>
          <w:sz w:val="20"/>
          <w:szCs w:val="20"/>
        </w:rPr>
        <w:br w:type="page"/>
      </w:r>
    </w:p>
    <w:p w14:paraId="55B2B153">
      <w:pPr>
        <w:spacing w:line="360" w:lineRule="auto"/>
        <w:outlineLvl w:val="2"/>
        <w:rPr>
          <w:b/>
          <w:kern w:val="0"/>
          <w:sz w:val="24"/>
        </w:rPr>
      </w:pPr>
      <w:r>
        <w:rPr>
          <w:b/>
          <w:kern w:val="0"/>
          <w:sz w:val="24"/>
        </w:rPr>
        <w:t>2</w:t>
      </w:r>
      <w:r>
        <w:rPr>
          <w:rFonts w:hint="eastAsia"/>
          <w:b/>
          <w:kern w:val="0"/>
          <w:sz w:val="24"/>
        </w:rPr>
        <w:t>.法定代表人身份证明</w:t>
      </w:r>
    </w:p>
    <w:p w14:paraId="55B2B154">
      <w:pPr>
        <w:widowControl/>
        <w:snapToGrid w:val="0"/>
        <w:spacing w:line="440" w:lineRule="exact"/>
        <w:jc w:val="left"/>
        <w:rPr>
          <w:kern w:val="0"/>
          <w:sz w:val="20"/>
          <w:szCs w:val="20"/>
        </w:rPr>
      </w:pPr>
    </w:p>
    <w:p w14:paraId="55B2B155">
      <w:pPr>
        <w:widowControl/>
        <w:snapToGrid w:val="0"/>
        <w:spacing w:line="360" w:lineRule="auto"/>
        <w:jc w:val="left"/>
        <w:rPr>
          <w:kern w:val="0"/>
          <w:szCs w:val="21"/>
        </w:rPr>
      </w:pPr>
      <w:r>
        <w:rPr>
          <w:kern w:val="0"/>
          <w:szCs w:val="21"/>
        </w:rPr>
        <w:t>谈判申请人</w:t>
      </w:r>
      <w:r>
        <w:rPr>
          <w:rFonts w:hint="eastAsia"/>
          <w:kern w:val="0"/>
          <w:szCs w:val="21"/>
        </w:rPr>
        <w:t>名称：</w:t>
      </w:r>
    </w:p>
    <w:p w14:paraId="55B2B156">
      <w:pPr>
        <w:widowControl/>
        <w:snapToGrid w:val="0"/>
        <w:spacing w:line="360" w:lineRule="auto"/>
        <w:jc w:val="left"/>
        <w:rPr>
          <w:kern w:val="0"/>
          <w:szCs w:val="21"/>
        </w:rPr>
      </w:pPr>
      <w:r>
        <w:rPr>
          <w:rFonts w:hint="eastAsia"/>
          <w:kern w:val="0"/>
          <w:szCs w:val="21"/>
        </w:rPr>
        <w:t>姓名：</w:t>
      </w:r>
    </w:p>
    <w:p w14:paraId="55B2B157">
      <w:pPr>
        <w:widowControl/>
        <w:snapToGrid w:val="0"/>
        <w:spacing w:line="360" w:lineRule="auto"/>
        <w:jc w:val="left"/>
        <w:rPr>
          <w:kern w:val="0"/>
          <w:szCs w:val="21"/>
        </w:rPr>
      </w:pPr>
      <w:r>
        <w:rPr>
          <w:rFonts w:hint="eastAsia"/>
          <w:kern w:val="0"/>
          <w:szCs w:val="21"/>
        </w:rPr>
        <w:t>性别：</w:t>
      </w:r>
    </w:p>
    <w:p w14:paraId="55B2B158">
      <w:pPr>
        <w:widowControl/>
        <w:snapToGrid w:val="0"/>
        <w:spacing w:line="360" w:lineRule="auto"/>
        <w:jc w:val="left"/>
        <w:rPr>
          <w:kern w:val="0"/>
          <w:szCs w:val="21"/>
        </w:rPr>
      </w:pPr>
      <w:r>
        <w:rPr>
          <w:rFonts w:hint="eastAsia"/>
          <w:kern w:val="0"/>
          <w:szCs w:val="21"/>
        </w:rPr>
        <w:t>年龄：</w:t>
      </w:r>
    </w:p>
    <w:p w14:paraId="55B2B159">
      <w:pPr>
        <w:widowControl/>
        <w:snapToGrid w:val="0"/>
        <w:spacing w:line="360" w:lineRule="auto"/>
        <w:jc w:val="left"/>
        <w:rPr>
          <w:kern w:val="0"/>
          <w:szCs w:val="21"/>
        </w:rPr>
      </w:pPr>
      <w:r>
        <w:rPr>
          <w:rFonts w:hint="eastAsia"/>
          <w:kern w:val="0"/>
          <w:szCs w:val="21"/>
        </w:rPr>
        <w:t>职务：</w:t>
      </w:r>
    </w:p>
    <w:p w14:paraId="55B2B15A">
      <w:pPr>
        <w:widowControl/>
        <w:snapToGrid w:val="0"/>
        <w:spacing w:line="360" w:lineRule="auto"/>
        <w:jc w:val="left"/>
        <w:rPr>
          <w:kern w:val="0"/>
          <w:szCs w:val="21"/>
        </w:rPr>
      </w:pPr>
      <w:r>
        <w:rPr>
          <w:rFonts w:hint="eastAsia"/>
          <w:kern w:val="0"/>
          <w:szCs w:val="21"/>
        </w:rPr>
        <w:t>系</w:t>
      </w:r>
      <w:r>
        <w:rPr>
          <w:rFonts w:hint="eastAsia"/>
          <w:kern w:val="0"/>
          <w:szCs w:val="21"/>
          <w:u w:val="single"/>
        </w:rPr>
        <w:t>（</w:t>
      </w:r>
      <w:r>
        <w:rPr>
          <w:kern w:val="0"/>
          <w:szCs w:val="21"/>
          <w:u w:val="single"/>
        </w:rPr>
        <w:t>谈判申请人</w:t>
      </w:r>
      <w:r>
        <w:rPr>
          <w:rFonts w:hint="eastAsia"/>
          <w:kern w:val="0"/>
          <w:szCs w:val="21"/>
          <w:u w:val="single"/>
        </w:rPr>
        <w:t>名称）</w:t>
      </w:r>
      <w:r>
        <w:rPr>
          <w:rFonts w:hint="eastAsia"/>
          <w:kern w:val="0"/>
          <w:szCs w:val="21"/>
        </w:rPr>
        <w:t>的法定代表人。</w:t>
      </w:r>
    </w:p>
    <w:p w14:paraId="55B2B15B">
      <w:pPr>
        <w:widowControl/>
        <w:snapToGrid w:val="0"/>
        <w:spacing w:line="360" w:lineRule="auto"/>
        <w:ind w:firstLine="420" w:firstLineChars="200"/>
        <w:jc w:val="left"/>
        <w:rPr>
          <w:kern w:val="0"/>
          <w:szCs w:val="21"/>
        </w:rPr>
      </w:pPr>
      <w:r>
        <w:rPr>
          <w:rFonts w:hint="eastAsia"/>
          <w:kern w:val="0"/>
          <w:szCs w:val="21"/>
        </w:rPr>
        <w:t>特此证明。</w:t>
      </w:r>
    </w:p>
    <w:p w14:paraId="55B2B15C">
      <w:pPr>
        <w:widowControl/>
        <w:snapToGrid w:val="0"/>
        <w:spacing w:line="360" w:lineRule="auto"/>
        <w:jc w:val="left"/>
        <w:rPr>
          <w:kern w:val="0"/>
          <w:szCs w:val="21"/>
        </w:rPr>
      </w:pPr>
    </w:p>
    <w:p w14:paraId="55B2B15D">
      <w:pPr>
        <w:widowControl/>
        <w:snapToGrid w:val="0"/>
        <w:spacing w:line="360" w:lineRule="auto"/>
        <w:jc w:val="left"/>
        <w:rPr>
          <w:kern w:val="0"/>
          <w:szCs w:val="21"/>
        </w:rPr>
      </w:pPr>
      <w:r>
        <w:rPr>
          <w:rFonts w:hint="eastAsia"/>
          <w:kern w:val="0"/>
          <w:szCs w:val="21"/>
        </w:rPr>
        <w:t>附：法定代表人身份证复印件。</w:t>
      </w:r>
    </w:p>
    <w:p w14:paraId="55B2B15E">
      <w:pPr>
        <w:widowControl/>
        <w:snapToGrid w:val="0"/>
        <w:spacing w:line="360" w:lineRule="auto"/>
        <w:jc w:val="left"/>
        <w:rPr>
          <w:kern w:val="0"/>
          <w:szCs w:val="21"/>
        </w:rPr>
      </w:pPr>
    </w:p>
    <w:p w14:paraId="55B2B15F">
      <w:pPr>
        <w:widowControl/>
        <w:snapToGrid w:val="0"/>
        <w:spacing w:line="360" w:lineRule="auto"/>
        <w:jc w:val="left"/>
        <w:rPr>
          <w:kern w:val="0"/>
          <w:szCs w:val="21"/>
        </w:rPr>
      </w:pPr>
    </w:p>
    <w:p w14:paraId="55B2B160">
      <w:pPr>
        <w:widowControl/>
        <w:snapToGrid w:val="0"/>
        <w:spacing w:line="360" w:lineRule="auto"/>
        <w:jc w:val="left"/>
        <w:rPr>
          <w:kern w:val="0"/>
          <w:szCs w:val="21"/>
        </w:rPr>
      </w:pPr>
    </w:p>
    <w:p w14:paraId="55B2B161">
      <w:pPr>
        <w:widowControl/>
        <w:spacing w:line="360" w:lineRule="auto"/>
        <w:ind w:left="720" w:right="210"/>
        <w:jc w:val="right"/>
        <w:rPr>
          <w:bCs/>
          <w:iCs/>
          <w:szCs w:val="21"/>
          <w:lang w:bidi="en-US"/>
        </w:rPr>
      </w:pPr>
      <w:r>
        <w:rPr>
          <w:bCs/>
          <w:iCs/>
          <w:szCs w:val="21"/>
          <w:lang w:bidi="en-US"/>
        </w:rPr>
        <w:t>谈判申请人</w:t>
      </w:r>
      <w:r>
        <w:rPr>
          <w:rFonts w:hint="eastAsia"/>
          <w:bCs/>
          <w:iCs/>
          <w:szCs w:val="21"/>
          <w:lang w:bidi="en-US"/>
        </w:rPr>
        <w:t>：（</w:t>
      </w:r>
      <w:r>
        <w:rPr>
          <w:bCs/>
          <w:iCs/>
          <w:szCs w:val="21"/>
          <w:lang w:bidi="en-US"/>
        </w:rPr>
        <w:t>盖单位公章</w:t>
      </w:r>
      <w:r>
        <w:rPr>
          <w:rFonts w:hint="eastAsia"/>
          <w:bCs/>
          <w:iCs/>
          <w:szCs w:val="21"/>
          <w:lang w:bidi="en-US"/>
        </w:rPr>
        <w:t>）</w:t>
      </w:r>
    </w:p>
    <w:p w14:paraId="55B2B162">
      <w:pPr>
        <w:widowControl/>
        <w:spacing w:line="360" w:lineRule="auto"/>
        <w:ind w:left="720" w:right="210"/>
        <w:jc w:val="right"/>
        <w:rPr>
          <w:bCs/>
          <w:iCs/>
          <w:szCs w:val="21"/>
          <w:lang w:bidi="en-US"/>
        </w:rPr>
      </w:pPr>
    </w:p>
    <w:p w14:paraId="55B2B163">
      <w:pPr>
        <w:widowControl/>
        <w:wordWrap w:val="0"/>
        <w:spacing w:line="360" w:lineRule="auto"/>
        <w:ind w:left="720"/>
        <w:jc w:val="right"/>
        <w:rPr>
          <w:bCs/>
          <w:iCs/>
          <w:szCs w:val="21"/>
          <w:lang w:bidi="en-US"/>
        </w:rPr>
      </w:pPr>
      <w:r>
        <w:rPr>
          <w:bCs/>
          <w:iCs/>
          <w:szCs w:val="21"/>
          <w:lang w:bidi="en-US"/>
        </w:rPr>
        <w:t>年    月    日</w:t>
      </w:r>
    </w:p>
    <w:p w14:paraId="55B2B164">
      <w:pPr>
        <w:widowControl/>
        <w:jc w:val="left"/>
        <w:rPr>
          <w:kern w:val="0"/>
          <w:szCs w:val="21"/>
        </w:rPr>
      </w:pPr>
      <w:r>
        <w:rPr>
          <w:kern w:val="0"/>
          <w:szCs w:val="21"/>
        </w:rPr>
        <w:br w:type="page"/>
      </w:r>
    </w:p>
    <w:p w14:paraId="55B2B165">
      <w:pPr>
        <w:widowControl/>
        <w:snapToGrid w:val="0"/>
        <w:spacing w:line="360" w:lineRule="auto"/>
        <w:jc w:val="right"/>
        <w:rPr>
          <w:kern w:val="0"/>
          <w:szCs w:val="21"/>
        </w:rPr>
      </w:pPr>
    </w:p>
    <w:p w14:paraId="55B2B166">
      <w:pPr>
        <w:spacing w:line="360" w:lineRule="auto"/>
        <w:outlineLvl w:val="2"/>
        <w:rPr>
          <w:b/>
          <w:kern w:val="0"/>
          <w:sz w:val="24"/>
        </w:rPr>
      </w:pPr>
      <w:r>
        <w:rPr>
          <w:b/>
          <w:kern w:val="0"/>
          <w:sz w:val="24"/>
        </w:rPr>
        <w:t>3.授权委托书</w:t>
      </w:r>
    </w:p>
    <w:p w14:paraId="55B2B167">
      <w:pPr>
        <w:widowControl/>
        <w:snapToGrid w:val="0"/>
        <w:spacing w:line="440" w:lineRule="exact"/>
        <w:jc w:val="left"/>
        <w:rPr>
          <w:rFonts w:eastAsia="黑体"/>
          <w:kern w:val="0"/>
          <w:sz w:val="20"/>
          <w:szCs w:val="20"/>
        </w:rPr>
      </w:pPr>
    </w:p>
    <w:p w14:paraId="55B2B168">
      <w:pPr>
        <w:widowControl/>
        <w:snapToGrid w:val="0"/>
        <w:spacing w:line="440" w:lineRule="exact"/>
        <w:jc w:val="left"/>
        <w:rPr>
          <w:rFonts w:eastAsia="黑体"/>
          <w:kern w:val="0"/>
          <w:sz w:val="20"/>
          <w:szCs w:val="20"/>
        </w:rPr>
      </w:pPr>
    </w:p>
    <w:p w14:paraId="55B2B169">
      <w:pPr>
        <w:widowControl/>
        <w:wordWrap w:val="0"/>
        <w:snapToGrid w:val="0"/>
        <w:spacing w:line="360" w:lineRule="auto"/>
        <w:ind w:firstLine="420" w:firstLineChars="200"/>
        <w:jc w:val="left"/>
        <w:rPr>
          <w:kern w:val="0"/>
          <w:szCs w:val="21"/>
        </w:rPr>
      </w:pPr>
      <w:r>
        <w:rPr>
          <w:rFonts w:hint="eastAsia"/>
          <w:kern w:val="0"/>
          <w:szCs w:val="21"/>
        </w:rPr>
        <w:t>本人</w:t>
      </w:r>
      <w:r>
        <w:rPr>
          <w:rFonts w:hint="eastAsia"/>
          <w:kern w:val="0"/>
          <w:szCs w:val="21"/>
          <w:u w:val="single"/>
        </w:rPr>
        <w:t>（姓名）</w:t>
      </w:r>
      <w:r>
        <w:rPr>
          <w:rFonts w:hint="eastAsia"/>
          <w:kern w:val="0"/>
          <w:szCs w:val="21"/>
        </w:rPr>
        <w:t>系</w:t>
      </w:r>
      <w:r>
        <w:rPr>
          <w:rFonts w:hint="eastAsia"/>
          <w:kern w:val="0"/>
          <w:szCs w:val="21"/>
          <w:u w:val="single"/>
        </w:rPr>
        <w:t>（</w:t>
      </w:r>
      <w:r>
        <w:rPr>
          <w:kern w:val="0"/>
          <w:szCs w:val="21"/>
          <w:u w:val="single"/>
        </w:rPr>
        <w:t>谈判申请人</w:t>
      </w:r>
      <w:r>
        <w:rPr>
          <w:rFonts w:hint="eastAsia"/>
          <w:kern w:val="0"/>
          <w:szCs w:val="21"/>
          <w:u w:val="single"/>
        </w:rPr>
        <w:t>名称）</w:t>
      </w:r>
      <w:r>
        <w:rPr>
          <w:rFonts w:hint="eastAsia"/>
          <w:kern w:val="0"/>
          <w:szCs w:val="21"/>
        </w:rPr>
        <w:t>的法定代表人，现委托</w:t>
      </w:r>
      <w:r>
        <w:rPr>
          <w:rFonts w:hint="eastAsia"/>
          <w:kern w:val="0"/>
          <w:szCs w:val="21"/>
          <w:u w:val="single"/>
        </w:rPr>
        <w:t>（姓名）</w:t>
      </w:r>
      <w:r>
        <w:rPr>
          <w:rFonts w:hint="eastAsia"/>
          <w:kern w:val="0"/>
          <w:szCs w:val="21"/>
        </w:rPr>
        <w:t>为我方代理人。代理人根据授权，以我方名义签署、澄清确认、递交、撤回、修改采购项目</w:t>
      </w:r>
      <w:r>
        <w:rPr>
          <w:kern w:val="0"/>
          <w:szCs w:val="21"/>
        </w:rPr>
        <w:t>响应文件</w:t>
      </w:r>
      <w:r>
        <w:rPr>
          <w:rFonts w:hint="eastAsia"/>
          <w:kern w:val="0"/>
          <w:szCs w:val="21"/>
        </w:rPr>
        <w:t>、签订合同和处理有关事宜，其法律后果由我方承担。</w:t>
      </w:r>
    </w:p>
    <w:p w14:paraId="55B2B16A">
      <w:pPr>
        <w:widowControl/>
        <w:snapToGrid w:val="0"/>
        <w:spacing w:line="360" w:lineRule="auto"/>
        <w:ind w:firstLine="420" w:firstLineChars="200"/>
        <w:jc w:val="left"/>
        <w:rPr>
          <w:kern w:val="0"/>
          <w:szCs w:val="21"/>
        </w:rPr>
      </w:pPr>
      <w:r>
        <w:rPr>
          <w:rFonts w:hint="eastAsia"/>
          <w:kern w:val="0"/>
          <w:szCs w:val="21"/>
        </w:rPr>
        <w:t>委托期限：</w:t>
      </w:r>
      <w:r>
        <w:rPr>
          <w:kern w:val="0"/>
          <w:szCs w:val="21"/>
          <w:u w:val="single"/>
        </w:rPr>
        <w:t xml:space="preserve">            </w:t>
      </w:r>
      <w:r>
        <w:rPr>
          <w:rFonts w:hint="eastAsia"/>
          <w:kern w:val="0"/>
          <w:szCs w:val="21"/>
        </w:rPr>
        <w:t>。</w:t>
      </w:r>
    </w:p>
    <w:p w14:paraId="55B2B16B">
      <w:pPr>
        <w:widowControl/>
        <w:snapToGrid w:val="0"/>
        <w:spacing w:line="360" w:lineRule="auto"/>
        <w:ind w:firstLine="420" w:firstLineChars="200"/>
        <w:jc w:val="left"/>
        <w:rPr>
          <w:kern w:val="0"/>
          <w:szCs w:val="21"/>
        </w:rPr>
      </w:pPr>
      <w:r>
        <w:rPr>
          <w:rFonts w:hint="eastAsia"/>
          <w:kern w:val="0"/>
          <w:szCs w:val="21"/>
        </w:rPr>
        <w:t>代理人无转委托权。</w:t>
      </w:r>
    </w:p>
    <w:p w14:paraId="55B2B16C">
      <w:pPr>
        <w:widowControl/>
        <w:snapToGrid w:val="0"/>
        <w:spacing w:line="360" w:lineRule="auto"/>
        <w:jc w:val="left"/>
        <w:rPr>
          <w:kern w:val="0"/>
          <w:szCs w:val="21"/>
        </w:rPr>
      </w:pPr>
    </w:p>
    <w:p w14:paraId="55B2B16D">
      <w:pPr>
        <w:widowControl/>
        <w:snapToGrid w:val="0"/>
        <w:spacing w:line="360" w:lineRule="auto"/>
        <w:jc w:val="left"/>
        <w:rPr>
          <w:kern w:val="0"/>
          <w:szCs w:val="21"/>
        </w:rPr>
      </w:pPr>
      <w:r>
        <w:rPr>
          <w:rFonts w:hint="eastAsia"/>
          <w:kern w:val="0"/>
          <w:szCs w:val="21"/>
        </w:rPr>
        <w:t>附：法定代表人身份证复印件及委托代理人身份证复印件</w:t>
      </w:r>
    </w:p>
    <w:p w14:paraId="55B2B16E">
      <w:pPr>
        <w:widowControl/>
        <w:snapToGrid w:val="0"/>
        <w:spacing w:line="360" w:lineRule="auto"/>
        <w:jc w:val="left"/>
        <w:rPr>
          <w:kern w:val="0"/>
          <w:szCs w:val="21"/>
        </w:rPr>
      </w:pPr>
    </w:p>
    <w:p w14:paraId="55B2B16F">
      <w:pPr>
        <w:widowControl/>
        <w:snapToGrid w:val="0"/>
        <w:spacing w:line="360" w:lineRule="auto"/>
        <w:jc w:val="left"/>
        <w:rPr>
          <w:kern w:val="0"/>
          <w:szCs w:val="21"/>
        </w:rPr>
      </w:pPr>
    </w:p>
    <w:p w14:paraId="55B2B170">
      <w:pPr>
        <w:snapToGrid w:val="0"/>
        <w:spacing w:line="360" w:lineRule="auto"/>
        <w:ind w:firstLine="420" w:firstLineChars="200"/>
        <w:rPr>
          <w:kern w:val="0"/>
          <w:szCs w:val="21"/>
        </w:rPr>
      </w:pPr>
    </w:p>
    <w:p w14:paraId="55B2B171">
      <w:pPr>
        <w:snapToGrid w:val="0"/>
        <w:spacing w:line="360" w:lineRule="auto"/>
        <w:ind w:firstLine="4830" w:firstLineChars="2300"/>
        <w:rPr>
          <w:kern w:val="0"/>
          <w:szCs w:val="21"/>
        </w:rPr>
      </w:pPr>
      <w:r>
        <w:rPr>
          <w:kern w:val="0"/>
          <w:szCs w:val="21"/>
        </w:rPr>
        <w:t>谈判申请人</w:t>
      </w:r>
      <w:r>
        <w:rPr>
          <w:rFonts w:hint="eastAsia"/>
          <w:kern w:val="0"/>
          <w:szCs w:val="21"/>
        </w:rPr>
        <w:t>：（</w:t>
      </w:r>
      <w:r>
        <w:rPr>
          <w:kern w:val="0"/>
          <w:szCs w:val="21"/>
        </w:rPr>
        <w:t>盖单位公章</w:t>
      </w:r>
      <w:r>
        <w:rPr>
          <w:rFonts w:hint="eastAsia"/>
          <w:kern w:val="0"/>
          <w:szCs w:val="21"/>
        </w:rPr>
        <w:t>）</w:t>
      </w:r>
    </w:p>
    <w:p w14:paraId="55B2B172">
      <w:pPr>
        <w:snapToGrid w:val="0"/>
        <w:spacing w:line="360" w:lineRule="auto"/>
        <w:rPr>
          <w:kern w:val="0"/>
          <w:szCs w:val="21"/>
        </w:rPr>
      </w:pPr>
    </w:p>
    <w:p w14:paraId="55B2B173">
      <w:pPr>
        <w:snapToGrid w:val="0"/>
        <w:spacing w:line="360" w:lineRule="auto"/>
        <w:ind w:firstLine="4830" w:firstLineChars="2300"/>
        <w:rPr>
          <w:kern w:val="0"/>
          <w:szCs w:val="21"/>
        </w:rPr>
      </w:pPr>
      <w:r>
        <w:rPr>
          <w:rFonts w:hint="eastAsia"/>
          <w:kern w:val="0"/>
          <w:szCs w:val="21"/>
        </w:rPr>
        <w:t>法定代表人：（</w:t>
      </w:r>
      <w:r>
        <w:rPr>
          <w:kern w:val="0"/>
          <w:szCs w:val="21"/>
        </w:rPr>
        <w:t>签字或盖章</w:t>
      </w:r>
      <w:r>
        <w:rPr>
          <w:rFonts w:hint="eastAsia"/>
          <w:kern w:val="0"/>
          <w:szCs w:val="21"/>
        </w:rPr>
        <w:t>）</w:t>
      </w:r>
    </w:p>
    <w:p w14:paraId="55B2B174">
      <w:pPr>
        <w:snapToGrid w:val="0"/>
        <w:spacing w:line="360" w:lineRule="auto"/>
        <w:rPr>
          <w:kern w:val="0"/>
          <w:szCs w:val="21"/>
        </w:rPr>
      </w:pPr>
    </w:p>
    <w:p w14:paraId="55B2B175">
      <w:pPr>
        <w:snapToGrid w:val="0"/>
        <w:spacing w:line="360" w:lineRule="auto"/>
        <w:ind w:firstLine="4830" w:firstLineChars="2300"/>
        <w:rPr>
          <w:kern w:val="0"/>
          <w:szCs w:val="21"/>
        </w:rPr>
      </w:pPr>
      <w:r>
        <w:rPr>
          <w:rFonts w:hint="eastAsia"/>
          <w:kern w:val="0"/>
          <w:szCs w:val="21"/>
        </w:rPr>
        <w:t>身份证号码：</w:t>
      </w:r>
    </w:p>
    <w:p w14:paraId="55B2B176">
      <w:pPr>
        <w:snapToGrid w:val="0"/>
        <w:spacing w:line="360" w:lineRule="auto"/>
        <w:rPr>
          <w:kern w:val="0"/>
          <w:szCs w:val="21"/>
        </w:rPr>
      </w:pPr>
    </w:p>
    <w:p w14:paraId="55B2B177">
      <w:pPr>
        <w:snapToGrid w:val="0"/>
        <w:spacing w:line="360" w:lineRule="auto"/>
        <w:ind w:firstLine="4830" w:firstLineChars="2300"/>
        <w:rPr>
          <w:kern w:val="0"/>
          <w:szCs w:val="21"/>
        </w:rPr>
      </w:pPr>
      <w:r>
        <w:rPr>
          <w:rFonts w:hint="eastAsia"/>
          <w:kern w:val="0"/>
          <w:szCs w:val="21"/>
        </w:rPr>
        <w:t>委托代理人：（签字</w:t>
      </w:r>
      <w:r>
        <w:rPr>
          <w:kern w:val="0"/>
          <w:szCs w:val="21"/>
        </w:rPr>
        <w:t>或盖章</w:t>
      </w:r>
      <w:r>
        <w:rPr>
          <w:rFonts w:hint="eastAsia"/>
          <w:kern w:val="0"/>
          <w:szCs w:val="21"/>
        </w:rPr>
        <w:t>）</w:t>
      </w:r>
    </w:p>
    <w:p w14:paraId="55B2B178">
      <w:pPr>
        <w:snapToGrid w:val="0"/>
        <w:spacing w:line="360" w:lineRule="auto"/>
        <w:rPr>
          <w:kern w:val="0"/>
          <w:szCs w:val="21"/>
        </w:rPr>
      </w:pPr>
    </w:p>
    <w:p w14:paraId="55B2B179">
      <w:pPr>
        <w:snapToGrid w:val="0"/>
        <w:spacing w:line="360" w:lineRule="auto"/>
        <w:ind w:firstLine="4830" w:firstLineChars="2300"/>
        <w:rPr>
          <w:kern w:val="0"/>
          <w:szCs w:val="21"/>
        </w:rPr>
      </w:pPr>
      <w:r>
        <w:rPr>
          <w:rFonts w:hint="eastAsia"/>
          <w:kern w:val="0"/>
          <w:szCs w:val="21"/>
        </w:rPr>
        <w:t>身份证号码：</w:t>
      </w:r>
    </w:p>
    <w:p w14:paraId="55B2B17A">
      <w:pPr>
        <w:snapToGrid w:val="0"/>
        <w:spacing w:line="360" w:lineRule="auto"/>
        <w:rPr>
          <w:kern w:val="0"/>
          <w:szCs w:val="21"/>
        </w:rPr>
      </w:pPr>
    </w:p>
    <w:p w14:paraId="55B2B17B">
      <w:pPr>
        <w:wordWrap w:val="0"/>
        <w:snapToGrid w:val="0"/>
        <w:spacing w:line="360" w:lineRule="auto"/>
        <w:ind w:right="525" w:firstLine="3360" w:firstLineChars="1600"/>
        <w:jc w:val="right"/>
        <w:rPr>
          <w:kern w:val="0"/>
          <w:szCs w:val="21"/>
        </w:rPr>
      </w:pPr>
      <w:r>
        <w:rPr>
          <w:kern w:val="0"/>
          <w:szCs w:val="21"/>
        </w:rPr>
        <w:t xml:space="preserve">日期：   </w:t>
      </w:r>
      <w:r>
        <w:rPr>
          <w:rFonts w:hint="eastAsia"/>
          <w:kern w:val="0"/>
          <w:szCs w:val="21"/>
        </w:rPr>
        <w:t>年</w:t>
      </w:r>
      <w:r>
        <w:rPr>
          <w:kern w:val="0"/>
          <w:szCs w:val="21"/>
        </w:rPr>
        <w:t xml:space="preserve">   </w:t>
      </w:r>
      <w:r>
        <w:rPr>
          <w:rFonts w:hint="eastAsia"/>
          <w:kern w:val="0"/>
          <w:szCs w:val="21"/>
        </w:rPr>
        <w:t>月</w:t>
      </w:r>
      <w:r>
        <w:rPr>
          <w:kern w:val="0"/>
          <w:szCs w:val="21"/>
        </w:rPr>
        <w:t xml:space="preserve">   </w:t>
      </w:r>
      <w:r>
        <w:rPr>
          <w:rFonts w:hint="eastAsia"/>
          <w:kern w:val="0"/>
          <w:szCs w:val="21"/>
        </w:rPr>
        <w:t>日</w:t>
      </w:r>
    </w:p>
    <w:p w14:paraId="55B2B17C">
      <w:pPr>
        <w:widowControl/>
        <w:jc w:val="left"/>
        <w:rPr>
          <w:kern w:val="0"/>
          <w:szCs w:val="21"/>
        </w:rPr>
      </w:pPr>
      <w:r>
        <w:rPr>
          <w:kern w:val="0"/>
          <w:szCs w:val="21"/>
        </w:rPr>
        <w:br w:type="page"/>
      </w:r>
    </w:p>
    <w:p w14:paraId="55B2B17D">
      <w:pPr>
        <w:spacing w:line="360" w:lineRule="auto"/>
        <w:outlineLvl w:val="2"/>
        <w:rPr>
          <w:b/>
          <w:kern w:val="0"/>
          <w:sz w:val="24"/>
        </w:rPr>
      </w:pPr>
      <w:r>
        <w:rPr>
          <w:b/>
          <w:kern w:val="0"/>
          <w:sz w:val="24"/>
        </w:rPr>
        <w:t>4.谈判保证金</w:t>
      </w:r>
    </w:p>
    <w:p w14:paraId="55B2B17E">
      <w:pPr>
        <w:widowControl/>
        <w:snapToGrid w:val="0"/>
        <w:spacing w:line="360" w:lineRule="auto"/>
        <w:ind w:firstLine="420" w:firstLineChars="200"/>
        <w:rPr>
          <w:kern w:val="0"/>
          <w:szCs w:val="21"/>
        </w:rPr>
      </w:pPr>
      <w:r>
        <w:rPr>
          <w:kern w:val="0"/>
          <w:szCs w:val="21"/>
        </w:rPr>
        <w:t>缴纳截图</w:t>
      </w:r>
      <w:r>
        <w:rPr>
          <w:rFonts w:hint="eastAsia"/>
          <w:kern w:val="0"/>
          <w:szCs w:val="21"/>
          <w:lang w:eastAsia="zh-CN"/>
        </w:rPr>
        <w:t>或</w:t>
      </w:r>
      <w:r>
        <w:rPr>
          <w:kern w:val="0"/>
          <w:szCs w:val="21"/>
        </w:rPr>
        <w:t>电汇网银底单复印件</w:t>
      </w:r>
    </w:p>
    <w:p w14:paraId="55B2B17F">
      <w:pPr>
        <w:widowControl/>
        <w:snapToGrid w:val="0"/>
        <w:spacing w:line="360" w:lineRule="auto"/>
        <w:jc w:val="left"/>
        <w:rPr>
          <w:kern w:val="0"/>
          <w:szCs w:val="21"/>
        </w:rPr>
      </w:pPr>
    </w:p>
    <w:p w14:paraId="55B2B180">
      <w:pPr>
        <w:widowControl/>
        <w:snapToGrid w:val="0"/>
        <w:spacing w:line="360" w:lineRule="auto"/>
        <w:jc w:val="left"/>
        <w:rPr>
          <w:kern w:val="0"/>
          <w:szCs w:val="21"/>
        </w:rPr>
      </w:pPr>
    </w:p>
    <w:p w14:paraId="55B2B181">
      <w:pPr>
        <w:widowControl/>
        <w:snapToGrid w:val="0"/>
        <w:spacing w:line="360" w:lineRule="auto"/>
        <w:jc w:val="left"/>
        <w:rPr>
          <w:kern w:val="0"/>
          <w:szCs w:val="21"/>
        </w:rPr>
      </w:pPr>
    </w:p>
    <w:p w14:paraId="55B2B182">
      <w:pPr>
        <w:widowControl/>
        <w:snapToGrid w:val="0"/>
        <w:spacing w:line="360" w:lineRule="auto"/>
        <w:jc w:val="left"/>
        <w:rPr>
          <w:kern w:val="0"/>
          <w:szCs w:val="21"/>
        </w:rPr>
      </w:pPr>
    </w:p>
    <w:p w14:paraId="55B2B183">
      <w:pPr>
        <w:widowControl/>
        <w:jc w:val="left"/>
        <w:rPr>
          <w:kern w:val="0"/>
          <w:szCs w:val="21"/>
        </w:rPr>
      </w:pPr>
      <w:r>
        <w:rPr>
          <w:kern w:val="0"/>
          <w:szCs w:val="21"/>
        </w:rPr>
        <w:br w:type="page"/>
      </w:r>
    </w:p>
    <w:p w14:paraId="55B2B184">
      <w:pPr>
        <w:spacing w:line="360" w:lineRule="auto"/>
        <w:outlineLvl w:val="2"/>
        <w:rPr>
          <w:b/>
          <w:kern w:val="0"/>
          <w:sz w:val="24"/>
        </w:rPr>
      </w:pPr>
      <w:r>
        <w:rPr>
          <w:b/>
          <w:kern w:val="0"/>
          <w:sz w:val="24"/>
        </w:rPr>
        <w:t>5.商务和技术偏差表</w:t>
      </w:r>
    </w:p>
    <w:p w14:paraId="55B2B185">
      <w:pPr>
        <w:widowControl/>
        <w:snapToGrid w:val="0"/>
        <w:spacing w:line="360" w:lineRule="auto"/>
        <w:ind w:firstLine="420" w:firstLineChars="200"/>
        <w:jc w:val="left"/>
        <w:rPr>
          <w:kern w:val="0"/>
          <w:szCs w:val="21"/>
        </w:rPr>
      </w:pPr>
      <w:r>
        <w:rPr>
          <w:rFonts w:hint="eastAsia"/>
          <w:kern w:val="0"/>
          <w:szCs w:val="21"/>
        </w:rPr>
        <w:t>□A、我公司已详细阅读</w:t>
      </w:r>
      <w:r>
        <w:rPr>
          <w:kern w:val="0"/>
          <w:szCs w:val="21"/>
        </w:rPr>
        <w:t>谈判文件</w:t>
      </w:r>
      <w:r>
        <w:rPr>
          <w:rFonts w:hint="eastAsia"/>
          <w:kern w:val="0"/>
          <w:szCs w:val="21"/>
        </w:rPr>
        <w:t>中</w:t>
      </w:r>
      <w:r>
        <w:rPr>
          <w:kern w:val="0"/>
          <w:szCs w:val="21"/>
        </w:rPr>
        <w:t>商务及技术</w:t>
      </w:r>
      <w:r>
        <w:rPr>
          <w:rFonts w:hint="eastAsia"/>
          <w:kern w:val="0"/>
          <w:szCs w:val="21"/>
        </w:rPr>
        <w:t>要求，所有商务</w:t>
      </w:r>
      <w:r>
        <w:rPr>
          <w:kern w:val="0"/>
          <w:szCs w:val="21"/>
        </w:rPr>
        <w:t>及技术</w:t>
      </w:r>
      <w:r>
        <w:rPr>
          <w:rFonts w:hint="eastAsia"/>
          <w:kern w:val="0"/>
          <w:szCs w:val="21"/>
        </w:rPr>
        <w:t>要求均无偏</w:t>
      </w:r>
      <w:r>
        <w:rPr>
          <w:kern w:val="0"/>
          <w:szCs w:val="21"/>
        </w:rPr>
        <w:t>差</w:t>
      </w:r>
      <w:r>
        <w:rPr>
          <w:rFonts w:hint="eastAsia"/>
          <w:kern w:val="0"/>
          <w:szCs w:val="21"/>
        </w:rPr>
        <w:t>，成交后我公司将严格遵照执行。</w:t>
      </w:r>
    </w:p>
    <w:p w14:paraId="55B2B186">
      <w:pPr>
        <w:widowControl/>
        <w:snapToGrid w:val="0"/>
        <w:spacing w:line="360" w:lineRule="auto"/>
        <w:ind w:firstLine="420" w:firstLineChars="200"/>
        <w:jc w:val="left"/>
        <w:rPr>
          <w:kern w:val="0"/>
          <w:sz w:val="20"/>
          <w:szCs w:val="20"/>
        </w:rPr>
      </w:pPr>
      <w:r>
        <w:rPr>
          <w:rFonts w:hint="eastAsia"/>
          <w:kern w:val="0"/>
          <w:szCs w:val="21"/>
        </w:rPr>
        <w:t>□B、我公司已详细阅读</w:t>
      </w:r>
      <w:r>
        <w:rPr>
          <w:kern w:val="0"/>
          <w:szCs w:val="21"/>
        </w:rPr>
        <w:t>谈判文件</w:t>
      </w:r>
      <w:r>
        <w:rPr>
          <w:rFonts w:hint="eastAsia"/>
          <w:kern w:val="0"/>
          <w:szCs w:val="21"/>
          <w:lang w:eastAsia="zh-CN"/>
        </w:rPr>
        <w:t>中各</w:t>
      </w:r>
      <w:r>
        <w:rPr>
          <w:rFonts w:hint="eastAsia"/>
          <w:kern w:val="0"/>
          <w:szCs w:val="21"/>
        </w:rPr>
        <w:t>项商务</w:t>
      </w:r>
      <w:r>
        <w:rPr>
          <w:kern w:val="0"/>
          <w:szCs w:val="21"/>
        </w:rPr>
        <w:t>及技术</w:t>
      </w:r>
      <w:r>
        <w:rPr>
          <w:rFonts w:hint="eastAsia"/>
          <w:kern w:val="0"/>
          <w:szCs w:val="21"/>
        </w:rPr>
        <w:t>要求，除★条款</w:t>
      </w:r>
      <w:r>
        <w:rPr>
          <w:kern w:val="0"/>
          <w:szCs w:val="21"/>
        </w:rPr>
        <w:t>仅允许正偏差外</w:t>
      </w:r>
      <w:r>
        <w:rPr>
          <w:rFonts w:hint="eastAsia"/>
          <w:kern w:val="0"/>
          <w:szCs w:val="21"/>
        </w:rPr>
        <w:t>，其余条款我公司均予以认可或偏</w:t>
      </w:r>
      <w:r>
        <w:rPr>
          <w:kern w:val="0"/>
          <w:szCs w:val="21"/>
        </w:rPr>
        <w:t>差</w:t>
      </w:r>
      <w:r>
        <w:rPr>
          <w:rFonts w:hint="eastAsia"/>
          <w:kern w:val="0"/>
          <w:szCs w:val="21"/>
        </w:rPr>
        <w:t>响应</w:t>
      </w:r>
      <w:r>
        <w:rPr>
          <w:kern w:val="0"/>
          <w:szCs w:val="21"/>
        </w:rPr>
        <w:t>响应文件</w:t>
      </w:r>
      <w:r>
        <w:rPr>
          <w:rFonts w:hint="eastAsia"/>
          <w:kern w:val="0"/>
          <w:szCs w:val="21"/>
        </w:rPr>
        <w:t>，成交后将严格遵照执行。</w:t>
      </w:r>
    </w:p>
    <w:p w14:paraId="55B2B187">
      <w:pPr>
        <w:widowControl/>
        <w:snapToGrid w:val="0"/>
        <w:spacing w:line="360" w:lineRule="auto"/>
        <w:jc w:val="left"/>
        <w:rPr>
          <w:kern w:val="0"/>
          <w:szCs w:val="20"/>
        </w:rPr>
      </w:pPr>
      <w:r>
        <w:rPr>
          <w:kern w:val="0"/>
          <w:szCs w:val="20"/>
        </w:rPr>
        <w:t>响应文件偏差</w:t>
      </w:r>
      <w:r>
        <w:rPr>
          <w:rFonts w:hint="eastAsia"/>
          <w:kern w:val="0"/>
          <w:szCs w:val="20"/>
        </w:rPr>
        <w:t>的商务及技术条款</w:t>
      </w:r>
    </w:p>
    <w:tbl>
      <w:tblPr>
        <w:tblStyle w:val="18"/>
        <w:tblW w:w="0" w:type="auto"/>
        <w:tblInd w:w="0" w:type="dxa"/>
        <w:tblLayout w:type="fixed"/>
        <w:tblCellMar>
          <w:top w:w="0" w:type="dxa"/>
          <w:left w:w="0" w:type="dxa"/>
          <w:bottom w:w="0" w:type="dxa"/>
          <w:right w:w="0" w:type="dxa"/>
        </w:tblCellMar>
      </w:tblPr>
      <w:tblGrid>
        <w:gridCol w:w="1013"/>
        <w:gridCol w:w="3776"/>
        <w:gridCol w:w="2399"/>
        <w:gridCol w:w="1645"/>
      </w:tblGrid>
      <w:tr w14:paraId="55B2B18C">
        <w:tblPrEx>
          <w:tblCellMar>
            <w:top w:w="0" w:type="dxa"/>
            <w:left w:w="0" w:type="dxa"/>
            <w:bottom w:w="0" w:type="dxa"/>
            <w:right w:w="0" w:type="dxa"/>
          </w:tblCellMar>
        </w:tblPrEx>
        <w:trPr>
          <w:trHeight w:val="792"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88">
            <w:pPr>
              <w:widowControl/>
              <w:snapToGrid w:val="0"/>
              <w:jc w:val="center"/>
              <w:rPr>
                <w:kern w:val="0"/>
                <w:szCs w:val="21"/>
              </w:rPr>
            </w:pPr>
            <w:r>
              <w:rPr>
                <w:kern w:val="0"/>
                <w:szCs w:val="21"/>
              </w:rPr>
              <w:t>序号</w:t>
            </w:r>
          </w:p>
        </w:tc>
        <w:tc>
          <w:tcPr>
            <w:tcW w:w="37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89">
            <w:pPr>
              <w:widowControl/>
              <w:snapToGrid w:val="0"/>
              <w:jc w:val="center"/>
              <w:rPr>
                <w:kern w:val="0"/>
                <w:szCs w:val="21"/>
              </w:rPr>
            </w:pPr>
            <w:r>
              <w:rPr>
                <w:kern w:val="0"/>
                <w:szCs w:val="21"/>
              </w:rPr>
              <w:t>谈判文件章节及条款号</w:t>
            </w:r>
          </w:p>
        </w:tc>
        <w:tc>
          <w:tcPr>
            <w:tcW w:w="2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8A">
            <w:pPr>
              <w:widowControl/>
              <w:snapToGrid w:val="0"/>
              <w:jc w:val="center"/>
              <w:rPr>
                <w:kern w:val="0"/>
                <w:szCs w:val="21"/>
              </w:rPr>
            </w:pPr>
            <w:r>
              <w:rPr>
                <w:kern w:val="0"/>
                <w:szCs w:val="21"/>
              </w:rPr>
              <w:t>响应文件章节及条款号</w:t>
            </w: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8B">
            <w:pPr>
              <w:widowControl/>
              <w:snapToGrid w:val="0"/>
              <w:jc w:val="center"/>
              <w:rPr>
                <w:kern w:val="0"/>
                <w:szCs w:val="21"/>
              </w:rPr>
            </w:pPr>
            <w:r>
              <w:rPr>
                <w:rFonts w:hint="eastAsia"/>
                <w:kern w:val="0"/>
                <w:szCs w:val="21"/>
              </w:rPr>
              <w:t>偏</w:t>
            </w:r>
            <w:r>
              <w:rPr>
                <w:kern w:val="0"/>
                <w:szCs w:val="21"/>
              </w:rPr>
              <w:t>差</w:t>
            </w:r>
            <w:r>
              <w:rPr>
                <w:rFonts w:hint="eastAsia"/>
                <w:kern w:val="0"/>
                <w:szCs w:val="21"/>
              </w:rPr>
              <w:t>说明</w:t>
            </w:r>
          </w:p>
        </w:tc>
      </w:tr>
      <w:tr w14:paraId="55B2B191">
        <w:tblPrEx>
          <w:tblCellMar>
            <w:top w:w="0" w:type="dxa"/>
            <w:left w:w="0" w:type="dxa"/>
            <w:bottom w:w="0" w:type="dxa"/>
            <w:right w:w="0" w:type="dxa"/>
          </w:tblCellMar>
        </w:tblPrEx>
        <w:trPr>
          <w:trHeight w:val="396"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8D">
            <w:pPr>
              <w:widowControl/>
              <w:snapToGrid w:val="0"/>
              <w:spacing w:line="360" w:lineRule="auto"/>
              <w:jc w:val="center"/>
              <w:rPr>
                <w:kern w:val="0"/>
                <w:sz w:val="20"/>
                <w:szCs w:val="20"/>
              </w:rPr>
            </w:pPr>
          </w:p>
        </w:tc>
        <w:tc>
          <w:tcPr>
            <w:tcW w:w="37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8E">
            <w:pPr>
              <w:widowControl/>
              <w:snapToGrid w:val="0"/>
              <w:spacing w:line="360" w:lineRule="auto"/>
              <w:jc w:val="center"/>
              <w:rPr>
                <w:kern w:val="0"/>
                <w:sz w:val="20"/>
                <w:szCs w:val="20"/>
              </w:rPr>
            </w:pPr>
          </w:p>
        </w:tc>
        <w:tc>
          <w:tcPr>
            <w:tcW w:w="2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8F">
            <w:pPr>
              <w:widowControl/>
              <w:snapToGrid w:val="0"/>
              <w:spacing w:line="360" w:lineRule="auto"/>
              <w:jc w:val="center"/>
              <w:rPr>
                <w:kern w:val="0"/>
                <w:sz w:val="20"/>
                <w:szCs w:val="20"/>
              </w:rPr>
            </w:pP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0">
            <w:pPr>
              <w:widowControl/>
              <w:snapToGrid w:val="0"/>
              <w:spacing w:line="360" w:lineRule="auto"/>
              <w:jc w:val="center"/>
              <w:rPr>
                <w:kern w:val="0"/>
                <w:sz w:val="20"/>
                <w:szCs w:val="20"/>
              </w:rPr>
            </w:pPr>
          </w:p>
        </w:tc>
      </w:tr>
      <w:tr w14:paraId="55B2B196">
        <w:tblPrEx>
          <w:tblCellMar>
            <w:top w:w="0" w:type="dxa"/>
            <w:left w:w="0" w:type="dxa"/>
            <w:bottom w:w="0" w:type="dxa"/>
            <w:right w:w="0" w:type="dxa"/>
          </w:tblCellMar>
        </w:tblPrEx>
        <w:trPr>
          <w:trHeight w:val="396"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2">
            <w:pPr>
              <w:widowControl/>
              <w:snapToGrid w:val="0"/>
              <w:spacing w:line="360" w:lineRule="auto"/>
              <w:jc w:val="center"/>
              <w:rPr>
                <w:kern w:val="0"/>
                <w:sz w:val="20"/>
                <w:szCs w:val="20"/>
              </w:rPr>
            </w:pPr>
          </w:p>
        </w:tc>
        <w:tc>
          <w:tcPr>
            <w:tcW w:w="37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3">
            <w:pPr>
              <w:widowControl/>
              <w:snapToGrid w:val="0"/>
              <w:spacing w:line="360" w:lineRule="auto"/>
              <w:jc w:val="center"/>
              <w:rPr>
                <w:kern w:val="0"/>
                <w:sz w:val="20"/>
                <w:szCs w:val="20"/>
              </w:rPr>
            </w:pPr>
          </w:p>
        </w:tc>
        <w:tc>
          <w:tcPr>
            <w:tcW w:w="2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4">
            <w:pPr>
              <w:widowControl/>
              <w:snapToGrid w:val="0"/>
              <w:spacing w:line="360" w:lineRule="auto"/>
              <w:jc w:val="center"/>
              <w:rPr>
                <w:kern w:val="0"/>
                <w:sz w:val="20"/>
                <w:szCs w:val="20"/>
              </w:rPr>
            </w:pP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5">
            <w:pPr>
              <w:widowControl/>
              <w:snapToGrid w:val="0"/>
              <w:spacing w:line="360" w:lineRule="auto"/>
              <w:jc w:val="center"/>
              <w:rPr>
                <w:kern w:val="0"/>
                <w:sz w:val="20"/>
                <w:szCs w:val="20"/>
              </w:rPr>
            </w:pPr>
          </w:p>
        </w:tc>
      </w:tr>
      <w:tr w14:paraId="55B2B19B">
        <w:tblPrEx>
          <w:tblCellMar>
            <w:top w:w="0" w:type="dxa"/>
            <w:left w:w="0" w:type="dxa"/>
            <w:bottom w:w="0" w:type="dxa"/>
            <w:right w:w="0" w:type="dxa"/>
          </w:tblCellMar>
        </w:tblPrEx>
        <w:trPr>
          <w:trHeight w:val="396"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7">
            <w:pPr>
              <w:widowControl/>
              <w:snapToGrid w:val="0"/>
              <w:spacing w:line="360" w:lineRule="auto"/>
              <w:jc w:val="center"/>
              <w:rPr>
                <w:kern w:val="0"/>
                <w:sz w:val="20"/>
                <w:szCs w:val="20"/>
              </w:rPr>
            </w:pPr>
          </w:p>
        </w:tc>
        <w:tc>
          <w:tcPr>
            <w:tcW w:w="37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8">
            <w:pPr>
              <w:widowControl/>
              <w:snapToGrid w:val="0"/>
              <w:spacing w:line="360" w:lineRule="auto"/>
              <w:jc w:val="center"/>
              <w:rPr>
                <w:kern w:val="0"/>
                <w:sz w:val="20"/>
                <w:szCs w:val="20"/>
              </w:rPr>
            </w:pPr>
          </w:p>
        </w:tc>
        <w:tc>
          <w:tcPr>
            <w:tcW w:w="2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9">
            <w:pPr>
              <w:widowControl/>
              <w:snapToGrid w:val="0"/>
              <w:spacing w:line="360" w:lineRule="auto"/>
              <w:jc w:val="center"/>
              <w:rPr>
                <w:kern w:val="0"/>
                <w:sz w:val="20"/>
                <w:szCs w:val="20"/>
              </w:rPr>
            </w:pP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A">
            <w:pPr>
              <w:widowControl/>
              <w:snapToGrid w:val="0"/>
              <w:spacing w:line="360" w:lineRule="auto"/>
              <w:jc w:val="center"/>
              <w:rPr>
                <w:kern w:val="0"/>
                <w:sz w:val="20"/>
                <w:szCs w:val="20"/>
              </w:rPr>
            </w:pPr>
          </w:p>
        </w:tc>
      </w:tr>
      <w:tr w14:paraId="55B2B1A0">
        <w:tblPrEx>
          <w:tblCellMar>
            <w:top w:w="0" w:type="dxa"/>
            <w:left w:w="0" w:type="dxa"/>
            <w:bottom w:w="0" w:type="dxa"/>
            <w:right w:w="0" w:type="dxa"/>
          </w:tblCellMar>
        </w:tblPrEx>
        <w:trPr>
          <w:trHeight w:val="396"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C">
            <w:pPr>
              <w:widowControl/>
              <w:snapToGrid w:val="0"/>
              <w:spacing w:line="360" w:lineRule="auto"/>
              <w:jc w:val="center"/>
              <w:rPr>
                <w:kern w:val="0"/>
                <w:sz w:val="20"/>
                <w:szCs w:val="20"/>
              </w:rPr>
            </w:pPr>
          </w:p>
        </w:tc>
        <w:tc>
          <w:tcPr>
            <w:tcW w:w="37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D">
            <w:pPr>
              <w:widowControl/>
              <w:snapToGrid w:val="0"/>
              <w:spacing w:line="360" w:lineRule="auto"/>
              <w:jc w:val="center"/>
              <w:rPr>
                <w:kern w:val="0"/>
                <w:sz w:val="20"/>
                <w:szCs w:val="20"/>
              </w:rPr>
            </w:pPr>
          </w:p>
        </w:tc>
        <w:tc>
          <w:tcPr>
            <w:tcW w:w="2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E">
            <w:pPr>
              <w:widowControl/>
              <w:snapToGrid w:val="0"/>
              <w:spacing w:line="360" w:lineRule="auto"/>
              <w:jc w:val="center"/>
              <w:rPr>
                <w:kern w:val="0"/>
                <w:sz w:val="20"/>
                <w:szCs w:val="20"/>
              </w:rPr>
            </w:pP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9F">
            <w:pPr>
              <w:widowControl/>
              <w:snapToGrid w:val="0"/>
              <w:spacing w:line="360" w:lineRule="auto"/>
              <w:jc w:val="center"/>
              <w:rPr>
                <w:kern w:val="0"/>
                <w:sz w:val="20"/>
                <w:szCs w:val="20"/>
              </w:rPr>
            </w:pPr>
          </w:p>
        </w:tc>
      </w:tr>
      <w:tr w14:paraId="55B2B1A5">
        <w:tblPrEx>
          <w:tblCellMar>
            <w:top w:w="0" w:type="dxa"/>
            <w:left w:w="0" w:type="dxa"/>
            <w:bottom w:w="0" w:type="dxa"/>
            <w:right w:w="0" w:type="dxa"/>
          </w:tblCellMar>
        </w:tblPrEx>
        <w:trPr>
          <w:trHeight w:val="396" w:hRule="atLeast"/>
        </w:trPr>
        <w:tc>
          <w:tcPr>
            <w:tcW w:w="10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A1">
            <w:pPr>
              <w:widowControl/>
              <w:snapToGrid w:val="0"/>
              <w:spacing w:line="360" w:lineRule="auto"/>
              <w:jc w:val="center"/>
              <w:rPr>
                <w:kern w:val="0"/>
                <w:sz w:val="20"/>
                <w:szCs w:val="20"/>
              </w:rPr>
            </w:pPr>
          </w:p>
        </w:tc>
        <w:tc>
          <w:tcPr>
            <w:tcW w:w="377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A2">
            <w:pPr>
              <w:widowControl/>
              <w:snapToGrid w:val="0"/>
              <w:spacing w:line="360" w:lineRule="auto"/>
              <w:jc w:val="center"/>
              <w:rPr>
                <w:kern w:val="0"/>
                <w:sz w:val="20"/>
                <w:szCs w:val="20"/>
              </w:rPr>
            </w:pPr>
          </w:p>
        </w:tc>
        <w:tc>
          <w:tcPr>
            <w:tcW w:w="2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A3">
            <w:pPr>
              <w:widowControl/>
              <w:snapToGrid w:val="0"/>
              <w:spacing w:line="360" w:lineRule="auto"/>
              <w:jc w:val="center"/>
              <w:rPr>
                <w:kern w:val="0"/>
                <w:sz w:val="20"/>
                <w:szCs w:val="20"/>
              </w:rPr>
            </w:pPr>
          </w:p>
        </w:tc>
        <w:tc>
          <w:tcPr>
            <w:tcW w:w="164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1A4">
            <w:pPr>
              <w:widowControl/>
              <w:snapToGrid w:val="0"/>
              <w:spacing w:line="360" w:lineRule="auto"/>
              <w:jc w:val="center"/>
              <w:rPr>
                <w:kern w:val="0"/>
                <w:sz w:val="20"/>
                <w:szCs w:val="20"/>
              </w:rPr>
            </w:pPr>
          </w:p>
        </w:tc>
      </w:tr>
    </w:tbl>
    <w:p w14:paraId="55B2B1A6">
      <w:pPr>
        <w:widowControl/>
        <w:snapToGrid w:val="0"/>
        <w:spacing w:line="360" w:lineRule="auto"/>
        <w:jc w:val="left"/>
        <w:rPr>
          <w:kern w:val="0"/>
          <w:sz w:val="20"/>
          <w:szCs w:val="20"/>
        </w:rPr>
      </w:pPr>
    </w:p>
    <w:p w14:paraId="55B2B1A7">
      <w:pPr>
        <w:widowControl/>
        <w:spacing w:line="360" w:lineRule="auto"/>
        <w:ind w:right="210" w:firstLine="420" w:firstLineChars="200"/>
        <w:rPr>
          <w:bCs/>
          <w:iCs/>
          <w:szCs w:val="21"/>
          <w:lang w:bidi="en-US"/>
        </w:rPr>
      </w:pPr>
    </w:p>
    <w:p w14:paraId="55B2B1A8">
      <w:pPr>
        <w:spacing w:line="360" w:lineRule="auto"/>
        <w:ind w:firstLine="420" w:firstLineChars="200"/>
        <w:rPr>
          <w:bCs/>
          <w:iCs/>
          <w:szCs w:val="21"/>
          <w:lang w:bidi="en-US"/>
        </w:rPr>
      </w:pPr>
      <w:r>
        <w:rPr>
          <w:bCs/>
          <w:iCs/>
          <w:szCs w:val="21"/>
          <w:lang w:bidi="en-US"/>
        </w:rPr>
        <w:t>谈判申请人</w:t>
      </w:r>
      <w:r>
        <w:rPr>
          <w:rFonts w:hint="eastAsia"/>
          <w:bCs/>
          <w:iCs/>
          <w:szCs w:val="21"/>
          <w:lang w:bidi="en-US"/>
        </w:rPr>
        <w:t>：（</w:t>
      </w:r>
      <w:r>
        <w:rPr>
          <w:bCs/>
          <w:iCs/>
          <w:szCs w:val="21"/>
          <w:lang w:bidi="en-US"/>
        </w:rPr>
        <w:t>盖单位公章</w:t>
      </w:r>
      <w:r>
        <w:rPr>
          <w:rFonts w:hint="eastAsia"/>
          <w:bCs/>
          <w:iCs/>
          <w:szCs w:val="21"/>
          <w:lang w:bidi="en-US"/>
        </w:rPr>
        <w:t>）</w:t>
      </w:r>
    </w:p>
    <w:p w14:paraId="55B2B1A9">
      <w:pPr>
        <w:spacing w:line="360" w:lineRule="auto"/>
        <w:ind w:firstLine="420" w:firstLineChars="200"/>
        <w:jc w:val="right"/>
        <w:rPr>
          <w:bCs/>
          <w:iCs/>
          <w:szCs w:val="21"/>
          <w:lang w:bidi="en-US"/>
        </w:rPr>
      </w:pPr>
    </w:p>
    <w:p w14:paraId="55B2B1AA">
      <w:pPr>
        <w:spacing w:line="360" w:lineRule="auto"/>
        <w:ind w:firstLine="420" w:firstLineChars="200"/>
        <w:rPr>
          <w:bCs/>
          <w:iCs/>
          <w:szCs w:val="21"/>
          <w:lang w:bidi="en-US"/>
        </w:rPr>
      </w:pPr>
      <w:r>
        <w:rPr>
          <w:rFonts w:hint="eastAsia"/>
          <w:bCs/>
          <w:iCs/>
          <w:szCs w:val="21"/>
          <w:lang w:bidi="en-US"/>
        </w:rPr>
        <w:t>法定代表人或委托代理人：（</w:t>
      </w:r>
      <w:r>
        <w:rPr>
          <w:bCs/>
          <w:iCs/>
          <w:szCs w:val="21"/>
          <w:lang w:bidi="en-US"/>
        </w:rPr>
        <w:t>签字或盖章</w:t>
      </w:r>
      <w:r>
        <w:rPr>
          <w:rFonts w:hint="eastAsia"/>
          <w:bCs/>
          <w:iCs/>
          <w:szCs w:val="21"/>
          <w:lang w:bidi="en-US"/>
        </w:rPr>
        <w:t>）</w:t>
      </w:r>
    </w:p>
    <w:p w14:paraId="55B2B1AB">
      <w:pPr>
        <w:spacing w:line="360" w:lineRule="auto"/>
        <w:ind w:firstLine="420" w:firstLineChars="200"/>
        <w:jc w:val="right"/>
        <w:rPr>
          <w:bCs/>
          <w:iCs/>
          <w:szCs w:val="21"/>
          <w:lang w:bidi="en-US"/>
        </w:rPr>
      </w:pPr>
    </w:p>
    <w:p w14:paraId="55B2B1AC">
      <w:pPr>
        <w:spacing w:line="360" w:lineRule="auto"/>
        <w:ind w:firstLine="420" w:firstLineChars="200"/>
        <w:rPr>
          <w:bCs/>
          <w:iCs/>
          <w:szCs w:val="21"/>
          <w:lang w:bidi="en-US"/>
        </w:rPr>
      </w:pPr>
      <w:r>
        <w:rPr>
          <w:bCs/>
          <w:iCs/>
          <w:szCs w:val="21"/>
          <w:lang w:bidi="en-US"/>
        </w:rPr>
        <w:t>日期：   年    月    日</w:t>
      </w:r>
    </w:p>
    <w:p w14:paraId="55B2B1AD">
      <w:pPr>
        <w:widowControl/>
        <w:snapToGrid w:val="0"/>
        <w:spacing w:line="360" w:lineRule="auto"/>
        <w:jc w:val="left"/>
        <w:rPr>
          <w:b/>
          <w:kern w:val="0"/>
          <w:sz w:val="18"/>
          <w:szCs w:val="18"/>
        </w:rPr>
      </w:pPr>
    </w:p>
    <w:p w14:paraId="55B2B1AE">
      <w:pPr>
        <w:widowControl/>
        <w:snapToGrid w:val="0"/>
        <w:spacing w:line="360" w:lineRule="auto"/>
        <w:jc w:val="left"/>
        <w:rPr>
          <w:b/>
          <w:kern w:val="0"/>
          <w:sz w:val="18"/>
          <w:szCs w:val="18"/>
        </w:rPr>
      </w:pPr>
    </w:p>
    <w:p w14:paraId="55B2B1AF">
      <w:pPr>
        <w:widowControl/>
        <w:snapToGrid w:val="0"/>
        <w:spacing w:line="360" w:lineRule="auto"/>
        <w:jc w:val="left"/>
        <w:rPr>
          <w:b/>
          <w:kern w:val="0"/>
          <w:sz w:val="18"/>
          <w:szCs w:val="18"/>
        </w:rPr>
      </w:pPr>
      <w:r>
        <w:rPr>
          <w:rFonts w:hint="eastAsia"/>
          <w:b/>
          <w:kern w:val="0"/>
          <w:sz w:val="18"/>
          <w:szCs w:val="18"/>
        </w:rPr>
        <w:t>表格填写说明：</w:t>
      </w:r>
    </w:p>
    <w:p w14:paraId="55B2B1B0">
      <w:pPr>
        <w:widowControl/>
        <w:snapToGrid w:val="0"/>
        <w:spacing w:line="360" w:lineRule="auto"/>
        <w:jc w:val="left"/>
        <w:rPr>
          <w:b/>
          <w:kern w:val="0"/>
          <w:sz w:val="18"/>
          <w:szCs w:val="18"/>
        </w:rPr>
      </w:pPr>
      <w:r>
        <w:rPr>
          <w:rFonts w:hint="eastAsia"/>
          <w:b/>
          <w:kern w:val="0"/>
          <w:sz w:val="18"/>
          <w:szCs w:val="18"/>
        </w:rPr>
        <w:t>1、</w:t>
      </w:r>
      <w:r>
        <w:rPr>
          <w:b/>
          <w:kern w:val="0"/>
          <w:sz w:val="18"/>
          <w:szCs w:val="18"/>
        </w:rPr>
        <w:t>谈判申请人</w:t>
      </w:r>
      <w:r>
        <w:rPr>
          <w:rFonts w:hint="eastAsia"/>
          <w:b/>
          <w:kern w:val="0"/>
          <w:sz w:val="18"/>
          <w:szCs w:val="18"/>
        </w:rPr>
        <w:t>根据应根据实际谈判情况，填写本表格，若无偏离，则勾选A项，签字</w:t>
      </w:r>
      <w:r>
        <w:rPr>
          <w:b/>
          <w:kern w:val="0"/>
          <w:sz w:val="18"/>
          <w:szCs w:val="18"/>
        </w:rPr>
        <w:t>或</w:t>
      </w:r>
      <w:r>
        <w:rPr>
          <w:rFonts w:hint="eastAsia"/>
          <w:b/>
          <w:kern w:val="0"/>
          <w:sz w:val="18"/>
          <w:szCs w:val="18"/>
        </w:rPr>
        <w:t>盖章即可。若有偏离，则勾选B项，按表格要求及实际情况填写后，签字</w:t>
      </w:r>
      <w:r>
        <w:rPr>
          <w:b/>
          <w:kern w:val="0"/>
          <w:sz w:val="18"/>
          <w:szCs w:val="18"/>
        </w:rPr>
        <w:t>或</w:t>
      </w:r>
      <w:r>
        <w:rPr>
          <w:rFonts w:hint="eastAsia"/>
          <w:b/>
          <w:kern w:val="0"/>
          <w:sz w:val="18"/>
          <w:szCs w:val="18"/>
        </w:rPr>
        <w:t>盖章。</w:t>
      </w:r>
    </w:p>
    <w:p w14:paraId="55B2B1B1">
      <w:pPr>
        <w:widowControl/>
        <w:snapToGrid w:val="0"/>
        <w:spacing w:line="360" w:lineRule="auto"/>
        <w:jc w:val="left"/>
        <w:rPr>
          <w:b/>
          <w:kern w:val="0"/>
          <w:sz w:val="18"/>
          <w:szCs w:val="18"/>
        </w:rPr>
      </w:pPr>
      <w:r>
        <w:rPr>
          <w:rFonts w:hint="eastAsia"/>
          <w:b/>
          <w:kern w:val="0"/>
          <w:sz w:val="18"/>
          <w:szCs w:val="18"/>
        </w:rPr>
        <w:t>2、表格中“</w:t>
      </w:r>
      <w:r>
        <w:rPr>
          <w:b/>
          <w:kern w:val="0"/>
          <w:sz w:val="18"/>
          <w:szCs w:val="18"/>
        </w:rPr>
        <w:t>谈判文件</w:t>
      </w:r>
      <w:r>
        <w:rPr>
          <w:rFonts w:hint="eastAsia"/>
          <w:b/>
          <w:kern w:val="0"/>
          <w:sz w:val="18"/>
          <w:szCs w:val="18"/>
        </w:rPr>
        <w:t>的商务条款要求”在填写时应注明该条款在</w:t>
      </w:r>
      <w:r>
        <w:rPr>
          <w:b/>
          <w:kern w:val="0"/>
          <w:sz w:val="18"/>
          <w:szCs w:val="18"/>
        </w:rPr>
        <w:t>谈判文件</w:t>
      </w:r>
      <w:r>
        <w:rPr>
          <w:rFonts w:hint="eastAsia"/>
          <w:b/>
          <w:kern w:val="0"/>
          <w:sz w:val="18"/>
          <w:szCs w:val="18"/>
        </w:rPr>
        <w:t>的页码及条款号。</w:t>
      </w:r>
    </w:p>
    <w:p w14:paraId="55B2B1B2">
      <w:pPr>
        <w:widowControl/>
        <w:snapToGrid w:val="0"/>
        <w:spacing w:line="360" w:lineRule="auto"/>
        <w:jc w:val="left"/>
        <w:rPr>
          <w:b/>
          <w:kern w:val="0"/>
          <w:sz w:val="18"/>
          <w:szCs w:val="18"/>
        </w:rPr>
      </w:pPr>
      <w:r>
        <w:rPr>
          <w:rFonts w:hint="eastAsia"/>
          <w:b/>
          <w:kern w:val="0"/>
          <w:sz w:val="18"/>
          <w:szCs w:val="18"/>
        </w:rPr>
        <w:t>3、表格中“响应文件的商务条款”请供应商根据实际谈判情况如实、完整、准确的填写。</w:t>
      </w:r>
    </w:p>
    <w:p w14:paraId="55B2B1B3">
      <w:pPr>
        <w:widowControl/>
        <w:snapToGrid w:val="0"/>
        <w:spacing w:line="360" w:lineRule="auto"/>
        <w:jc w:val="left"/>
        <w:rPr>
          <w:b/>
          <w:kern w:val="0"/>
          <w:sz w:val="18"/>
          <w:szCs w:val="18"/>
        </w:rPr>
      </w:pPr>
      <w:r>
        <w:rPr>
          <w:rFonts w:hint="eastAsia"/>
          <w:b/>
          <w:kern w:val="0"/>
          <w:sz w:val="18"/>
          <w:szCs w:val="18"/>
        </w:rPr>
        <w:t>4、本表格中内容与</w:t>
      </w:r>
      <w:r>
        <w:rPr>
          <w:b/>
          <w:kern w:val="0"/>
          <w:sz w:val="18"/>
          <w:szCs w:val="18"/>
        </w:rPr>
        <w:t>响应文件</w:t>
      </w:r>
      <w:r>
        <w:rPr>
          <w:rFonts w:hint="eastAsia"/>
          <w:b/>
          <w:kern w:val="0"/>
          <w:sz w:val="18"/>
          <w:szCs w:val="18"/>
        </w:rPr>
        <w:t>其余部分不一致的，以本表格为准。</w:t>
      </w:r>
    </w:p>
    <w:p w14:paraId="55B2B1B4">
      <w:pPr>
        <w:widowControl/>
        <w:jc w:val="left"/>
        <w:rPr>
          <w:b/>
          <w:kern w:val="0"/>
          <w:sz w:val="20"/>
          <w:szCs w:val="20"/>
        </w:rPr>
      </w:pPr>
      <w:r>
        <w:rPr>
          <w:b/>
          <w:kern w:val="0"/>
          <w:sz w:val="20"/>
          <w:szCs w:val="20"/>
        </w:rPr>
        <w:br w:type="page"/>
      </w:r>
    </w:p>
    <w:p w14:paraId="55B2B1B5">
      <w:pPr>
        <w:spacing w:line="360" w:lineRule="auto"/>
        <w:jc w:val="center"/>
        <w:outlineLvl w:val="2"/>
        <w:rPr>
          <w:b/>
          <w:kern w:val="0"/>
          <w:sz w:val="24"/>
        </w:rPr>
      </w:pPr>
      <w:r>
        <w:rPr>
          <w:b/>
          <w:kern w:val="0"/>
          <w:sz w:val="24"/>
        </w:rPr>
        <w:t>6.报价清单</w:t>
      </w:r>
    </w:p>
    <w:p w14:paraId="55B2B1B6">
      <w:pPr>
        <w:widowControl/>
        <w:snapToGrid w:val="0"/>
        <w:spacing w:line="360" w:lineRule="auto"/>
        <w:jc w:val="center"/>
        <w:rPr>
          <w:b/>
          <w:kern w:val="0"/>
          <w:szCs w:val="21"/>
        </w:rPr>
      </w:pPr>
      <w:r>
        <w:rPr>
          <w:rFonts w:hint="eastAsia"/>
          <w:b/>
          <w:kern w:val="0"/>
          <w:szCs w:val="21"/>
        </w:rPr>
        <w:t>6.1报价清单说明</w:t>
      </w:r>
    </w:p>
    <w:p w14:paraId="55B2B1B7">
      <w:pPr>
        <w:widowControl/>
        <w:snapToGrid w:val="0"/>
        <w:spacing w:line="360" w:lineRule="auto"/>
        <w:rPr>
          <w:kern w:val="0"/>
          <w:szCs w:val="21"/>
        </w:rPr>
      </w:pPr>
      <w:r>
        <w:rPr>
          <w:rFonts w:hint="eastAsia"/>
          <w:kern w:val="0"/>
          <w:szCs w:val="21"/>
        </w:rPr>
        <w:t>6.1.1当单价与分项价之间有差异时，以单价为准。当分项价之和与总价之间有差异时，以分项</w:t>
      </w:r>
      <w:r>
        <w:rPr>
          <w:kern w:val="0"/>
          <w:szCs w:val="21"/>
        </w:rPr>
        <w:t>价为</w:t>
      </w:r>
      <w:r>
        <w:rPr>
          <w:rFonts w:hint="eastAsia"/>
          <w:kern w:val="0"/>
          <w:szCs w:val="21"/>
        </w:rPr>
        <w:t>准。如有优惠条件，优惠条件要在分项价中体现。</w:t>
      </w:r>
    </w:p>
    <w:p w14:paraId="55B2B1B8">
      <w:pPr>
        <w:widowControl/>
        <w:snapToGrid w:val="0"/>
        <w:spacing w:line="360" w:lineRule="auto"/>
        <w:rPr>
          <w:kern w:val="0"/>
          <w:szCs w:val="21"/>
        </w:rPr>
      </w:pPr>
      <w:r>
        <w:rPr>
          <w:rFonts w:hint="eastAsia"/>
          <w:kern w:val="0"/>
          <w:szCs w:val="21"/>
        </w:rPr>
        <w:t>6.1.2报价币种为人民币。</w:t>
      </w:r>
    </w:p>
    <w:p w14:paraId="55B2B1B9">
      <w:pPr>
        <w:widowControl/>
        <w:snapToGrid w:val="0"/>
        <w:spacing w:line="360" w:lineRule="auto"/>
        <w:rPr>
          <w:kern w:val="0"/>
          <w:szCs w:val="21"/>
        </w:rPr>
      </w:pPr>
      <w:r>
        <w:rPr>
          <w:rFonts w:hint="eastAsia"/>
          <w:kern w:val="0"/>
          <w:szCs w:val="21"/>
        </w:rPr>
        <w:t>6.1.3设备价包括包装费用及随机附件</w:t>
      </w:r>
      <w:r>
        <w:rPr>
          <w:kern w:val="0"/>
          <w:szCs w:val="21"/>
        </w:rPr>
        <w:t>。</w:t>
      </w:r>
      <w:r>
        <w:rPr>
          <w:rFonts w:hint="eastAsia"/>
          <w:kern w:val="0"/>
          <w:szCs w:val="21"/>
        </w:rPr>
        <w:t>随机及</w:t>
      </w:r>
      <w:r>
        <w:rPr>
          <w:kern w:val="0"/>
          <w:szCs w:val="21"/>
        </w:rPr>
        <w:t>1年</w:t>
      </w:r>
      <w:r>
        <w:rPr>
          <w:rFonts w:hint="eastAsia"/>
          <w:kern w:val="0"/>
          <w:szCs w:val="21"/>
        </w:rPr>
        <w:t>备品备件、易损件、专用工具价单独列报，并计入谈判总价。</w:t>
      </w:r>
    </w:p>
    <w:p w14:paraId="55B2B1BA">
      <w:pPr>
        <w:widowControl/>
        <w:snapToGrid w:val="0"/>
        <w:spacing w:line="360" w:lineRule="auto"/>
        <w:rPr>
          <w:kern w:val="0"/>
          <w:szCs w:val="21"/>
        </w:rPr>
      </w:pPr>
      <w:r>
        <w:rPr>
          <w:rFonts w:hint="eastAsia"/>
          <w:kern w:val="0"/>
          <w:szCs w:val="21"/>
        </w:rPr>
        <w:t>6.1.4技术服务费、运输费和保险费等要分别报价。</w:t>
      </w:r>
    </w:p>
    <w:p w14:paraId="55B2B1BB">
      <w:pPr>
        <w:widowControl/>
        <w:snapToGrid w:val="0"/>
        <w:spacing w:line="360" w:lineRule="auto"/>
        <w:rPr>
          <w:kern w:val="0"/>
          <w:szCs w:val="21"/>
        </w:rPr>
      </w:pPr>
      <w:r>
        <w:rPr>
          <w:rFonts w:hint="eastAsia"/>
          <w:kern w:val="0"/>
          <w:szCs w:val="21"/>
        </w:rPr>
        <w:t>6.1.5本价格表中报价为交货地点</w:t>
      </w:r>
      <w:r>
        <w:rPr>
          <w:kern w:val="0"/>
          <w:szCs w:val="21"/>
        </w:rPr>
        <w:t>固定含税总</w:t>
      </w:r>
      <w:r>
        <w:rPr>
          <w:rFonts w:hint="eastAsia"/>
          <w:kern w:val="0"/>
          <w:szCs w:val="21"/>
        </w:rPr>
        <w:t>价。</w:t>
      </w:r>
    </w:p>
    <w:p w14:paraId="55B2B1BC">
      <w:pPr>
        <w:widowControl/>
        <w:snapToGrid w:val="0"/>
        <w:spacing w:line="360" w:lineRule="auto"/>
        <w:rPr>
          <w:kern w:val="0"/>
          <w:szCs w:val="21"/>
        </w:rPr>
      </w:pPr>
      <w:r>
        <w:rPr>
          <w:rFonts w:hint="eastAsia"/>
          <w:kern w:val="0"/>
          <w:szCs w:val="21"/>
        </w:rPr>
        <w:t>6.1.6报价有效期应与响应文件有效期一致。</w:t>
      </w:r>
      <w:r>
        <w:rPr>
          <w:b/>
          <w:kern w:val="0"/>
          <w:szCs w:val="21"/>
        </w:rPr>
        <w:br w:type="page"/>
      </w:r>
    </w:p>
    <w:p w14:paraId="55B2B1BD">
      <w:pPr>
        <w:widowControl/>
        <w:snapToGrid w:val="0"/>
        <w:spacing w:line="360" w:lineRule="auto"/>
        <w:rPr>
          <w:b/>
          <w:kern w:val="0"/>
          <w:szCs w:val="21"/>
        </w:rPr>
      </w:pPr>
      <w:r>
        <w:rPr>
          <w:b/>
          <w:kern w:val="0"/>
          <w:szCs w:val="21"/>
        </w:rPr>
        <w:t>6.2</w:t>
      </w:r>
      <w:r>
        <w:rPr>
          <w:rFonts w:hint="eastAsia"/>
          <w:b/>
          <w:kern w:val="0"/>
          <w:szCs w:val="21"/>
        </w:rPr>
        <w:t>总报价清单</w:t>
      </w:r>
    </w:p>
    <w:p w14:paraId="55B2B1BE">
      <w:pPr>
        <w:widowControl/>
        <w:snapToGrid w:val="0"/>
        <w:spacing w:line="360" w:lineRule="auto"/>
        <w:jc w:val="right"/>
        <w:rPr>
          <w:kern w:val="0"/>
          <w:szCs w:val="21"/>
        </w:rPr>
      </w:pPr>
    </w:p>
    <w:p w14:paraId="55B2B1BF">
      <w:pPr>
        <w:pStyle w:val="27"/>
        <w:tabs>
          <w:tab w:val="left" w:pos="5670"/>
          <w:tab w:val="left" w:pos="5880"/>
        </w:tabs>
        <w:ind w:firstLine="0" w:firstLineChars="0"/>
        <w:jc w:val="center"/>
        <w:rPr>
          <w:rFonts w:eastAsia="黑体"/>
          <w:sz w:val="32"/>
          <w:szCs w:val="32"/>
        </w:rPr>
      </w:pPr>
      <w:bookmarkStart w:id="400" w:name="_Toc310252657"/>
      <w:bookmarkStart w:id="401" w:name="_Toc310252858"/>
      <w:r>
        <w:rPr>
          <w:rFonts w:eastAsia="黑体"/>
          <w:sz w:val="32"/>
          <w:szCs w:val="32"/>
        </w:rPr>
        <w:t>总报价表</w:t>
      </w:r>
      <w:bookmarkEnd w:id="400"/>
      <w:bookmarkEnd w:id="401"/>
    </w:p>
    <w:p w14:paraId="55B2B1C0">
      <w:pPr>
        <w:pStyle w:val="27"/>
        <w:tabs>
          <w:tab w:val="left" w:pos="5670"/>
          <w:tab w:val="left" w:pos="5880"/>
        </w:tabs>
        <w:ind w:firstLine="0" w:firstLineChars="0"/>
        <w:rPr>
          <w:szCs w:val="32"/>
        </w:rPr>
      </w:pPr>
      <w:r>
        <w:rPr>
          <w:szCs w:val="32"/>
        </w:rPr>
        <w:t xml:space="preserve">谈判申请人名称：                                    </w:t>
      </w:r>
    </w:p>
    <w:p w14:paraId="55B2B1C1">
      <w:pPr>
        <w:pStyle w:val="27"/>
        <w:tabs>
          <w:tab w:val="left" w:pos="5670"/>
          <w:tab w:val="left" w:pos="5880"/>
        </w:tabs>
        <w:ind w:firstLine="0" w:firstLineChars="0"/>
        <w:rPr>
          <w:szCs w:val="32"/>
        </w:rPr>
      </w:pPr>
      <w:r>
        <w:rPr>
          <w:rFonts w:hint="eastAsia"/>
          <w:szCs w:val="32"/>
        </w:rPr>
        <w:t>项目</w:t>
      </w:r>
      <w:r>
        <w:rPr>
          <w:szCs w:val="32"/>
        </w:rPr>
        <w:t>编号：</w:t>
      </w:r>
      <w:r>
        <w:rPr>
          <w:rFonts w:hint="eastAsia"/>
          <w:szCs w:val="32"/>
        </w:rPr>
        <w:t>D53A00926001350</w:t>
      </w:r>
    </w:p>
    <w:p w14:paraId="55B2B1C2">
      <w:pPr>
        <w:pStyle w:val="27"/>
        <w:tabs>
          <w:tab w:val="left" w:pos="5670"/>
          <w:tab w:val="left" w:pos="5880"/>
        </w:tabs>
        <w:ind w:firstLine="0" w:firstLineChars="0"/>
        <w:rPr>
          <w:szCs w:val="32"/>
        </w:rPr>
      </w:pPr>
      <w:r>
        <w:rPr>
          <w:rFonts w:hint="eastAsia"/>
        </w:rPr>
        <w:t>项目</w:t>
      </w:r>
      <w:r>
        <w:t>名称</w:t>
      </w:r>
      <w:r>
        <w:rPr>
          <w:szCs w:val="32"/>
        </w:rPr>
        <w:t>：</w:t>
      </w:r>
      <w:r>
        <w:rPr>
          <w:rFonts w:hint="eastAsia"/>
          <w:szCs w:val="32"/>
        </w:rPr>
        <w:t>红河文山输气管道流量计采购</w:t>
      </w:r>
      <w:r>
        <w:rPr>
          <w:szCs w:val="32"/>
        </w:rPr>
        <w:t xml:space="preserve">                            </w:t>
      </w:r>
    </w:p>
    <w:tbl>
      <w:tblPr>
        <w:tblStyle w:val="1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617"/>
        <w:gridCol w:w="881"/>
        <w:gridCol w:w="1358"/>
        <w:gridCol w:w="727"/>
        <w:gridCol w:w="765"/>
        <w:gridCol w:w="1031"/>
        <w:gridCol w:w="1077"/>
        <w:gridCol w:w="1450"/>
      </w:tblGrid>
      <w:tr w14:paraId="55B2B1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00" w:type="dxa"/>
            <w:vAlign w:val="center"/>
          </w:tcPr>
          <w:p w14:paraId="55B2B1C3">
            <w:pPr>
              <w:tabs>
                <w:tab w:val="left" w:pos="5670"/>
                <w:tab w:val="left" w:pos="5880"/>
              </w:tabs>
              <w:overflowPunct w:val="0"/>
              <w:topLinePunct/>
              <w:jc w:val="center"/>
              <w:rPr>
                <w:szCs w:val="21"/>
              </w:rPr>
            </w:pPr>
            <w:r>
              <w:rPr>
                <w:szCs w:val="21"/>
              </w:rPr>
              <w:t>1</w:t>
            </w:r>
          </w:p>
        </w:tc>
        <w:tc>
          <w:tcPr>
            <w:tcW w:w="1617" w:type="dxa"/>
            <w:vAlign w:val="center"/>
          </w:tcPr>
          <w:p w14:paraId="55B2B1C4">
            <w:pPr>
              <w:tabs>
                <w:tab w:val="left" w:pos="5670"/>
                <w:tab w:val="left" w:pos="5880"/>
              </w:tabs>
              <w:overflowPunct w:val="0"/>
              <w:topLinePunct/>
              <w:jc w:val="center"/>
              <w:rPr>
                <w:szCs w:val="21"/>
              </w:rPr>
            </w:pPr>
            <w:r>
              <w:rPr>
                <w:szCs w:val="21"/>
              </w:rPr>
              <w:t>2</w:t>
            </w:r>
          </w:p>
        </w:tc>
        <w:tc>
          <w:tcPr>
            <w:tcW w:w="881" w:type="dxa"/>
            <w:vAlign w:val="center"/>
          </w:tcPr>
          <w:p w14:paraId="55B2B1C5">
            <w:pPr>
              <w:tabs>
                <w:tab w:val="left" w:pos="5670"/>
                <w:tab w:val="left" w:pos="5880"/>
              </w:tabs>
              <w:overflowPunct w:val="0"/>
              <w:topLinePunct/>
              <w:jc w:val="center"/>
              <w:rPr>
                <w:szCs w:val="21"/>
              </w:rPr>
            </w:pPr>
            <w:r>
              <w:rPr>
                <w:szCs w:val="21"/>
              </w:rPr>
              <w:t>3</w:t>
            </w:r>
          </w:p>
        </w:tc>
        <w:tc>
          <w:tcPr>
            <w:tcW w:w="1358" w:type="dxa"/>
            <w:vAlign w:val="center"/>
          </w:tcPr>
          <w:p w14:paraId="55B2B1C6">
            <w:pPr>
              <w:tabs>
                <w:tab w:val="left" w:pos="5670"/>
                <w:tab w:val="left" w:pos="5880"/>
              </w:tabs>
              <w:overflowPunct w:val="0"/>
              <w:topLinePunct/>
              <w:jc w:val="center"/>
              <w:rPr>
                <w:szCs w:val="21"/>
              </w:rPr>
            </w:pPr>
            <w:r>
              <w:rPr>
                <w:szCs w:val="21"/>
              </w:rPr>
              <w:t>4</w:t>
            </w:r>
          </w:p>
        </w:tc>
        <w:tc>
          <w:tcPr>
            <w:tcW w:w="727" w:type="dxa"/>
            <w:vAlign w:val="center"/>
          </w:tcPr>
          <w:p w14:paraId="55B2B1C7">
            <w:pPr>
              <w:tabs>
                <w:tab w:val="left" w:pos="5670"/>
                <w:tab w:val="left" w:pos="5880"/>
              </w:tabs>
              <w:overflowPunct w:val="0"/>
              <w:topLinePunct/>
              <w:jc w:val="center"/>
              <w:rPr>
                <w:szCs w:val="21"/>
              </w:rPr>
            </w:pPr>
            <w:r>
              <w:rPr>
                <w:szCs w:val="21"/>
              </w:rPr>
              <w:t>5</w:t>
            </w:r>
          </w:p>
        </w:tc>
        <w:tc>
          <w:tcPr>
            <w:tcW w:w="765" w:type="dxa"/>
            <w:vAlign w:val="center"/>
          </w:tcPr>
          <w:p w14:paraId="55B2B1C8">
            <w:pPr>
              <w:tabs>
                <w:tab w:val="left" w:pos="5670"/>
                <w:tab w:val="left" w:pos="5880"/>
              </w:tabs>
              <w:overflowPunct w:val="0"/>
              <w:topLinePunct/>
              <w:jc w:val="center"/>
              <w:rPr>
                <w:szCs w:val="21"/>
              </w:rPr>
            </w:pPr>
            <w:r>
              <w:rPr>
                <w:szCs w:val="21"/>
              </w:rPr>
              <w:t>6</w:t>
            </w:r>
          </w:p>
        </w:tc>
        <w:tc>
          <w:tcPr>
            <w:tcW w:w="1031" w:type="dxa"/>
            <w:vAlign w:val="center"/>
          </w:tcPr>
          <w:p w14:paraId="55B2B1C9">
            <w:pPr>
              <w:tabs>
                <w:tab w:val="left" w:pos="5670"/>
                <w:tab w:val="left" w:pos="5880"/>
              </w:tabs>
              <w:overflowPunct w:val="0"/>
              <w:topLinePunct/>
              <w:jc w:val="center"/>
              <w:rPr>
                <w:szCs w:val="21"/>
              </w:rPr>
            </w:pPr>
            <w:r>
              <w:rPr>
                <w:szCs w:val="21"/>
              </w:rPr>
              <w:t>7</w:t>
            </w:r>
          </w:p>
        </w:tc>
        <w:tc>
          <w:tcPr>
            <w:tcW w:w="1077" w:type="dxa"/>
            <w:vAlign w:val="center"/>
          </w:tcPr>
          <w:p w14:paraId="55B2B1CA">
            <w:pPr>
              <w:tabs>
                <w:tab w:val="left" w:pos="5670"/>
                <w:tab w:val="left" w:pos="5880"/>
              </w:tabs>
              <w:overflowPunct w:val="0"/>
              <w:topLinePunct/>
              <w:jc w:val="center"/>
              <w:rPr>
                <w:szCs w:val="21"/>
              </w:rPr>
            </w:pPr>
            <w:r>
              <w:rPr>
                <w:szCs w:val="21"/>
              </w:rPr>
              <w:t>8</w:t>
            </w:r>
          </w:p>
        </w:tc>
        <w:tc>
          <w:tcPr>
            <w:tcW w:w="1450" w:type="dxa"/>
            <w:vAlign w:val="center"/>
          </w:tcPr>
          <w:p w14:paraId="55B2B1CB">
            <w:pPr>
              <w:tabs>
                <w:tab w:val="left" w:pos="5670"/>
                <w:tab w:val="left" w:pos="5880"/>
              </w:tabs>
              <w:overflowPunct w:val="0"/>
              <w:topLinePunct/>
              <w:jc w:val="center"/>
              <w:rPr>
                <w:szCs w:val="21"/>
              </w:rPr>
            </w:pPr>
            <w:r>
              <w:rPr>
                <w:szCs w:val="21"/>
              </w:rPr>
              <w:t>9</w:t>
            </w:r>
          </w:p>
        </w:tc>
      </w:tr>
      <w:tr w14:paraId="55B2B1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00" w:type="dxa"/>
            <w:vAlign w:val="center"/>
          </w:tcPr>
          <w:p w14:paraId="55B2B1CD">
            <w:pPr>
              <w:tabs>
                <w:tab w:val="left" w:pos="5670"/>
                <w:tab w:val="left" w:pos="5880"/>
              </w:tabs>
              <w:overflowPunct w:val="0"/>
              <w:topLinePunct/>
              <w:jc w:val="center"/>
              <w:rPr>
                <w:szCs w:val="21"/>
              </w:rPr>
            </w:pPr>
            <w:r>
              <w:rPr>
                <w:szCs w:val="21"/>
              </w:rPr>
              <w:t>序号</w:t>
            </w:r>
          </w:p>
        </w:tc>
        <w:tc>
          <w:tcPr>
            <w:tcW w:w="1617" w:type="dxa"/>
            <w:vAlign w:val="center"/>
          </w:tcPr>
          <w:p w14:paraId="55B2B1CE">
            <w:pPr>
              <w:tabs>
                <w:tab w:val="left" w:pos="5670"/>
                <w:tab w:val="left" w:pos="5880"/>
              </w:tabs>
              <w:overflowPunct w:val="0"/>
              <w:topLinePunct/>
              <w:jc w:val="center"/>
              <w:rPr>
                <w:szCs w:val="21"/>
              </w:rPr>
            </w:pPr>
            <w:r>
              <w:rPr>
                <w:szCs w:val="21"/>
              </w:rPr>
              <w:t>物资</w:t>
            </w:r>
          </w:p>
          <w:p w14:paraId="55B2B1CF">
            <w:pPr>
              <w:tabs>
                <w:tab w:val="left" w:pos="5670"/>
                <w:tab w:val="left" w:pos="5880"/>
              </w:tabs>
              <w:overflowPunct w:val="0"/>
              <w:topLinePunct/>
              <w:jc w:val="center"/>
              <w:rPr>
                <w:szCs w:val="21"/>
              </w:rPr>
            </w:pPr>
            <w:r>
              <w:rPr>
                <w:szCs w:val="21"/>
              </w:rPr>
              <w:t>名称</w:t>
            </w:r>
          </w:p>
        </w:tc>
        <w:tc>
          <w:tcPr>
            <w:tcW w:w="881" w:type="dxa"/>
            <w:vAlign w:val="center"/>
          </w:tcPr>
          <w:p w14:paraId="55B2B1D0">
            <w:pPr>
              <w:tabs>
                <w:tab w:val="left" w:pos="5670"/>
                <w:tab w:val="left" w:pos="5880"/>
              </w:tabs>
              <w:overflowPunct w:val="0"/>
              <w:topLinePunct/>
              <w:jc w:val="center"/>
              <w:rPr>
                <w:szCs w:val="21"/>
              </w:rPr>
            </w:pPr>
            <w:r>
              <w:rPr>
                <w:szCs w:val="21"/>
              </w:rPr>
              <w:t>规格</w:t>
            </w:r>
          </w:p>
          <w:p w14:paraId="55B2B1D1">
            <w:pPr>
              <w:tabs>
                <w:tab w:val="left" w:pos="5670"/>
                <w:tab w:val="left" w:pos="5880"/>
              </w:tabs>
              <w:overflowPunct w:val="0"/>
              <w:topLinePunct/>
              <w:jc w:val="center"/>
              <w:rPr>
                <w:szCs w:val="21"/>
              </w:rPr>
            </w:pPr>
            <w:r>
              <w:rPr>
                <w:szCs w:val="21"/>
              </w:rPr>
              <w:t>型号</w:t>
            </w:r>
          </w:p>
        </w:tc>
        <w:tc>
          <w:tcPr>
            <w:tcW w:w="1358" w:type="dxa"/>
            <w:vAlign w:val="center"/>
          </w:tcPr>
          <w:p w14:paraId="55B2B1D2">
            <w:pPr>
              <w:tabs>
                <w:tab w:val="left" w:pos="5670"/>
                <w:tab w:val="left" w:pos="5880"/>
              </w:tabs>
              <w:overflowPunct w:val="0"/>
              <w:topLinePunct/>
              <w:jc w:val="center"/>
              <w:rPr>
                <w:szCs w:val="21"/>
              </w:rPr>
            </w:pPr>
            <w:r>
              <w:rPr>
                <w:szCs w:val="21"/>
              </w:rPr>
              <w:t>生产商</w:t>
            </w:r>
          </w:p>
          <w:p w14:paraId="55B2B1D3">
            <w:pPr>
              <w:tabs>
                <w:tab w:val="left" w:pos="5670"/>
                <w:tab w:val="left" w:pos="5880"/>
              </w:tabs>
              <w:overflowPunct w:val="0"/>
              <w:topLinePunct/>
              <w:jc w:val="center"/>
              <w:rPr>
                <w:szCs w:val="21"/>
              </w:rPr>
            </w:pPr>
            <w:r>
              <w:rPr>
                <w:szCs w:val="21"/>
              </w:rPr>
              <w:t>名称</w:t>
            </w:r>
          </w:p>
        </w:tc>
        <w:tc>
          <w:tcPr>
            <w:tcW w:w="727" w:type="dxa"/>
            <w:vAlign w:val="center"/>
          </w:tcPr>
          <w:p w14:paraId="55B2B1D4">
            <w:pPr>
              <w:tabs>
                <w:tab w:val="left" w:pos="5670"/>
                <w:tab w:val="left" w:pos="5880"/>
              </w:tabs>
              <w:overflowPunct w:val="0"/>
              <w:topLinePunct/>
              <w:jc w:val="center"/>
              <w:rPr>
                <w:szCs w:val="21"/>
              </w:rPr>
            </w:pPr>
            <w:r>
              <w:rPr>
                <w:szCs w:val="21"/>
              </w:rPr>
              <w:t>单位</w:t>
            </w:r>
          </w:p>
        </w:tc>
        <w:tc>
          <w:tcPr>
            <w:tcW w:w="765" w:type="dxa"/>
            <w:vAlign w:val="center"/>
          </w:tcPr>
          <w:p w14:paraId="55B2B1D5">
            <w:pPr>
              <w:tabs>
                <w:tab w:val="left" w:pos="5670"/>
                <w:tab w:val="left" w:pos="5880"/>
              </w:tabs>
              <w:overflowPunct w:val="0"/>
              <w:topLinePunct/>
              <w:jc w:val="center"/>
              <w:rPr>
                <w:szCs w:val="21"/>
              </w:rPr>
            </w:pPr>
            <w:r>
              <w:rPr>
                <w:szCs w:val="21"/>
              </w:rPr>
              <w:t>数量</w:t>
            </w:r>
          </w:p>
        </w:tc>
        <w:tc>
          <w:tcPr>
            <w:tcW w:w="1031" w:type="dxa"/>
            <w:vAlign w:val="center"/>
          </w:tcPr>
          <w:p w14:paraId="55B2B1D6">
            <w:pPr>
              <w:tabs>
                <w:tab w:val="left" w:pos="5670"/>
                <w:tab w:val="left" w:pos="5880"/>
              </w:tabs>
              <w:overflowPunct w:val="0"/>
              <w:topLinePunct/>
              <w:jc w:val="center"/>
              <w:rPr>
                <w:szCs w:val="21"/>
              </w:rPr>
            </w:pPr>
            <w:r>
              <w:rPr>
                <w:szCs w:val="21"/>
              </w:rPr>
              <w:t>单价（不含税）</w:t>
            </w:r>
          </w:p>
        </w:tc>
        <w:tc>
          <w:tcPr>
            <w:tcW w:w="1077" w:type="dxa"/>
            <w:vAlign w:val="center"/>
          </w:tcPr>
          <w:p w14:paraId="55B2B1D7">
            <w:pPr>
              <w:tabs>
                <w:tab w:val="left" w:pos="5670"/>
                <w:tab w:val="left" w:pos="5880"/>
              </w:tabs>
              <w:overflowPunct w:val="0"/>
              <w:topLinePunct/>
              <w:jc w:val="center"/>
              <w:rPr>
                <w:szCs w:val="21"/>
              </w:rPr>
            </w:pPr>
            <w:r>
              <w:rPr>
                <w:szCs w:val="21"/>
              </w:rPr>
              <w:t>单价（含税）</w:t>
            </w:r>
          </w:p>
        </w:tc>
        <w:tc>
          <w:tcPr>
            <w:tcW w:w="1450" w:type="dxa"/>
            <w:vAlign w:val="center"/>
          </w:tcPr>
          <w:p w14:paraId="55B2B1D8">
            <w:pPr>
              <w:tabs>
                <w:tab w:val="left" w:pos="5670"/>
                <w:tab w:val="left" w:pos="5880"/>
              </w:tabs>
              <w:overflowPunct w:val="0"/>
              <w:topLinePunct/>
              <w:jc w:val="center"/>
              <w:rPr>
                <w:szCs w:val="21"/>
              </w:rPr>
            </w:pPr>
            <w:r>
              <w:rPr>
                <w:szCs w:val="21"/>
              </w:rPr>
              <w:t>总价（含税）</w:t>
            </w:r>
          </w:p>
        </w:tc>
      </w:tr>
      <w:tr w14:paraId="55B2B1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00" w:type="dxa"/>
            <w:vAlign w:val="center"/>
          </w:tcPr>
          <w:p w14:paraId="55B2B1DA">
            <w:pPr>
              <w:tabs>
                <w:tab w:val="left" w:pos="5670"/>
                <w:tab w:val="left" w:pos="5880"/>
              </w:tabs>
              <w:overflowPunct w:val="0"/>
              <w:topLinePunct/>
              <w:jc w:val="center"/>
              <w:rPr>
                <w:szCs w:val="21"/>
              </w:rPr>
            </w:pPr>
            <w:r>
              <w:rPr>
                <w:szCs w:val="21"/>
              </w:rPr>
              <w:t>1</w:t>
            </w:r>
          </w:p>
        </w:tc>
        <w:tc>
          <w:tcPr>
            <w:tcW w:w="1617" w:type="dxa"/>
            <w:vAlign w:val="center"/>
          </w:tcPr>
          <w:p w14:paraId="55B2B1DB">
            <w:pPr>
              <w:tabs>
                <w:tab w:val="left" w:pos="5670"/>
                <w:tab w:val="left" w:pos="5880"/>
              </w:tabs>
              <w:overflowPunct w:val="0"/>
              <w:topLinePunct/>
              <w:jc w:val="center"/>
              <w:rPr>
                <w:szCs w:val="21"/>
              </w:rPr>
            </w:pPr>
            <w:r>
              <w:rPr>
                <w:rFonts w:hint="eastAsia"/>
                <w:szCs w:val="21"/>
              </w:rPr>
              <w:t>超声波流量计</w:t>
            </w:r>
          </w:p>
        </w:tc>
        <w:tc>
          <w:tcPr>
            <w:tcW w:w="881" w:type="dxa"/>
            <w:vAlign w:val="center"/>
          </w:tcPr>
          <w:p w14:paraId="55B2B1DC">
            <w:pPr>
              <w:tabs>
                <w:tab w:val="left" w:pos="5670"/>
                <w:tab w:val="left" w:pos="5880"/>
              </w:tabs>
              <w:overflowPunct w:val="0"/>
              <w:topLinePunct/>
              <w:jc w:val="center"/>
              <w:rPr>
                <w:szCs w:val="21"/>
              </w:rPr>
            </w:pPr>
            <w:r>
              <w:rPr>
                <w:szCs w:val="21"/>
              </w:rPr>
              <w:t>DN150 CLASS6</w:t>
            </w:r>
            <w:r>
              <w:rPr>
                <w:rFonts w:hint="eastAsia"/>
                <w:szCs w:val="21"/>
              </w:rPr>
              <w:t>0</w:t>
            </w:r>
            <w:r>
              <w:rPr>
                <w:szCs w:val="21"/>
              </w:rPr>
              <w:t>0</w:t>
            </w:r>
          </w:p>
        </w:tc>
        <w:tc>
          <w:tcPr>
            <w:tcW w:w="1358" w:type="dxa"/>
            <w:vAlign w:val="center"/>
          </w:tcPr>
          <w:p w14:paraId="55B2B1DD">
            <w:pPr>
              <w:tabs>
                <w:tab w:val="left" w:pos="5670"/>
                <w:tab w:val="left" w:pos="5880"/>
              </w:tabs>
              <w:overflowPunct w:val="0"/>
              <w:topLinePunct/>
              <w:jc w:val="center"/>
              <w:rPr>
                <w:szCs w:val="21"/>
              </w:rPr>
            </w:pPr>
          </w:p>
        </w:tc>
        <w:tc>
          <w:tcPr>
            <w:tcW w:w="727" w:type="dxa"/>
            <w:vAlign w:val="center"/>
          </w:tcPr>
          <w:p w14:paraId="55B2B1DE">
            <w:pPr>
              <w:tabs>
                <w:tab w:val="left" w:pos="5670"/>
                <w:tab w:val="left" w:pos="5880"/>
              </w:tabs>
              <w:overflowPunct w:val="0"/>
              <w:topLinePunct/>
              <w:jc w:val="center"/>
              <w:rPr>
                <w:szCs w:val="21"/>
              </w:rPr>
            </w:pPr>
          </w:p>
        </w:tc>
        <w:tc>
          <w:tcPr>
            <w:tcW w:w="765" w:type="dxa"/>
            <w:vAlign w:val="center"/>
          </w:tcPr>
          <w:p w14:paraId="55B2B1DF">
            <w:pPr>
              <w:tabs>
                <w:tab w:val="left" w:pos="5670"/>
                <w:tab w:val="left" w:pos="5880"/>
              </w:tabs>
              <w:overflowPunct w:val="0"/>
              <w:topLinePunct/>
              <w:jc w:val="center"/>
              <w:rPr>
                <w:szCs w:val="21"/>
              </w:rPr>
            </w:pPr>
          </w:p>
        </w:tc>
        <w:tc>
          <w:tcPr>
            <w:tcW w:w="1031" w:type="dxa"/>
            <w:vAlign w:val="center"/>
          </w:tcPr>
          <w:p w14:paraId="55B2B1E0">
            <w:pPr>
              <w:tabs>
                <w:tab w:val="left" w:pos="5670"/>
                <w:tab w:val="left" w:pos="5880"/>
              </w:tabs>
              <w:overflowPunct w:val="0"/>
              <w:topLinePunct/>
              <w:jc w:val="center"/>
              <w:rPr>
                <w:szCs w:val="21"/>
              </w:rPr>
            </w:pPr>
          </w:p>
        </w:tc>
        <w:tc>
          <w:tcPr>
            <w:tcW w:w="1077" w:type="dxa"/>
            <w:vAlign w:val="center"/>
          </w:tcPr>
          <w:p w14:paraId="55B2B1E1">
            <w:pPr>
              <w:tabs>
                <w:tab w:val="left" w:pos="5670"/>
                <w:tab w:val="left" w:pos="5880"/>
              </w:tabs>
              <w:overflowPunct w:val="0"/>
              <w:topLinePunct/>
              <w:jc w:val="center"/>
              <w:rPr>
                <w:szCs w:val="21"/>
              </w:rPr>
            </w:pPr>
          </w:p>
        </w:tc>
        <w:tc>
          <w:tcPr>
            <w:tcW w:w="1450" w:type="dxa"/>
            <w:vAlign w:val="center"/>
          </w:tcPr>
          <w:p w14:paraId="55B2B1E2">
            <w:pPr>
              <w:tabs>
                <w:tab w:val="left" w:pos="5670"/>
                <w:tab w:val="left" w:pos="5880"/>
              </w:tabs>
              <w:overflowPunct w:val="0"/>
              <w:topLinePunct/>
              <w:jc w:val="center"/>
              <w:rPr>
                <w:szCs w:val="21"/>
              </w:rPr>
            </w:pPr>
          </w:p>
        </w:tc>
      </w:tr>
      <w:tr w14:paraId="55B2B2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3098" w:type="dxa"/>
            <w:gridSpan w:val="3"/>
            <w:vAlign w:val="center"/>
          </w:tcPr>
          <w:p w14:paraId="55B2B200">
            <w:pPr>
              <w:tabs>
                <w:tab w:val="left" w:pos="5670"/>
                <w:tab w:val="left" w:pos="5880"/>
              </w:tabs>
              <w:overflowPunct w:val="0"/>
              <w:topLinePunct/>
              <w:rPr>
                <w:szCs w:val="21"/>
              </w:rPr>
            </w:pPr>
            <w:r>
              <w:rPr>
                <w:szCs w:val="21"/>
              </w:rPr>
              <w:t>货物运抵现场总价（含13%增值税（若国家政策有变化，按新规定）执行，一票制）</w:t>
            </w:r>
          </w:p>
        </w:tc>
        <w:tc>
          <w:tcPr>
            <w:tcW w:w="6408" w:type="dxa"/>
            <w:gridSpan w:val="6"/>
            <w:vAlign w:val="center"/>
          </w:tcPr>
          <w:p w14:paraId="55B2B201">
            <w:pPr>
              <w:tabs>
                <w:tab w:val="left" w:pos="5670"/>
                <w:tab w:val="left" w:pos="5880"/>
              </w:tabs>
              <w:overflowPunct w:val="0"/>
              <w:topLinePunct/>
              <w:rPr>
                <w:szCs w:val="21"/>
              </w:rPr>
            </w:pPr>
            <w:r>
              <w:rPr>
                <w:szCs w:val="21"/>
              </w:rPr>
              <w:t>小写：XXXXXXXX           大写：XXXXXXX</w:t>
            </w:r>
          </w:p>
        </w:tc>
      </w:tr>
    </w:tbl>
    <w:p w14:paraId="55B2B203">
      <w:pPr>
        <w:widowControl/>
        <w:tabs>
          <w:tab w:val="left" w:pos="5670"/>
          <w:tab w:val="left" w:pos="5880"/>
        </w:tabs>
        <w:spacing w:line="360" w:lineRule="auto"/>
        <w:ind w:right="210" w:firstLine="420" w:firstLineChars="200"/>
        <w:rPr>
          <w:bCs/>
          <w:iCs/>
          <w:szCs w:val="21"/>
          <w:lang w:bidi="en-US"/>
        </w:rPr>
      </w:pPr>
    </w:p>
    <w:p w14:paraId="55B2B204">
      <w:pPr>
        <w:tabs>
          <w:tab w:val="left" w:pos="5670"/>
          <w:tab w:val="left" w:pos="5880"/>
        </w:tabs>
        <w:spacing w:line="360" w:lineRule="auto"/>
        <w:ind w:firstLine="420" w:firstLineChars="200"/>
        <w:rPr>
          <w:bCs/>
          <w:iCs/>
          <w:szCs w:val="21"/>
          <w:lang w:bidi="en-US"/>
        </w:rPr>
      </w:pPr>
      <w:r>
        <w:rPr>
          <w:bCs/>
          <w:iCs/>
          <w:szCs w:val="21"/>
          <w:lang w:bidi="en-US"/>
        </w:rPr>
        <w:t>谈判申请人</w:t>
      </w:r>
      <w:r>
        <w:rPr>
          <w:rFonts w:hint="eastAsia"/>
          <w:bCs/>
          <w:iCs/>
          <w:szCs w:val="21"/>
          <w:lang w:bidi="en-US"/>
        </w:rPr>
        <w:t>：（</w:t>
      </w:r>
      <w:r>
        <w:rPr>
          <w:bCs/>
          <w:iCs/>
          <w:szCs w:val="21"/>
          <w:lang w:bidi="en-US"/>
        </w:rPr>
        <w:t>盖单位公章</w:t>
      </w:r>
      <w:r>
        <w:rPr>
          <w:rFonts w:hint="eastAsia"/>
          <w:bCs/>
          <w:iCs/>
          <w:szCs w:val="21"/>
          <w:lang w:bidi="en-US"/>
        </w:rPr>
        <w:t>）</w:t>
      </w:r>
    </w:p>
    <w:p w14:paraId="55B2B205">
      <w:pPr>
        <w:tabs>
          <w:tab w:val="left" w:pos="5670"/>
          <w:tab w:val="left" w:pos="5880"/>
        </w:tabs>
        <w:spacing w:line="360" w:lineRule="auto"/>
        <w:ind w:firstLine="420" w:firstLineChars="200"/>
        <w:jc w:val="right"/>
        <w:rPr>
          <w:bCs/>
          <w:iCs/>
          <w:szCs w:val="21"/>
          <w:lang w:bidi="en-US"/>
        </w:rPr>
      </w:pPr>
    </w:p>
    <w:p w14:paraId="55B2B206">
      <w:pPr>
        <w:tabs>
          <w:tab w:val="left" w:pos="5670"/>
          <w:tab w:val="left" w:pos="5880"/>
        </w:tabs>
        <w:spacing w:line="360" w:lineRule="auto"/>
        <w:ind w:firstLine="420" w:firstLineChars="200"/>
        <w:rPr>
          <w:bCs/>
          <w:iCs/>
          <w:szCs w:val="21"/>
          <w:lang w:bidi="en-US"/>
        </w:rPr>
      </w:pPr>
      <w:r>
        <w:rPr>
          <w:rFonts w:hint="eastAsia"/>
          <w:bCs/>
          <w:iCs/>
          <w:szCs w:val="21"/>
          <w:lang w:bidi="en-US"/>
        </w:rPr>
        <w:t>法定代表人或委托代理人：（</w:t>
      </w:r>
      <w:r>
        <w:rPr>
          <w:bCs/>
          <w:iCs/>
          <w:szCs w:val="21"/>
          <w:lang w:bidi="en-US"/>
        </w:rPr>
        <w:t>签字或盖章</w:t>
      </w:r>
      <w:r>
        <w:rPr>
          <w:rFonts w:hint="eastAsia"/>
          <w:bCs/>
          <w:iCs/>
          <w:szCs w:val="21"/>
          <w:lang w:bidi="en-US"/>
        </w:rPr>
        <w:t>）</w:t>
      </w:r>
    </w:p>
    <w:p w14:paraId="55B2B207">
      <w:pPr>
        <w:tabs>
          <w:tab w:val="left" w:pos="5670"/>
          <w:tab w:val="left" w:pos="5880"/>
        </w:tabs>
        <w:spacing w:line="360" w:lineRule="auto"/>
        <w:ind w:firstLine="420" w:firstLineChars="200"/>
        <w:jc w:val="right"/>
        <w:rPr>
          <w:bCs/>
          <w:iCs/>
          <w:szCs w:val="21"/>
          <w:lang w:bidi="en-US"/>
        </w:rPr>
      </w:pPr>
    </w:p>
    <w:p w14:paraId="55B2B208">
      <w:pPr>
        <w:tabs>
          <w:tab w:val="left" w:pos="5670"/>
          <w:tab w:val="left" w:pos="5880"/>
        </w:tabs>
        <w:spacing w:line="360" w:lineRule="auto"/>
        <w:ind w:firstLine="420" w:firstLineChars="200"/>
        <w:rPr>
          <w:bCs/>
          <w:iCs/>
          <w:szCs w:val="21"/>
          <w:lang w:bidi="en-US"/>
        </w:rPr>
      </w:pPr>
      <w:r>
        <w:rPr>
          <w:bCs/>
          <w:iCs/>
          <w:szCs w:val="21"/>
          <w:lang w:bidi="en-US"/>
        </w:rPr>
        <w:t>日期：          年    月    日</w:t>
      </w:r>
    </w:p>
    <w:p w14:paraId="55B2B209">
      <w:pPr>
        <w:widowControl/>
        <w:tabs>
          <w:tab w:val="left" w:pos="5670"/>
          <w:tab w:val="left" w:pos="5880"/>
        </w:tabs>
        <w:snapToGrid w:val="0"/>
        <w:spacing w:line="360" w:lineRule="auto"/>
        <w:rPr>
          <w:b/>
          <w:kern w:val="0"/>
          <w:szCs w:val="21"/>
        </w:rPr>
      </w:pPr>
    </w:p>
    <w:p w14:paraId="55B2B20A">
      <w:pPr>
        <w:pStyle w:val="27"/>
        <w:tabs>
          <w:tab w:val="left" w:pos="5670"/>
          <w:tab w:val="left" w:pos="5880"/>
        </w:tabs>
        <w:ind w:firstLine="0" w:firstLineChars="0"/>
        <w:rPr>
          <w:szCs w:val="31"/>
        </w:rPr>
      </w:pPr>
    </w:p>
    <w:p w14:paraId="55B2B20B">
      <w:pPr>
        <w:pStyle w:val="27"/>
        <w:tabs>
          <w:tab w:val="left" w:pos="5670"/>
          <w:tab w:val="left" w:pos="5880"/>
        </w:tabs>
        <w:rPr>
          <w:szCs w:val="31"/>
        </w:rPr>
      </w:pPr>
    </w:p>
    <w:p w14:paraId="55B2B20C">
      <w:pPr>
        <w:widowControl/>
        <w:tabs>
          <w:tab w:val="left" w:pos="5670"/>
          <w:tab w:val="left" w:pos="5880"/>
        </w:tabs>
        <w:snapToGrid w:val="0"/>
        <w:spacing w:line="360" w:lineRule="auto"/>
        <w:rPr>
          <w:b/>
          <w:kern w:val="0"/>
          <w:szCs w:val="21"/>
        </w:rPr>
        <w:sectPr>
          <w:pgSz w:w="11906" w:h="16838"/>
          <w:pgMar w:top="936" w:right="1134" w:bottom="1089" w:left="1134" w:header="510" w:footer="680" w:gutter="0"/>
          <w:cols w:space="720" w:num="1"/>
          <w:titlePg/>
          <w:docGrid w:type="linesAndChars" w:linePitch="312" w:charSpace="0"/>
        </w:sectPr>
      </w:pPr>
    </w:p>
    <w:p w14:paraId="55B2B20D">
      <w:pPr>
        <w:widowControl/>
        <w:tabs>
          <w:tab w:val="left" w:pos="5670"/>
          <w:tab w:val="left" w:pos="5880"/>
        </w:tabs>
        <w:jc w:val="left"/>
        <w:rPr>
          <w:b/>
          <w:kern w:val="0"/>
          <w:szCs w:val="21"/>
        </w:rPr>
      </w:pPr>
      <w:bookmarkStart w:id="402" w:name="_Toc72770034"/>
      <w:r>
        <w:rPr>
          <w:b/>
          <w:kern w:val="0"/>
          <w:szCs w:val="21"/>
        </w:rPr>
        <w:t>6.3分项报价清单（</w:t>
      </w:r>
      <w:r>
        <w:rPr>
          <w:rFonts w:hint="eastAsia"/>
          <w:b/>
          <w:kern w:val="0"/>
          <w:szCs w:val="21"/>
        </w:rPr>
        <w:t>均为含税价格</w:t>
      </w:r>
      <w:r>
        <w:rPr>
          <w:b/>
          <w:kern w:val="0"/>
          <w:szCs w:val="21"/>
        </w:rPr>
        <w:t>，</w:t>
      </w:r>
      <w:r>
        <w:rPr>
          <w:rFonts w:hint="eastAsia"/>
          <w:b/>
          <w:kern w:val="0"/>
          <w:szCs w:val="21"/>
        </w:rPr>
        <w:t>并包含技术资料费用</w:t>
      </w:r>
      <w:r>
        <w:rPr>
          <w:b/>
          <w:kern w:val="0"/>
          <w:szCs w:val="21"/>
        </w:rPr>
        <w:t>）</w:t>
      </w:r>
    </w:p>
    <w:bookmarkEnd w:id="402"/>
    <w:p w14:paraId="55B2B20F">
      <w:pPr>
        <w:tabs>
          <w:tab w:val="left" w:pos="5670"/>
          <w:tab w:val="left" w:pos="5880"/>
        </w:tabs>
        <w:jc w:val="center"/>
        <w:rPr>
          <w:sz w:val="32"/>
          <w:szCs w:val="32"/>
        </w:rPr>
      </w:pPr>
      <w:r>
        <w:rPr>
          <w:sz w:val="28"/>
          <w:szCs w:val="28"/>
        </w:rPr>
        <w:t>设备、材料</w:t>
      </w:r>
      <w:r>
        <w:rPr>
          <w:rFonts w:hint="eastAsia"/>
          <w:sz w:val="28"/>
          <w:szCs w:val="28"/>
          <w:lang w:eastAsia="zh-CN"/>
        </w:rPr>
        <w:t>、</w:t>
      </w:r>
      <w:r>
        <w:rPr>
          <w:rFonts w:hint="eastAsia"/>
          <w:sz w:val="28"/>
          <w:szCs w:val="28"/>
          <w:lang w:val="en-US" w:eastAsia="zh-CN"/>
        </w:rPr>
        <w:t>技术服务</w:t>
      </w:r>
      <w:r>
        <w:rPr>
          <w:sz w:val="28"/>
          <w:szCs w:val="28"/>
        </w:rPr>
        <w:t>报价明细表</w:t>
      </w:r>
    </w:p>
    <w:p w14:paraId="55B2B210">
      <w:pPr>
        <w:pStyle w:val="27"/>
        <w:tabs>
          <w:tab w:val="left" w:pos="5670"/>
          <w:tab w:val="left" w:pos="5880"/>
        </w:tabs>
        <w:ind w:firstLine="630" w:firstLineChars="300"/>
      </w:pPr>
      <w:r>
        <w:t xml:space="preserve">谈判申请人名称：                                                                                </w:t>
      </w:r>
    </w:p>
    <w:p w14:paraId="55B2B211">
      <w:pPr>
        <w:pStyle w:val="27"/>
        <w:tabs>
          <w:tab w:val="left" w:pos="5670"/>
          <w:tab w:val="left" w:pos="5880"/>
        </w:tabs>
        <w:ind w:firstLine="630" w:firstLineChars="300"/>
        <w:rPr>
          <w:u w:val="single"/>
        </w:rPr>
      </w:pPr>
      <w:r>
        <w:rPr>
          <w:rFonts w:hint="eastAsia"/>
        </w:rPr>
        <w:t>项目</w:t>
      </w:r>
      <w:r>
        <w:t>编号：</w:t>
      </w:r>
      <w:r>
        <w:rPr>
          <w:rFonts w:hint="eastAsia"/>
        </w:rPr>
        <w:t>D53A00926001350</w:t>
      </w:r>
    </w:p>
    <w:p w14:paraId="55B2B212">
      <w:pPr>
        <w:pStyle w:val="27"/>
        <w:tabs>
          <w:tab w:val="left" w:pos="5670"/>
          <w:tab w:val="left" w:pos="5880"/>
        </w:tabs>
        <w:ind w:firstLine="630" w:firstLineChars="300"/>
      </w:pPr>
      <w:r>
        <w:rPr>
          <w:rFonts w:hint="eastAsia"/>
        </w:rPr>
        <w:t>项目</w:t>
      </w:r>
      <w:r>
        <w:t xml:space="preserve">名称：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4"/>
        <w:gridCol w:w="3304"/>
        <w:gridCol w:w="1309"/>
        <w:gridCol w:w="1309"/>
        <w:gridCol w:w="1309"/>
        <w:gridCol w:w="1309"/>
        <w:gridCol w:w="1309"/>
        <w:gridCol w:w="1309"/>
        <w:gridCol w:w="1309"/>
        <w:gridCol w:w="1310"/>
      </w:tblGrid>
      <w:tr w14:paraId="55B2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1024" w:type="dxa"/>
            <w:vAlign w:val="center"/>
          </w:tcPr>
          <w:p w14:paraId="55B2B213">
            <w:pPr>
              <w:tabs>
                <w:tab w:val="left" w:pos="5670"/>
                <w:tab w:val="left" w:pos="5880"/>
              </w:tabs>
              <w:snapToGrid w:val="0"/>
              <w:jc w:val="center"/>
            </w:pPr>
            <w:r>
              <w:t>1</w:t>
            </w:r>
          </w:p>
        </w:tc>
        <w:tc>
          <w:tcPr>
            <w:tcW w:w="3304" w:type="dxa"/>
            <w:vAlign w:val="center"/>
          </w:tcPr>
          <w:p w14:paraId="55B2B214">
            <w:pPr>
              <w:tabs>
                <w:tab w:val="left" w:pos="5670"/>
                <w:tab w:val="left" w:pos="5880"/>
              </w:tabs>
              <w:snapToGrid w:val="0"/>
              <w:jc w:val="center"/>
            </w:pPr>
            <w:r>
              <w:t>2</w:t>
            </w:r>
          </w:p>
        </w:tc>
        <w:tc>
          <w:tcPr>
            <w:tcW w:w="1309" w:type="dxa"/>
            <w:vAlign w:val="center"/>
          </w:tcPr>
          <w:p w14:paraId="55B2B215">
            <w:pPr>
              <w:tabs>
                <w:tab w:val="left" w:pos="5670"/>
                <w:tab w:val="left" w:pos="5880"/>
              </w:tabs>
              <w:snapToGrid w:val="0"/>
              <w:jc w:val="center"/>
            </w:pPr>
            <w:r>
              <w:t>3</w:t>
            </w:r>
          </w:p>
        </w:tc>
        <w:tc>
          <w:tcPr>
            <w:tcW w:w="1309" w:type="dxa"/>
            <w:vAlign w:val="center"/>
          </w:tcPr>
          <w:p w14:paraId="55B2B216">
            <w:pPr>
              <w:tabs>
                <w:tab w:val="left" w:pos="5670"/>
                <w:tab w:val="left" w:pos="5880"/>
              </w:tabs>
              <w:snapToGrid w:val="0"/>
              <w:jc w:val="center"/>
            </w:pPr>
            <w:r>
              <w:t>4</w:t>
            </w:r>
          </w:p>
        </w:tc>
        <w:tc>
          <w:tcPr>
            <w:tcW w:w="1309" w:type="dxa"/>
            <w:vAlign w:val="center"/>
          </w:tcPr>
          <w:p w14:paraId="55B2B217">
            <w:pPr>
              <w:tabs>
                <w:tab w:val="left" w:pos="5670"/>
                <w:tab w:val="left" w:pos="5880"/>
              </w:tabs>
              <w:snapToGrid w:val="0"/>
              <w:jc w:val="center"/>
            </w:pPr>
            <w:r>
              <w:t>5</w:t>
            </w:r>
          </w:p>
        </w:tc>
        <w:tc>
          <w:tcPr>
            <w:tcW w:w="1309" w:type="dxa"/>
            <w:vAlign w:val="center"/>
          </w:tcPr>
          <w:p w14:paraId="55B2B218">
            <w:pPr>
              <w:tabs>
                <w:tab w:val="left" w:pos="5670"/>
                <w:tab w:val="left" w:pos="5880"/>
              </w:tabs>
              <w:snapToGrid w:val="0"/>
              <w:jc w:val="center"/>
            </w:pPr>
            <w:r>
              <w:t>6</w:t>
            </w:r>
          </w:p>
        </w:tc>
        <w:tc>
          <w:tcPr>
            <w:tcW w:w="1309" w:type="dxa"/>
            <w:vAlign w:val="center"/>
          </w:tcPr>
          <w:p w14:paraId="55B2B219">
            <w:pPr>
              <w:tabs>
                <w:tab w:val="left" w:pos="5670"/>
                <w:tab w:val="left" w:pos="5880"/>
              </w:tabs>
              <w:snapToGrid w:val="0"/>
              <w:jc w:val="center"/>
            </w:pPr>
            <w:r>
              <w:t>7</w:t>
            </w:r>
          </w:p>
        </w:tc>
        <w:tc>
          <w:tcPr>
            <w:tcW w:w="1309" w:type="dxa"/>
            <w:vAlign w:val="center"/>
          </w:tcPr>
          <w:p w14:paraId="55B2B21A">
            <w:pPr>
              <w:tabs>
                <w:tab w:val="left" w:pos="5670"/>
                <w:tab w:val="left" w:pos="5880"/>
              </w:tabs>
              <w:snapToGrid w:val="0"/>
              <w:jc w:val="center"/>
            </w:pPr>
            <w:r>
              <w:t>8</w:t>
            </w:r>
          </w:p>
        </w:tc>
        <w:tc>
          <w:tcPr>
            <w:tcW w:w="1309" w:type="dxa"/>
            <w:vAlign w:val="center"/>
          </w:tcPr>
          <w:p w14:paraId="55B2B21B">
            <w:pPr>
              <w:tabs>
                <w:tab w:val="left" w:pos="5670"/>
                <w:tab w:val="left" w:pos="5880"/>
              </w:tabs>
              <w:snapToGrid w:val="0"/>
              <w:jc w:val="center"/>
            </w:pPr>
            <w:r>
              <w:t>9</w:t>
            </w:r>
          </w:p>
        </w:tc>
        <w:tc>
          <w:tcPr>
            <w:tcW w:w="1310" w:type="dxa"/>
            <w:vAlign w:val="center"/>
          </w:tcPr>
          <w:p w14:paraId="55B2B21C">
            <w:pPr>
              <w:tabs>
                <w:tab w:val="left" w:pos="5670"/>
                <w:tab w:val="left" w:pos="5880"/>
              </w:tabs>
              <w:snapToGrid w:val="0"/>
              <w:jc w:val="center"/>
            </w:pPr>
            <w:r>
              <w:t>10</w:t>
            </w:r>
          </w:p>
        </w:tc>
      </w:tr>
      <w:tr w14:paraId="55B2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5" w:hRule="atLeast"/>
          <w:jc w:val="center"/>
        </w:trPr>
        <w:tc>
          <w:tcPr>
            <w:tcW w:w="1024" w:type="dxa"/>
            <w:vAlign w:val="center"/>
          </w:tcPr>
          <w:p w14:paraId="55B2B21E">
            <w:pPr>
              <w:tabs>
                <w:tab w:val="left" w:pos="5670"/>
                <w:tab w:val="left" w:pos="5880"/>
              </w:tabs>
              <w:snapToGrid w:val="0"/>
              <w:jc w:val="center"/>
              <w:rPr>
                <w:b/>
                <w:bCs/>
              </w:rPr>
            </w:pPr>
            <w:r>
              <w:rPr>
                <w:b/>
                <w:bCs/>
              </w:rPr>
              <w:t>序号</w:t>
            </w:r>
          </w:p>
        </w:tc>
        <w:tc>
          <w:tcPr>
            <w:tcW w:w="3304" w:type="dxa"/>
            <w:vAlign w:val="center"/>
          </w:tcPr>
          <w:p w14:paraId="55B2B21F">
            <w:pPr>
              <w:tabs>
                <w:tab w:val="left" w:pos="5670"/>
                <w:tab w:val="left" w:pos="5880"/>
              </w:tabs>
              <w:snapToGrid w:val="0"/>
              <w:jc w:val="center"/>
              <w:rPr>
                <w:b/>
                <w:bCs/>
              </w:rPr>
            </w:pPr>
            <w:r>
              <w:rPr>
                <w:b/>
                <w:bCs/>
              </w:rPr>
              <w:t>名称及规格</w:t>
            </w:r>
          </w:p>
        </w:tc>
        <w:tc>
          <w:tcPr>
            <w:tcW w:w="1309" w:type="dxa"/>
            <w:vAlign w:val="center"/>
          </w:tcPr>
          <w:p w14:paraId="55B2B220">
            <w:pPr>
              <w:tabs>
                <w:tab w:val="left" w:pos="5670"/>
                <w:tab w:val="left" w:pos="5880"/>
              </w:tabs>
              <w:snapToGrid w:val="0"/>
              <w:jc w:val="center"/>
              <w:rPr>
                <w:b/>
                <w:bCs/>
              </w:rPr>
            </w:pPr>
            <w:r>
              <w:rPr>
                <w:b/>
                <w:bCs/>
              </w:rPr>
              <w:t>位号</w:t>
            </w:r>
          </w:p>
        </w:tc>
        <w:tc>
          <w:tcPr>
            <w:tcW w:w="1309" w:type="dxa"/>
            <w:vAlign w:val="center"/>
          </w:tcPr>
          <w:p w14:paraId="55B2B221">
            <w:pPr>
              <w:tabs>
                <w:tab w:val="left" w:pos="5670"/>
                <w:tab w:val="left" w:pos="5880"/>
              </w:tabs>
              <w:snapToGrid w:val="0"/>
              <w:jc w:val="center"/>
              <w:rPr>
                <w:b/>
                <w:bCs/>
              </w:rPr>
            </w:pPr>
            <w:r>
              <w:rPr>
                <w:b/>
                <w:bCs/>
              </w:rPr>
              <w:t>单位</w:t>
            </w:r>
          </w:p>
        </w:tc>
        <w:tc>
          <w:tcPr>
            <w:tcW w:w="1309" w:type="dxa"/>
            <w:vAlign w:val="center"/>
          </w:tcPr>
          <w:p w14:paraId="55B2B222">
            <w:pPr>
              <w:tabs>
                <w:tab w:val="left" w:pos="5670"/>
                <w:tab w:val="left" w:pos="5880"/>
              </w:tabs>
              <w:snapToGrid w:val="0"/>
              <w:jc w:val="center"/>
              <w:rPr>
                <w:b/>
                <w:bCs/>
              </w:rPr>
            </w:pPr>
            <w:r>
              <w:rPr>
                <w:b/>
                <w:bCs/>
              </w:rPr>
              <w:t>数量</w:t>
            </w:r>
          </w:p>
        </w:tc>
        <w:tc>
          <w:tcPr>
            <w:tcW w:w="1309" w:type="dxa"/>
            <w:vAlign w:val="center"/>
          </w:tcPr>
          <w:p w14:paraId="55B2B223">
            <w:pPr>
              <w:tabs>
                <w:tab w:val="left" w:pos="5670"/>
                <w:tab w:val="left" w:pos="5880"/>
              </w:tabs>
              <w:snapToGrid w:val="0"/>
              <w:jc w:val="center"/>
              <w:rPr>
                <w:b/>
                <w:bCs/>
              </w:rPr>
            </w:pPr>
            <w:r>
              <w:rPr>
                <w:b/>
                <w:bCs/>
              </w:rPr>
              <w:t>制造商名称</w:t>
            </w:r>
          </w:p>
          <w:p w14:paraId="55B2B224">
            <w:pPr>
              <w:tabs>
                <w:tab w:val="left" w:pos="5670"/>
                <w:tab w:val="left" w:pos="5880"/>
              </w:tabs>
              <w:snapToGrid w:val="0"/>
              <w:jc w:val="center"/>
              <w:rPr>
                <w:b/>
                <w:bCs/>
              </w:rPr>
            </w:pPr>
            <w:r>
              <w:rPr>
                <w:b/>
                <w:bCs/>
              </w:rPr>
              <w:t>（必须填写）</w:t>
            </w:r>
          </w:p>
        </w:tc>
        <w:tc>
          <w:tcPr>
            <w:tcW w:w="1309" w:type="dxa"/>
            <w:vAlign w:val="center"/>
          </w:tcPr>
          <w:p w14:paraId="55B2B225">
            <w:pPr>
              <w:tabs>
                <w:tab w:val="left" w:pos="5670"/>
                <w:tab w:val="left" w:pos="5880"/>
              </w:tabs>
              <w:snapToGrid w:val="0"/>
              <w:jc w:val="center"/>
              <w:rPr>
                <w:b/>
                <w:bCs/>
              </w:rPr>
            </w:pPr>
            <w:r>
              <w:rPr>
                <w:b/>
                <w:bCs/>
              </w:rPr>
              <w:t>原产地</w:t>
            </w:r>
          </w:p>
        </w:tc>
        <w:tc>
          <w:tcPr>
            <w:tcW w:w="1309" w:type="dxa"/>
            <w:vAlign w:val="center"/>
          </w:tcPr>
          <w:p w14:paraId="55B2B226">
            <w:pPr>
              <w:tabs>
                <w:tab w:val="left" w:pos="5670"/>
                <w:tab w:val="left" w:pos="5880"/>
              </w:tabs>
              <w:snapToGrid w:val="0"/>
              <w:jc w:val="center"/>
              <w:rPr>
                <w:b/>
                <w:bCs/>
              </w:rPr>
            </w:pPr>
            <w:r>
              <w:rPr>
                <w:b/>
                <w:bCs/>
              </w:rPr>
              <w:t>不含税单价</w:t>
            </w:r>
          </w:p>
        </w:tc>
        <w:tc>
          <w:tcPr>
            <w:tcW w:w="1309" w:type="dxa"/>
            <w:vAlign w:val="center"/>
          </w:tcPr>
          <w:p w14:paraId="55B2B227">
            <w:pPr>
              <w:tabs>
                <w:tab w:val="left" w:pos="5670"/>
                <w:tab w:val="left" w:pos="5880"/>
              </w:tabs>
              <w:snapToGrid w:val="0"/>
              <w:jc w:val="center"/>
              <w:rPr>
                <w:b/>
                <w:bCs/>
              </w:rPr>
            </w:pPr>
            <w:r>
              <w:rPr>
                <w:b/>
                <w:bCs/>
              </w:rPr>
              <w:t>含税单价</w:t>
            </w:r>
          </w:p>
        </w:tc>
        <w:tc>
          <w:tcPr>
            <w:tcW w:w="1310" w:type="dxa"/>
            <w:vAlign w:val="center"/>
          </w:tcPr>
          <w:p w14:paraId="55B2B228">
            <w:pPr>
              <w:tabs>
                <w:tab w:val="left" w:pos="5670"/>
                <w:tab w:val="left" w:pos="5880"/>
              </w:tabs>
              <w:snapToGrid w:val="0"/>
              <w:jc w:val="center"/>
              <w:rPr>
                <w:b/>
                <w:bCs/>
              </w:rPr>
            </w:pPr>
            <w:r>
              <w:rPr>
                <w:b/>
                <w:bCs/>
              </w:rPr>
              <w:t>含税总价</w:t>
            </w:r>
          </w:p>
        </w:tc>
      </w:tr>
      <w:tr w14:paraId="55B2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024" w:type="dxa"/>
            <w:vAlign w:val="center"/>
          </w:tcPr>
          <w:p w14:paraId="55B2B22A">
            <w:pPr>
              <w:tabs>
                <w:tab w:val="left" w:pos="5670"/>
                <w:tab w:val="left" w:pos="5880"/>
              </w:tabs>
              <w:snapToGrid w:val="0"/>
              <w:jc w:val="center"/>
            </w:pPr>
            <w:r>
              <w:t>1</w:t>
            </w:r>
          </w:p>
        </w:tc>
        <w:tc>
          <w:tcPr>
            <w:tcW w:w="3304" w:type="dxa"/>
            <w:vAlign w:val="center"/>
          </w:tcPr>
          <w:p w14:paraId="55B2B22B">
            <w:pPr>
              <w:pStyle w:val="22"/>
              <w:widowControl/>
              <w:tabs>
                <w:tab w:val="left" w:pos="5670"/>
                <w:tab w:val="left" w:pos="5880"/>
              </w:tabs>
              <w:spacing w:line="240" w:lineRule="auto"/>
              <w:ind w:left="491" w:leftChars="34" w:right="-108" w:hanging="420"/>
              <w:jc w:val="center"/>
              <w:rPr>
                <w:rFonts w:ascii="Times New Roman" w:hAnsi="Times New Roman"/>
                <w:sz w:val="21"/>
                <w:szCs w:val="21"/>
              </w:rPr>
            </w:pPr>
            <w:r>
              <w:rPr>
                <w:rFonts w:ascii="Times New Roman" w:hAnsi="Times New Roman"/>
                <w:lang w:val="en-US"/>
              </w:rPr>
              <w:t>超声波流量计（</w:t>
            </w:r>
            <w:r>
              <w:rPr>
                <w:rFonts w:ascii="Times New Roman" w:hAnsi="Times New Roman"/>
                <w:szCs w:val="21"/>
              </w:rPr>
              <w:t>蒙自末站）</w:t>
            </w:r>
          </w:p>
        </w:tc>
        <w:tc>
          <w:tcPr>
            <w:tcW w:w="1309" w:type="dxa"/>
            <w:vAlign w:val="center"/>
          </w:tcPr>
          <w:p w14:paraId="55B2B22C">
            <w:pPr>
              <w:tabs>
                <w:tab w:val="left" w:pos="5670"/>
                <w:tab w:val="left" w:pos="5880"/>
              </w:tabs>
              <w:snapToGrid w:val="0"/>
              <w:jc w:val="center"/>
            </w:pPr>
          </w:p>
        </w:tc>
        <w:tc>
          <w:tcPr>
            <w:tcW w:w="1309" w:type="dxa"/>
            <w:vAlign w:val="center"/>
          </w:tcPr>
          <w:p w14:paraId="55B2B22D">
            <w:pPr>
              <w:tabs>
                <w:tab w:val="left" w:pos="5670"/>
                <w:tab w:val="left" w:pos="5880"/>
              </w:tabs>
              <w:snapToGrid w:val="0"/>
              <w:jc w:val="center"/>
            </w:pPr>
          </w:p>
        </w:tc>
        <w:tc>
          <w:tcPr>
            <w:tcW w:w="1309" w:type="dxa"/>
            <w:vAlign w:val="center"/>
          </w:tcPr>
          <w:p w14:paraId="55B2B22E">
            <w:pPr>
              <w:tabs>
                <w:tab w:val="left" w:pos="5670"/>
                <w:tab w:val="left" w:pos="5880"/>
              </w:tabs>
              <w:snapToGrid w:val="0"/>
              <w:jc w:val="center"/>
            </w:pPr>
          </w:p>
        </w:tc>
        <w:tc>
          <w:tcPr>
            <w:tcW w:w="1309" w:type="dxa"/>
            <w:vAlign w:val="center"/>
          </w:tcPr>
          <w:p w14:paraId="55B2B22F">
            <w:pPr>
              <w:tabs>
                <w:tab w:val="left" w:pos="5670"/>
                <w:tab w:val="left" w:pos="5880"/>
              </w:tabs>
              <w:snapToGrid w:val="0"/>
              <w:jc w:val="center"/>
            </w:pPr>
          </w:p>
        </w:tc>
        <w:tc>
          <w:tcPr>
            <w:tcW w:w="1309" w:type="dxa"/>
          </w:tcPr>
          <w:p w14:paraId="55B2B230">
            <w:pPr>
              <w:tabs>
                <w:tab w:val="left" w:pos="5670"/>
                <w:tab w:val="left" w:pos="5880"/>
              </w:tabs>
              <w:snapToGrid w:val="0"/>
              <w:jc w:val="center"/>
            </w:pPr>
          </w:p>
        </w:tc>
        <w:tc>
          <w:tcPr>
            <w:tcW w:w="1309" w:type="dxa"/>
          </w:tcPr>
          <w:p w14:paraId="55B2B231">
            <w:pPr>
              <w:tabs>
                <w:tab w:val="left" w:pos="5670"/>
                <w:tab w:val="left" w:pos="5880"/>
              </w:tabs>
              <w:snapToGrid w:val="0"/>
              <w:jc w:val="center"/>
            </w:pPr>
          </w:p>
        </w:tc>
        <w:tc>
          <w:tcPr>
            <w:tcW w:w="1309" w:type="dxa"/>
          </w:tcPr>
          <w:p w14:paraId="55B2B232">
            <w:pPr>
              <w:tabs>
                <w:tab w:val="left" w:pos="5670"/>
                <w:tab w:val="left" w:pos="5880"/>
              </w:tabs>
              <w:snapToGrid w:val="0"/>
              <w:jc w:val="center"/>
            </w:pPr>
          </w:p>
        </w:tc>
        <w:tc>
          <w:tcPr>
            <w:tcW w:w="1310" w:type="dxa"/>
          </w:tcPr>
          <w:p w14:paraId="55B2B233">
            <w:pPr>
              <w:tabs>
                <w:tab w:val="left" w:pos="5670"/>
                <w:tab w:val="left" w:pos="5880"/>
              </w:tabs>
              <w:snapToGrid w:val="0"/>
              <w:jc w:val="center"/>
            </w:pPr>
          </w:p>
        </w:tc>
      </w:tr>
      <w:tr w14:paraId="55B2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024" w:type="dxa"/>
            <w:vAlign w:val="center"/>
          </w:tcPr>
          <w:p w14:paraId="55B2B235">
            <w:pPr>
              <w:tabs>
                <w:tab w:val="left" w:pos="5670"/>
                <w:tab w:val="left" w:pos="5880"/>
              </w:tabs>
              <w:snapToGrid w:val="0"/>
              <w:jc w:val="center"/>
            </w:pPr>
            <w:r>
              <w:t>1.1</w:t>
            </w:r>
          </w:p>
        </w:tc>
        <w:tc>
          <w:tcPr>
            <w:tcW w:w="3304" w:type="dxa"/>
            <w:vAlign w:val="center"/>
          </w:tcPr>
          <w:p w14:paraId="55B2B236">
            <w:pPr>
              <w:pStyle w:val="22"/>
              <w:widowControl/>
              <w:tabs>
                <w:tab w:val="left" w:pos="5670"/>
                <w:tab w:val="left" w:pos="5880"/>
              </w:tabs>
              <w:spacing w:line="240" w:lineRule="auto"/>
              <w:ind w:left="491" w:leftChars="34" w:right="-108" w:hanging="420"/>
              <w:jc w:val="center"/>
              <w:rPr>
                <w:rFonts w:ascii="Times New Roman" w:hAnsi="Times New Roman"/>
                <w:sz w:val="21"/>
                <w:szCs w:val="21"/>
              </w:rPr>
            </w:pPr>
          </w:p>
        </w:tc>
        <w:tc>
          <w:tcPr>
            <w:tcW w:w="1309" w:type="dxa"/>
            <w:vAlign w:val="center"/>
          </w:tcPr>
          <w:p w14:paraId="55B2B237">
            <w:pPr>
              <w:tabs>
                <w:tab w:val="left" w:pos="5670"/>
                <w:tab w:val="left" w:pos="5880"/>
              </w:tabs>
              <w:snapToGrid w:val="0"/>
              <w:jc w:val="center"/>
            </w:pPr>
          </w:p>
        </w:tc>
        <w:tc>
          <w:tcPr>
            <w:tcW w:w="1309" w:type="dxa"/>
            <w:vAlign w:val="center"/>
          </w:tcPr>
          <w:p w14:paraId="55B2B238">
            <w:pPr>
              <w:tabs>
                <w:tab w:val="left" w:pos="5670"/>
                <w:tab w:val="left" w:pos="5880"/>
              </w:tabs>
              <w:snapToGrid w:val="0"/>
              <w:jc w:val="center"/>
            </w:pPr>
          </w:p>
        </w:tc>
        <w:tc>
          <w:tcPr>
            <w:tcW w:w="1309" w:type="dxa"/>
            <w:vAlign w:val="center"/>
          </w:tcPr>
          <w:p w14:paraId="55B2B239">
            <w:pPr>
              <w:tabs>
                <w:tab w:val="left" w:pos="5670"/>
                <w:tab w:val="left" w:pos="5880"/>
              </w:tabs>
              <w:snapToGrid w:val="0"/>
              <w:jc w:val="center"/>
            </w:pPr>
          </w:p>
        </w:tc>
        <w:tc>
          <w:tcPr>
            <w:tcW w:w="1309" w:type="dxa"/>
            <w:vAlign w:val="center"/>
          </w:tcPr>
          <w:p w14:paraId="55B2B23A">
            <w:pPr>
              <w:tabs>
                <w:tab w:val="left" w:pos="5670"/>
                <w:tab w:val="left" w:pos="5880"/>
              </w:tabs>
              <w:snapToGrid w:val="0"/>
              <w:jc w:val="center"/>
            </w:pPr>
          </w:p>
        </w:tc>
        <w:tc>
          <w:tcPr>
            <w:tcW w:w="1309" w:type="dxa"/>
          </w:tcPr>
          <w:p w14:paraId="55B2B23B">
            <w:pPr>
              <w:tabs>
                <w:tab w:val="left" w:pos="5670"/>
                <w:tab w:val="left" w:pos="5880"/>
              </w:tabs>
              <w:snapToGrid w:val="0"/>
              <w:jc w:val="center"/>
            </w:pPr>
          </w:p>
        </w:tc>
        <w:tc>
          <w:tcPr>
            <w:tcW w:w="1309" w:type="dxa"/>
          </w:tcPr>
          <w:p w14:paraId="55B2B23C">
            <w:pPr>
              <w:tabs>
                <w:tab w:val="left" w:pos="5670"/>
                <w:tab w:val="left" w:pos="5880"/>
              </w:tabs>
              <w:snapToGrid w:val="0"/>
              <w:jc w:val="center"/>
            </w:pPr>
          </w:p>
        </w:tc>
        <w:tc>
          <w:tcPr>
            <w:tcW w:w="1309" w:type="dxa"/>
          </w:tcPr>
          <w:p w14:paraId="55B2B23D">
            <w:pPr>
              <w:tabs>
                <w:tab w:val="left" w:pos="5670"/>
                <w:tab w:val="left" w:pos="5880"/>
              </w:tabs>
              <w:snapToGrid w:val="0"/>
              <w:jc w:val="center"/>
            </w:pPr>
          </w:p>
        </w:tc>
        <w:tc>
          <w:tcPr>
            <w:tcW w:w="1310" w:type="dxa"/>
          </w:tcPr>
          <w:p w14:paraId="55B2B23E">
            <w:pPr>
              <w:tabs>
                <w:tab w:val="left" w:pos="5670"/>
                <w:tab w:val="left" w:pos="5880"/>
              </w:tabs>
              <w:snapToGrid w:val="0"/>
              <w:jc w:val="center"/>
            </w:pPr>
          </w:p>
        </w:tc>
      </w:tr>
      <w:tr w14:paraId="55B2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024" w:type="dxa"/>
            <w:vAlign w:val="center"/>
          </w:tcPr>
          <w:p w14:paraId="55B2B240">
            <w:pPr>
              <w:tabs>
                <w:tab w:val="left" w:pos="5670"/>
                <w:tab w:val="left" w:pos="5880"/>
              </w:tabs>
              <w:snapToGrid w:val="0"/>
              <w:jc w:val="center"/>
            </w:pPr>
            <w:r>
              <w:t>1.2</w:t>
            </w:r>
          </w:p>
        </w:tc>
        <w:tc>
          <w:tcPr>
            <w:tcW w:w="3304" w:type="dxa"/>
            <w:vAlign w:val="center"/>
          </w:tcPr>
          <w:p w14:paraId="55B2B241">
            <w:pPr>
              <w:pStyle w:val="22"/>
              <w:widowControl/>
              <w:tabs>
                <w:tab w:val="left" w:pos="5670"/>
                <w:tab w:val="left" w:pos="5880"/>
              </w:tabs>
              <w:spacing w:before="40" w:line="240" w:lineRule="auto"/>
              <w:ind w:left="491" w:leftChars="34" w:right="-108" w:hanging="420"/>
              <w:jc w:val="center"/>
              <w:rPr>
                <w:rFonts w:ascii="Times New Roman" w:hAnsi="Times New Roman"/>
                <w:sz w:val="21"/>
                <w:szCs w:val="21"/>
              </w:rPr>
            </w:pPr>
          </w:p>
        </w:tc>
        <w:tc>
          <w:tcPr>
            <w:tcW w:w="1309" w:type="dxa"/>
            <w:vAlign w:val="center"/>
          </w:tcPr>
          <w:p w14:paraId="55B2B242">
            <w:pPr>
              <w:tabs>
                <w:tab w:val="left" w:pos="5670"/>
                <w:tab w:val="left" w:pos="5880"/>
              </w:tabs>
              <w:snapToGrid w:val="0"/>
              <w:jc w:val="center"/>
            </w:pPr>
          </w:p>
        </w:tc>
        <w:tc>
          <w:tcPr>
            <w:tcW w:w="1309" w:type="dxa"/>
            <w:vAlign w:val="center"/>
          </w:tcPr>
          <w:p w14:paraId="55B2B243">
            <w:pPr>
              <w:tabs>
                <w:tab w:val="left" w:pos="5670"/>
                <w:tab w:val="left" w:pos="5880"/>
              </w:tabs>
              <w:snapToGrid w:val="0"/>
              <w:jc w:val="center"/>
            </w:pPr>
          </w:p>
        </w:tc>
        <w:tc>
          <w:tcPr>
            <w:tcW w:w="1309" w:type="dxa"/>
            <w:vAlign w:val="center"/>
          </w:tcPr>
          <w:p w14:paraId="55B2B244">
            <w:pPr>
              <w:tabs>
                <w:tab w:val="left" w:pos="5670"/>
                <w:tab w:val="left" w:pos="5880"/>
              </w:tabs>
              <w:snapToGrid w:val="0"/>
              <w:jc w:val="center"/>
            </w:pPr>
          </w:p>
        </w:tc>
        <w:tc>
          <w:tcPr>
            <w:tcW w:w="1309" w:type="dxa"/>
            <w:vAlign w:val="center"/>
          </w:tcPr>
          <w:p w14:paraId="55B2B245">
            <w:pPr>
              <w:tabs>
                <w:tab w:val="left" w:pos="5670"/>
                <w:tab w:val="left" w:pos="5880"/>
              </w:tabs>
              <w:snapToGrid w:val="0"/>
              <w:jc w:val="center"/>
            </w:pPr>
          </w:p>
        </w:tc>
        <w:tc>
          <w:tcPr>
            <w:tcW w:w="1309" w:type="dxa"/>
          </w:tcPr>
          <w:p w14:paraId="55B2B246">
            <w:pPr>
              <w:tabs>
                <w:tab w:val="left" w:pos="5670"/>
                <w:tab w:val="left" w:pos="5880"/>
              </w:tabs>
              <w:snapToGrid w:val="0"/>
              <w:jc w:val="center"/>
            </w:pPr>
          </w:p>
        </w:tc>
        <w:tc>
          <w:tcPr>
            <w:tcW w:w="1309" w:type="dxa"/>
          </w:tcPr>
          <w:p w14:paraId="55B2B247">
            <w:pPr>
              <w:tabs>
                <w:tab w:val="left" w:pos="5670"/>
                <w:tab w:val="left" w:pos="5880"/>
              </w:tabs>
              <w:snapToGrid w:val="0"/>
              <w:jc w:val="center"/>
            </w:pPr>
          </w:p>
        </w:tc>
        <w:tc>
          <w:tcPr>
            <w:tcW w:w="1309" w:type="dxa"/>
          </w:tcPr>
          <w:p w14:paraId="55B2B248">
            <w:pPr>
              <w:tabs>
                <w:tab w:val="left" w:pos="5670"/>
                <w:tab w:val="left" w:pos="5880"/>
              </w:tabs>
              <w:snapToGrid w:val="0"/>
              <w:jc w:val="center"/>
            </w:pPr>
          </w:p>
        </w:tc>
        <w:tc>
          <w:tcPr>
            <w:tcW w:w="1310" w:type="dxa"/>
          </w:tcPr>
          <w:p w14:paraId="55B2B249">
            <w:pPr>
              <w:tabs>
                <w:tab w:val="left" w:pos="5670"/>
                <w:tab w:val="left" w:pos="5880"/>
              </w:tabs>
              <w:snapToGrid w:val="0"/>
              <w:jc w:val="center"/>
            </w:pPr>
          </w:p>
        </w:tc>
      </w:tr>
      <w:tr w14:paraId="55B2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024" w:type="dxa"/>
            <w:vAlign w:val="center"/>
          </w:tcPr>
          <w:p w14:paraId="55B2B24B">
            <w:pPr>
              <w:tabs>
                <w:tab w:val="left" w:pos="5670"/>
                <w:tab w:val="left" w:pos="5880"/>
              </w:tabs>
              <w:snapToGrid w:val="0"/>
              <w:jc w:val="center"/>
            </w:pPr>
            <w:r>
              <w:t>.....</w:t>
            </w:r>
          </w:p>
        </w:tc>
        <w:tc>
          <w:tcPr>
            <w:tcW w:w="3304" w:type="dxa"/>
            <w:vAlign w:val="center"/>
          </w:tcPr>
          <w:p w14:paraId="55B2B24C">
            <w:pPr>
              <w:pStyle w:val="22"/>
              <w:widowControl/>
              <w:tabs>
                <w:tab w:val="left" w:pos="5670"/>
                <w:tab w:val="left" w:pos="5880"/>
              </w:tabs>
              <w:spacing w:line="240" w:lineRule="auto"/>
              <w:ind w:left="491" w:leftChars="34" w:right="-108" w:hanging="420"/>
              <w:jc w:val="center"/>
              <w:rPr>
                <w:rFonts w:ascii="Times New Roman" w:hAnsi="Times New Roman"/>
                <w:sz w:val="21"/>
                <w:szCs w:val="21"/>
              </w:rPr>
            </w:pPr>
          </w:p>
        </w:tc>
        <w:tc>
          <w:tcPr>
            <w:tcW w:w="1309" w:type="dxa"/>
            <w:vAlign w:val="center"/>
          </w:tcPr>
          <w:p w14:paraId="55B2B24D">
            <w:pPr>
              <w:tabs>
                <w:tab w:val="left" w:pos="5670"/>
                <w:tab w:val="left" w:pos="5880"/>
              </w:tabs>
              <w:snapToGrid w:val="0"/>
              <w:jc w:val="center"/>
            </w:pPr>
          </w:p>
        </w:tc>
        <w:tc>
          <w:tcPr>
            <w:tcW w:w="1309" w:type="dxa"/>
            <w:vAlign w:val="center"/>
          </w:tcPr>
          <w:p w14:paraId="55B2B24E">
            <w:pPr>
              <w:tabs>
                <w:tab w:val="left" w:pos="5670"/>
                <w:tab w:val="left" w:pos="5880"/>
              </w:tabs>
              <w:snapToGrid w:val="0"/>
              <w:jc w:val="center"/>
            </w:pPr>
          </w:p>
        </w:tc>
        <w:tc>
          <w:tcPr>
            <w:tcW w:w="1309" w:type="dxa"/>
            <w:vAlign w:val="center"/>
          </w:tcPr>
          <w:p w14:paraId="55B2B24F">
            <w:pPr>
              <w:tabs>
                <w:tab w:val="left" w:pos="5670"/>
                <w:tab w:val="left" w:pos="5880"/>
              </w:tabs>
              <w:snapToGrid w:val="0"/>
              <w:jc w:val="center"/>
            </w:pPr>
          </w:p>
        </w:tc>
        <w:tc>
          <w:tcPr>
            <w:tcW w:w="1309" w:type="dxa"/>
            <w:vAlign w:val="center"/>
          </w:tcPr>
          <w:p w14:paraId="55B2B250">
            <w:pPr>
              <w:tabs>
                <w:tab w:val="left" w:pos="5670"/>
                <w:tab w:val="left" w:pos="5880"/>
              </w:tabs>
              <w:snapToGrid w:val="0"/>
              <w:jc w:val="center"/>
            </w:pPr>
          </w:p>
        </w:tc>
        <w:tc>
          <w:tcPr>
            <w:tcW w:w="1309" w:type="dxa"/>
          </w:tcPr>
          <w:p w14:paraId="55B2B251">
            <w:pPr>
              <w:tabs>
                <w:tab w:val="left" w:pos="5670"/>
                <w:tab w:val="left" w:pos="5880"/>
              </w:tabs>
              <w:snapToGrid w:val="0"/>
              <w:jc w:val="center"/>
            </w:pPr>
          </w:p>
        </w:tc>
        <w:tc>
          <w:tcPr>
            <w:tcW w:w="1309" w:type="dxa"/>
          </w:tcPr>
          <w:p w14:paraId="55B2B252">
            <w:pPr>
              <w:tabs>
                <w:tab w:val="left" w:pos="5670"/>
                <w:tab w:val="left" w:pos="5880"/>
              </w:tabs>
              <w:snapToGrid w:val="0"/>
              <w:jc w:val="center"/>
            </w:pPr>
          </w:p>
        </w:tc>
        <w:tc>
          <w:tcPr>
            <w:tcW w:w="1309" w:type="dxa"/>
          </w:tcPr>
          <w:p w14:paraId="55B2B253">
            <w:pPr>
              <w:tabs>
                <w:tab w:val="left" w:pos="5670"/>
                <w:tab w:val="left" w:pos="5880"/>
              </w:tabs>
              <w:snapToGrid w:val="0"/>
              <w:jc w:val="center"/>
            </w:pPr>
          </w:p>
        </w:tc>
        <w:tc>
          <w:tcPr>
            <w:tcW w:w="1310" w:type="dxa"/>
          </w:tcPr>
          <w:p w14:paraId="55B2B254">
            <w:pPr>
              <w:tabs>
                <w:tab w:val="left" w:pos="5670"/>
                <w:tab w:val="left" w:pos="5880"/>
              </w:tabs>
              <w:snapToGrid w:val="0"/>
              <w:jc w:val="center"/>
            </w:pPr>
          </w:p>
        </w:tc>
      </w:tr>
      <w:tr w14:paraId="55B2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024" w:type="dxa"/>
            <w:vAlign w:val="center"/>
          </w:tcPr>
          <w:p w14:paraId="55B2B256">
            <w:pPr>
              <w:tabs>
                <w:tab w:val="left" w:pos="5670"/>
                <w:tab w:val="left" w:pos="5880"/>
              </w:tabs>
              <w:snapToGrid w:val="0"/>
              <w:jc w:val="center"/>
            </w:pPr>
          </w:p>
        </w:tc>
        <w:tc>
          <w:tcPr>
            <w:tcW w:w="3304" w:type="dxa"/>
            <w:vAlign w:val="center"/>
          </w:tcPr>
          <w:p w14:paraId="55B2B257">
            <w:pPr>
              <w:pStyle w:val="22"/>
              <w:widowControl/>
              <w:tabs>
                <w:tab w:val="left" w:pos="5670"/>
                <w:tab w:val="left" w:pos="5880"/>
              </w:tabs>
              <w:spacing w:line="240" w:lineRule="auto"/>
              <w:ind w:left="0" w:right="-108" w:firstLine="0"/>
              <w:rPr>
                <w:rFonts w:ascii="Times New Roman" w:hAnsi="Times New Roman"/>
                <w:sz w:val="21"/>
                <w:szCs w:val="21"/>
              </w:rPr>
            </w:pPr>
          </w:p>
        </w:tc>
        <w:tc>
          <w:tcPr>
            <w:tcW w:w="1309" w:type="dxa"/>
            <w:vAlign w:val="center"/>
          </w:tcPr>
          <w:p w14:paraId="55B2B258">
            <w:pPr>
              <w:tabs>
                <w:tab w:val="left" w:pos="5670"/>
                <w:tab w:val="left" w:pos="5880"/>
              </w:tabs>
              <w:snapToGrid w:val="0"/>
              <w:jc w:val="center"/>
            </w:pPr>
          </w:p>
        </w:tc>
        <w:tc>
          <w:tcPr>
            <w:tcW w:w="1309" w:type="dxa"/>
            <w:vAlign w:val="center"/>
          </w:tcPr>
          <w:p w14:paraId="55B2B259">
            <w:pPr>
              <w:tabs>
                <w:tab w:val="left" w:pos="5670"/>
                <w:tab w:val="left" w:pos="5880"/>
              </w:tabs>
              <w:snapToGrid w:val="0"/>
              <w:jc w:val="center"/>
            </w:pPr>
          </w:p>
        </w:tc>
        <w:tc>
          <w:tcPr>
            <w:tcW w:w="1309" w:type="dxa"/>
            <w:vAlign w:val="center"/>
          </w:tcPr>
          <w:p w14:paraId="55B2B25A">
            <w:pPr>
              <w:tabs>
                <w:tab w:val="left" w:pos="5670"/>
                <w:tab w:val="left" w:pos="5880"/>
              </w:tabs>
              <w:snapToGrid w:val="0"/>
              <w:jc w:val="center"/>
            </w:pPr>
          </w:p>
        </w:tc>
        <w:tc>
          <w:tcPr>
            <w:tcW w:w="1309" w:type="dxa"/>
            <w:vAlign w:val="center"/>
          </w:tcPr>
          <w:p w14:paraId="55B2B25B">
            <w:pPr>
              <w:tabs>
                <w:tab w:val="left" w:pos="5670"/>
                <w:tab w:val="left" w:pos="5880"/>
              </w:tabs>
              <w:snapToGrid w:val="0"/>
              <w:jc w:val="center"/>
            </w:pPr>
          </w:p>
        </w:tc>
        <w:tc>
          <w:tcPr>
            <w:tcW w:w="1309" w:type="dxa"/>
          </w:tcPr>
          <w:p w14:paraId="55B2B25C">
            <w:pPr>
              <w:tabs>
                <w:tab w:val="left" w:pos="5670"/>
                <w:tab w:val="left" w:pos="5880"/>
              </w:tabs>
              <w:snapToGrid w:val="0"/>
              <w:jc w:val="center"/>
            </w:pPr>
          </w:p>
        </w:tc>
        <w:tc>
          <w:tcPr>
            <w:tcW w:w="1309" w:type="dxa"/>
          </w:tcPr>
          <w:p w14:paraId="55B2B25D">
            <w:pPr>
              <w:tabs>
                <w:tab w:val="left" w:pos="5670"/>
                <w:tab w:val="left" w:pos="5880"/>
              </w:tabs>
              <w:snapToGrid w:val="0"/>
              <w:jc w:val="center"/>
            </w:pPr>
          </w:p>
        </w:tc>
        <w:tc>
          <w:tcPr>
            <w:tcW w:w="1309" w:type="dxa"/>
          </w:tcPr>
          <w:p w14:paraId="55B2B25E">
            <w:pPr>
              <w:tabs>
                <w:tab w:val="left" w:pos="5670"/>
                <w:tab w:val="left" w:pos="5880"/>
              </w:tabs>
              <w:snapToGrid w:val="0"/>
              <w:jc w:val="center"/>
            </w:pPr>
          </w:p>
        </w:tc>
        <w:tc>
          <w:tcPr>
            <w:tcW w:w="1310" w:type="dxa"/>
          </w:tcPr>
          <w:p w14:paraId="55B2B25F">
            <w:pPr>
              <w:tabs>
                <w:tab w:val="left" w:pos="5670"/>
                <w:tab w:val="left" w:pos="5880"/>
              </w:tabs>
              <w:snapToGrid w:val="0"/>
              <w:jc w:val="center"/>
            </w:pPr>
          </w:p>
        </w:tc>
      </w:tr>
      <w:tr w14:paraId="55B2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024" w:type="dxa"/>
            <w:vAlign w:val="center"/>
          </w:tcPr>
          <w:p w14:paraId="55B2B261">
            <w:pPr>
              <w:tabs>
                <w:tab w:val="left" w:pos="5670"/>
                <w:tab w:val="left" w:pos="5880"/>
              </w:tabs>
              <w:snapToGrid w:val="0"/>
              <w:jc w:val="center"/>
            </w:pPr>
          </w:p>
        </w:tc>
        <w:tc>
          <w:tcPr>
            <w:tcW w:w="3304" w:type="dxa"/>
            <w:vAlign w:val="center"/>
          </w:tcPr>
          <w:p w14:paraId="55B2B262">
            <w:pPr>
              <w:pStyle w:val="22"/>
              <w:widowControl/>
              <w:tabs>
                <w:tab w:val="left" w:pos="5670"/>
                <w:tab w:val="left" w:pos="5880"/>
              </w:tabs>
              <w:spacing w:line="240" w:lineRule="auto"/>
              <w:ind w:left="491" w:leftChars="34" w:right="-108" w:hanging="420"/>
              <w:jc w:val="center"/>
              <w:rPr>
                <w:rFonts w:ascii="Times New Roman" w:hAnsi="Times New Roman"/>
                <w:sz w:val="21"/>
                <w:szCs w:val="21"/>
              </w:rPr>
            </w:pPr>
          </w:p>
        </w:tc>
        <w:tc>
          <w:tcPr>
            <w:tcW w:w="1309" w:type="dxa"/>
            <w:vAlign w:val="center"/>
          </w:tcPr>
          <w:p w14:paraId="55B2B263">
            <w:pPr>
              <w:tabs>
                <w:tab w:val="left" w:pos="5670"/>
                <w:tab w:val="left" w:pos="5880"/>
              </w:tabs>
              <w:snapToGrid w:val="0"/>
              <w:jc w:val="center"/>
            </w:pPr>
          </w:p>
        </w:tc>
        <w:tc>
          <w:tcPr>
            <w:tcW w:w="1309" w:type="dxa"/>
            <w:vAlign w:val="center"/>
          </w:tcPr>
          <w:p w14:paraId="55B2B264">
            <w:pPr>
              <w:tabs>
                <w:tab w:val="left" w:pos="5670"/>
                <w:tab w:val="left" w:pos="5880"/>
              </w:tabs>
              <w:snapToGrid w:val="0"/>
              <w:jc w:val="center"/>
            </w:pPr>
          </w:p>
        </w:tc>
        <w:tc>
          <w:tcPr>
            <w:tcW w:w="1309" w:type="dxa"/>
            <w:vAlign w:val="center"/>
          </w:tcPr>
          <w:p w14:paraId="55B2B265">
            <w:pPr>
              <w:tabs>
                <w:tab w:val="left" w:pos="5670"/>
                <w:tab w:val="left" w:pos="5880"/>
              </w:tabs>
              <w:snapToGrid w:val="0"/>
              <w:jc w:val="center"/>
            </w:pPr>
          </w:p>
        </w:tc>
        <w:tc>
          <w:tcPr>
            <w:tcW w:w="1309" w:type="dxa"/>
            <w:vAlign w:val="center"/>
          </w:tcPr>
          <w:p w14:paraId="55B2B266">
            <w:pPr>
              <w:tabs>
                <w:tab w:val="left" w:pos="5670"/>
                <w:tab w:val="left" w:pos="5880"/>
              </w:tabs>
              <w:snapToGrid w:val="0"/>
              <w:jc w:val="center"/>
            </w:pPr>
          </w:p>
        </w:tc>
        <w:tc>
          <w:tcPr>
            <w:tcW w:w="1309" w:type="dxa"/>
          </w:tcPr>
          <w:p w14:paraId="55B2B267">
            <w:pPr>
              <w:tabs>
                <w:tab w:val="left" w:pos="5670"/>
                <w:tab w:val="left" w:pos="5880"/>
              </w:tabs>
              <w:snapToGrid w:val="0"/>
              <w:jc w:val="center"/>
            </w:pPr>
          </w:p>
        </w:tc>
        <w:tc>
          <w:tcPr>
            <w:tcW w:w="1309" w:type="dxa"/>
          </w:tcPr>
          <w:p w14:paraId="55B2B268">
            <w:pPr>
              <w:tabs>
                <w:tab w:val="left" w:pos="5670"/>
                <w:tab w:val="left" w:pos="5880"/>
              </w:tabs>
              <w:snapToGrid w:val="0"/>
              <w:jc w:val="center"/>
            </w:pPr>
          </w:p>
        </w:tc>
        <w:tc>
          <w:tcPr>
            <w:tcW w:w="1309" w:type="dxa"/>
          </w:tcPr>
          <w:p w14:paraId="55B2B269">
            <w:pPr>
              <w:tabs>
                <w:tab w:val="left" w:pos="5670"/>
                <w:tab w:val="left" w:pos="5880"/>
              </w:tabs>
              <w:snapToGrid w:val="0"/>
              <w:jc w:val="center"/>
            </w:pPr>
          </w:p>
        </w:tc>
        <w:tc>
          <w:tcPr>
            <w:tcW w:w="1310" w:type="dxa"/>
          </w:tcPr>
          <w:p w14:paraId="55B2B26A">
            <w:pPr>
              <w:tabs>
                <w:tab w:val="left" w:pos="5670"/>
                <w:tab w:val="left" w:pos="5880"/>
              </w:tabs>
              <w:snapToGrid w:val="0"/>
              <w:jc w:val="center"/>
            </w:pPr>
          </w:p>
        </w:tc>
      </w:tr>
      <w:tr w14:paraId="55B2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024" w:type="dxa"/>
            <w:vAlign w:val="center"/>
          </w:tcPr>
          <w:p w14:paraId="55B2B26C">
            <w:pPr>
              <w:tabs>
                <w:tab w:val="left" w:pos="5670"/>
                <w:tab w:val="left" w:pos="5880"/>
              </w:tabs>
              <w:snapToGrid w:val="0"/>
              <w:jc w:val="center"/>
            </w:pPr>
          </w:p>
        </w:tc>
        <w:tc>
          <w:tcPr>
            <w:tcW w:w="3304" w:type="dxa"/>
            <w:vAlign w:val="center"/>
          </w:tcPr>
          <w:p w14:paraId="55B2B26D">
            <w:pPr>
              <w:pStyle w:val="22"/>
              <w:widowControl/>
              <w:tabs>
                <w:tab w:val="left" w:pos="5670"/>
                <w:tab w:val="left" w:pos="5880"/>
              </w:tabs>
              <w:spacing w:line="240" w:lineRule="auto"/>
              <w:ind w:left="491" w:leftChars="34" w:right="-108" w:hanging="420"/>
              <w:jc w:val="center"/>
              <w:rPr>
                <w:rFonts w:ascii="Times New Roman" w:hAnsi="Times New Roman"/>
                <w:sz w:val="21"/>
                <w:szCs w:val="21"/>
              </w:rPr>
            </w:pPr>
          </w:p>
        </w:tc>
        <w:tc>
          <w:tcPr>
            <w:tcW w:w="1309" w:type="dxa"/>
            <w:vAlign w:val="center"/>
          </w:tcPr>
          <w:p w14:paraId="55B2B26E">
            <w:pPr>
              <w:tabs>
                <w:tab w:val="left" w:pos="5670"/>
                <w:tab w:val="left" w:pos="5880"/>
              </w:tabs>
              <w:snapToGrid w:val="0"/>
              <w:jc w:val="center"/>
            </w:pPr>
          </w:p>
        </w:tc>
        <w:tc>
          <w:tcPr>
            <w:tcW w:w="1309" w:type="dxa"/>
            <w:vAlign w:val="center"/>
          </w:tcPr>
          <w:p w14:paraId="55B2B26F">
            <w:pPr>
              <w:tabs>
                <w:tab w:val="left" w:pos="5670"/>
                <w:tab w:val="left" w:pos="5880"/>
              </w:tabs>
              <w:snapToGrid w:val="0"/>
              <w:jc w:val="center"/>
            </w:pPr>
          </w:p>
        </w:tc>
        <w:tc>
          <w:tcPr>
            <w:tcW w:w="1309" w:type="dxa"/>
            <w:vAlign w:val="center"/>
          </w:tcPr>
          <w:p w14:paraId="55B2B270">
            <w:pPr>
              <w:tabs>
                <w:tab w:val="left" w:pos="5670"/>
                <w:tab w:val="left" w:pos="5880"/>
              </w:tabs>
              <w:snapToGrid w:val="0"/>
              <w:jc w:val="center"/>
            </w:pPr>
          </w:p>
        </w:tc>
        <w:tc>
          <w:tcPr>
            <w:tcW w:w="1309" w:type="dxa"/>
            <w:vAlign w:val="center"/>
          </w:tcPr>
          <w:p w14:paraId="55B2B271">
            <w:pPr>
              <w:tabs>
                <w:tab w:val="left" w:pos="5670"/>
                <w:tab w:val="left" w:pos="5880"/>
              </w:tabs>
              <w:snapToGrid w:val="0"/>
              <w:jc w:val="center"/>
            </w:pPr>
          </w:p>
        </w:tc>
        <w:tc>
          <w:tcPr>
            <w:tcW w:w="1309" w:type="dxa"/>
          </w:tcPr>
          <w:p w14:paraId="55B2B272">
            <w:pPr>
              <w:tabs>
                <w:tab w:val="left" w:pos="5670"/>
                <w:tab w:val="left" w:pos="5880"/>
              </w:tabs>
              <w:snapToGrid w:val="0"/>
              <w:jc w:val="center"/>
            </w:pPr>
          </w:p>
        </w:tc>
        <w:tc>
          <w:tcPr>
            <w:tcW w:w="1309" w:type="dxa"/>
          </w:tcPr>
          <w:p w14:paraId="55B2B273">
            <w:pPr>
              <w:tabs>
                <w:tab w:val="left" w:pos="5670"/>
                <w:tab w:val="left" w:pos="5880"/>
              </w:tabs>
              <w:snapToGrid w:val="0"/>
              <w:jc w:val="center"/>
            </w:pPr>
          </w:p>
        </w:tc>
        <w:tc>
          <w:tcPr>
            <w:tcW w:w="1309" w:type="dxa"/>
          </w:tcPr>
          <w:p w14:paraId="55B2B274">
            <w:pPr>
              <w:tabs>
                <w:tab w:val="left" w:pos="5670"/>
                <w:tab w:val="left" w:pos="5880"/>
              </w:tabs>
              <w:snapToGrid w:val="0"/>
              <w:jc w:val="center"/>
            </w:pPr>
          </w:p>
        </w:tc>
        <w:tc>
          <w:tcPr>
            <w:tcW w:w="1310" w:type="dxa"/>
          </w:tcPr>
          <w:p w14:paraId="55B2B275">
            <w:pPr>
              <w:tabs>
                <w:tab w:val="left" w:pos="5670"/>
                <w:tab w:val="left" w:pos="5880"/>
              </w:tabs>
              <w:snapToGrid w:val="0"/>
              <w:jc w:val="center"/>
            </w:pPr>
          </w:p>
        </w:tc>
      </w:tr>
      <w:tr w14:paraId="55B2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024" w:type="dxa"/>
            <w:vAlign w:val="center"/>
          </w:tcPr>
          <w:p w14:paraId="55B2B277">
            <w:pPr>
              <w:tabs>
                <w:tab w:val="left" w:pos="5670"/>
                <w:tab w:val="left" w:pos="5880"/>
              </w:tabs>
              <w:snapToGrid w:val="0"/>
              <w:jc w:val="center"/>
            </w:pPr>
          </w:p>
        </w:tc>
        <w:tc>
          <w:tcPr>
            <w:tcW w:w="3304" w:type="dxa"/>
            <w:vAlign w:val="center"/>
          </w:tcPr>
          <w:p w14:paraId="55B2B278">
            <w:pPr>
              <w:pStyle w:val="22"/>
              <w:widowControl/>
              <w:tabs>
                <w:tab w:val="left" w:pos="5670"/>
                <w:tab w:val="left" w:pos="5880"/>
              </w:tabs>
              <w:spacing w:line="240" w:lineRule="auto"/>
              <w:ind w:left="491" w:leftChars="34" w:right="-108" w:hanging="420"/>
              <w:jc w:val="center"/>
              <w:rPr>
                <w:rFonts w:ascii="Times New Roman" w:hAnsi="Times New Roman"/>
                <w:sz w:val="21"/>
                <w:szCs w:val="21"/>
              </w:rPr>
            </w:pPr>
          </w:p>
        </w:tc>
        <w:tc>
          <w:tcPr>
            <w:tcW w:w="1309" w:type="dxa"/>
            <w:vAlign w:val="center"/>
          </w:tcPr>
          <w:p w14:paraId="55B2B279">
            <w:pPr>
              <w:tabs>
                <w:tab w:val="left" w:pos="5670"/>
                <w:tab w:val="left" w:pos="5880"/>
              </w:tabs>
              <w:snapToGrid w:val="0"/>
              <w:jc w:val="center"/>
            </w:pPr>
          </w:p>
        </w:tc>
        <w:tc>
          <w:tcPr>
            <w:tcW w:w="1309" w:type="dxa"/>
            <w:vAlign w:val="center"/>
          </w:tcPr>
          <w:p w14:paraId="55B2B27A">
            <w:pPr>
              <w:tabs>
                <w:tab w:val="left" w:pos="5670"/>
                <w:tab w:val="left" w:pos="5880"/>
              </w:tabs>
              <w:snapToGrid w:val="0"/>
              <w:jc w:val="center"/>
            </w:pPr>
          </w:p>
        </w:tc>
        <w:tc>
          <w:tcPr>
            <w:tcW w:w="1309" w:type="dxa"/>
            <w:vAlign w:val="center"/>
          </w:tcPr>
          <w:p w14:paraId="55B2B27B">
            <w:pPr>
              <w:tabs>
                <w:tab w:val="left" w:pos="5670"/>
                <w:tab w:val="left" w:pos="5880"/>
              </w:tabs>
              <w:snapToGrid w:val="0"/>
              <w:jc w:val="center"/>
            </w:pPr>
          </w:p>
        </w:tc>
        <w:tc>
          <w:tcPr>
            <w:tcW w:w="1309" w:type="dxa"/>
            <w:vAlign w:val="center"/>
          </w:tcPr>
          <w:p w14:paraId="55B2B27C">
            <w:pPr>
              <w:tabs>
                <w:tab w:val="left" w:pos="5670"/>
                <w:tab w:val="left" w:pos="5880"/>
              </w:tabs>
              <w:snapToGrid w:val="0"/>
              <w:jc w:val="center"/>
            </w:pPr>
          </w:p>
        </w:tc>
        <w:tc>
          <w:tcPr>
            <w:tcW w:w="1309" w:type="dxa"/>
          </w:tcPr>
          <w:p w14:paraId="55B2B27D">
            <w:pPr>
              <w:tabs>
                <w:tab w:val="left" w:pos="5670"/>
                <w:tab w:val="left" w:pos="5880"/>
              </w:tabs>
              <w:snapToGrid w:val="0"/>
              <w:jc w:val="center"/>
            </w:pPr>
          </w:p>
        </w:tc>
        <w:tc>
          <w:tcPr>
            <w:tcW w:w="1309" w:type="dxa"/>
          </w:tcPr>
          <w:p w14:paraId="55B2B27E">
            <w:pPr>
              <w:tabs>
                <w:tab w:val="left" w:pos="5670"/>
                <w:tab w:val="left" w:pos="5880"/>
              </w:tabs>
              <w:snapToGrid w:val="0"/>
              <w:jc w:val="center"/>
            </w:pPr>
          </w:p>
        </w:tc>
        <w:tc>
          <w:tcPr>
            <w:tcW w:w="1309" w:type="dxa"/>
          </w:tcPr>
          <w:p w14:paraId="55B2B27F">
            <w:pPr>
              <w:tabs>
                <w:tab w:val="left" w:pos="5670"/>
                <w:tab w:val="left" w:pos="5880"/>
              </w:tabs>
              <w:snapToGrid w:val="0"/>
              <w:jc w:val="center"/>
            </w:pPr>
          </w:p>
        </w:tc>
        <w:tc>
          <w:tcPr>
            <w:tcW w:w="1310" w:type="dxa"/>
          </w:tcPr>
          <w:p w14:paraId="55B2B280">
            <w:pPr>
              <w:tabs>
                <w:tab w:val="left" w:pos="5670"/>
                <w:tab w:val="left" w:pos="5880"/>
              </w:tabs>
              <w:snapToGrid w:val="0"/>
              <w:jc w:val="center"/>
            </w:pPr>
          </w:p>
        </w:tc>
      </w:tr>
      <w:tr w14:paraId="55B2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1024" w:type="dxa"/>
            <w:vAlign w:val="center"/>
          </w:tcPr>
          <w:p w14:paraId="55B2B282">
            <w:pPr>
              <w:tabs>
                <w:tab w:val="left" w:pos="5670"/>
                <w:tab w:val="left" w:pos="5880"/>
              </w:tabs>
              <w:snapToGrid w:val="0"/>
              <w:jc w:val="center"/>
            </w:pPr>
          </w:p>
        </w:tc>
        <w:tc>
          <w:tcPr>
            <w:tcW w:w="3304" w:type="dxa"/>
            <w:vAlign w:val="center"/>
          </w:tcPr>
          <w:p w14:paraId="55B2B283">
            <w:pPr>
              <w:pStyle w:val="22"/>
              <w:widowControl/>
              <w:tabs>
                <w:tab w:val="left" w:pos="5670"/>
                <w:tab w:val="left" w:pos="5880"/>
              </w:tabs>
              <w:ind w:left="422" w:right="-108" w:hanging="422"/>
              <w:jc w:val="center"/>
              <w:rPr>
                <w:rFonts w:ascii="Times New Roman" w:hAnsi="Times New Roman"/>
                <w:b/>
                <w:bCs/>
                <w:sz w:val="21"/>
                <w:szCs w:val="21"/>
              </w:rPr>
            </w:pPr>
            <w:r>
              <w:rPr>
                <w:rFonts w:ascii="Times New Roman" w:hAnsi="Times New Roman"/>
                <w:szCs w:val="21"/>
              </w:rPr>
              <w:t>总价（含13%增值税（若国家政策有变化，按新规定）执行）</w:t>
            </w:r>
          </w:p>
        </w:tc>
        <w:tc>
          <w:tcPr>
            <w:tcW w:w="10473" w:type="dxa"/>
            <w:gridSpan w:val="8"/>
            <w:vAlign w:val="center"/>
          </w:tcPr>
          <w:p w14:paraId="55B2B284">
            <w:pPr>
              <w:tabs>
                <w:tab w:val="left" w:pos="5670"/>
                <w:tab w:val="left" w:pos="5880"/>
              </w:tabs>
              <w:snapToGrid w:val="0"/>
              <w:jc w:val="center"/>
              <w:rPr>
                <w:u w:val="single"/>
              </w:rPr>
            </w:pPr>
            <w:r>
              <w:rPr>
                <w:u w:val="single"/>
              </w:rPr>
              <w:t>小写为：                  （大写为：                             ）</w:t>
            </w:r>
          </w:p>
        </w:tc>
      </w:tr>
    </w:tbl>
    <w:p w14:paraId="55B2B286">
      <w:pPr>
        <w:tabs>
          <w:tab w:val="left" w:pos="839"/>
          <w:tab w:val="left" w:pos="1040"/>
          <w:tab w:val="left" w:pos="5670"/>
          <w:tab w:val="left" w:pos="5880"/>
        </w:tabs>
        <w:ind w:firstLine="420" w:firstLineChars="200"/>
      </w:pPr>
    </w:p>
    <w:p w14:paraId="55B2B287">
      <w:pPr>
        <w:pStyle w:val="27"/>
        <w:tabs>
          <w:tab w:val="left" w:pos="5670"/>
          <w:tab w:val="left" w:pos="5880"/>
        </w:tabs>
        <w:rPr>
          <w:szCs w:val="31"/>
        </w:rPr>
      </w:pPr>
      <w:r>
        <w:t>谈判申请人代表签字(同时需加盖谈判申请人公章)</w:t>
      </w:r>
      <w:r>
        <w:rPr>
          <w:szCs w:val="31"/>
        </w:rPr>
        <w:t>：</w:t>
      </w:r>
    </w:p>
    <w:p w14:paraId="55B2B288">
      <w:pPr>
        <w:pStyle w:val="27"/>
        <w:tabs>
          <w:tab w:val="left" w:pos="5670"/>
          <w:tab w:val="left" w:pos="5880"/>
        </w:tabs>
        <w:sectPr>
          <w:pgSz w:w="16838" w:h="11906" w:orient="landscape"/>
          <w:pgMar w:top="1134" w:right="936" w:bottom="1134" w:left="1089" w:header="510" w:footer="680" w:gutter="0"/>
          <w:cols w:space="720" w:num="1"/>
          <w:titlePg/>
          <w:docGrid w:type="linesAndChars" w:linePitch="312" w:charSpace="0"/>
        </w:sectPr>
      </w:pPr>
      <w:r>
        <w:rPr>
          <w:rFonts w:hint="eastAsia"/>
        </w:rPr>
        <w:t>注：</w:t>
      </w:r>
      <w:r>
        <w:t>分项设备报价应包括蒙自末站、文山末站所包括相关设备、材料，具体详见采购清单。</w:t>
      </w:r>
    </w:p>
    <w:p w14:paraId="55B2B401">
      <w:pPr>
        <w:spacing w:line="360" w:lineRule="auto"/>
        <w:outlineLvl w:val="2"/>
        <w:rPr>
          <w:b/>
          <w:kern w:val="0"/>
          <w:sz w:val="24"/>
        </w:rPr>
      </w:pPr>
      <w:r>
        <w:rPr>
          <w:b/>
          <w:kern w:val="0"/>
          <w:sz w:val="24"/>
        </w:rPr>
        <w:t>7.资格审查资料</w:t>
      </w:r>
    </w:p>
    <w:p w14:paraId="55B2B402">
      <w:pPr>
        <w:spacing w:line="360" w:lineRule="auto"/>
        <w:outlineLvl w:val="2"/>
        <w:rPr>
          <w:b/>
          <w:kern w:val="0"/>
          <w:sz w:val="24"/>
        </w:rPr>
      </w:pPr>
      <w:r>
        <w:rPr>
          <w:b/>
          <w:kern w:val="0"/>
          <w:sz w:val="24"/>
        </w:rPr>
        <w:t>7.1谈判申请人</w:t>
      </w:r>
      <w:r>
        <w:rPr>
          <w:rFonts w:hint="eastAsia"/>
          <w:b/>
          <w:kern w:val="0"/>
          <w:sz w:val="24"/>
        </w:rPr>
        <w:t>基本情况表</w:t>
      </w:r>
    </w:p>
    <w:tbl>
      <w:tblPr>
        <w:tblStyle w:val="18"/>
        <w:tblW w:w="0" w:type="auto"/>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2457"/>
        <w:gridCol w:w="1264"/>
        <w:gridCol w:w="1782"/>
        <w:gridCol w:w="1150"/>
        <w:gridCol w:w="2996"/>
      </w:tblGrid>
      <w:tr w14:paraId="55B2B40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263" w:hRule="atLeast"/>
          <w:jc w:val="center"/>
        </w:trPr>
        <w:tc>
          <w:tcPr>
            <w:tcW w:w="2457" w:type="dxa"/>
            <w:tcBorders>
              <w:bottom w:val="single" w:color="000000" w:sz="4" w:space="0"/>
              <w:right w:val="single" w:color="000000" w:sz="4" w:space="0"/>
            </w:tcBorders>
            <w:tcMar>
              <w:top w:w="0" w:type="dxa"/>
              <w:left w:w="108" w:type="dxa"/>
              <w:bottom w:w="0" w:type="dxa"/>
              <w:right w:w="108" w:type="dxa"/>
            </w:tcMar>
            <w:vAlign w:val="center"/>
          </w:tcPr>
          <w:p w14:paraId="55B2B403">
            <w:pPr>
              <w:widowControl/>
              <w:spacing w:line="360" w:lineRule="exact"/>
              <w:jc w:val="center"/>
              <w:rPr>
                <w:kern w:val="0"/>
                <w:szCs w:val="21"/>
              </w:rPr>
            </w:pPr>
            <w:r>
              <w:rPr>
                <w:kern w:val="0"/>
                <w:szCs w:val="21"/>
              </w:rPr>
              <w:t>谈判申请人</w:t>
            </w:r>
            <w:r>
              <w:rPr>
                <w:rFonts w:hint="eastAsia"/>
                <w:kern w:val="0"/>
                <w:szCs w:val="21"/>
              </w:rPr>
              <w:t>名称</w:t>
            </w:r>
          </w:p>
        </w:tc>
        <w:tc>
          <w:tcPr>
            <w:tcW w:w="7192" w:type="dxa"/>
            <w:gridSpan w:val="4"/>
            <w:tcBorders>
              <w:left w:val="single" w:color="000000" w:sz="4" w:space="0"/>
              <w:bottom w:val="single" w:color="000000" w:sz="4" w:space="0"/>
            </w:tcBorders>
            <w:tcMar>
              <w:top w:w="0" w:type="dxa"/>
              <w:left w:w="108" w:type="dxa"/>
              <w:bottom w:w="0" w:type="dxa"/>
              <w:right w:w="108" w:type="dxa"/>
            </w:tcMar>
            <w:vAlign w:val="center"/>
          </w:tcPr>
          <w:p w14:paraId="55B2B404">
            <w:pPr>
              <w:widowControl/>
              <w:spacing w:line="360" w:lineRule="exact"/>
              <w:jc w:val="center"/>
              <w:rPr>
                <w:kern w:val="0"/>
                <w:szCs w:val="21"/>
              </w:rPr>
            </w:pPr>
          </w:p>
        </w:tc>
      </w:tr>
      <w:tr w14:paraId="55B2B40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9" w:hRule="atLeast"/>
          <w:jc w:val="center"/>
        </w:trPr>
        <w:tc>
          <w:tcPr>
            <w:tcW w:w="2457" w:type="dxa"/>
            <w:tcBorders>
              <w:bottom w:val="single" w:color="000000" w:sz="4" w:space="0"/>
              <w:right w:val="single" w:color="000000" w:sz="4" w:space="0"/>
            </w:tcBorders>
            <w:tcMar>
              <w:top w:w="0" w:type="dxa"/>
              <w:left w:w="108" w:type="dxa"/>
              <w:bottom w:w="0" w:type="dxa"/>
              <w:right w:w="108" w:type="dxa"/>
            </w:tcMar>
            <w:vAlign w:val="center"/>
          </w:tcPr>
          <w:p w14:paraId="55B2B406">
            <w:pPr>
              <w:widowControl/>
              <w:snapToGrid w:val="0"/>
              <w:spacing w:line="360" w:lineRule="exact"/>
              <w:jc w:val="center"/>
              <w:rPr>
                <w:kern w:val="0"/>
                <w:szCs w:val="21"/>
              </w:rPr>
            </w:pPr>
            <w:r>
              <w:rPr>
                <w:rFonts w:hint="eastAsia"/>
                <w:kern w:val="0"/>
                <w:szCs w:val="21"/>
              </w:rPr>
              <w:t>注册资金</w:t>
            </w:r>
          </w:p>
        </w:tc>
        <w:tc>
          <w:tcPr>
            <w:tcW w:w="3046" w:type="dxa"/>
            <w:gridSpan w:val="2"/>
            <w:tcBorders>
              <w:left w:val="single" w:color="000000" w:sz="4" w:space="0"/>
              <w:bottom w:val="single" w:color="000000" w:sz="4" w:space="0"/>
              <w:right w:val="single" w:color="auto" w:sz="4" w:space="0"/>
            </w:tcBorders>
            <w:tcMar>
              <w:top w:w="0" w:type="dxa"/>
              <w:left w:w="108" w:type="dxa"/>
              <w:bottom w:w="0" w:type="dxa"/>
              <w:right w:w="108" w:type="dxa"/>
            </w:tcMar>
            <w:vAlign w:val="center"/>
          </w:tcPr>
          <w:p w14:paraId="55B2B407">
            <w:pPr>
              <w:widowControl/>
              <w:snapToGrid w:val="0"/>
              <w:spacing w:line="360" w:lineRule="exact"/>
              <w:jc w:val="center"/>
              <w:rPr>
                <w:kern w:val="0"/>
                <w:szCs w:val="21"/>
              </w:rPr>
            </w:pPr>
          </w:p>
        </w:tc>
        <w:tc>
          <w:tcPr>
            <w:tcW w:w="1150" w:type="dxa"/>
            <w:tcBorders>
              <w:left w:val="single" w:color="auto" w:sz="4" w:space="0"/>
              <w:bottom w:val="single" w:color="000000" w:sz="4" w:space="0"/>
              <w:right w:val="single" w:color="auto" w:sz="4" w:space="0"/>
            </w:tcBorders>
            <w:tcMar>
              <w:top w:w="0" w:type="dxa"/>
              <w:left w:w="108" w:type="dxa"/>
              <w:bottom w:w="0" w:type="dxa"/>
              <w:right w:w="108" w:type="dxa"/>
            </w:tcMar>
            <w:vAlign w:val="center"/>
          </w:tcPr>
          <w:p w14:paraId="55B2B408">
            <w:pPr>
              <w:widowControl/>
              <w:snapToGrid w:val="0"/>
              <w:spacing w:line="360" w:lineRule="exact"/>
              <w:jc w:val="center"/>
              <w:rPr>
                <w:kern w:val="0"/>
                <w:szCs w:val="21"/>
              </w:rPr>
            </w:pPr>
            <w:r>
              <w:rPr>
                <w:rFonts w:hint="eastAsia"/>
                <w:kern w:val="0"/>
                <w:szCs w:val="21"/>
              </w:rPr>
              <w:t>成立时间</w:t>
            </w:r>
          </w:p>
        </w:tc>
        <w:tc>
          <w:tcPr>
            <w:tcW w:w="2996" w:type="dxa"/>
            <w:tcBorders>
              <w:left w:val="single" w:color="auto" w:sz="4" w:space="0"/>
              <w:bottom w:val="single" w:color="000000" w:sz="4" w:space="0"/>
            </w:tcBorders>
            <w:tcMar>
              <w:top w:w="0" w:type="dxa"/>
              <w:left w:w="108" w:type="dxa"/>
              <w:bottom w:w="0" w:type="dxa"/>
              <w:right w:w="108" w:type="dxa"/>
            </w:tcMar>
            <w:vAlign w:val="center"/>
          </w:tcPr>
          <w:p w14:paraId="55B2B409">
            <w:pPr>
              <w:widowControl/>
              <w:snapToGrid w:val="0"/>
              <w:spacing w:line="360" w:lineRule="exact"/>
              <w:jc w:val="center"/>
              <w:rPr>
                <w:kern w:val="0"/>
                <w:szCs w:val="21"/>
              </w:rPr>
            </w:pPr>
          </w:p>
        </w:tc>
      </w:tr>
      <w:tr w14:paraId="55B2B40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9" w:hRule="atLeast"/>
          <w:jc w:val="center"/>
        </w:trPr>
        <w:tc>
          <w:tcPr>
            <w:tcW w:w="2457"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B2B40B">
            <w:pPr>
              <w:widowControl/>
              <w:snapToGrid w:val="0"/>
              <w:spacing w:line="360" w:lineRule="exact"/>
              <w:jc w:val="center"/>
              <w:rPr>
                <w:kern w:val="0"/>
                <w:szCs w:val="21"/>
              </w:rPr>
            </w:pPr>
            <w:r>
              <w:rPr>
                <w:rFonts w:hint="eastAsia"/>
                <w:kern w:val="0"/>
                <w:szCs w:val="21"/>
              </w:rPr>
              <w:t>注册地址</w:t>
            </w:r>
          </w:p>
        </w:tc>
        <w:tc>
          <w:tcPr>
            <w:tcW w:w="7192" w:type="dxa"/>
            <w:gridSpan w:val="4"/>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5B2B40C">
            <w:pPr>
              <w:widowControl/>
              <w:snapToGrid w:val="0"/>
              <w:spacing w:line="360" w:lineRule="exact"/>
              <w:jc w:val="center"/>
              <w:rPr>
                <w:kern w:val="0"/>
                <w:szCs w:val="21"/>
              </w:rPr>
            </w:pPr>
          </w:p>
        </w:tc>
      </w:tr>
      <w:tr w14:paraId="55B2B41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9" w:hRule="atLeast"/>
          <w:jc w:val="center"/>
        </w:trPr>
        <w:tc>
          <w:tcPr>
            <w:tcW w:w="2457"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B2B40E">
            <w:pPr>
              <w:widowControl/>
              <w:snapToGrid w:val="0"/>
              <w:spacing w:line="360" w:lineRule="exact"/>
              <w:jc w:val="center"/>
              <w:rPr>
                <w:kern w:val="0"/>
                <w:szCs w:val="21"/>
              </w:rPr>
            </w:pPr>
            <w:r>
              <w:rPr>
                <w:rFonts w:hint="eastAsia"/>
                <w:kern w:val="0"/>
                <w:szCs w:val="21"/>
              </w:rPr>
              <w:t>邮编</w:t>
            </w:r>
          </w:p>
        </w:tc>
        <w:tc>
          <w:tcPr>
            <w:tcW w:w="3046" w:type="dxa"/>
            <w:gridSpan w:val="2"/>
            <w:tcBorders>
              <w:top w:val="single" w:color="000000" w:sz="4" w:space="0"/>
              <w:left w:val="single" w:color="000000" w:sz="4" w:space="0"/>
              <w:bottom w:val="single" w:color="000000" w:sz="4" w:space="0"/>
              <w:right w:val="single" w:color="auto" w:sz="4" w:space="0"/>
            </w:tcBorders>
            <w:tcMar>
              <w:top w:w="0" w:type="dxa"/>
              <w:left w:w="108" w:type="dxa"/>
              <w:bottom w:w="0" w:type="dxa"/>
              <w:right w:w="108" w:type="dxa"/>
            </w:tcMar>
            <w:vAlign w:val="center"/>
          </w:tcPr>
          <w:p w14:paraId="55B2B40F">
            <w:pPr>
              <w:widowControl/>
              <w:snapToGrid w:val="0"/>
              <w:spacing w:line="360" w:lineRule="exact"/>
              <w:jc w:val="center"/>
              <w:rPr>
                <w:kern w:val="0"/>
                <w:szCs w:val="21"/>
              </w:rPr>
            </w:pPr>
          </w:p>
        </w:tc>
        <w:tc>
          <w:tcPr>
            <w:tcW w:w="1150" w:type="dxa"/>
            <w:tcBorders>
              <w:top w:val="single" w:color="000000" w:sz="4" w:space="0"/>
              <w:left w:val="single" w:color="auto" w:sz="4" w:space="0"/>
              <w:bottom w:val="single" w:color="000000" w:sz="4" w:space="0"/>
              <w:right w:val="single" w:color="auto" w:sz="4" w:space="0"/>
            </w:tcBorders>
            <w:tcMar>
              <w:top w:w="0" w:type="dxa"/>
              <w:left w:w="108" w:type="dxa"/>
              <w:bottom w:w="0" w:type="dxa"/>
              <w:right w:w="108" w:type="dxa"/>
            </w:tcMar>
            <w:vAlign w:val="center"/>
          </w:tcPr>
          <w:p w14:paraId="55B2B410">
            <w:pPr>
              <w:widowControl/>
              <w:snapToGrid w:val="0"/>
              <w:spacing w:line="360" w:lineRule="exact"/>
              <w:jc w:val="center"/>
              <w:rPr>
                <w:kern w:val="0"/>
                <w:szCs w:val="21"/>
              </w:rPr>
            </w:pPr>
            <w:r>
              <w:rPr>
                <w:rFonts w:hint="eastAsia"/>
                <w:kern w:val="0"/>
                <w:szCs w:val="21"/>
              </w:rPr>
              <w:t>员工总数</w:t>
            </w:r>
          </w:p>
        </w:tc>
        <w:tc>
          <w:tcPr>
            <w:tcW w:w="2996" w:type="dxa"/>
            <w:tcBorders>
              <w:top w:val="single" w:color="000000" w:sz="4" w:space="0"/>
              <w:left w:val="single" w:color="auto" w:sz="4" w:space="0"/>
              <w:bottom w:val="single" w:color="000000" w:sz="4" w:space="0"/>
            </w:tcBorders>
            <w:tcMar>
              <w:top w:w="0" w:type="dxa"/>
              <w:left w:w="108" w:type="dxa"/>
              <w:bottom w:w="0" w:type="dxa"/>
              <w:right w:w="108" w:type="dxa"/>
            </w:tcMar>
            <w:vAlign w:val="center"/>
          </w:tcPr>
          <w:p w14:paraId="55B2B411">
            <w:pPr>
              <w:widowControl/>
              <w:snapToGrid w:val="0"/>
              <w:spacing w:line="360" w:lineRule="exact"/>
              <w:jc w:val="center"/>
              <w:rPr>
                <w:kern w:val="0"/>
                <w:szCs w:val="21"/>
              </w:rPr>
            </w:pPr>
          </w:p>
        </w:tc>
      </w:tr>
      <w:tr w14:paraId="55B2B41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9" w:hRule="atLeast"/>
          <w:jc w:val="center"/>
        </w:trPr>
        <w:tc>
          <w:tcPr>
            <w:tcW w:w="2457" w:type="dxa"/>
            <w:vMerge w:val="restart"/>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B2B413">
            <w:pPr>
              <w:widowControl/>
              <w:snapToGrid w:val="0"/>
              <w:spacing w:line="360" w:lineRule="exact"/>
              <w:jc w:val="center"/>
              <w:rPr>
                <w:kern w:val="0"/>
                <w:szCs w:val="21"/>
              </w:rPr>
            </w:pPr>
            <w:r>
              <w:rPr>
                <w:rFonts w:hint="eastAsia"/>
                <w:kern w:val="0"/>
                <w:szCs w:val="21"/>
              </w:rPr>
              <w:t>联系方式</w:t>
            </w:r>
          </w:p>
        </w:tc>
        <w:tc>
          <w:tcPr>
            <w:tcW w:w="126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14">
            <w:pPr>
              <w:widowControl/>
              <w:snapToGrid w:val="0"/>
              <w:spacing w:before="100" w:beforeAutospacing="1" w:after="100" w:afterAutospacing="1" w:line="360" w:lineRule="exact"/>
              <w:jc w:val="center"/>
              <w:rPr>
                <w:kern w:val="0"/>
                <w:szCs w:val="21"/>
              </w:rPr>
            </w:pPr>
            <w:r>
              <w:rPr>
                <w:rFonts w:hint="eastAsia"/>
                <w:kern w:val="0"/>
                <w:szCs w:val="21"/>
              </w:rPr>
              <w:t>联系人</w:t>
            </w:r>
          </w:p>
        </w:tc>
        <w:tc>
          <w:tcPr>
            <w:tcW w:w="17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15">
            <w:pPr>
              <w:widowControl/>
              <w:snapToGrid w:val="0"/>
              <w:spacing w:line="360" w:lineRule="exact"/>
              <w:jc w:val="center"/>
              <w:rPr>
                <w:kern w:val="0"/>
                <w:szCs w:val="21"/>
              </w:rPr>
            </w:pPr>
          </w:p>
        </w:tc>
        <w:tc>
          <w:tcPr>
            <w:tcW w:w="1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16">
            <w:pPr>
              <w:widowControl/>
              <w:snapToGrid w:val="0"/>
              <w:spacing w:before="100" w:beforeAutospacing="1" w:after="100" w:afterAutospacing="1" w:line="360" w:lineRule="exact"/>
              <w:jc w:val="center"/>
              <w:rPr>
                <w:kern w:val="0"/>
                <w:szCs w:val="21"/>
              </w:rPr>
            </w:pPr>
            <w:r>
              <w:rPr>
                <w:rFonts w:hint="eastAsia"/>
                <w:kern w:val="0"/>
                <w:szCs w:val="21"/>
              </w:rPr>
              <w:t>电话</w:t>
            </w:r>
          </w:p>
        </w:tc>
        <w:tc>
          <w:tcPr>
            <w:tcW w:w="2996"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5B2B417">
            <w:pPr>
              <w:widowControl/>
              <w:snapToGrid w:val="0"/>
              <w:spacing w:line="360" w:lineRule="exact"/>
              <w:jc w:val="center"/>
              <w:rPr>
                <w:kern w:val="0"/>
                <w:szCs w:val="21"/>
              </w:rPr>
            </w:pPr>
          </w:p>
        </w:tc>
      </w:tr>
      <w:tr w14:paraId="55B2B41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9" w:hRule="atLeast"/>
          <w:jc w:val="center"/>
        </w:trPr>
        <w:tc>
          <w:tcPr>
            <w:tcW w:w="2457" w:type="dxa"/>
            <w:vMerge w:val="continue"/>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B2B419">
            <w:pPr>
              <w:widowControl/>
              <w:snapToGrid w:val="0"/>
              <w:spacing w:line="360" w:lineRule="exact"/>
              <w:jc w:val="center"/>
              <w:rPr>
                <w:kern w:val="0"/>
                <w:szCs w:val="21"/>
              </w:rPr>
            </w:pPr>
          </w:p>
        </w:tc>
        <w:tc>
          <w:tcPr>
            <w:tcW w:w="126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1A">
            <w:pPr>
              <w:widowControl/>
              <w:snapToGrid w:val="0"/>
              <w:spacing w:before="100" w:beforeAutospacing="1" w:after="100" w:afterAutospacing="1" w:line="360" w:lineRule="exact"/>
              <w:jc w:val="center"/>
              <w:rPr>
                <w:kern w:val="0"/>
                <w:szCs w:val="21"/>
              </w:rPr>
            </w:pPr>
            <w:r>
              <w:rPr>
                <w:rFonts w:hint="eastAsia"/>
                <w:kern w:val="0"/>
                <w:szCs w:val="21"/>
              </w:rPr>
              <w:t>网址</w:t>
            </w:r>
          </w:p>
        </w:tc>
        <w:tc>
          <w:tcPr>
            <w:tcW w:w="17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1B">
            <w:pPr>
              <w:widowControl/>
              <w:snapToGrid w:val="0"/>
              <w:spacing w:line="360" w:lineRule="exact"/>
              <w:jc w:val="center"/>
              <w:rPr>
                <w:kern w:val="0"/>
                <w:szCs w:val="21"/>
              </w:rPr>
            </w:pPr>
          </w:p>
        </w:tc>
        <w:tc>
          <w:tcPr>
            <w:tcW w:w="1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1C">
            <w:pPr>
              <w:widowControl/>
              <w:snapToGrid w:val="0"/>
              <w:spacing w:before="100" w:beforeAutospacing="1" w:after="100" w:afterAutospacing="1" w:line="360" w:lineRule="exact"/>
              <w:jc w:val="center"/>
              <w:rPr>
                <w:kern w:val="0"/>
                <w:szCs w:val="21"/>
              </w:rPr>
            </w:pPr>
            <w:r>
              <w:rPr>
                <w:rFonts w:hint="eastAsia"/>
                <w:kern w:val="0"/>
                <w:szCs w:val="21"/>
              </w:rPr>
              <w:t>传真</w:t>
            </w:r>
          </w:p>
        </w:tc>
        <w:tc>
          <w:tcPr>
            <w:tcW w:w="2996"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5B2B41D">
            <w:pPr>
              <w:widowControl/>
              <w:snapToGrid w:val="0"/>
              <w:spacing w:line="360" w:lineRule="exact"/>
              <w:jc w:val="center"/>
              <w:rPr>
                <w:kern w:val="0"/>
                <w:szCs w:val="21"/>
              </w:rPr>
            </w:pPr>
          </w:p>
        </w:tc>
      </w:tr>
      <w:tr w14:paraId="55B2B42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9" w:hRule="atLeast"/>
          <w:jc w:val="center"/>
        </w:trPr>
        <w:tc>
          <w:tcPr>
            <w:tcW w:w="2457"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B2B41F">
            <w:pPr>
              <w:widowControl/>
              <w:snapToGrid w:val="0"/>
              <w:spacing w:before="100" w:beforeAutospacing="1" w:after="100" w:afterAutospacing="1" w:line="360" w:lineRule="exact"/>
              <w:jc w:val="center"/>
              <w:rPr>
                <w:kern w:val="0"/>
                <w:szCs w:val="21"/>
              </w:rPr>
            </w:pPr>
            <w:r>
              <w:rPr>
                <w:rFonts w:hint="eastAsia"/>
                <w:kern w:val="0"/>
                <w:szCs w:val="21"/>
              </w:rPr>
              <w:t>法定代表人</w:t>
            </w:r>
          </w:p>
        </w:tc>
        <w:tc>
          <w:tcPr>
            <w:tcW w:w="126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20">
            <w:pPr>
              <w:widowControl/>
              <w:snapToGrid w:val="0"/>
              <w:spacing w:before="100" w:beforeAutospacing="1" w:after="100" w:afterAutospacing="1" w:line="360" w:lineRule="exact"/>
              <w:jc w:val="center"/>
              <w:rPr>
                <w:kern w:val="0"/>
                <w:szCs w:val="21"/>
              </w:rPr>
            </w:pPr>
            <w:r>
              <w:rPr>
                <w:rFonts w:hint="eastAsia"/>
                <w:kern w:val="0"/>
                <w:szCs w:val="21"/>
              </w:rPr>
              <w:t>姓名</w:t>
            </w:r>
          </w:p>
        </w:tc>
        <w:tc>
          <w:tcPr>
            <w:tcW w:w="17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21">
            <w:pPr>
              <w:widowControl/>
              <w:snapToGrid w:val="0"/>
              <w:spacing w:before="100" w:beforeAutospacing="1" w:after="100" w:afterAutospacing="1" w:line="360" w:lineRule="exact"/>
              <w:jc w:val="center"/>
              <w:rPr>
                <w:kern w:val="0"/>
                <w:szCs w:val="21"/>
              </w:rPr>
            </w:pPr>
          </w:p>
        </w:tc>
        <w:tc>
          <w:tcPr>
            <w:tcW w:w="1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22">
            <w:pPr>
              <w:widowControl/>
              <w:snapToGrid w:val="0"/>
              <w:spacing w:line="360" w:lineRule="exact"/>
              <w:jc w:val="center"/>
              <w:rPr>
                <w:kern w:val="0"/>
                <w:szCs w:val="21"/>
              </w:rPr>
            </w:pPr>
            <w:r>
              <w:rPr>
                <w:rFonts w:hint="eastAsia"/>
                <w:kern w:val="0"/>
                <w:szCs w:val="21"/>
              </w:rPr>
              <w:t>电话</w:t>
            </w:r>
          </w:p>
        </w:tc>
        <w:tc>
          <w:tcPr>
            <w:tcW w:w="2996"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5B2B423">
            <w:pPr>
              <w:widowControl/>
              <w:snapToGrid w:val="0"/>
              <w:spacing w:line="360" w:lineRule="exact"/>
              <w:jc w:val="center"/>
              <w:rPr>
                <w:kern w:val="0"/>
                <w:szCs w:val="21"/>
              </w:rPr>
            </w:pPr>
          </w:p>
        </w:tc>
      </w:tr>
      <w:tr w14:paraId="55B2B42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88" w:hRule="atLeast"/>
          <w:jc w:val="center"/>
        </w:trPr>
        <w:tc>
          <w:tcPr>
            <w:tcW w:w="2457"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B2B425">
            <w:pPr>
              <w:widowControl/>
              <w:snapToGrid w:val="0"/>
              <w:spacing w:before="100" w:beforeAutospacing="1" w:after="100" w:afterAutospacing="1" w:line="360" w:lineRule="exact"/>
              <w:jc w:val="center"/>
              <w:rPr>
                <w:kern w:val="0"/>
                <w:szCs w:val="21"/>
              </w:rPr>
            </w:pPr>
            <w:r>
              <w:rPr>
                <w:kern w:val="0"/>
                <w:szCs w:val="21"/>
              </w:rPr>
              <w:t>谈判申请人</w:t>
            </w:r>
            <w:r>
              <w:rPr>
                <w:rFonts w:hint="eastAsia"/>
                <w:kern w:val="0"/>
                <w:szCs w:val="21"/>
              </w:rPr>
              <w:t>须知要求</w:t>
            </w:r>
            <w:r>
              <w:rPr>
                <w:kern w:val="0"/>
                <w:szCs w:val="21"/>
              </w:rPr>
              <w:t>谈判申请人</w:t>
            </w:r>
            <w:r>
              <w:rPr>
                <w:rFonts w:hint="eastAsia"/>
                <w:kern w:val="0"/>
                <w:szCs w:val="21"/>
              </w:rPr>
              <w:t>需具有的各类资质证书</w:t>
            </w:r>
          </w:p>
        </w:tc>
        <w:tc>
          <w:tcPr>
            <w:tcW w:w="7192" w:type="dxa"/>
            <w:gridSpan w:val="4"/>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5B2B426">
            <w:pPr>
              <w:widowControl/>
              <w:snapToGrid w:val="0"/>
              <w:spacing w:before="100" w:beforeAutospacing="1" w:after="100" w:afterAutospacing="1" w:line="360" w:lineRule="exact"/>
              <w:rPr>
                <w:kern w:val="0"/>
                <w:szCs w:val="21"/>
              </w:rPr>
            </w:pPr>
            <w:r>
              <w:rPr>
                <w:rFonts w:hint="eastAsia"/>
                <w:kern w:val="0"/>
                <w:szCs w:val="21"/>
              </w:rPr>
              <w:t>类型：等级：证书号：</w:t>
            </w:r>
          </w:p>
        </w:tc>
      </w:tr>
      <w:tr w14:paraId="55B2B42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9" w:hRule="atLeast"/>
          <w:jc w:val="center"/>
        </w:trPr>
        <w:tc>
          <w:tcPr>
            <w:tcW w:w="2457"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B2B428">
            <w:pPr>
              <w:widowControl/>
              <w:snapToGrid w:val="0"/>
              <w:spacing w:before="100" w:beforeAutospacing="1" w:after="100" w:afterAutospacing="1" w:line="360" w:lineRule="exact"/>
              <w:jc w:val="center"/>
              <w:rPr>
                <w:kern w:val="0"/>
                <w:szCs w:val="21"/>
              </w:rPr>
            </w:pPr>
            <w:r>
              <w:rPr>
                <w:rFonts w:hint="eastAsia"/>
                <w:kern w:val="0"/>
                <w:szCs w:val="21"/>
              </w:rPr>
              <w:t>基本账户开户银行</w:t>
            </w:r>
          </w:p>
        </w:tc>
        <w:tc>
          <w:tcPr>
            <w:tcW w:w="7192" w:type="dxa"/>
            <w:gridSpan w:val="4"/>
            <w:tcBorders>
              <w:top w:val="single" w:color="000000" w:sz="4" w:space="0"/>
              <w:left w:val="single" w:color="000000" w:sz="4" w:space="0"/>
              <w:bottom w:val="single" w:color="auto" w:sz="4" w:space="0"/>
            </w:tcBorders>
            <w:tcMar>
              <w:top w:w="0" w:type="dxa"/>
              <w:left w:w="108" w:type="dxa"/>
              <w:bottom w:w="0" w:type="dxa"/>
              <w:right w:w="108" w:type="dxa"/>
            </w:tcMar>
            <w:vAlign w:val="center"/>
          </w:tcPr>
          <w:p w14:paraId="55B2B429">
            <w:pPr>
              <w:widowControl/>
              <w:snapToGrid w:val="0"/>
              <w:spacing w:line="360" w:lineRule="exact"/>
              <w:jc w:val="center"/>
              <w:rPr>
                <w:kern w:val="0"/>
                <w:szCs w:val="21"/>
              </w:rPr>
            </w:pPr>
          </w:p>
        </w:tc>
      </w:tr>
      <w:tr w14:paraId="55B2B42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9" w:hRule="atLeast"/>
          <w:jc w:val="center"/>
        </w:trPr>
        <w:tc>
          <w:tcPr>
            <w:tcW w:w="2457"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B2B42B">
            <w:pPr>
              <w:widowControl/>
              <w:snapToGrid w:val="0"/>
              <w:spacing w:before="100" w:beforeAutospacing="1" w:after="100" w:afterAutospacing="1" w:line="360" w:lineRule="exact"/>
              <w:jc w:val="center"/>
              <w:rPr>
                <w:kern w:val="0"/>
                <w:szCs w:val="21"/>
              </w:rPr>
            </w:pPr>
            <w:r>
              <w:rPr>
                <w:rFonts w:hint="eastAsia"/>
                <w:kern w:val="0"/>
                <w:szCs w:val="21"/>
              </w:rPr>
              <w:t>基本账户银行账号</w:t>
            </w:r>
          </w:p>
        </w:tc>
        <w:tc>
          <w:tcPr>
            <w:tcW w:w="7192" w:type="dxa"/>
            <w:gridSpan w:val="4"/>
            <w:tcBorders>
              <w:top w:val="single" w:color="auto" w:sz="4" w:space="0"/>
              <w:left w:val="single" w:color="000000" w:sz="4" w:space="0"/>
              <w:bottom w:val="single" w:color="000000" w:sz="4" w:space="0"/>
            </w:tcBorders>
            <w:tcMar>
              <w:top w:w="0" w:type="dxa"/>
              <w:left w:w="108" w:type="dxa"/>
              <w:bottom w:w="0" w:type="dxa"/>
              <w:right w:w="108" w:type="dxa"/>
            </w:tcMar>
            <w:vAlign w:val="center"/>
          </w:tcPr>
          <w:p w14:paraId="55B2B42C">
            <w:pPr>
              <w:widowControl/>
              <w:snapToGrid w:val="0"/>
              <w:spacing w:line="360" w:lineRule="exact"/>
              <w:jc w:val="center"/>
              <w:rPr>
                <w:kern w:val="0"/>
                <w:szCs w:val="21"/>
              </w:rPr>
            </w:pPr>
          </w:p>
        </w:tc>
      </w:tr>
      <w:tr w14:paraId="55B2B43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9" w:hRule="atLeast"/>
          <w:jc w:val="center"/>
        </w:trPr>
        <w:tc>
          <w:tcPr>
            <w:tcW w:w="2457" w:type="dxa"/>
            <w:tcBorders>
              <w:top w:val="single" w:color="000000" w:sz="4" w:space="0"/>
              <w:right w:val="single" w:color="000000" w:sz="4" w:space="0"/>
            </w:tcBorders>
            <w:tcMar>
              <w:top w:w="0" w:type="dxa"/>
              <w:left w:w="108" w:type="dxa"/>
              <w:bottom w:w="0" w:type="dxa"/>
              <w:right w:w="108" w:type="dxa"/>
            </w:tcMar>
            <w:vAlign w:val="center"/>
          </w:tcPr>
          <w:p w14:paraId="55B2B42E">
            <w:pPr>
              <w:widowControl/>
              <w:snapToGrid w:val="0"/>
              <w:spacing w:before="100" w:beforeAutospacing="1" w:after="100" w:afterAutospacing="1" w:line="360" w:lineRule="exact"/>
              <w:jc w:val="center"/>
              <w:rPr>
                <w:kern w:val="0"/>
                <w:szCs w:val="21"/>
              </w:rPr>
            </w:pPr>
            <w:r>
              <w:rPr>
                <w:rFonts w:hint="eastAsia"/>
                <w:kern w:val="0"/>
                <w:szCs w:val="21"/>
              </w:rPr>
              <w:t>近三年营业额</w:t>
            </w:r>
          </w:p>
        </w:tc>
        <w:tc>
          <w:tcPr>
            <w:tcW w:w="7192" w:type="dxa"/>
            <w:gridSpan w:val="4"/>
            <w:tcBorders>
              <w:top w:val="single" w:color="000000" w:sz="4" w:space="0"/>
              <w:left w:val="single" w:color="000000" w:sz="4" w:space="0"/>
            </w:tcBorders>
            <w:tcMar>
              <w:top w:w="0" w:type="dxa"/>
              <w:left w:w="108" w:type="dxa"/>
              <w:bottom w:w="0" w:type="dxa"/>
              <w:right w:w="108" w:type="dxa"/>
            </w:tcMar>
            <w:vAlign w:val="center"/>
          </w:tcPr>
          <w:p w14:paraId="55B2B42F">
            <w:pPr>
              <w:widowControl/>
              <w:snapToGrid w:val="0"/>
              <w:spacing w:line="360" w:lineRule="exact"/>
              <w:jc w:val="center"/>
              <w:rPr>
                <w:kern w:val="0"/>
                <w:szCs w:val="21"/>
              </w:rPr>
            </w:pPr>
          </w:p>
        </w:tc>
      </w:tr>
      <w:tr w14:paraId="55B2B43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9" w:hRule="atLeast"/>
          <w:jc w:val="center"/>
        </w:trPr>
        <w:tc>
          <w:tcPr>
            <w:tcW w:w="2457" w:type="dxa"/>
            <w:tcBorders>
              <w:top w:val="single" w:color="000000" w:sz="4" w:space="0"/>
              <w:right w:val="single" w:color="000000" w:sz="4" w:space="0"/>
            </w:tcBorders>
            <w:tcMar>
              <w:top w:w="0" w:type="dxa"/>
              <w:left w:w="108" w:type="dxa"/>
              <w:bottom w:w="0" w:type="dxa"/>
              <w:right w:w="108" w:type="dxa"/>
            </w:tcMar>
            <w:vAlign w:val="center"/>
          </w:tcPr>
          <w:p w14:paraId="55B2B431">
            <w:pPr>
              <w:widowControl/>
              <w:snapToGrid w:val="0"/>
              <w:spacing w:before="100" w:beforeAutospacing="1" w:after="100" w:afterAutospacing="1" w:line="360" w:lineRule="exact"/>
              <w:jc w:val="center"/>
              <w:rPr>
                <w:kern w:val="0"/>
                <w:szCs w:val="21"/>
              </w:rPr>
            </w:pPr>
            <w:r>
              <w:rPr>
                <w:kern w:val="0"/>
                <w:szCs w:val="21"/>
              </w:rPr>
              <w:t>谈判申请人</w:t>
            </w:r>
            <w:r>
              <w:rPr>
                <w:rFonts w:hint="eastAsia"/>
                <w:kern w:val="0"/>
                <w:szCs w:val="21"/>
              </w:rPr>
              <w:t>关联企业情况（包括但不限于与</w:t>
            </w:r>
            <w:r>
              <w:rPr>
                <w:kern w:val="0"/>
                <w:szCs w:val="21"/>
              </w:rPr>
              <w:t>谈判申请人</w:t>
            </w:r>
            <w:r>
              <w:rPr>
                <w:rFonts w:hint="eastAsia"/>
                <w:kern w:val="0"/>
                <w:szCs w:val="21"/>
              </w:rPr>
              <w:t>法定代表人为同一人或者存在控股、管理关系的不同单位）</w:t>
            </w:r>
          </w:p>
        </w:tc>
        <w:tc>
          <w:tcPr>
            <w:tcW w:w="7192" w:type="dxa"/>
            <w:gridSpan w:val="4"/>
            <w:tcBorders>
              <w:top w:val="single" w:color="000000" w:sz="4" w:space="0"/>
              <w:left w:val="single" w:color="000000" w:sz="4" w:space="0"/>
            </w:tcBorders>
            <w:tcMar>
              <w:top w:w="0" w:type="dxa"/>
              <w:left w:w="108" w:type="dxa"/>
              <w:bottom w:w="0" w:type="dxa"/>
              <w:right w:w="108" w:type="dxa"/>
            </w:tcMar>
            <w:vAlign w:val="center"/>
          </w:tcPr>
          <w:p w14:paraId="55B2B432">
            <w:pPr>
              <w:widowControl/>
              <w:snapToGrid w:val="0"/>
              <w:spacing w:line="360" w:lineRule="exact"/>
              <w:jc w:val="center"/>
              <w:rPr>
                <w:kern w:val="0"/>
                <w:szCs w:val="21"/>
              </w:rPr>
            </w:pPr>
          </w:p>
        </w:tc>
      </w:tr>
      <w:tr w14:paraId="55B2B43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288" w:hRule="atLeast"/>
          <w:jc w:val="center"/>
        </w:trPr>
        <w:tc>
          <w:tcPr>
            <w:tcW w:w="2457"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B2B434">
            <w:pPr>
              <w:widowControl/>
              <w:snapToGrid w:val="0"/>
              <w:spacing w:before="100" w:beforeAutospacing="1" w:after="100" w:afterAutospacing="1" w:line="360" w:lineRule="exact"/>
              <w:jc w:val="center"/>
              <w:rPr>
                <w:kern w:val="0"/>
                <w:szCs w:val="21"/>
              </w:rPr>
            </w:pPr>
            <w:r>
              <w:rPr>
                <w:rFonts w:hint="eastAsia"/>
                <w:kern w:val="0"/>
                <w:szCs w:val="21"/>
              </w:rPr>
              <w:t>谈判设备制造商名称</w:t>
            </w:r>
          </w:p>
        </w:tc>
        <w:tc>
          <w:tcPr>
            <w:tcW w:w="7192" w:type="dxa"/>
            <w:gridSpan w:val="4"/>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5B2B435">
            <w:pPr>
              <w:widowControl/>
              <w:snapToGrid w:val="0"/>
              <w:spacing w:line="360" w:lineRule="exact"/>
              <w:jc w:val="center"/>
              <w:rPr>
                <w:kern w:val="0"/>
                <w:szCs w:val="21"/>
              </w:rPr>
            </w:pPr>
          </w:p>
        </w:tc>
      </w:tr>
      <w:tr w14:paraId="55B2B43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288" w:hRule="atLeast"/>
          <w:jc w:val="center"/>
        </w:trPr>
        <w:tc>
          <w:tcPr>
            <w:tcW w:w="2457"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B2B437">
            <w:pPr>
              <w:widowControl/>
              <w:snapToGrid w:val="0"/>
              <w:spacing w:before="100" w:beforeAutospacing="1" w:after="100" w:afterAutospacing="1" w:line="360" w:lineRule="exact"/>
              <w:jc w:val="center"/>
              <w:rPr>
                <w:kern w:val="0"/>
                <w:szCs w:val="21"/>
              </w:rPr>
            </w:pPr>
            <w:r>
              <w:rPr>
                <w:kern w:val="0"/>
                <w:szCs w:val="21"/>
              </w:rPr>
              <w:t>谈判申请人</w:t>
            </w:r>
            <w:r>
              <w:rPr>
                <w:rFonts w:hint="eastAsia"/>
                <w:kern w:val="0"/>
                <w:szCs w:val="21"/>
              </w:rPr>
              <w:t>须知要求谈判设备制造商</w:t>
            </w:r>
            <w:r>
              <w:rPr>
                <w:rFonts w:hint="eastAsia"/>
                <w:kern w:val="0"/>
                <w:szCs w:val="21"/>
                <w:lang w:eastAsia="zh-CN"/>
              </w:rPr>
              <w:t>须</w:t>
            </w:r>
            <w:r>
              <w:rPr>
                <w:rFonts w:hint="eastAsia"/>
                <w:kern w:val="0"/>
                <w:szCs w:val="21"/>
              </w:rPr>
              <w:t>具有的资质证书</w:t>
            </w:r>
          </w:p>
        </w:tc>
        <w:tc>
          <w:tcPr>
            <w:tcW w:w="7192" w:type="dxa"/>
            <w:gridSpan w:val="4"/>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5B2B438">
            <w:pPr>
              <w:widowControl/>
              <w:snapToGrid w:val="0"/>
              <w:spacing w:line="360" w:lineRule="exact"/>
              <w:jc w:val="center"/>
              <w:rPr>
                <w:kern w:val="0"/>
                <w:szCs w:val="21"/>
              </w:rPr>
            </w:pPr>
          </w:p>
        </w:tc>
      </w:tr>
      <w:tr w14:paraId="55B2B43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288" w:hRule="atLeast"/>
          <w:jc w:val="center"/>
        </w:trPr>
        <w:tc>
          <w:tcPr>
            <w:tcW w:w="2457" w:type="dxa"/>
            <w:tcBorders>
              <w:top w:val="single" w:color="000000" w:sz="4" w:space="0"/>
              <w:right w:val="single" w:color="000000" w:sz="4" w:space="0"/>
            </w:tcBorders>
            <w:tcMar>
              <w:top w:w="0" w:type="dxa"/>
              <w:left w:w="108" w:type="dxa"/>
              <w:bottom w:w="0" w:type="dxa"/>
              <w:right w:w="108" w:type="dxa"/>
            </w:tcMar>
            <w:vAlign w:val="center"/>
          </w:tcPr>
          <w:p w14:paraId="55B2B43A">
            <w:pPr>
              <w:widowControl/>
              <w:snapToGrid w:val="0"/>
              <w:spacing w:before="100" w:beforeAutospacing="1" w:after="100" w:afterAutospacing="1" w:line="360" w:lineRule="exact"/>
              <w:jc w:val="center"/>
              <w:rPr>
                <w:kern w:val="0"/>
                <w:szCs w:val="21"/>
              </w:rPr>
            </w:pPr>
            <w:r>
              <w:rPr>
                <w:rFonts w:hint="eastAsia"/>
                <w:kern w:val="0"/>
                <w:szCs w:val="21"/>
              </w:rPr>
              <w:t>备注</w:t>
            </w:r>
          </w:p>
        </w:tc>
        <w:tc>
          <w:tcPr>
            <w:tcW w:w="7192" w:type="dxa"/>
            <w:gridSpan w:val="4"/>
            <w:tcBorders>
              <w:top w:val="single" w:color="000000" w:sz="4" w:space="0"/>
              <w:left w:val="single" w:color="000000" w:sz="4" w:space="0"/>
            </w:tcBorders>
            <w:tcMar>
              <w:top w:w="0" w:type="dxa"/>
              <w:left w:w="108" w:type="dxa"/>
              <w:bottom w:w="0" w:type="dxa"/>
              <w:right w:w="108" w:type="dxa"/>
            </w:tcMar>
            <w:vAlign w:val="center"/>
          </w:tcPr>
          <w:p w14:paraId="55B2B43B">
            <w:pPr>
              <w:widowControl/>
              <w:snapToGrid w:val="0"/>
              <w:spacing w:line="360" w:lineRule="exact"/>
              <w:jc w:val="center"/>
              <w:rPr>
                <w:kern w:val="0"/>
                <w:szCs w:val="21"/>
              </w:rPr>
            </w:pPr>
          </w:p>
        </w:tc>
      </w:tr>
    </w:tbl>
    <w:p w14:paraId="55B2B43D">
      <w:pPr>
        <w:widowControl/>
        <w:snapToGrid w:val="0"/>
        <w:spacing w:line="360" w:lineRule="auto"/>
        <w:jc w:val="left"/>
        <w:rPr>
          <w:b/>
          <w:kern w:val="0"/>
          <w:szCs w:val="21"/>
        </w:rPr>
      </w:pPr>
      <w:r>
        <w:rPr>
          <w:rFonts w:hint="eastAsia"/>
          <w:b/>
          <w:kern w:val="0"/>
          <w:szCs w:val="21"/>
        </w:rPr>
        <w:t>注：</w:t>
      </w:r>
    </w:p>
    <w:p w14:paraId="55B2B43E">
      <w:pPr>
        <w:widowControl/>
        <w:snapToGrid w:val="0"/>
        <w:spacing w:line="360" w:lineRule="auto"/>
        <w:jc w:val="left"/>
        <w:rPr>
          <w:b/>
          <w:kern w:val="0"/>
          <w:szCs w:val="21"/>
        </w:rPr>
      </w:pPr>
      <w:r>
        <w:rPr>
          <w:b/>
          <w:kern w:val="0"/>
          <w:szCs w:val="21"/>
        </w:rPr>
        <w:t>1.谈判申请人</w:t>
      </w:r>
      <w:r>
        <w:rPr>
          <w:rFonts w:hint="eastAsia"/>
          <w:b/>
          <w:kern w:val="0"/>
          <w:szCs w:val="21"/>
        </w:rPr>
        <w:t>应根据</w:t>
      </w:r>
      <w:r>
        <w:rPr>
          <w:b/>
          <w:kern w:val="0"/>
          <w:szCs w:val="21"/>
        </w:rPr>
        <w:t>谈判申请人资格</w:t>
      </w:r>
      <w:r>
        <w:rPr>
          <w:rFonts w:hint="eastAsia"/>
          <w:b/>
          <w:kern w:val="0"/>
          <w:szCs w:val="21"/>
        </w:rPr>
        <w:t>要求在本表后附相关证明材料。境内</w:t>
      </w:r>
      <w:r>
        <w:rPr>
          <w:b/>
          <w:kern w:val="0"/>
          <w:szCs w:val="21"/>
        </w:rPr>
        <w:t>谈判申请人</w:t>
      </w:r>
      <w:r>
        <w:rPr>
          <w:rFonts w:hint="eastAsia"/>
          <w:b/>
          <w:kern w:val="0"/>
          <w:szCs w:val="21"/>
        </w:rPr>
        <w:t>以转账或电汇形式提交</w:t>
      </w:r>
      <w:r>
        <w:rPr>
          <w:b/>
          <w:kern w:val="0"/>
          <w:szCs w:val="21"/>
        </w:rPr>
        <w:t>谈判保证金</w:t>
      </w:r>
      <w:r>
        <w:rPr>
          <w:rFonts w:hint="eastAsia"/>
          <w:b/>
          <w:kern w:val="0"/>
          <w:szCs w:val="21"/>
        </w:rPr>
        <w:t>的，还应附基本账户开户许可证复印件。</w:t>
      </w:r>
    </w:p>
    <w:p w14:paraId="55B2B43F">
      <w:pPr>
        <w:widowControl/>
        <w:snapToGrid w:val="0"/>
        <w:spacing w:line="360" w:lineRule="auto"/>
        <w:jc w:val="left"/>
        <w:rPr>
          <w:b/>
          <w:kern w:val="0"/>
          <w:szCs w:val="21"/>
        </w:rPr>
      </w:pPr>
      <w:r>
        <w:rPr>
          <w:b/>
          <w:kern w:val="0"/>
          <w:szCs w:val="21"/>
        </w:rPr>
        <w:t>2.谈判申请人营业执照、相关资质</w:t>
      </w:r>
      <w:r>
        <w:rPr>
          <w:rFonts w:hint="eastAsia"/>
          <w:b/>
          <w:kern w:val="0"/>
          <w:szCs w:val="21"/>
        </w:rPr>
        <w:t>等材料的复印件。</w:t>
      </w:r>
      <w:r>
        <w:rPr>
          <w:b/>
          <w:kern w:val="0"/>
          <w:szCs w:val="21"/>
          <w:lang w:val="zh-CN"/>
        </w:rPr>
        <w:t>若代理商</w:t>
      </w:r>
      <w:r>
        <w:rPr>
          <w:b/>
          <w:kern w:val="0"/>
          <w:szCs w:val="21"/>
        </w:rPr>
        <w:t>参与谈判</w:t>
      </w:r>
      <w:r>
        <w:rPr>
          <w:b/>
          <w:kern w:val="0"/>
          <w:szCs w:val="21"/>
          <w:lang w:val="zh-CN"/>
        </w:rPr>
        <w:t>，则</w:t>
      </w:r>
      <w:r>
        <w:rPr>
          <w:b/>
          <w:kern w:val="0"/>
          <w:szCs w:val="21"/>
        </w:rPr>
        <w:t>提供</w:t>
      </w:r>
      <w:r>
        <w:rPr>
          <w:b/>
          <w:kern w:val="0"/>
          <w:szCs w:val="21"/>
          <w:lang w:val="zh-CN"/>
        </w:rPr>
        <w:t>给其授权的</w:t>
      </w:r>
      <w:r>
        <w:rPr>
          <w:b/>
          <w:kern w:val="0"/>
          <w:szCs w:val="21"/>
        </w:rPr>
        <w:t>制造</w:t>
      </w:r>
      <w:r>
        <w:rPr>
          <w:b/>
          <w:kern w:val="0"/>
          <w:szCs w:val="21"/>
          <w:lang w:val="zh-CN"/>
        </w:rPr>
        <w:t>商</w:t>
      </w:r>
      <w:r>
        <w:rPr>
          <w:b/>
          <w:kern w:val="0"/>
          <w:szCs w:val="21"/>
        </w:rPr>
        <w:t>的相关资质</w:t>
      </w:r>
      <w:r>
        <w:rPr>
          <w:rFonts w:hint="eastAsia"/>
          <w:b/>
          <w:kern w:val="0"/>
          <w:szCs w:val="21"/>
        </w:rPr>
        <w:t>等材料的复印件</w:t>
      </w:r>
      <w:r>
        <w:rPr>
          <w:b/>
          <w:kern w:val="0"/>
          <w:szCs w:val="21"/>
        </w:rPr>
        <w:t>。</w:t>
      </w:r>
    </w:p>
    <w:p w14:paraId="55B2B440">
      <w:pPr>
        <w:widowControl/>
        <w:snapToGrid w:val="0"/>
        <w:spacing w:line="360" w:lineRule="auto"/>
        <w:jc w:val="left"/>
        <w:rPr>
          <w:b/>
          <w:kern w:val="0"/>
          <w:szCs w:val="21"/>
        </w:rPr>
      </w:pPr>
      <w:r>
        <w:rPr>
          <w:b/>
          <w:kern w:val="0"/>
          <w:szCs w:val="21"/>
        </w:rPr>
        <w:t>3.谈判申请人为销售代理商的，则必须取得超声波流量计生产商对本项目签署的“授权书”。</w:t>
      </w:r>
    </w:p>
    <w:p w14:paraId="55B2B441">
      <w:pPr>
        <w:widowControl/>
        <w:snapToGrid w:val="0"/>
        <w:spacing w:line="360" w:lineRule="auto"/>
        <w:jc w:val="left"/>
        <w:rPr>
          <w:b/>
          <w:kern w:val="0"/>
          <w:szCs w:val="21"/>
        </w:rPr>
      </w:pPr>
      <w:r>
        <w:rPr>
          <w:b/>
          <w:kern w:val="0"/>
          <w:szCs w:val="21"/>
        </w:rPr>
        <w:t>4.提供认证证书复印件（如有）。若代理商，则提供为其授权的制造商的认证证书复印件（如有）。</w:t>
      </w:r>
    </w:p>
    <w:p w14:paraId="55B2B442">
      <w:pPr>
        <w:widowControl/>
        <w:jc w:val="left"/>
        <w:rPr>
          <w:kern w:val="0"/>
          <w:szCs w:val="21"/>
        </w:rPr>
      </w:pPr>
      <w:r>
        <w:rPr>
          <w:kern w:val="0"/>
          <w:szCs w:val="21"/>
        </w:rPr>
        <w:br w:type="page"/>
      </w:r>
    </w:p>
    <w:p w14:paraId="55B2B443">
      <w:pPr>
        <w:spacing w:line="360" w:lineRule="auto"/>
        <w:outlineLvl w:val="2"/>
        <w:rPr>
          <w:b/>
          <w:kern w:val="0"/>
          <w:sz w:val="24"/>
        </w:rPr>
      </w:pPr>
      <w:r>
        <w:rPr>
          <w:rFonts w:hint="eastAsia"/>
          <w:b/>
          <w:kern w:val="0"/>
          <w:sz w:val="24"/>
        </w:rPr>
        <w:t>7.2近年财务状况表</w:t>
      </w:r>
    </w:p>
    <w:p w14:paraId="55B2B444">
      <w:pPr>
        <w:widowControl/>
        <w:snapToGrid w:val="0"/>
        <w:spacing w:line="360" w:lineRule="auto"/>
        <w:ind w:firstLine="420" w:firstLineChars="200"/>
        <w:jc w:val="left"/>
        <w:rPr>
          <w:b/>
          <w:kern w:val="0"/>
          <w:szCs w:val="21"/>
        </w:rPr>
      </w:pPr>
    </w:p>
    <w:p w14:paraId="55B2B445">
      <w:pPr>
        <w:widowControl/>
        <w:snapToGrid w:val="0"/>
        <w:spacing w:line="360" w:lineRule="auto"/>
        <w:ind w:firstLine="420" w:firstLineChars="200"/>
        <w:jc w:val="left"/>
        <w:rPr>
          <w:b/>
          <w:kern w:val="0"/>
          <w:szCs w:val="21"/>
        </w:rPr>
      </w:pPr>
      <w:r>
        <w:rPr>
          <w:b/>
          <w:kern w:val="0"/>
          <w:szCs w:val="21"/>
        </w:rPr>
        <w:t>提供近三年（2023年</w:t>
      </w:r>
      <w:r>
        <w:rPr>
          <w:rFonts w:hint="eastAsia"/>
          <w:b/>
          <w:kern w:val="0"/>
          <w:szCs w:val="21"/>
          <w:lang w:eastAsia="zh-CN"/>
        </w:rPr>
        <w:t>—</w:t>
      </w:r>
      <w:r>
        <w:rPr>
          <w:b/>
          <w:kern w:val="0"/>
          <w:szCs w:val="21"/>
        </w:rPr>
        <w:t>2025年）</w:t>
      </w:r>
      <w:r>
        <w:rPr>
          <w:rFonts w:hint="eastAsia"/>
          <w:kern w:val="0"/>
          <w:szCs w:val="21"/>
        </w:rPr>
        <w:t>任意一年</w:t>
      </w:r>
      <w:r>
        <w:rPr>
          <w:b/>
          <w:kern w:val="0"/>
          <w:szCs w:val="21"/>
        </w:rPr>
        <w:t>经第三方审计机构审计的</w:t>
      </w:r>
      <w:r>
        <w:rPr>
          <w:rFonts w:hint="eastAsia"/>
          <w:b/>
          <w:kern w:val="0"/>
          <w:szCs w:val="21"/>
        </w:rPr>
        <w:t>财务</w:t>
      </w:r>
      <w:r>
        <w:rPr>
          <w:b/>
          <w:kern w:val="0"/>
          <w:szCs w:val="21"/>
        </w:rPr>
        <w:t>审计报告及财务报表复印件（包括资产负债表、利润表、现金流量表），</w:t>
      </w:r>
      <w:r>
        <w:rPr>
          <w:rFonts w:hint="eastAsia"/>
          <w:b/>
          <w:kern w:val="0"/>
          <w:szCs w:val="21"/>
        </w:rPr>
        <w:t>若企业成立时间为2025年1月1日后且谈判申请人无2025年财务审计报告的，需提供成立至今的财务报表</w:t>
      </w:r>
      <w:r>
        <w:rPr>
          <w:rFonts w:hint="eastAsia"/>
          <w:b/>
          <w:kern w:val="0"/>
          <w:szCs w:val="21"/>
          <w:lang w:val="en-US" w:eastAsia="zh-CN"/>
        </w:rPr>
        <w:t>复印件</w:t>
      </w:r>
      <w:r>
        <w:rPr>
          <w:rFonts w:hint="eastAsia"/>
          <w:b/>
          <w:kern w:val="0"/>
          <w:szCs w:val="21"/>
        </w:rPr>
        <w:t>（包括资产负债表、利润表、现金流量表），同时提供财务报表数据真实性承诺书</w:t>
      </w:r>
      <w:r>
        <w:rPr>
          <w:rFonts w:hint="eastAsia"/>
          <w:b/>
          <w:kern w:val="0"/>
          <w:szCs w:val="21"/>
          <w:lang w:val="en-US" w:eastAsia="zh-CN"/>
        </w:rPr>
        <w:t>原件。</w:t>
      </w:r>
    </w:p>
    <w:p w14:paraId="55B2B446">
      <w:pPr>
        <w:widowControl/>
        <w:jc w:val="left"/>
        <w:rPr>
          <w:kern w:val="0"/>
          <w:szCs w:val="21"/>
        </w:rPr>
      </w:pPr>
      <w:r>
        <w:rPr>
          <w:kern w:val="0"/>
          <w:szCs w:val="21"/>
        </w:rPr>
        <w:br w:type="page"/>
      </w:r>
    </w:p>
    <w:p w14:paraId="55B2B447">
      <w:pPr>
        <w:spacing w:line="360" w:lineRule="auto"/>
        <w:outlineLvl w:val="2"/>
        <w:rPr>
          <w:rFonts w:eastAsia="黑体"/>
          <w:kern w:val="0"/>
          <w:sz w:val="28"/>
          <w:szCs w:val="22"/>
        </w:rPr>
      </w:pPr>
      <w:r>
        <w:rPr>
          <w:b/>
          <w:kern w:val="0"/>
          <w:sz w:val="24"/>
        </w:rPr>
        <w:t>7.</w:t>
      </w:r>
      <w:r>
        <w:rPr>
          <w:rFonts w:hint="eastAsia"/>
          <w:b/>
          <w:kern w:val="0"/>
          <w:sz w:val="24"/>
        </w:rPr>
        <w:t>3近年完成的项目情况表</w:t>
      </w:r>
    </w:p>
    <w:tbl>
      <w:tblPr>
        <w:tblStyle w:val="18"/>
        <w:tblW w:w="0" w:type="auto"/>
        <w:jc w:val="center"/>
        <w:tblLayout w:type="fixed"/>
        <w:tblCellMar>
          <w:top w:w="0" w:type="dxa"/>
          <w:left w:w="0" w:type="dxa"/>
          <w:bottom w:w="0" w:type="dxa"/>
          <w:right w:w="0" w:type="dxa"/>
        </w:tblCellMar>
      </w:tblPr>
      <w:tblGrid>
        <w:gridCol w:w="2269"/>
        <w:gridCol w:w="6253"/>
      </w:tblGrid>
      <w:tr w14:paraId="55B2B44A">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48">
            <w:pPr>
              <w:widowControl/>
              <w:snapToGrid w:val="0"/>
              <w:spacing w:line="440" w:lineRule="exact"/>
              <w:jc w:val="center"/>
              <w:rPr>
                <w:kern w:val="0"/>
                <w:szCs w:val="21"/>
              </w:rPr>
            </w:pPr>
            <w:r>
              <w:rPr>
                <w:kern w:val="0"/>
                <w:szCs w:val="21"/>
              </w:rPr>
              <w:t>设备名称</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49">
            <w:pPr>
              <w:widowControl/>
              <w:snapToGrid w:val="0"/>
              <w:spacing w:line="440" w:lineRule="exact"/>
              <w:jc w:val="left"/>
              <w:rPr>
                <w:kern w:val="0"/>
                <w:szCs w:val="21"/>
              </w:rPr>
            </w:pPr>
          </w:p>
        </w:tc>
      </w:tr>
      <w:tr w14:paraId="55B2B44D">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4B">
            <w:pPr>
              <w:widowControl/>
              <w:snapToGrid w:val="0"/>
              <w:spacing w:line="440" w:lineRule="exact"/>
              <w:jc w:val="center"/>
              <w:rPr>
                <w:kern w:val="0"/>
                <w:szCs w:val="21"/>
              </w:rPr>
            </w:pPr>
            <w:r>
              <w:rPr>
                <w:kern w:val="0"/>
                <w:szCs w:val="21"/>
              </w:rPr>
              <w:t>规格和型号</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4C">
            <w:pPr>
              <w:widowControl/>
              <w:snapToGrid w:val="0"/>
              <w:spacing w:line="440" w:lineRule="exact"/>
              <w:jc w:val="left"/>
              <w:rPr>
                <w:kern w:val="0"/>
                <w:szCs w:val="21"/>
              </w:rPr>
            </w:pPr>
          </w:p>
        </w:tc>
      </w:tr>
      <w:tr w14:paraId="55B2B450">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4E">
            <w:pPr>
              <w:widowControl/>
              <w:snapToGrid w:val="0"/>
              <w:spacing w:line="440" w:lineRule="exact"/>
              <w:jc w:val="center"/>
              <w:rPr>
                <w:kern w:val="0"/>
                <w:szCs w:val="21"/>
              </w:rPr>
            </w:pPr>
            <w:r>
              <w:rPr>
                <w:kern w:val="0"/>
                <w:szCs w:val="21"/>
              </w:rPr>
              <w:t>项目名称</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4F">
            <w:pPr>
              <w:widowControl/>
              <w:snapToGrid w:val="0"/>
              <w:spacing w:line="440" w:lineRule="exact"/>
              <w:jc w:val="left"/>
              <w:rPr>
                <w:kern w:val="0"/>
                <w:szCs w:val="21"/>
              </w:rPr>
            </w:pPr>
          </w:p>
        </w:tc>
      </w:tr>
      <w:tr w14:paraId="55B2B453">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51">
            <w:pPr>
              <w:widowControl/>
              <w:snapToGrid w:val="0"/>
              <w:spacing w:line="440" w:lineRule="exact"/>
              <w:jc w:val="center"/>
              <w:rPr>
                <w:kern w:val="0"/>
                <w:szCs w:val="21"/>
              </w:rPr>
            </w:pPr>
            <w:r>
              <w:rPr>
                <w:kern w:val="0"/>
                <w:szCs w:val="21"/>
              </w:rPr>
              <w:t>甲方名称</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52">
            <w:pPr>
              <w:widowControl/>
              <w:snapToGrid w:val="0"/>
              <w:spacing w:line="440" w:lineRule="exact"/>
              <w:jc w:val="left"/>
              <w:rPr>
                <w:kern w:val="0"/>
                <w:szCs w:val="21"/>
              </w:rPr>
            </w:pPr>
          </w:p>
        </w:tc>
      </w:tr>
      <w:tr w14:paraId="55B2B456">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54">
            <w:pPr>
              <w:widowControl/>
              <w:snapToGrid w:val="0"/>
              <w:spacing w:line="440" w:lineRule="exact"/>
              <w:jc w:val="center"/>
              <w:rPr>
                <w:kern w:val="0"/>
                <w:szCs w:val="21"/>
              </w:rPr>
            </w:pPr>
            <w:r>
              <w:rPr>
                <w:kern w:val="0"/>
                <w:szCs w:val="21"/>
              </w:rPr>
              <w:t>甲方联系人及电话</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55">
            <w:pPr>
              <w:widowControl/>
              <w:snapToGrid w:val="0"/>
              <w:spacing w:line="440" w:lineRule="exact"/>
              <w:jc w:val="left"/>
              <w:rPr>
                <w:kern w:val="0"/>
                <w:szCs w:val="21"/>
              </w:rPr>
            </w:pPr>
          </w:p>
        </w:tc>
      </w:tr>
      <w:tr w14:paraId="55B2B45F">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57">
            <w:pPr>
              <w:widowControl/>
              <w:snapToGrid w:val="0"/>
              <w:spacing w:line="440" w:lineRule="exact"/>
              <w:jc w:val="center"/>
              <w:rPr>
                <w:kern w:val="0"/>
                <w:szCs w:val="21"/>
              </w:rPr>
            </w:pPr>
            <w:r>
              <w:rPr>
                <w:kern w:val="0"/>
                <w:szCs w:val="21"/>
              </w:rPr>
              <w:t>项目概况及谈判申请人履约情况</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58">
            <w:pPr>
              <w:widowControl/>
              <w:snapToGrid w:val="0"/>
              <w:spacing w:line="440" w:lineRule="exact"/>
              <w:jc w:val="left"/>
              <w:rPr>
                <w:kern w:val="0"/>
                <w:szCs w:val="21"/>
              </w:rPr>
            </w:pPr>
          </w:p>
          <w:p w14:paraId="55B2B459">
            <w:pPr>
              <w:widowControl/>
              <w:snapToGrid w:val="0"/>
              <w:spacing w:line="440" w:lineRule="exact"/>
              <w:jc w:val="left"/>
              <w:rPr>
                <w:kern w:val="0"/>
                <w:szCs w:val="21"/>
              </w:rPr>
            </w:pPr>
          </w:p>
          <w:p w14:paraId="55B2B45A">
            <w:pPr>
              <w:widowControl/>
              <w:snapToGrid w:val="0"/>
              <w:spacing w:line="440" w:lineRule="exact"/>
              <w:jc w:val="left"/>
              <w:rPr>
                <w:kern w:val="0"/>
                <w:szCs w:val="21"/>
              </w:rPr>
            </w:pPr>
          </w:p>
          <w:p w14:paraId="55B2B45B">
            <w:pPr>
              <w:widowControl/>
              <w:snapToGrid w:val="0"/>
              <w:spacing w:line="440" w:lineRule="exact"/>
              <w:jc w:val="left"/>
              <w:rPr>
                <w:kern w:val="0"/>
                <w:szCs w:val="21"/>
              </w:rPr>
            </w:pPr>
          </w:p>
          <w:p w14:paraId="55B2B45C">
            <w:pPr>
              <w:widowControl/>
              <w:snapToGrid w:val="0"/>
              <w:spacing w:line="440" w:lineRule="exact"/>
              <w:jc w:val="left"/>
              <w:rPr>
                <w:kern w:val="0"/>
                <w:szCs w:val="21"/>
              </w:rPr>
            </w:pPr>
          </w:p>
          <w:p w14:paraId="55B2B45D">
            <w:pPr>
              <w:widowControl/>
              <w:snapToGrid w:val="0"/>
              <w:spacing w:line="440" w:lineRule="exact"/>
              <w:jc w:val="left"/>
              <w:rPr>
                <w:kern w:val="0"/>
                <w:szCs w:val="21"/>
              </w:rPr>
            </w:pPr>
          </w:p>
          <w:p w14:paraId="55B2B45E">
            <w:pPr>
              <w:widowControl/>
              <w:snapToGrid w:val="0"/>
              <w:spacing w:line="440" w:lineRule="exact"/>
              <w:jc w:val="left"/>
              <w:rPr>
                <w:kern w:val="0"/>
                <w:szCs w:val="21"/>
              </w:rPr>
            </w:pPr>
          </w:p>
        </w:tc>
      </w:tr>
      <w:tr w14:paraId="55B2B462">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60">
            <w:pPr>
              <w:widowControl/>
              <w:snapToGrid w:val="0"/>
              <w:spacing w:line="440" w:lineRule="exact"/>
              <w:jc w:val="center"/>
              <w:rPr>
                <w:kern w:val="0"/>
                <w:szCs w:val="21"/>
              </w:rPr>
            </w:pPr>
            <w:r>
              <w:rPr>
                <w:rFonts w:hint="eastAsia"/>
                <w:kern w:val="0"/>
                <w:szCs w:val="21"/>
              </w:rPr>
              <w:t>备注</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61">
            <w:pPr>
              <w:widowControl/>
              <w:snapToGrid w:val="0"/>
              <w:spacing w:line="440" w:lineRule="exact"/>
              <w:jc w:val="left"/>
              <w:rPr>
                <w:kern w:val="0"/>
                <w:szCs w:val="21"/>
              </w:rPr>
            </w:pPr>
          </w:p>
        </w:tc>
      </w:tr>
    </w:tbl>
    <w:p w14:paraId="55B2B463">
      <w:pPr>
        <w:widowControl/>
        <w:spacing w:line="360" w:lineRule="auto"/>
        <w:rPr>
          <w:b/>
          <w:bCs/>
          <w:iCs/>
          <w:kern w:val="0"/>
          <w:szCs w:val="21"/>
          <w:lang w:bidi="en-US"/>
        </w:rPr>
      </w:pPr>
      <w:r>
        <w:rPr>
          <w:rFonts w:hint="eastAsia"/>
          <w:b/>
          <w:bCs/>
          <w:iCs/>
          <w:kern w:val="0"/>
          <w:szCs w:val="21"/>
          <w:lang w:bidi="en-US"/>
        </w:rPr>
        <w:t>注：</w:t>
      </w:r>
    </w:p>
    <w:p w14:paraId="55B2B464">
      <w:pPr>
        <w:widowControl/>
        <w:spacing w:line="360" w:lineRule="auto"/>
        <w:rPr>
          <w:b/>
          <w:bCs/>
          <w:iCs/>
          <w:kern w:val="0"/>
          <w:szCs w:val="21"/>
          <w:lang w:bidi="en-US"/>
        </w:rPr>
      </w:pPr>
      <w:r>
        <w:rPr>
          <w:rFonts w:hint="eastAsia"/>
          <w:b/>
          <w:bCs/>
          <w:iCs/>
          <w:kern w:val="0"/>
          <w:szCs w:val="21"/>
          <w:lang w:bidi="en-US"/>
        </w:rPr>
        <w:t>1.须附业绩证明材料（如</w:t>
      </w:r>
      <w:r>
        <w:rPr>
          <w:b/>
          <w:bCs/>
          <w:iCs/>
          <w:kern w:val="0"/>
          <w:szCs w:val="21"/>
          <w:lang w:bidi="en-US"/>
        </w:rPr>
        <w:t>有效的</w:t>
      </w:r>
      <w:r>
        <w:rPr>
          <w:rFonts w:hint="eastAsia"/>
          <w:b/>
          <w:bCs/>
          <w:iCs/>
          <w:kern w:val="0"/>
          <w:szCs w:val="21"/>
          <w:lang w:bidi="en-US"/>
        </w:rPr>
        <w:t>合同</w:t>
      </w:r>
      <w:r>
        <w:rPr>
          <w:b/>
          <w:bCs/>
          <w:iCs/>
          <w:kern w:val="0"/>
          <w:szCs w:val="21"/>
          <w:lang w:bidi="en-US"/>
        </w:rPr>
        <w:t>（合同业绩证明材料至少须提供包括但不限于合同范围、合同金额、签字盖章页等内容）或成交通知书等复印件，业绩有效期以合同签订时间或成交通知书发布时间为准）</w:t>
      </w:r>
      <w:r>
        <w:rPr>
          <w:rFonts w:hint="eastAsia"/>
          <w:b/>
          <w:bCs/>
          <w:iCs/>
          <w:kern w:val="0"/>
          <w:szCs w:val="21"/>
          <w:lang w:bidi="en-US"/>
        </w:rPr>
        <w:t>；</w:t>
      </w:r>
    </w:p>
    <w:p w14:paraId="55B2B465">
      <w:pPr>
        <w:widowControl/>
        <w:spacing w:line="360" w:lineRule="auto"/>
        <w:rPr>
          <w:b/>
          <w:bCs/>
          <w:iCs/>
          <w:kern w:val="0"/>
          <w:szCs w:val="21"/>
          <w:lang w:bidi="en-US"/>
        </w:rPr>
      </w:pPr>
      <w:r>
        <w:rPr>
          <w:b/>
          <w:bCs/>
          <w:iCs/>
          <w:kern w:val="0"/>
          <w:szCs w:val="21"/>
          <w:lang w:bidi="en-US"/>
        </w:rPr>
        <w:t>2.谈判申请人</w:t>
      </w:r>
      <w:r>
        <w:rPr>
          <w:rFonts w:hint="eastAsia"/>
          <w:b/>
          <w:bCs/>
          <w:iCs/>
          <w:kern w:val="0"/>
          <w:szCs w:val="21"/>
          <w:lang w:bidi="en-US"/>
        </w:rPr>
        <w:t>提供的业绩证明材料复印件内容必须原件一致，否则不予认可；</w:t>
      </w:r>
    </w:p>
    <w:p w14:paraId="55B2B466">
      <w:pPr>
        <w:widowControl/>
        <w:spacing w:line="360" w:lineRule="auto"/>
        <w:rPr>
          <w:b/>
          <w:bCs/>
          <w:iCs/>
          <w:kern w:val="0"/>
          <w:szCs w:val="21"/>
          <w:lang w:bidi="en-US"/>
        </w:rPr>
      </w:pPr>
      <w:r>
        <w:rPr>
          <w:rFonts w:hint="eastAsia"/>
          <w:b/>
          <w:bCs/>
          <w:iCs/>
          <w:kern w:val="0"/>
          <w:szCs w:val="21"/>
          <w:lang w:bidi="en-US"/>
        </w:rPr>
        <w:t>3.项目包含同类或类似项目情况。</w:t>
      </w:r>
    </w:p>
    <w:p w14:paraId="55B2B467">
      <w:pPr>
        <w:widowControl/>
        <w:snapToGrid w:val="0"/>
        <w:spacing w:line="360" w:lineRule="auto"/>
        <w:ind w:firstLine="420" w:firstLineChars="200"/>
        <w:jc w:val="left"/>
        <w:rPr>
          <w:b/>
          <w:kern w:val="0"/>
          <w:szCs w:val="21"/>
        </w:rPr>
      </w:pPr>
    </w:p>
    <w:p w14:paraId="55B2B468">
      <w:pPr>
        <w:widowControl/>
        <w:jc w:val="left"/>
        <w:rPr>
          <w:kern w:val="0"/>
          <w:szCs w:val="21"/>
        </w:rPr>
      </w:pPr>
      <w:r>
        <w:rPr>
          <w:kern w:val="0"/>
          <w:szCs w:val="21"/>
        </w:rPr>
        <w:br w:type="page"/>
      </w:r>
    </w:p>
    <w:p w14:paraId="55B2B469">
      <w:pPr>
        <w:spacing w:line="360" w:lineRule="auto"/>
        <w:outlineLvl w:val="2"/>
        <w:rPr>
          <w:b/>
          <w:kern w:val="0"/>
          <w:sz w:val="24"/>
        </w:rPr>
      </w:pPr>
      <w:r>
        <w:rPr>
          <w:b/>
          <w:kern w:val="0"/>
          <w:sz w:val="24"/>
        </w:rPr>
        <w:t>7.</w:t>
      </w:r>
      <w:r>
        <w:rPr>
          <w:rFonts w:hint="eastAsia"/>
          <w:b/>
          <w:kern w:val="0"/>
          <w:sz w:val="24"/>
        </w:rPr>
        <w:t>4正在</w:t>
      </w:r>
      <w:r>
        <w:rPr>
          <w:b/>
          <w:kern w:val="0"/>
          <w:sz w:val="24"/>
        </w:rPr>
        <w:t>进行</w:t>
      </w:r>
      <w:r>
        <w:rPr>
          <w:rFonts w:hint="eastAsia"/>
          <w:b/>
          <w:kern w:val="0"/>
          <w:sz w:val="24"/>
        </w:rPr>
        <w:t>的项目情况表</w:t>
      </w:r>
    </w:p>
    <w:tbl>
      <w:tblPr>
        <w:tblStyle w:val="18"/>
        <w:tblW w:w="0" w:type="auto"/>
        <w:jc w:val="center"/>
        <w:tblLayout w:type="fixed"/>
        <w:tblCellMar>
          <w:top w:w="0" w:type="dxa"/>
          <w:left w:w="0" w:type="dxa"/>
          <w:bottom w:w="0" w:type="dxa"/>
          <w:right w:w="0" w:type="dxa"/>
        </w:tblCellMar>
      </w:tblPr>
      <w:tblGrid>
        <w:gridCol w:w="2269"/>
        <w:gridCol w:w="6253"/>
      </w:tblGrid>
      <w:tr w14:paraId="55B2B46C">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6A">
            <w:pPr>
              <w:widowControl/>
              <w:snapToGrid w:val="0"/>
              <w:spacing w:line="440" w:lineRule="exact"/>
              <w:jc w:val="center"/>
              <w:rPr>
                <w:kern w:val="0"/>
                <w:szCs w:val="20"/>
              </w:rPr>
            </w:pPr>
            <w:r>
              <w:rPr>
                <w:kern w:val="0"/>
                <w:szCs w:val="20"/>
              </w:rPr>
              <w:t>设备名称</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6B">
            <w:pPr>
              <w:widowControl/>
              <w:snapToGrid w:val="0"/>
              <w:spacing w:line="440" w:lineRule="exact"/>
              <w:jc w:val="left"/>
              <w:rPr>
                <w:kern w:val="0"/>
                <w:szCs w:val="20"/>
              </w:rPr>
            </w:pPr>
          </w:p>
        </w:tc>
      </w:tr>
      <w:tr w14:paraId="55B2B46F">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6D">
            <w:pPr>
              <w:widowControl/>
              <w:snapToGrid w:val="0"/>
              <w:spacing w:line="440" w:lineRule="exact"/>
              <w:jc w:val="center"/>
              <w:rPr>
                <w:kern w:val="0"/>
                <w:szCs w:val="20"/>
              </w:rPr>
            </w:pPr>
            <w:r>
              <w:rPr>
                <w:kern w:val="0"/>
                <w:szCs w:val="20"/>
              </w:rPr>
              <w:t>规格和型号</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6E">
            <w:pPr>
              <w:widowControl/>
              <w:snapToGrid w:val="0"/>
              <w:spacing w:line="440" w:lineRule="exact"/>
              <w:jc w:val="left"/>
              <w:rPr>
                <w:kern w:val="0"/>
                <w:szCs w:val="20"/>
              </w:rPr>
            </w:pPr>
          </w:p>
        </w:tc>
      </w:tr>
      <w:tr w14:paraId="55B2B472">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70">
            <w:pPr>
              <w:widowControl/>
              <w:snapToGrid w:val="0"/>
              <w:spacing w:line="440" w:lineRule="exact"/>
              <w:jc w:val="center"/>
              <w:rPr>
                <w:kern w:val="0"/>
                <w:szCs w:val="20"/>
              </w:rPr>
            </w:pPr>
            <w:r>
              <w:rPr>
                <w:kern w:val="0"/>
                <w:szCs w:val="20"/>
              </w:rPr>
              <w:t>项目名称</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71">
            <w:pPr>
              <w:widowControl/>
              <w:snapToGrid w:val="0"/>
              <w:spacing w:line="440" w:lineRule="exact"/>
              <w:jc w:val="left"/>
              <w:rPr>
                <w:kern w:val="0"/>
                <w:szCs w:val="20"/>
              </w:rPr>
            </w:pPr>
          </w:p>
        </w:tc>
      </w:tr>
      <w:tr w14:paraId="55B2B475">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73">
            <w:pPr>
              <w:widowControl/>
              <w:snapToGrid w:val="0"/>
              <w:spacing w:line="440" w:lineRule="exact"/>
              <w:jc w:val="center"/>
              <w:rPr>
                <w:kern w:val="0"/>
                <w:szCs w:val="20"/>
              </w:rPr>
            </w:pPr>
            <w:r>
              <w:rPr>
                <w:kern w:val="0"/>
                <w:szCs w:val="20"/>
              </w:rPr>
              <w:t>甲方名称</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74">
            <w:pPr>
              <w:widowControl/>
              <w:snapToGrid w:val="0"/>
              <w:spacing w:line="440" w:lineRule="exact"/>
              <w:jc w:val="left"/>
              <w:rPr>
                <w:kern w:val="0"/>
                <w:szCs w:val="20"/>
              </w:rPr>
            </w:pPr>
          </w:p>
        </w:tc>
      </w:tr>
      <w:tr w14:paraId="55B2B478">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76">
            <w:pPr>
              <w:widowControl/>
              <w:snapToGrid w:val="0"/>
              <w:spacing w:line="440" w:lineRule="exact"/>
              <w:jc w:val="center"/>
              <w:rPr>
                <w:kern w:val="0"/>
                <w:szCs w:val="20"/>
              </w:rPr>
            </w:pPr>
            <w:r>
              <w:rPr>
                <w:kern w:val="0"/>
                <w:szCs w:val="20"/>
              </w:rPr>
              <w:t>甲方联系人及电话</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77">
            <w:pPr>
              <w:widowControl/>
              <w:snapToGrid w:val="0"/>
              <w:spacing w:line="440" w:lineRule="exact"/>
              <w:jc w:val="left"/>
              <w:rPr>
                <w:kern w:val="0"/>
                <w:szCs w:val="20"/>
              </w:rPr>
            </w:pPr>
          </w:p>
        </w:tc>
      </w:tr>
      <w:tr w14:paraId="55B2B482">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79">
            <w:pPr>
              <w:widowControl/>
              <w:snapToGrid w:val="0"/>
              <w:spacing w:line="440" w:lineRule="exact"/>
              <w:jc w:val="center"/>
              <w:rPr>
                <w:kern w:val="0"/>
                <w:szCs w:val="20"/>
              </w:rPr>
            </w:pPr>
            <w:r>
              <w:rPr>
                <w:kern w:val="0"/>
                <w:szCs w:val="20"/>
              </w:rPr>
              <w:t>项目概况及谈判申请人履</w:t>
            </w:r>
          </w:p>
          <w:p w14:paraId="55B2B47A">
            <w:pPr>
              <w:widowControl/>
              <w:snapToGrid w:val="0"/>
              <w:spacing w:line="440" w:lineRule="exact"/>
              <w:jc w:val="center"/>
              <w:rPr>
                <w:kern w:val="0"/>
                <w:szCs w:val="20"/>
              </w:rPr>
            </w:pPr>
            <w:r>
              <w:rPr>
                <w:kern w:val="0"/>
                <w:szCs w:val="20"/>
              </w:rPr>
              <w:t>约情况</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7B">
            <w:pPr>
              <w:widowControl/>
              <w:snapToGrid w:val="0"/>
              <w:spacing w:line="440" w:lineRule="exact"/>
              <w:jc w:val="left"/>
              <w:rPr>
                <w:kern w:val="0"/>
                <w:szCs w:val="20"/>
              </w:rPr>
            </w:pPr>
          </w:p>
          <w:p w14:paraId="55B2B47C">
            <w:pPr>
              <w:widowControl/>
              <w:snapToGrid w:val="0"/>
              <w:spacing w:line="440" w:lineRule="exact"/>
              <w:jc w:val="left"/>
              <w:rPr>
                <w:kern w:val="0"/>
                <w:szCs w:val="20"/>
              </w:rPr>
            </w:pPr>
          </w:p>
          <w:p w14:paraId="55B2B47D">
            <w:pPr>
              <w:widowControl/>
              <w:snapToGrid w:val="0"/>
              <w:spacing w:line="440" w:lineRule="exact"/>
              <w:jc w:val="left"/>
              <w:rPr>
                <w:kern w:val="0"/>
                <w:szCs w:val="20"/>
              </w:rPr>
            </w:pPr>
          </w:p>
          <w:p w14:paraId="55B2B47E">
            <w:pPr>
              <w:widowControl/>
              <w:snapToGrid w:val="0"/>
              <w:spacing w:line="440" w:lineRule="exact"/>
              <w:jc w:val="left"/>
              <w:rPr>
                <w:kern w:val="0"/>
                <w:szCs w:val="20"/>
              </w:rPr>
            </w:pPr>
          </w:p>
          <w:p w14:paraId="55B2B47F">
            <w:pPr>
              <w:widowControl/>
              <w:snapToGrid w:val="0"/>
              <w:spacing w:line="440" w:lineRule="exact"/>
              <w:jc w:val="left"/>
              <w:rPr>
                <w:kern w:val="0"/>
                <w:szCs w:val="20"/>
              </w:rPr>
            </w:pPr>
          </w:p>
          <w:p w14:paraId="55B2B480">
            <w:pPr>
              <w:widowControl/>
              <w:snapToGrid w:val="0"/>
              <w:spacing w:line="440" w:lineRule="exact"/>
              <w:jc w:val="left"/>
              <w:rPr>
                <w:kern w:val="0"/>
                <w:szCs w:val="20"/>
              </w:rPr>
            </w:pPr>
          </w:p>
          <w:p w14:paraId="55B2B481">
            <w:pPr>
              <w:widowControl/>
              <w:snapToGrid w:val="0"/>
              <w:spacing w:line="440" w:lineRule="exact"/>
              <w:jc w:val="left"/>
              <w:rPr>
                <w:kern w:val="0"/>
                <w:szCs w:val="20"/>
              </w:rPr>
            </w:pPr>
          </w:p>
        </w:tc>
      </w:tr>
      <w:tr w14:paraId="55B2B485">
        <w:tblPrEx>
          <w:tblCellMar>
            <w:top w:w="0" w:type="dxa"/>
            <w:left w:w="0" w:type="dxa"/>
            <w:bottom w:w="0" w:type="dxa"/>
            <w:right w:w="0" w:type="dxa"/>
          </w:tblCellMar>
        </w:tblPrEx>
        <w:trPr>
          <w:trHeight w:val="670" w:hRule="atLeast"/>
          <w:jc w:val="center"/>
        </w:trPr>
        <w:tc>
          <w:tcPr>
            <w:tcW w:w="2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B2B483">
            <w:pPr>
              <w:widowControl/>
              <w:snapToGrid w:val="0"/>
              <w:spacing w:line="440" w:lineRule="exact"/>
              <w:jc w:val="center"/>
              <w:rPr>
                <w:kern w:val="0"/>
                <w:szCs w:val="20"/>
              </w:rPr>
            </w:pPr>
            <w:r>
              <w:rPr>
                <w:rFonts w:hint="eastAsia"/>
                <w:kern w:val="0"/>
                <w:szCs w:val="20"/>
              </w:rPr>
              <w:t>备注</w:t>
            </w:r>
          </w:p>
        </w:tc>
        <w:tc>
          <w:tcPr>
            <w:tcW w:w="625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5B2B484">
            <w:pPr>
              <w:widowControl/>
              <w:snapToGrid w:val="0"/>
              <w:spacing w:line="440" w:lineRule="exact"/>
              <w:jc w:val="left"/>
              <w:rPr>
                <w:kern w:val="0"/>
                <w:szCs w:val="20"/>
              </w:rPr>
            </w:pPr>
          </w:p>
        </w:tc>
      </w:tr>
    </w:tbl>
    <w:p w14:paraId="55B2B486">
      <w:pPr>
        <w:widowControl/>
        <w:spacing w:line="360" w:lineRule="auto"/>
        <w:jc w:val="left"/>
        <w:rPr>
          <w:b/>
          <w:szCs w:val="21"/>
        </w:rPr>
      </w:pPr>
      <w:r>
        <w:rPr>
          <w:rFonts w:hint="eastAsia"/>
          <w:b/>
          <w:szCs w:val="21"/>
        </w:rPr>
        <w:t>注：</w:t>
      </w:r>
    </w:p>
    <w:p w14:paraId="55B2B487">
      <w:pPr>
        <w:widowControl/>
        <w:spacing w:line="360" w:lineRule="auto"/>
        <w:jc w:val="left"/>
        <w:rPr>
          <w:b/>
          <w:szCs w:val="21"/>
        </w:rPr>
      </w:pPr>
      <w:r>
        <w:rPr>
          <w:b/>
          <w:szCs w:val="21"/>
        </w:rPr>
        <w:t>1.谈判申请人</w:t>
      </w:r>
      <w:r>
        <w:rPr>
          <w:rFonts w:hint="eastAsia"/>
          <w:b/>
          <w:szCs w:val="21"/>
        </w:rPr>
        <w:t>在本表后附相关证明材料；</w:t>
      </w:r>
    </w:p>
    <w:p w14:paraId="55B2B488">
      <w:pPr>
        <w:widowControl/>
        <w:spacing w:line="360" w:lineRule="auto"/>
        <w:jc w:val="left"/>
        <w:rPr>
          <w:b/>
          <w:bCs/>
          <w:iCs/>
          <w:szCs w:val="21"/>
          <w:lang w:bidi="en-US"/>
        </w:rPr>
      </w:pPr>
      <w:r>
        <w:rPr>
          <w:rFonts w:hint="eastAsia"/>
          <w:b/>
          <w:bCs/>
          <w:iCs/>
          <w:szCs w:val="21"/>
          <w:lang w:bidi="en-US"/>
        </w:rPr>
        <w:t>2.项目包含同类或类似项目情况。</w:t>
      </w:r>
    </w:p>
    <w:p w14:paraId="55B2B489">
      <w:pPr>
        <w:widowControl/>
        <w:spacing w:line="360" w:lineRule="auto"/>
        <w:jc w:val="left"/>
        <w:rPr>
          <w:b/>
          <w:bCs/>
          <w:iCs/>
          <w:szCs w:val="21"/>
          <w:lang w:bidi="en-US"/>
        </w:rPr>
      </w:pPr>
    </w:p>
    <w:p w14:paraId="55B2B48A">
      <w:pPr>
        <w:spacing w:line="360" w:lineRule="auto"/>
        <w:ind w:firstLine="420" w:firstLineChars="200"/>
        <w:rPr>
          <w:szCs w:val="21"/>
        </w:rPr>
      </w:pPr>
    </w:p>
    <w:p w14:paraId="55B2B48B">
      <w:pPr>
        <w:widowControl/>
        <w:snapToGrid w:val="0"/>
        <w:spacing w:line="360" w:lineRule="auto"/>
        <w:ind w:firstLine="640" w:firstLineChars="200"/>
        <w:jc w:val="center"/>
        <w:rPr>
          <w:b/>
          <w:kern w:val="0"/>
          <w:sz w:val="32"/>
          <w:szCs w:val="32"/>
        </w:rPr>
      </w:pPr>
      <w:r>
        <w:rPr>
          <w:b/>
          <w:kern w:val="0"/>
          <w:sz w:val="32"/>
          <w:szCs w:val="32"/>
        </w:rPr>
        <w:br w:type="page"/>
      </w:r>
      <w:r>
        <w:rPr>
          <w:b/>
          <w:kern w:val="0"/>
          <w:sz w:val="32"/>
          <w:szCs w:val="32"/>
        </w:rPr>
        <w:t>承诺函</w:t>
      </w:r>
    </w:p>
    <w:p w14:paraId="55B2B48C">
      <w:pPr>
        <w:widowControl/>
        <w:snapToGrid w:val="0"/>
        <w:spacing w:line="360" w:lineRule="auto"/>
        <w:ind w:firstLine="420" w:firstLineChars="200"/>
        <w:jc w:val="left"/>
        <w:rPr>
          <w:kern w:val="0"/>
          <w:szCs w:val="21"/>
        </w:rPr>
      </w:pPr>
      <w:r>
        <w:rPr>
          <w:rFonts w:hint="eastAsia"/>
          <w:kern w:val="0"/>
          <w:szCs w:val="21"/>
        </w:rPr>
        <w:t>云南中慧能源有限公司</w:t>
      </w:r>
      <w:r>
        <w:rPr>
          <w:kern w:val="0"/>
          <w:szCs w:val="21"/>
        </w:rPr>
        <w:t>：</w:t>
      </w:r>
    </w:p>
    <w:p w14:paraId="55B2B48D">
      <w:pPr>
        <w:adjustRightInd w:val="0"/>
        <w:snapToGrid w:val="0"/>
        <w:spacing w:line="360" w:lineRule="auto"/>
        <w:ind w:firstLine="420" w:firstLineChars="200"/>
        <w:jc w:val="left"/>
        <w:rPr>
          <w:kern w:val="0"/>
          <w:szCs w:val="21"/>
        </w:rPr>
      </w:pPr>
      <w:r>
        <w:rPr>
          <w:rFonts w:hint="eastAsia"/>
          <w:kern w:val="0"/>
          <w:szCs w:val="21"/>
        </w:rPr>
        <w:t>1.</w:t>
      </w:r>
      <w:r>
        <w:rPr>
          <w:kern w:val="0"/>
          <w:szCs w:val="21"/>
        </w:rPr>
        <w:t>我公司当前未因不良行为记录被行政主管部门停止在云南省行政区域内的投标</w:t>
      </w:r>
      <w:r>
        <w:rPr>
          <w:rFonts w:hint="eastAsia"/>
          <w:kern w:val="0"/>
          <w:szCs w:val="21"/>
        </w:rPr>
        <w:t>（谈判）</w:t>
      </w:r>
      <w:r>
        <w:rPr>
          <w:kern w:val="0"/>
          <w:szCs w:val="21"/>
        </w:rPr>
        <w:t>资格，参加本项目投标</w:t>
      </w:r>
      <w:r>
        <w:rPr>
          <w:rFonts w:hint="eastAsia"/>
          <w:kern w:val="0"/>
          <w:szCs w:val="21"/>
        </w:rPr>
        <w:t>（谈判）</w:t>
      </w:r>
      <w:r>
        <w:rPr>
          <w:kern w:val="0"/>
          <w:szCs w:val="21"/>
        </w:rPr>
        <w:t>活动前三年内，没有骗取</w:t>
      </w:r>
      <w:r>
        <w:rPr>
          <w:rFonts w:hint="eastAsia"/>
          <w:kern w:val="0"/>
          <w:szCs w:val="21"/>
        </w:rPr>
        <w:t>成交</w:t>
      </w:r>
      <w:r>
        <w:rPr>
          <w:kern w:val="0"/>
          <w:szCs w:val="21"/>
        </w:rPr>
        <w:t>行为，无不正当理由放弃</w:t>
      </w:r>
      <w:r>
        <w:rPr>
          <w:rFonts w:hint="eastAsia"/>
          <w:kern w:val="0"/>
          <w:szCs w:val="21"/>
        </w:rPr>
        <w:t>成交</w:t>
      </w:r>
      <w:r>
        <w:rPr>
          <w:kern w:val="0"/>
          <w:szCs w:val="21"/>
        </w:rPr>
        <w:t>行为，未进行过恶意投诉，在经营活动中没有严重违法、违规记录，没有处于被责令停业、投标</w:t>
      </w:r>
      <w:r>
        <w:rPr>
          <w:rFonts w:hint="eastAsia"/>
          <w:kern w:val="0"/>
          <w:szCs w:val="21"/>
        </w:rPr>
        <w:t>（谈判）</w:t>
      </w:r>
      <w:r>
        <w:rPr>
          <w:kern w:val="0"/>
          <w:szCs w:val="21"/>
        </w:rPr>
        <w:t>资格被暂停或取消、财产被接管、冻结、破产等状态；我公司2023年1月1日至谈判当日在投标</w:t>
      </w:r>
      <w:r>
        <w:rPr>
          <w:rFonts w:hint="eastAsia"/>
          <w:kern w:val="0"/>
          <w:szCs w:val="21"/>
        </w:rPr>
        <w:t>（谈判）</w:t>
      </w:r>
      <w:r>
        <w:rPr>
          <w:kern w:val="0"/>
          <w:szCs w:val="21"/>
        </w:rPr>
        <w:t>项目中没有骗取</w:t>
      </w:r>
      <w:r>
        <w:rPr>
          <w:rFonts w:hint="eastAsia"/>
          <w:kern w:val="0"/>
          <w:szCs w:val="21"/>
        </w:rPr>
        <w:t>成交</w:t>
      </w:r>
      <w:r>
        <w:rPr>
          <w:kern w:val="0"/>
          <w:szCs w:val="21"/>
        </w:rPr>
        <w:t>和严重违约及重大安全、质量问题，无违约或不恰当履约引起的合同中止、纠纷、争议、仲裁和诉讼记录。</w:t>
      </w:r>
    </w:p>
    <w:p w14:paraId="55B2B48E">
      <w:pPr>
        <w:adjustRightInd w:val="0"/>
        <w:snapToGrid w:val="0"/>
        <w:spacing w:line="360" w:lineRule="auto"/>
        <w:ind w:firstLine="420" w:firstLineChars="200"/>
        <w:jc w:val="left"/>
        <w:rPr>
          <w:kern w:val="0"/>
          <w:szCs w:val="21"/>
        </w:rPr>
      </w:pPr>
      <w:r>
        <w:rPr>
          <w:rFonts w:hint="eastAsia"/>
          <w:kern w:val="0"/>
          <w:szCs w:val="21"/>
        </w:rPr>
        <w:t>2.与采购人存在利害关系的单位不得参与谈判；单位负责人为同一人或者存在控股、管理关系的不同单位，不得同时参与谈判。</w:t>
      </w:r>
    </w:p>
    <w:p w14:paraId="55B2B48F">
      <w:pPr>
        <w:adjustRightInd w:val="0"/>
        <w:snapToGrid w:val="0"/>
        <w:spacing w:line="360" w:lineRule="auto"/>
        <w:ind w:firstLine="420" w:firstLineChars="200"/>
        <w:jc w:val="left"/>
        <w:rPr>
          <w:kern w:val="0"/>
          <w:szCs w:val="21"/>
        </w:rPr>
      </w:pPr>
      <w:r>
        <w:rPr>
          <w:rFonts w:hint="eastAsia"/>
          <w:kern w:val="0"/>
          <w:szCs w:val="21"/>
        </w:rPr>
        <w:t>3.我公司不是联合体。</w:t>
      </w:r>
    </w:p>
    <w:p w14:paraId="55B2B490">
      <w:pPr>
        <w:adjustRightInd w:val="0"/>
        <w:snapToGrid w:val="0"/>
        <w:spacing w:line="360" w:lineRule="auto"/>
        <w:ind w:firstLine="420" w:firstLineChars="200"/>
        <w:jc w:val="left"/>
        <w:rPr>
          <w:kern w:val="0"/>
          <w:szCs w:val="21"/>
        </w:rPr>
      </w:pPr>
      <w:r>
        <w:rPr>
          <w:kern w:val="0"/>
          <w:szCs w:val="21"/>
        </w:rPr>
        <w:t>特此承诺，并对以上承诺</w:t>
      </w:r>
      <w:r>
        <w:rPr>
          <w:rFonts w:hint="eastAsia"/>
          <w:kern w:val="0"/>
          <w:szCs w:val="21"/>
          <w:lang w:eastAsia="zh-CN"/>
        </w:rPr>
        <w:t>负</w:t>
      </w:r>
      <w:r>
        <w:rPr>
          <w:kern w:val="0"/>
          <w:szCs w:val="21"/>
        </w:rPr>
        <w:t>法律责任。</w:t>
      </w:r>
    </w:p>
    <w:p w14:paraId="55B2B491">
      <w:pPr>
        <w:widowControl/>
        <w:spacing w:line="360" w:lineRule="auto"/>
        <w:ind w:right="210" w:firstLine="420" w:firstLineChars="200"/>
        <w:rPr>
          <w:bCs/>
          <w:iCs/>
          <w:szCs w:val="21"/>
          <w:lang w:bidi="en-US"/>
        </w:rPr>
      </w:pPr>
    </w:p>
    <w:p w14:paraId="55B2B492">
      <w:pPr>
        <w:widowControl/>
        <w:spacing w:line="360" w:lineRule="auto"/>
        <w:ind w:right="210" w:firstLine="420" w:firstLineChars="200"/>
        <w:rPr>
          <w:bCs/>
          <w:iCs/>
          <w:szCs w:val="21"/>
          <w:lang w:bidi="en-US"/>
        </w:rPr>
      </w:pPr>
    </w:p>
    <w:p w14:paraId="55B2B493">
      <w:pPr>
        <w:adjustRightInd w:val="0"/>
        <w:snapToGrid w:val="0"/>
        <w:spacing w:line="360" w:lineRule="auto"/>
        <w:rPr>
          <w:kern w:val="0"/>
          <w:szCs w:val="21"/>
        </w:rPr>
      </w:pPr>
      <w:r>
        <w:rPr>
          <w:kern w:val="0"/>
          <w:szCs w:val="21"/>
        </w:rPr>
        <w:t>承诺单位名称：（</w:t>
      </w:r>
      <w:r>
        <w:rPr>
          <w:rFonts w:hint="eastAsia"/>
        </w:rPr>
        <w:t>盖单位公章</w:t>
      </w:r>
      <w:r>
        <w:rPr>
          <w:kern w:val="0"/>
          <w:szCs w:val="21"/>
        </w:rPr>
        <w:t>）</w:t>
      </w:r>
    </w:p>
    <w:p w14:paraId="55B2B494">
      <w:pPr>
        <w:spacing w:line="360" w:lineRule="auto"/>
        <w:rPr>
          <w:b/>
          <w:kern w:val="0"/>
          <w:sz w:val="20"/>
          <w:szCs w:val="20"/>
        </w:rPr>
      </w:pPr>
      <w:r>
        <w:rPr>
          <w:kern w:val="0"/>
          <w:szCs w:val="21"/>
        </w:rPr>
        <w:t>日期：     年    月    日</w:t>
      </w:r>
    </w:p>
    <w:p w14:paraId="55B2B495">
      <w:pPr>
        <w:widowControl/>
        <w:jc w:val="left"/>
        <w:rPr>
          <w:kern w:val="0"/>
          <w:szCs w:val="21"/>
        </w:rPr>
      </w:pPr>
    </w:p>
    <w:p w14:paraId="55B2B496">
      <w:pPr>
        <w:spacing w:after="120"/>
      </w:pPr>
    </w:p>
    <w:p w14:paraId="55B2B497">
      <w:pPr>
        <w:spacing w:after="120"/>
      </w:pPr>
    </w:p>
    <w:p w14:paraId="55B2B498">
      <w:pPr>
        <w:spacing w:after="120"/>
      </w:pPr>
    </w:p>
    <w:p w14:paraId="55B2B499">
      <w:pPr>
        <w:spacing w:after="120"/>
      </w:pPr>
    </w:p>
    <w:p w14:paraId="55B2B49A">
      <w:pPr>
        <w:spacing w:after="120"/>
      </w:pPr>
      <w:r>
        <w:br w:type="page"/>
      </w:r>
    </w:p>
    <w:p w14:paraId="55B2B49B">
      <w:pPr>
        <w:spacing w:line="360" w:lineRule="auto"/>
        <w:outlineLvl w:val="2"/>
        <w:rPr>
          <w:b/>
          <w:kern w:val="0"/>
          <w:sz w:val="24"/>
        </w:rPr>
      </w:pPr>
      <w:r>
        <w:rPr>
          <w:rFonts w:hint="eastAsia"/>
          <w:b/>
          <w:kern w:val="0"/>
          <w:sz w:val="24"/>
        </w:rPr>
        <w:t>8.项目负责人情况表</w:t>
      </w:r>
    </w:p>
    <w:p w14:paraId="55B2B49C">
      <w:pPr>
        <w:jc w:val="center"/>
        <w:rPr>
          <w:kern w:val="0"/>
          <w:szCs w:val="21"/>
        </w:rPr>
      </w:pPr>
      <w:r>
        <w:rPr>
          <w:kern w:val="0"/>
          <w:szCs w:val="21"/>
        </w:rPr>
        <w:t>项目负责人情况表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7"/>
        <w:gridCol w:w="1488"/>
        <w:gridCol w:w="2125"/>
        <w:gridCol w:w="567"/>
        <w:gridCol w:w="992"/>
        <w:gridCol w:w="1893"/>
      </w:tblGrid>
      <w:tr w14:paraId="55B2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14:paraId="55B2B49D">
            <w:pPr>
              <w:widowControl/>
              <w:snapToGrid w:val="0"/>
              <w:jc w:val="center"/>
              <w:rPr>
                <w:kern w:val="0"/>
                <w:szCs w:val="21"/>
              </w:rPr>
            </w:pPr>
            <w:r>
              <w:rPr>
                <w:kern w:val="0"/>
                <w:szCs w:val="21"/>
              </w:rPr>
              <w:t>一般情况</w:t>
            </w:r>
          </w:p>
        </w:tc>
      </w:tr>
      <w:tr w14:paraId="55B2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7" w:type="dxa"/>
          </w:tcPr>
          <w:p w14:paraId="55B2B49F">
            <w:pPr>
              <w:widowControl/>
              <w:snapToGrid w:val="0"/>
              <w:jc w:val="center"/>
              <w:rPr>
                <w:kern w:val="0"/>
                <w:szCs w:val="21"/>
              </w:rPr>
            </w:pPr>
            <w:r>
              <w:rPr>
                <w:kern w:val="0"/>
                <w:szCs w:val="21"/>
              </w:rPr>
              <w:t>姓名</w:t>
            </w:r>
          </w:p>
        </w:tc>
        <w:tc>
          <w:tcPr>
            <w:tcW w:w="1488" w:type="dxa"/>
          </w:tcPr>
          <w:p w14:paraId="55B2B4A0">
            <w:pPr>
              <w:widowControl/>
              <w:snapToGrid w:val="0"/>
              <w:rPr>
                <w:kern w:val="0"/>
                <w:szCs w:val="21"/>
              </w:rPr>
            </w:pPr>
          </w:p>
        </w:tc>
        <w:tc>
          <w:tcPr>
            <w:tcW w:w="2692" w:type="dxa"/>
            <w:gridSpan w:val="2"/>
          </w:tcPr>
          <w:p w14:paraId="55B2B4A1">
            <w:pPr>
              <w:widowControl/>
              <w:snapToGrid w:val="0"/>
              <w:jc w:val="center"/>
              <w:rPr>
                <w:kern w:val="0"/>
                <w:szCs w:val="21"/>
              </w:rPr>
            </w:pPr>
            <w:r>
              <w:rPr>
                <w:kern w:val="0"/>
                <w:szCs w:val="21"/>
              </w:rPr>
              <w:t>职称</w:t>
            </w:r>
          </w:p>
        </w:tc>
        <w:tc>
          <w:tcPr>
            <w:tcW w:w="2885" w:type="dxa"/>
            <w:gridSpan w:val="2"/>
          </w:tcPr>
          <w:p w14:paraId="55B2B4A2">
            <w:pPr>
              <w:widowControl/>
              <w:snapToGrid w:val="0"/>
              <w:rPr>
                <w:kern w:val="0"/>
                <w:szCs w:val="21"/>
              </w:rPr>
            </w:pPr>
          </w:p>
        </w:tc>
      </w:tr>
      <w:tr w14:paraId="55B2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7" w:type="dxa"/>
          </w:tcPr>
          <w:p w14:paraId="55B2B4A4">
            <w:pPr>
              <w:widowControl/>
              <w:snapToGrid w:val="0"/>
              <w:jc w:val="center"/>
              <w:rPr>
                <w:kern w:val="0"/>
                <w:szCs w:val="21"/>
              </w:rPr>
            </w:pPr>
            <w:r>
              <w:rPr>
                <w:kern w:val="0"/>
                <w:szCs w:val="21"/>
              </w:rPr>
              <w:t>单位职务</w:t>
            </w:r>
          </w:p>
        </w:tc>
        <w:tc>
          <w:tcPr>
            <w:tcW w:w="1488" w:type="dxa"/>
          </w:tcPr>
          <w:p w14:paraId="55B2B4A5">
            <w:pPr>
              <w:widowControl/>
              <w:snapToGrid w:val="0"/>
              <w:rPr>
                <w:kern w:val="0"/>
                <w:szCs w:val="21"/>
              </w:rPr>
            </w:pPr>
          </w:p>
        </w:tc>
        <w:tc>
          <w:tcPr>
            <w:tcW w:w="2692" w:type="dxa"/>
            <w:gridSpan w:val="2"/>
          </w:tcPr>
          <w:p w14:paraId="55B2B4A6">
            <w:pPr>
              <w:widowControl/>
              <w:snapToGrid w:val="0"/>
              <w:jc w:val="center"/>
              <w:rPr>
                <w:kern w:val="0"/>
                <w:szCs w:val="21"/>
              </w:rPr>
            </w:pPr>
            <w:r>
              <w:rPr>
                <w:kern w:val="0"/>
                <w:szCs w:val="21"/>
              </w:rPr>
              <w:t>本合同中拟任职</w:t>
            </w:r>
          </w:p>
        </w:tc>
        <w:tc>
          <w:tcPr>
            <w:tcW w:w="2885" w:type="dxa"/>
            <w:gridSpan w:val="2"/>
          </w:tcPr>
          <w:p w14:paraId="55B2B4A7">
            <w:pPr>
              <w:widowControl/>
              <w:snapToGrid w:val="0"/>
              <w:rPr>
                <w:kern w:val="0"/>
                <w:szCs w:val="21"/>
              </w:rPr>
            </w:pPr>
          </w:p>
        </w:tc>
      </w:tr>
      <w:tr w14:paraId="55B2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14:paraId="55B2B4A9">
            <w:pPr>
              <w:widowControl/>
              <w:snapToGrid w:val="0"/>
              <w:jc w:val="center"/>
              <w:rPr>
                <w:kern w:val="0"/>
                <w:szCs w:val="21"/>
              </w:rPr>
            </w:pPr>
            <w:r>
              <w:rPr>
                <w:kern w:val="0"/>
                <w:szCs w:val="21"/>
              </w:rPr>
              <w:t>工作经历</w:t>
            </w:r>
          </w:p>
        </w:tc>
      </w:tr>
      <w:tr w14:paraId="55B2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7" w:type="dxa"/>
            <w:vAlign w:val="center"/>
          </w:tcPr>
          <w:p w14:paraId="55B2B4AB">
            <w:pPr>
              <w:widowControl/>
              <w:snapToGrid w:val="0"/>
              <w:jc w:val="center"/>
              <w:rPr>
                <w:kern w:val="0"/>
                <w:szCs w:val="21"/>
              </w:rPr>
            </w:pPr>
            <w:r>
              <w:rPr>
                <w:kern w:val="0"/>
                <w:szCs w:val="21"/>
              </w:rPr>
              <w:t>年份</w:t>
            </w:r>
          </w:p>
        </w:tc>
        <w:tc>
          <w:tcPr>
            <w:tcW w:w="3613" w:type="dxa"/>
            <w:gridSpan w:val="2"/>
            <w:vAlign w:val="center"/>
          </w:tcPr>
          <w:p w14:paraId="55B2B4AC">
            <w:pPr>
              <w:widowControl/>
              <w:snapToGrid w:val="0"/>
              <w:jc w:val="center"/>
              <w:rPr>
                <w:kern w:val="0"/>
                <w:szCs w:val="21"/>
              </w:rPr>
            </w:pPr>
            <w:r>
              <w:rPr>
                <w:kern w:val="0"/>
                <w:szCs w:val="21"/>
              </w:rPr>
              <w:t>负责过的工程（含同类和类似项目）</w:t>
            </w:r>
          </w:p>
        </w:tc>
        <w:tc>
          <w:tcPr>
            <w:tcW w:w="1559" w:type="dxa"/>
            <w:gridSpan w:val="2"/>
            <w:vAlign w:val="center"/>
          </w:tcPr>
          <w:p w14:paraId="55B2B4AD">
            <w:pPr>
              <w:widowControl/>
              <w:snapToGrid w:val="0"/>
              <w:jc w:val="center"/>
              <w:rPr>
                <w:kern w:val="0"/>
                <w:szCs w:val="21"/>
              </w:rPr>
            </w:pPr>
            <w:r>
              <w:rPr>
                <w:kern w:val="0"/>
                <w:szCs w:val="21"/>
              </w:rPr>
              <w:t>该项目中任职</w:t>
            </w:r>
          </w:p>
        </w:tc>
        <w:tc>
          <w:tcPr>
            <w:tcW w:w="1893" w:type="dxa"/>
            <w:vAlign w:val="center"/>
          </w:tcPr>
          <w:p w14:paraId="55B2B4AE">
            <w:pPr>
              <w:widowControl/>
              <w:snapToGrid w:val="0"/>
              <w:jc w:val="center"/>
              <w:rPr>
                <w:kern w:val="0"/>
                <w:szCs w:val="21"/>
              </w:rPr>
            </w:pPr>
            <w:r>
              <w:rPr>
                <w:kern w:val="0"/>
                <w:szCs w:val="21"/>
              </w:rPr>
              <w:t>备注</w:t>
            </w:r>
          </w:p>
        </w:tc>
      </w:tr>
      <w:tr w14:paraId="55B2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7" w:type="dxa"/>
          </w:tcPr>
          <w:p w14:paraId="55B2B4B0">
            <w:pPr>
              <w:widowControl/>
              <w:snapToGrid w:val="0"/>
              <w:jc w:val="center"/>
              <w:rPr>
                <w:kern w:val="0"/>
                <w:szCs w:val="21"/>
              </w:rPr>
            </w:pPr>
          </w:p>
        </w:tc>
        <w:tc>
          <w:tcPr>
            <w:tcW w:w="3613" w:type="dxa"/>
            <w:gridSpan w:val="2"/>
          </w:tcPr>
          <w:p w14:paraId="55B2B4B1">
            <w:pPr>
              <w:widowControl/>
              <w:snapToGrid w:val="0"/>
              <w:jc w:val="center"/>
              <w:rPr>
                <w:kern w:val="0"/>
                <w:szCs w:val="21"/>
              </w:rPr>
            </w:pPr>
          </w:p>
        </w:tc>
        <w:tc>
          <w:tcPr>
            <w:tcW w:w="1559" w:type="dxa"/>
            <w:gridSpan w:val="2"/>
          </w:tcPr>
          <w:p w14:paraId="55B2B4B2">
            <w:pPr>
              <w:widowControl/>
              <w:snapToGrid w:val="0"/>
              <w:jc w:val="center"/>
              <w:rPr>
                <w:kern w:val="0"/>
                <w:szCs w:val="21"/>
              </w:rPr>
            </w:pPr>
          </w:p>
        </w:tc>
        <w:tc>
          <w:tcPr>
            <w:tcW w:w="1893" w:type="dxa"/>
          </w:tcPr>
          <w:p w14:paraId="55B2B4B3">
            <w:pPr>
              <w:widowControl/>
              <w:snapToGrid w:val="0"/>
              <w:jc w:val="center"/>
              <w:rPr>
                <w:kern w:val="0"/>
                <w:szCs w:val="21"/>
              </w:rPr>
            </w:pPr>
          </w:p>
        </w:tc>
      </w:tr>
      <w:tr w14:paraId="55B2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7" w:type="dxa"/>
          </w:tcPr>
          <w:p w14:paraId="55B2B4B5">
            <w:pPr>
              <w:widowControl/>
              <w:snapToGrid w:val="0"/>
              <w:jc w:val="center"/>
              <w:rPr>
                <w:kern w:val="0"/>
                <w:szCs w:val="21"/>
              </w:rPr>
            </w:pPr>
          </w:p>
        </w:tc>
        <w:tc>
          <w:tcPr>
            <w:tcW w:w="3613" w:type="dxa"/>
            <w:gridSpan w:val="2"/>
          </w:tcPr>
          <w:p w14:paraId="55B2B4B6">
            <w:pPr>
              <w:widowControl/>
              <w:snapToGrid w:val="0"/>
              <w:jc w:val="center"/>
              <w:rPr>
                <w:kern w:val="0"/>
                <w:szCs w:val="21"/>
              </w:rPr>
            </w:pPr>
          </w:p>
        </w:tc>
        <w:tc>
          <w:tcPr>
            <w:tcW w:w="1559" w:type="dxa"/>
            <w:gridSpan w:val="2"/>
          </w:tcPr>
          <w:p w14:paraId="55B2B4B7">
            <w:pPr>
              <w:widowControl/>
              <w:snapToGrid w:val="0"/>
              <w:jc w:val="center"/>
              <w:rPr>
                <w:kern w:val="0"/>
                <w:szCs w:val="21"/>
              </w:rPr>
            </w:pPr>
          </w:p>
        </w:tc>
        <w:tc>
          <w:tcPr>
            <w:tcW w:w="1893" w:type="dxa"/>
          </w:tcPr>
          <w:p w14:paraId="55B2B4B8">
            <w:pPr>
              <w:widowControl/>
              <w:snapToGrid w:val="0"/>
              <w:jc w:val="center"/>
              <w:rPr>
                <w:kern w:val="0"/>
                <w:szCs w:val="21"/>
              </w:rPr>
            </w:pPr>
          </w:p>
        </w:tc>
      </w:tr>
    </w:tbl>
    <w:p w14:paraId="55B2B4BA">
      <w:pPr>
        <w:rPr>
          <w:kern w:val="0"/>
          <w:szCs w:val="21"/>
        </w:rPr>
      </w:pPr>
    </w:p>
    <w:p w14:paraId="55B2B4BB">
      <w:pPr>
        <w:widowControl/>
        <w:snapToGrid w:val="0"/>
        <w:spacing w:line="360" w:lineRule="auto"/>
        <w:jc w:val="left"/>
        <w:rPr>
          <w:b/>
          <w:kern w:val="0"/>
          <w:sz w:val="24"/>
        </w:rPr>
      </w:pPr>
      <w:r>
        <w:rPr>
          <w:b/>
          <w:kern w:val="0"/>
          <w:szCs w:val="21"/>
        </w:rPr>
        <w:t>注：表后附相关证件复印件。</w:t>
      </w:r>
      <w:bookmarkStart w:id="403" w:name="_Toc30261"/>
      <w:bookmarkStart w:id="404" w:name="_Toc15105"/>
      <w:r>
        <w:rPr>
          <w:b/>
          <w:kern w:val="0"/>
          <w:sz w:val="24"/>
        </w:rPr>
        <w:br w:type="page"/>
      </w:r>
    </w:p>
    <w:p w14:paraId="55B2B4BC">
      <w:pPr>
        <w:spacing w:line="360" w:lineRule="auto"/>
        <w:outlineLvl w:val="2"/>
        <w:rPr>
          <w:b/>
          <w:kern w:val="0"/>
          <w:sz w:val="24"/>
        </w:rPr>
      </w:pPr>
      <w:r>
        <w:rPr>
          <w:rFonts w:hint="eastAsia"/>
          <w:b/>
          <w:kern w:val="0"/>
          <w:sz w:val="24"/>
        </w:rPr>
        <w:t>9.</w:t>
      </w:r>
      <w:r>
        <w:rPr>
          <w:b/>
          <w:kern w:val="0"/>
          <w:sz w:val="24"/>
        </w:rPr>
        <w:t>廉洁承诺书</w:t>
      </w:r>
      <w:bookmarkEnd w:id="403"/>
      <w:bookmarkEnd w:id="404"/>
    </w:p>
    <w:p w14:paraId="55B2B4BD">
      <w:pPr>
        <w:spacing w:line="440" w:lineRule="exact"/>
        <w:rPr>
          <w:kern w:val="0"/>
          <w:sz w:val="20"/>
          <w:szCs w:val="21"/>
        </w:rPr>
      </w:pPr>
      <w:r>
        <w:rPr>
          <w:rFonts w:hint="eastAsia"/>
          <w:kern w:val="0"/>
          <w:sz w:val="20"/>
          <w:szCs w:val="21"/>
        </w:rPr>
        <w:t>云南中慧能源有限公司</w:t>
      </w:r>
      <w:r>
        <w:rPr>
          <w:kern w:val="0"/>
          <w:sz w:val="20"/>
          <w:szCs w:val="21"/>
        </w:rPr>
        <w:t>：</w:t>
      </w:r>
    </w:p>
    <w:p w14:paraId="55B2B4BE">
      <w:pPr>
        <w:spacing w:line="400" w:lineRule="exact"/>
        <w:ind w:left="119" w:leftChars="57" w:firstLine="400" w:firstLineChars="200"/>
        <w:rPr>
          <w:kern w:val="0"/>
          <w:sz w:val="20"/>
          <w:szCs w:val="21"/>
        </w:rPr>
      </w:pPr>
      <w:r>
        <w:rPr>
          <w:kern w:val="0"/>
          <w:sz w:val="20"/>
          <w:szCs w:val="21"/>
        </w:rPr>
        <w:t>本公司自愿参与</w:t>
      </w:r>
      <w:r>
        <w:rPr>
          <w:rFonts w:hint="eastAsia"/>
          <w:kern w:val="0"/>
          <w:sz w:val="20"/>
          <w:szCs w:val="21"/>
        </w:rPr>
        <w:t>云南中慧能源有限公司</w:t>
      </w:r>
      <w:r>
        <w:rPr>
          <w:kern w:val="0"/>
          <w:sz w:val="20"/>
          <w:szCs w:val="21"/>
        </w:rPr>
        <w:t>（以下简称贵公司）</w:t>
      </w:r>
      <w:r>
        <w:rPr>
          <w:kern w:val="0"/>
          <w:sz w:val="20"/>
          <w:szCs w:val="21"/>
          <w:u w:val="single"/>
        </w:rPr>
        <w:t xml:space="preserve">              </w:t>
      </w:r>
      <w:r>
        <w:rPr>
          <w:kern w:val="0"/>
          <w:sz w:val="20"/>
          <w:szCs w:val="21"/>
        </w:rPr>
        <w:t>（项目名称）的</w:t>
      </w:r>
      <w:r>
        <w:rPr>
          <w:rFonts w:hint="eastAsia"/>
          <w:kern w:val="0"/>
          <w:sz w:val="20"/>
          <w:szCs w:val="21"/>
        </w:rPr>
        <w:t>谈判</w:t>
      </w:r>
      <w:r>
        <w:rPr>
          <w:kern w:val="0"/>
          <w:sz w:val="20"/>
          <w:szCs w:val="21"/>
        </w:rPr>
        <w:t>，为确保采购</w:t>
      </w:r>
      <w:r>
        <w:rPr>
          <w:rFonts w:hint="eastAsia"/>
          <w:kern w:val="0"/>
          <w:sz w:val="20"/>
          <w:szCs w:val="21"/>
        </w:rPr>
        <w:t>谈判</w:t>
      </w:r>
      <w:r>
        <w:rPr>
          <w:kern w:val="0"/>
          <w:sz w:val="20"/>
          <w:szCs w:val="21"/>
        </w:rPr>
        <w:t>活动的规范与廉洁，从源头上预防和遏制违法违纪问题的发生，特作以下承诺：</w:t>
      </w:r>
    </w:p>
    <w:p w14:paraId="55B2B4BF">
      <w:pPr>
        <w:spacing w:line="400" w:lineRule="exact"/>
        <w:ind w:firstLine="570"/>
        <w:rPr>
          <w:kern w:val="0"/>
          <w:sz w:val="20"/>
          <w:szCs w:val="21"/>
        </w:rPr>
      </w:pPr>
      <w:r>
        <w:rPr>
          <w:kern w:val="0"/>
          <w:sz w:val="20"/>
          <w:szCs w:val="21"/>
        </w:rPr>
        <w:t>在业务往来中，严格遵守国家有关的法律法规和廉洁从业规定，坚持公平、公开、公正、诚实信用的原则，</w:t>
      </w:r>
      <w:r>
        <w:rPr>
          <w:rFonts w:hint="eastAsia"/>
          <w:kern w:val="0"/>
          <w:sz w:val="20"/>
          <w:szCs w:val="21"/>
          <w:lang w:eastAsia="zh-CN"/>
        </w:rPr>
        <w:t>绝不</w:t>
      </w:r>
      <w:r>
        <w:rPr>
          <w:kern w:val="0"/>
          <w:sz w:val="20"/>
          <w:szCs w:val="21"/>
        </w:rPr>
        <w:t>损害国家和企业利益。</w:t>
      </w:r>
    </w:p>
    <w:p w14:paraId="55B2B4C0">
      <w:pPr>
        <w:spacing w:line="400" w:lineRule="exact"/>
        <w:ind w:firstLine="400" w:firstLineChars="200"/>
        <w:rPr>
          <w:kern w:val="0"/>
          <w:sz w:val="20"/>
          <w:szCs w:val="21"/>
        </w:rPr>
      </w:pPr>
      <w:r>
        <w:rPr>
          <w:kern w:val="0"/>
          <w:sz w:val="20"/>
          <w:szCs w:val="21"/>
        </w:rPr>
        <w:t>一、本公司（含公司工作人员，下同）</w:t>
      </w:r>
      <w:r>
        <w:rPr>
          <w:rFonts w:hint="eastAsia"/>
          <w:kern w:val="0"/>
          <w:sz w:val="20"/>
          <w:szCs w:val="21"/>
          <w:lang w:eastAsia="zh-CN"/>
        </w:rPr>
        <w:t>绝不</w:t>
      </w:r>
      <w:r>
        <w:rPr>
          <w:kern w:val="0"/>
          <w:sz w:val="20"/>
          <w:szCs w:val="21"/>
        </w:rPr>
        <w:t>向贵公司工作人员（含工作人员的配偶、子女及亲属，下同）馈赠礼品（包括但不限于现金、有价证券、支付凭证及贵重物品等）。</w:t>
      </w:r>
    </w:p>
    <w:p w14:paraId="55B2B4C1">
      <w:pPr>
        <w:spacing w:line="400" w:lineRule="exact"/>
        <w:ind w:firstLine="400" w:firstLineChars="200"/>
        <w:rPr>
          <w:kern w:val="0"/>
          <w:sz w:val="20"/>
          <w:szCs w:val="21"/>
        </w:rPr>
      </w:pPr>
      <w:r>
        <w:rPr>
          <w:kern w:val="0"/>
          <w:sz w:val="20"/>
          <w:szCs w:val="21"/>
        </w:rPr>
        <w:t>二、本公司</w:t>
      </w:r>
      <w:r>
        <w:rPr>
          <w:rFonts w:hint="eastAsia"/>
          <w:kern w:val="0"/>
          <w:sz w:val="20"/>
          <w:szCs w:val="21"/>
          <w:lang w:eastAsia="zh-CN"/>
        </w:rPr>
        <w:t>绝不</w:t>
      </w:r>
      <w:r>
        <w:rPr>
          <w:kern w:val="0"/>
          <w:sz w:val="20"/>
          <w:szCs w:val="21"/>
        </w:rPr>
        <w:t>向贵公司工作人员提供宴请、联谊活动、度假、旅游，以及营业性娱乐场所（包括但不限于营业性的歌厅、舞厅、卡拉OK厅、夜总会、桑拿、按摩和高尔夫球等）消费。</w:t>
      </w:r>
    </w:p>
    <w:p w14:paraId="55B2B4C2">
      <w:pPr>
        <w:spacing w:line="400" w:lineRule="exact"/>
        <w:ind w:firstLine="400" w:firstLineChars="200"/>
        <w:rPr>
          <w:kern w:val="0"/>
          <w:sz w:val="20"/>
          <w:szCs w:val="21"/>
        </w:rPr>
      </w:pPr>
      <w:r>
        <w:rPr>
          <w:kern w:val="0"/>
          <w:sz w:val="20"/>
          <w:szCs w:val="21"/>
        </w:rPr>
        <w:t>三、本公司</w:t>
      </w:r>
      <w:r>
        <w:rPr>
          <w:rFonts w:hint="eastAsia"/>
          <w:kern w:val="0"/>
          <w:sz w:val="20"/>
          <w:szCs w:val="21"/>
          <w:lang w:eastAsia="zh-CN"/>
        </w:rPr>
        <w:t>绝不</w:t>
      </w:r>
      <w:r>
        <w:rPr>
          <w:kern w:val="0"/>
          <w:sz w:val="20"/>
          <w:szCs w:val="21"/>
        </w:rPr>
        <w:t>为贵公司工作人员安排工作，以及支付应由其个人自付的各种费用（包括但不限于住宅装修、婚丧嫁娶、旅游、度假、食宿、购物、学费、子女出国留学等）。</w:t>
      </w:r>
    </w:p>
    <w:p w14:paraId="55B2B4C3">
      <w:pPr>
        <w:spacing w:line="400" w:lineRule="exact"/>
        <w:ind w:firstLine="400" w:firstLineChars="200"/>
        <w:rPr>
          <w:kern w:val="0"/>
          <w:sz w:val="20"/>
          <w:szCs w:val="21"/>
        </w:rPr>
      </w:pPr>
      <w:r>
        <w:rPr>
          <w:kern w:val="0"/>
          <w:sz w:val="20"/>
          <w:szCs w:val="21"/>
        </w:rPr>
        <w:t>四、本公司发现贵公司工作人员有</w:t>
      </w:r>
      <w:r>
        <w:rPr>
          <w:rFonts w:hint="eastAsia"/>
          <w:kern w:val="0"/>
          <w:sz w:val="20"/>
          <w:szCs w:val="21"/>
          <w:lang w:eastAsia="zh-CN"/>
        </w:rPr>
        <w:t>违反</w:t>
      </w:r>
      <w:r>
        <w:rPr>
          <w:kern w:val="0"/>
          <w:sz w:val="20"/>
          <w:szCs w:val="21"/>
        </w:rPr>
        <w:t>以上行为倾向的，应及时提醒纠正并向贵公司监督管理部门举报。</w:t>
      </w:r>
    </w:p>
    <w:p w14:paraId="55B2B4C4">
      <w:pPr>
        <w:spacing w:line="400" w:lineRule="exact"/>
        <w:ind w:firstLine="400" w:firstLineChars="200"/>
        <w:rPr>
          <w:kern w:val="0"/>
          <w:sz w:val="20"/>
          <w:szCs w:val="21"/>
        </w:rPr>
      </w:pPr>
      <w:r>
        <w:rPr>
          <w:kern w:val="0"/>
          <w:sz w:val="20"/>
          <w:szCs w:val="21"/>
        </w:rPr>
        <w:t>五、如发现本公司违反承诺，给贵公司造成经济损失，并经贵公司监督部门认定违规事实后，按照下列规定进行处罚。</w:t>
      </w:r>
    </w:p>
    <w:p w14:paraId="55B2B4C5">
      <w:pPr>
        <w:spacing w:line="400" w:lineRule="exact"/>
        <w:ind w:firstLine="570"/>
        <w:rPr>
          <w:kern w:val="0"/>
          <w:sz w:val="20"/>
          <w:szCs w:val="21"/>
        </w:rPr>
      </w:pPr>
      <w:r>
        <w:rPr>
          <w:kern w:val="0"/>
          <w:sz w:val="20"/>
          <w:szCs w:val="21"/>
        </w:rPr>
        <w:t>（一）同意扣除质保金。</w:t>
      </w:r>
    </w:p>
    <w:p w14:paraId="55B2B4C6">
      <w:pPr>
        <w:spacing w:line="400" w:lineRule="exact"/>
        <w:ind w:firstLine="570"/>
        <w:rPr>
          <w:kern w:val="0"/>
          <w:sz w:val="20"/>
          <w:szCs w:val="21"/>
        </w:rPr>
      </w:pPr>
      <w:r>
        <w:rPr>
          <w:kern w:val="0"/>
          <w:sz w:val="20"/>
          <w:szCs w:val="21"/>
        </w:rPr>
        <w:t>（二）本公司的行为致使贵公司工作人员违规的，同意将本公司列入贵公司供应商黑名单，三年丧失贵公司供应商资格。</w:t>
      </w:r>
    </w:p>
    <w:p w14:paraId="55B2B4C7">
      <w:pPr>
        <w:spacing w:line="400" w:lineRule="exact"/>
        <w:ind w:firstLine="570"/>
        <w:rPr>
          <w:kern w:val="0"/>
          <w:sz w:val="20"/>
          <w:szCs w:val="21"/>
        </w:rPr>
      </w:pPr>
      <w:r>
        <w:rPr>
          <w:kern w:val="0"/>
          <w:sz w:val="20"/>
          <w:szCs w:val="21"/>
        </w:rPr>
        <w:t>（三）本公司的行为致使贵公司工作人员违法的，同意永远丧失贵公司供应商资格。</w:t>
      </w:r>
    </w:p>
    <w:p w14:paraId="55B2B4C8">
      <w:pPr>
        <w:spacing w:line="400" w:lineRule="exact"/>
        <w:ind w:firstLine="570"/>
        <w:rPr>
          <w:kern w:val="0"/>
          <w:sz w:val="20"/>
          <w:szCs w:val="21"/>
        </w:rPr>
      </w:pPr>
      <w:r>
        <w:rPr>
          <w:kern w:val="0"/>
          <w:sz w:val="20"/>
          <w:szCs w:val="21"/>
        </w:rPr>
        <w:t>此承诺书加盖本公司公章后生效。</w:t>
      </w:r>
    </w:p>
    <w:p w14:paraId="55B2B4C9">
      <w:pPr>
        <w:adjustRightInd w:val="0"/>
        <w:snapToGrid w:val="0"/>
        <w:spacing w:line="400" w:lineRule="exact"/>
        <w:ind w:firstLine="420" w:firstLineChars="200"/>
        <w:textAlignment w:val="baseline"/>
        <w:rPr>
          <w:b/>
          <w:szCs w:val="21"/>
        </w:rPr>
      </w:pPr>
      <w:r>
        <w:rPr>
          <w:b/>
          <w:szCs w:val="21"/>
        </w:rPr>
        <w:t>此致</w:t>
      </w:r>
    </w:p>
    <w:p w14:paraId="55B2B4CA">
      <w:pPr>
        <w:widowControl/>
        <w:spacing w:line="360" w:lineRule="auto"/>
        <w:ind w:right="210" w:firstLine="420" w:firstLineChars="200"/>
        <w:rPr>
          <w:bCs/>
          <w:iCs/>
          <w:szCs w:val="21"/>
          <w:lang w:bidi="en-US"/>
        </w:rPr>
      </w:pPr>
      <w:bookmarkStart w:id="405" w:name="_Toc31086"/>
      <w:bookmarkStart w:id="406" w:name="_Toc8979"/>
    </w:p>
    <w:p w14:paraId="55B2B4CB">
      <w:pPr>
        <w:widowControl/>
        <w:spacing w:line="360" w:lineRule="auto"/>
        <w:ind w:right="210" w:firstLine="420" w:firstLineChars="200"/>
        <w:rPr>
          <w:bCs/>
          <w:iCs/>
          <w:szCs w:val="21"/>
          <w:lang w:bidi="en-US"/>
        </w:rPr>
      </w:pPr>
    </w:p>
    <w:p w14:paraId="55B2B4CC">
      <w:pPr>
        <w:spacing w:line="360" w:lineRule="auto"/>
        <w:ind w:firstLine="420" w:firstLineChars="200"/>
        <w:rPr>
          <w:kern w:val="0"/>
          <w:szCs w:val="21"/>
        </w:rPr>
      </w:pPr>
    </w:p>
    <w:p w14:paraId="55B2B4CD">
      <w:pPr>
        <w:spacing w:line="360" w:lineRule="auto"/>
        <w:ind w:firstLine="420" w:firstLineChars="200"/>
        <w:rPr>
          <w:kern w:val="0"/>
          <w:szCs w:val="21"/>
        </w:rPr>
      </w:pPr>
      <w:r>
        <w:rPr>
          <w:kern w:val="0"/>
          <w:szCs w:val="21"/>
        </w:rPr>
        <w:t>承诺方（盖单位公章）：</w:t>
      </w:r>
    </w:p>
    <w:p w14:paraId="55B2B4CE">
      <w:pPr>
        <w:spacing w:line="360" w:lineRule="auto"/>
        <w:ind w:firstLine="420" w:firstLineChars="200"/>
        <w:rPr>
          <w:kern w:val="0"/>
          <w:szCs w:val="21"/>
        </w:rPr>
      </w:pPr>
    </w:p>
    <w:p w14:paraId="55B2B4CF">
      <w:pPr>
        <w:spacing w:line="360" w:lineRule="auto"/>
        <w:ind w:firstLine="420" w:firstLineChars="200"/>
        <w:rPr>
          <w:kern w:val="0"/>
          <w:szCs w:val="21"/>
        </w:rPr>
      </w:pPr>
      <w:r>
        <w:rPr>
          <w:kern w:val="0"/>
          <w:szCs w:val="21"/>
        </w:rPr>
        <w:t>承诺方法人代表或委托人（签字或盖章）：</w:t>
      </w:r>
    </w:p>
    <w:p w14:paraId="55B2B4D0">
      <w:pPr>
        <w:spacing w:line="360" w:lineRule="auto"/>
        <w:ind w:firstLine="420" w:firstLineChars="200"/>
        <w:rPr>
          <w:kern w:val="0"/>
          <w:szCs w:val="21"/>
        </w:rPr>
      </w:pPr>
    </w:p>
    <w:p w14:paraId="55B2B4D1">
      <w:pPr>
        <w:spacing w:line="360" w:lineRule="auto"/>
        <w:ind w:firstLine="420" w:firstLineChars="200"/>
        <w:rPr>
          <w:kern w:val="0"/>
          <w:szCs w:val="21"/>
        </w:rPr>
      </w:pPr>
      <w:r>
        <w:rPr>
          <w:kern w:val="0"/>
          <w:szCs w:val="21"/>
        </w:rPr>
        <w:t>日期：      年      月    日</w:t>
      </w:r>
    </w:p>
    <w:p w14:paraId="55B2B4D2">
      <w:pPr>
        <w:spacing w:line="360" w:lineRule="auto"/>
        <w:outlineLvl w:val="2"/>
        <w:rPr>
          <w:b/>
          <w:kern w:val="0"/>
          <w:sz w:val="24"/>
        </w:rPr>
      </w:pPr>
      <w:r>
        <w:rPr>
          <w:b/>
          <w:kern w:val="0"/>
          <w:sz w:val="24"/>
        </w:rPr>
        <w:br w:type="page"/>
      </w:r>
      <w:r>
        <w:rPr>
          <w:rFonts w:hint="eastAsia"/>
          <w:b/>
          <w:kern w:val="0"/>
          <w:sz w:val="24"/>
        </w:rPr>
        <w:t>10.</w:t>
      </w:r>
      <w:r>
        <w:rPr>
          <w:b/>
          <w:kern w:val="0"/>
          <w:sz w:val="24"/>
        </w:rPr>
        <w:t>保密承诺书</w:t>
      </w:r>
      <w:bookmarkEnd w:id="405"/>
      <w:bookmarkEnd w:id="406"/>
    </w:p>
    <w:p w14:paraId="55B2B4D3">
      <w:pPr>
        <w:spacing w:line="360" w:lineRule="auto"/>
        <w:rPr>
          <w:kern w:val="0"/>
          <w:sz w:val="20"/>
          <w:szCs w:val="21"/>
        </w:rPr>
      </w:pPr>
      <w:r>
        <w:rPr>
          <w:rFonts w:hint="eastAsia"/>
          <w:kern w:val="0"/>
          <w:sz w:val="20"/>
          <w:szCs w:val="21"/>
        </w:rPr>
        <w:t>云南中慧能源有限公司</w:t>
      </w:r>
      <w:r>
        <w:rPr>
          <w:kern w:val="0"/>
          <w:sz w:val="20"/>
          <w:szCs w:val="21"/>
        </w:rPr>
        <w:t>：</w:t>
      </w:r>
    </w:p>
    <w:p w14:paraId="55B2B4D4">
      <w:pPr>
        <w:spacing w:line="360" w:lineRule="auto"/>
        <w:ind w:firstLine="420"/>
        <w:rPr>
          <w:kern w:val="0"/>
          <w:sz w:val="20"/>
          <w:szCs w:val="21"/>
        </w:rPr>
      </w:pPr>
      <w:r>
        <w:rPr>
          <w:kern w:val="0"/>
          <w:sz w:val="20"/>
          <w:szCs w:val="21"/>
        </w:rPr>
        <w:t>我方参与的</w:t>
      </w:r>
      <w:r>
        <w:rPr>
          <w:kern w:val="0"/>
          <w:sz w:val="20"/>
          <w:szCs w:val="21"/>
          <w:u w:val="single"/>
        </w:rPr>
        <w:t xml:space="preserve">                        </w:t>
      </w:r>
      <w:r>
        <w:rPr>
          <w:kern w:val="0"/>
          <w:sz w:val="20"/>
          <w:szCs w:val="21"/>
        </w:rPr>
        <w:t>（项目名称）</w:t>
      </w:r>
      <w:r>
        <w:rPr>
          <w:rFonts w:hint="eastAsia"/>
          <w:kern w:val="0"/>
          <w:sz w:val="20"/>
          <w:szCs w:val="21"/>
        </w:rPr>
        <w:t>竞争性谈判</w:t>
      </w:r>
      <w:r>
        <w:rPr>
          <w:kern w:val="0"/>
          <w:sz w:val="20"/>
          <w:szCs w:val="21"/>
        </w:rPr>
        <w:t>，根据国家有关保密规定，我方在本项目</w:t>
      </w:r>
      <w:r>
        <w:rPr>
          <w:rFonts w:hint="eastAsia"/>
          <w:kern w:val="0"/>
          <w:sz w:val="20"/>
          <w:szCs w:val="21"/>
        </w:rPr>
        <w:t>采购</w:t>
      </w:r>
      <w:r>
        <w:rPr>
          <w:kern w:val="0"/>
          <w:sz w:val="20"/>
          <w:szCs w:val="21"/>
        </w:rPr>
        <w:t>过程中严格履行如下保密承诺和责任，严防失泄密问题发生。如因我方违规或管理不善造成失泄密，由我方承担全部责任；造成严重后果的，追究我方法律责任。</w:t>
      </w:r>
    </w:p>
    <w:p w14:paraId="55B2B4D5">
      <w:pPr>
        <w:spacing w:line="360" w:lineRule="auto"/>
        <w:ind w:firstLine="420"/>
        <w:rPr>
          <w:kern w:val="0"/>
          <w:sz w:val="20"/>
          <w:szCs w:val="21"/>
        </w:rPr>
      </w:pPr>
      <w:r>
        <w:rPr>
          <w:kern w:val="0"/>
          <w:sz w:val="20"/>
          <w:szCs w:val="21"/>
        </w:rPr>
        <w:t>一、甲方交由乙方的相关资料，乙方必须妥善保管，不得复制、扫描、拍照。乙方应将甲方交由的相关资料随响应文件一并密封递交返还。</w:t>
      </w:r>
    </w:p>
    <w:p w14:paraId="55B2B4D6">
      <w:pPr>
        <w:spacing w:line="360" w:lineRule="auto"/>
        <w:ind w:firstLine="420"/>
        <w:rPr>
          <w:kern w:val="0"/>
          <w:sz w:val="20"/>
          <w:szCs w:val="21"/>
        </w:rPr>
      </w:pPr>
      <w:r>
        <w:rPr>
          <w:kern w:val="0"/>
          <w:sz w:val="20"/>
          <w:szCs w:val="21"/>
        </w:rPr>
        <w:t>二、乙方知悉的采购人涉密信息，不得以任何方式外传或泄露。</w:t>
      </w:r>
    </w:p>
    <w:p w14:paraId="55B2B4D7">
      <w:pPr>
        <w:spacing w:line="360" w:lineRule="auto"/>
        <w:ind w:firstLine="420"/>
        <w:rPr>
          <w:kern w:val="0"/>
          <w:sz w:val="20"/>
          <w:szCs w:val="21"/>
        </w:rPr>
      </w:pPr>
      <w:r>
        <w:rPr>
          <w:kern w:val="0"/>
          <w:sz w:val="20"/>
          <w:szCs w:val="21"/>
        </w:rPr>
        <w:t>三、乙方不得向外界展示项目内容，不允许以任何方式向无关人员</w:t>
      </w:r>
      <w:r>
        <w:rPr>
          <w:rFonts w:hint="eastAsia"/>
          <w:kern w:val="0"/>
          <w:sz w:val="20"/>
          <w:szCs w:val="21"/>
          <w:lang w:eastAsia="zh-CN"/>
        </w:rPr>
        <w:t>透露</w:t>
      </w:r>
      <w:r>
        <w:rPr>
          <w:kern w:val="0"/>
          <w:sz w:val="20"/>
          <w:szCs w:val="21"/>
        </w:rPr>
        <w:t>项目内容。</w:t>
      </w:r>
    </w:p>
    <w:p w14:paraId="55B2B4D8">
      <w:pPr>
        <w:spacing w:line="360" w:lineRule="auto"/>
        <w:ind w:firstLine="420"/>
        <w:rPr>
          <w:kern w:val="0"/>
          <w:sz w:val="20"/>
          <w:szCs w:val="21"/>
        </w:rPr>
      </w:pPr>
      <w:r>
        <w:rPr>
          <w:kern w:val="0"/>
          <w:sz w:val="20"/>
          <w:szCs w:val="21"/>
        </w:rPr>
        <w:t>四、乙方负责对参与项目工作人员搞好保密教育，防止失泄密问题发生。</w:t>
      </w:r>
    </w:p>
    <w:p w14:paraId="55B2B4D9">
      <w:pPr>
        <w:spacing w:line="360" w:lineRule="auto"/>
        <w:ind w:firstLine="420"/>
        <w:rPr>
          <w:kern w:val="0"/>
          <w:sz w:val="20"/>
          <w:szCs w:val="21"/>
        </w:rPr>
      </w:pPr>
      <w:r>
        <w:rPr>
          <w:kern w:val="0"/>
          <w:sz w:val="20"/>
          <w:szCs w:val="21"/>
        </w:rPr>
        <w:t>五、项目结束后，乙方全部销毁所有电子文档，收回所有图文资料，如私自保存而造成失泄密问题，由乙方负完全责任。</w:t>
      </w:r>
    </w:p>
    <w:p w14:paraId="55B2B4DA">
      <w:pPr>
        <w:spacing w:line="360" w:lineRule="auto"/>
        <w:ind w:firstLine="420"/>
        <w:rPr>
          <w:kern w:val="0"/>
          <w:sz w:val="20"/>
          <w:szCs w:val="21"/>
        </w:rPr>
      </w:pPr>
    </w:p>
    <w:p w14:paraId="55B2B4DB">
      <w:pPr>
        <w:spacing w:line="360" w:lineRule="auto"/>
        <w:ind w:firstLine="420"/>
        <w:rPr>
          <w:kern w:val="0"/>
          <w:sz w:val="20"/>
          <w:szCs w:val="21"/>
        </w:rPr>
      </w:pPr>
      <w:r>
        <w:rPr>
          <w:kern w:val="0"/>
          <w:sz w:val="20"/>
          <w:szCs w:val="21"/>
        </w:rPr>
        <w:t>此《保密承诺书》经签字盖章确认后生效。</w:t>
      </w:r>
    </w:p>
    <w:p w14:paraId="55B2B4DC">
      <w:pPr>
        <w:spacing w:line="360" w:lineRule="auto"/>
        <w:rPr>
          <w:kern w:val="0"/>
          <w:sz w:val="20"/>
          <w:szCs w:val="21"/>
        </w:rPr>
      </w:pPr>
    </w:p>
    <w:p w14:paraId="55B2B4DD">
      <w:pPr>
        <w:spacing w:line="360" w:lineRule="auto"/>
        <w:ind w:firstLine="420"/>
        <w:rPr>
          <w:kern w:val="0"/>
          <w:sz w:val="20"/>
          <w:szCs w:val="21"/>
        </w:rPr>
      </w:pPr>
    </w:p>
    <w:p w14:paraId="55B2B4DE">
      <w:pPr>
        <w:spacing w:line="360" w:lineRule="auto"/>
        <w:ind w:firstLine="420" w:firstLineChars="200"/>
        <w:rPr>
          <w:bCs/>
          <w:iCs/>
          <w:szCs w:val="21"/>
          <w:lang w:bidi="en-US"/>
        </w:rPr>
      </w:pPr>
      <w:r>
        <w:rPr>
          <w:bCs/>
          <w:iCs/>
          <w:szCs w:val="21"/>
          <w:lang w:bidi="en-US"/>
        </w:rPr>
        <w:t>谈判申请人</w:t>
      </w:r>
      <w:r>
        <w:rPr>
          <w:rFonts w:hint="eastAsia"/>
          <w:bCs/>
          <w:iCs/>
          <w:szCs w:val="21"/>
          <w:lang w:bidi="en-US"/>
        </w:rPr>
        <w:t>：（</w:t>
      </w:r>
      <w:r>
        <w:rPr>
          <w:bCs/>
          <w:iCs/>
          <w:szCs w:val="21"/>
          <w:lang w:bidi="en-US"/>
        </w:rPr>
        <w:t>盖单位公章</w:t>
      </w:r>
      <w:r>
        <w:rPr>
          <w:rFonts w:hint="eastAsia"/>
          <w:bCs/>
          <w:iCs/>
          <w:szCs w:val="21"/>
          <w:lang w:bidi="en-US"/>
        </w:rPr>
        <w:t>）</w:t>
      </w:r>
    </w:p>
    <w:p w14:paraId="55B2B4DF">
      <w:pPr>
        <w:spacing w:line="360" w:lineRule="auto"/>
        <w:ind w:firstLine="420" w:firstLineChars="200"/>
        <w:jc w:val="right"/>
        <w:rPr>
          <w:bCs/>
          <w:iCs/>
          <w:szCs w:val="21"/>
          <w:lang w:bidi="en-US"/>
        </w:rPr>
      </w:pPr>
    </w:p>
    <w:p w14:paraId="55B2B4E0">
      <w:pPr>
        <w:spacing w:line="360" w:lineRule="auto"/>
        <w:ind w:firstLine="420" w:firstLineChars="200"/>
        <w:rPr>
          <w:bCs/>
          <w:iCs/>
          <w:szCs w:val="21"/>
          <w:lang w:bidi="en-US"/>
        </w:rPr>
      </w:pPr>
      <w:r>
        <w:rPr>
          <w:rFonts w:hint="eastAsia"/>
          <w:bCs/>
          <w:iCs/>
          <w:szCs w:val="21"/>
          <w:lang w:bidi="en-US"/>
        </w:rPr>
        <w:t>法定代表人或委托代理人：（</w:t>
      </w:r>
      <w:r>
        <w:rPr>
          <w:bCs/>
          <w:iCs/>
          <w:szCs w:val="21"/>
          <w:lang w:bidi="en-US"/>
        </w:rPr>
        <w:t>签字或盖章</w:t>
      </w:r>
      <w:r>
        <w:rPr>
          <w:rFonts w:hint="eastAsia"/>
          <w:bCs/>
          <w:iCs/>
          <w:szCs w:val="21"/>
          <w:lang w:bidi="en-US"/>
        </w:rPr>
        <w:t>）</w:t>
      </w:r>
    </w:p>
    <w:p w14:paraId="55B2B4E1">
      <w:pPr>
        <w:spacing w:line="360" w:lineRule="auto"/>
        <w:ind w:firstLine="420" w:firstLineChars="200"/>
        <w:jc w:val="right"/>
        <w:rPr>
          <w:bCs/>
          <w:iCs/>
          <w:szCs w:val="21"/>
          <w:lang w:bidi="en-US"/>
        </w:rPr>
      </w:pPr>
    </w:p>
    <w:p w14:paraId="55B2B4E2">
      <w:pPr>
        <w:spacing w:line="360" w:lineRule="auto"/>
        <w:ind w:firstLine="420" w:firstLineChars="200"/>
        <w:rPr>
          <w:kern w:val="0"/>
          <w:szCs w:val="21"/>
        </w:rPr>
      </w:pPr>
      <w:r>
        <w:rPr>
          <w:bCs/>
          <w:iCs/>
          <w:kern w:val="0"/>
          <w:szCs w:val="21"/>
          <w:lang w:bidi="en-US"/>
        </w:rPr>
        <w:t>日期：   年    月    日</w:t>
      </w:r>
    </w:p>
    <w:p w14:paraId="55B2B4E3">
      <w:pPr>
        <w:spacing w:line="360" w:lineRule="auto"/>
        <w:ind w:firstLine="5300" w:firstLineChars="2650"/>
        <w:rPr>
          <w:kern w:val="0"/>
          <w:sz w:val="20"/>
          <w:szCs w:val="21"/>
        </w:rPr>
      </w:pPr>
    </w:p>
    <w:p w14:paraId="55B2B4E4">
      <w:pPr>
        <w:spacing w:line="360" w:lineRule="auto"/>
        <w:rPr>
          <w:kern w:val="0"/>
          <w:sz w:val="20"/>
          <w:szCs w:val="21"/>
        </w:rPr>
      </w:pPr>
    </w:p>
    <w:p w14:paraId="55B2B4E5">
      <w:pPr>
        <w:widowControl/>
        <w:snapToGrid w:val="0"/>
        <w:spacing w:line="360" w:lineRule="auto"/>
        <w:jc w:val="center"/>
        <w:outlineLvl w:val="1"/>
        <w:rPr>
          <w:b/>
          <w:kern w:val="0"/>
          <w:sz w:val="32"/>
          <w:szCs w:val="32"/>
        </w:rPr>
      </w:pPr>
      <w:r>
        <w:rPr>
          <w:b/>
          <w:kern w:val="0"/>
          <w:sz w:val="32"/>
          <w:szCs w:val="32"/>
        </w:rPr>
        <w:br w:type="page"/>
      </w:r>
      <w:r>
        <w:rPr>
          <w:rFonts w:hint="eastAsia"/>
          <w:b/>
          <w:kern w:val="0"/>
          <w:sz w:val="32"/>
          <w:szCs w:val="32"/>
        </w:rPr>
        <w:t>二</w:t>
      </w:r>
      <w:r>
        <w:rPr>
          <w:b/>
          <w:kern w:val="0"/>
          <w:sz w:val="32"/>
          <w:szCs w:val="32"/>
        </w:rPr>
        <w:t>、</w:t>
      </w:r>
      <w:r>
        <w:rPr>
          <w:rFonts w:hint="eastAsia"/>
          <w:b/>
          <w:kern w:val="0"/>
          <w:sz w:val="32"/>
          <w:szCs w:val="32"/>
        </w:rPr>
        <w:t>技术部分</w:t>
      </w:r>
    </w:p>
    <w:p w14:paraId="55B2B4E6">
      <w:pPr>
        <w:spacing w:line="360" w:lineRule="auto"/>
        <w:outlineLvl w:val="2"/>
        <w:rPr>
          <w:b/>
          <w:kern w:val="0"/>
          <w:sz w:val="24"/>
        </w:rPr>
      </w:pPr>
      <w:r>
        <w:rPr>
          <w:b/>
          <w:kern w:val="0"/>
          <w:sz w:val="24"/>
        </w:rPr>
        <w:t>1.技术方案、设计制造工艺</w:t>
      </w:r>
    </w:p>
    <w:p w14:paraId="55B2B4E7">
      <w:pPr>
        <w:spacing w:line="360" w:lineRule="auto"/>
        <w:ind w:firstLine="400" w:firstLineChars="200"/>
        <w:rPr>
          <w:kern w:val="0"/>
          <w:sz w:val="20"/>
          <w:szCs w:val="20"/>
        </w:rPr>
      </w:pPr>
      <w:r>
        <w:rPr>
          <w:kern w:val="0"/>
          <w:sz w:val="20"/>
          <w:szCs w:val="20"/>
        </w:rPr>
        <w:t>内容必须包含但不限于以下内容：</w:t>
      </w:r>
    </w:p>
    <w:p w14:paraId="55B2B4E8">
      <w:pPr>
        <w:numPr>
          <w:ilvl w:val="0"/>
          <w:numId w:val="9"/>
        </w:numPr>
        <w:spacing w:line="360" w:lineRule="auto"/>
        <w:ind w:left="0" w:firstLine="420" w:firstLineChars="200"/>
        <w:rPr>
          <w:szCs w:val="21"/>
        </w:rPr>
      </w:pPr>
      <w:r>
        <w:rPr>
          <w:szCs w:val="21"/>
        </w:rPr>
        <w:t>工艺方案</w:t>
      </w:r>
    </w:p>
    <w:p w14:paraId="55B2B4E9">
      <w:pPr>
        <w:numPr>
          <w:ilvl w:val="0"/>
          <w:numId w:val="9"/>
        </w:numPr>
        <w:spacing w:line="360" w:lineRule="auto"/>
        <w:ind w:left="0" w:firstLine="420" w:firstLineChars="200"/>
        <w:rPr>
          <w:szCs w:val="21"/>
        </w:rPr>
      </w:pPr>
      <w:r>
        <w:rPr>
          <w:szCs w:val="21"/>
        </w:rPr>
        <w:t>制造方案</w:t>
      </w:r>
    </w:p>
    <w:p w14:paraId="55B2B4EA">
      <w:pPr>
        <w:numPr>
          <w:ilvl w:val="0"/>
          <w:numId w:val="9"/>
        </w:numPr>
        <w:spacing w:line="360" w:lineRule="auto"/>
        <w:ind w:left="0" w:firstLine="420" w:firstLineChars="200"/>
        <w:rPr>
          <w:szCs w:val="21"/>
        </w:rPr>
      </w:pPr>
      <w:r>
        <w:rPr>
          <w:szCs w:val="21"/>
        </w:rPr>
        <w:t>运输方案（如有超限运输，则需提供）</w:t>
      </w:r>
    </w:p>
    <w:p w14:paraId="55B2B4EB">
      <w:pPr>
        <w:numPr>
          <w:ilvl w:val="0"/>
          <w:numId w:val="9"/>
        </w:numPr>
        <w:spacing w:line="360" w:lineRule="auto"/>
        <w:ind w:left="0" w:firstLine="420" w:firstLineChars="200"/>
        <w:rPr>
          <w:szCs w:val="21"/>
        </w:rPr>
      </w:pPr>
      <w:r>
        <w:rPr>
          <w:szCs w:val="21"/>
        </w:rPr>
        <w:t>技术支持资料（流程图、设备图等，谈判申请人自拟）</w:t>
      </w:r>
    </w:p>
    <w:p w14:paraId="55B2B4EC">
      <w:pPr>
        <w:numPr>
          <w:ilvl w:val="0"/>
          <w:numId w:val="9"/>
        </w:numPr>
        <w:spacing w:line="360" w:lineRule="auto"/>
        <w:ind w:left="0" w:firstLine="420" w:firstLineChars="200"/>
        <w:rPr>
          <w:szCs w:val="21"/>
        </w:rPr>
      </w:pPr>
      <w:r>
        <w:rPr>
          <w:szCs w:val="21"/>
        </w:rPr>
        <w:t>其他谈判申请人自拟资料</w:t>
      </w:r>
    </w:p>
    <w:p w14:paraId="55B2B4ED">
      <w:pPr>
        <w:spacing w:line="360" w:lineRule="auto"/>
        <w:outlineLvl w:val="2"/>
        <w:rPr>
          <w:b/>
          <w:kern w:val="0"/>
          <w:sz w:val="24"/>
        </w:rPr>
      </w:pPr>
      <w:r>
        <w:rPr>
          <w:b/>
          <w:kern w:val="0"/>
          <w:sz w:val="24"/>
        </w:rPr>
        <w:t xml:space="preserve">2. </w:t>
      </w:r>
      <w:r>
        <w:rPr>
          <w:rFonts w:hint="eastAsia"/>
          <w:b/>
          <w:kern w:val="0"/>
          <w:sz w:val="24"/>
        </w:rPr>
        <w:t>所投</w:t>
      </w:r>
      <w:r>
        <w:rPr>
          <w:b/>
          <w:kern w:val="0"/>
          <w:sz w:val="24"/>
        </w:rPr>
        <w:t>设备性能指标、设备节能及智能化的详细描述</w:t>
      </w:r>
    </w:p>
    <w:p w14:paraId="55B2B4EE">
      <w:pPr>
        <w:spacing w:after="120" w:line="360" w:lineRule="auto"/>
        <w:rPr>
          <w:bCs/>
          <w:spacing w:val="1"/>
          <w:szCs w:val="21"/>
        </w:rPr>
      </w:pPr>
      <w:r>
        <w:rPr>
          <w:rFonts w:hint="eastAsia"/>
          <w:bCs/>
          <w:spacing w:val="1"/>
          <w:szCs w:val="21"/>
        </w:rPr>
        <w:t>（</w:t>
      </w:r>
      <w:r>
        <w:rPr>
          <w:szCs w:val="21"/>
        </w:rPr>
        <w:t>谈判申请人根据供货及技术要求、相关设计数据参数表自拟，针对流量计计算方法</w:t>
      </w:r>
      <w:r>
        <w:rPr>
          <w:rFonts w:hint="eastAsia"/>
          <w:szCs w:val="21"/>
          <w:lang w:eastAsia="zh-CN"/>
        </w:rPr>
        <w:t>，就</w:t>
      </w:r>
      <w:r>
        <w:rPr>
          <w:szCs w:val="21"/>
        </w:rPr>
        <w:t>地液晶显示及操作、信号存储能力、污染物在线诊断、以太网接口远程诊断功能等方面进行详细描述</w:t>
      </w:r>
      <w:r>
        <w:rPr>
          <w:rFonts w:hint="eastAsia"/>
          <w:bCs/>
          <w:spacing w:val="1"/>
          <w:szCs w:val="21"/>
        </w:rPr>
        <w:t>）。</w:t>
      </w:r>
    </w:p>
    <w:p w14:paraId="55B2B4EF">
      <w:pPr>
        <w:spacing w:line="360" w:lineRule="auto"/>
        <w:outlineLvl w:val="2"/>
        <w:rPr>
          <w:b/>
          <w:kern w:val="0"/>
          <w:sz w:val="24"/>
        </w:rPr>
      </w:pPr>
      <w:r>
        <w:rPr>
          <w:b/>
          <w:kern w:val="0"/>
          <w:sz w:val="24"/>
        </w:rPr>
        <w:t>3.主要部件材料、结构及附件配置</w:t>
      </w:r>
      <w:r>
        <w:rPr>
          <w:rFonts w:hint="eastAsia"/>
          <w:szCs w:val="21"/>
          <w:lang w:eastAsia="zh-CN"/>
        </w:rPr>
        <w:t>（</w:t>
      </w:r>
      <w:r>
        <w:rPr>
          <w:rFonts w:hint="eastAsia"/>
          <w:szCs w:val="21"/>
          <w:lang w:val="en-US" w:eastAsia="zh-CN"/>
        </w:rPr>
        <w:t>若涉及流量计算机改造在此部分表述改造可行性及方案</w:t>
      </w:r>
      <w:r>
        <w:rPr>
          <w:rFonts w:hint="eastAsia"/>
          <w:szCs w:val="21"/>
          <w:lang w:eastAsia="zh-CN"/>
        </w:rPr>
        <w:t>）</w:t>
      </w:r>
    </w:p>
    <w:p w14:paraId="55B2B4F0">
      <w:pPr>
        <w:widowControl/>
        <w:snapToGrid w:val="0"/>
        <w:spacing w:line="480" w:lineRule="auto"/>
        <w:jc w:val="left"/>
        <w:rPr>
          <w:kern w:val="0"/>
          <w:sz w:val="20"/>
          <w:szCs w:val="20"/>
        </w:rPr>
      </w:pPr>
      <w:r>
        <w:rPr>
          <w:bCs/>
          <w:spacing w:val="1"/>
          <w:kern w:val="0"/>
          <w:szCs w:val="21"/>
        </w:rPr>
        <w:t>（</w:t>
      </w:r>
      <w:r>
        <w:rPr>
          <w:kern w:val="0"/>
          <w:szCs w:val="21"/>
        </w:rPr>
        <w:t>谈判申请人自拟</w:t>
      </w:r>
      <w:r>
        <w:rPr>
          <w:bCs/>
          <w:spacing w:val="1"/>
          <w:kern w:val="0"/>
          <w:szCs w:val="21"/>
        </w:rPr>
        <w:t>）</w:t>
      </w:r>
    </w:p>
    <w:p w14:paraId="55B2B4F1">
      <w:pPr>
        <w:spacing w:line="360" w:lineRule="auto"/>
        <w:outlineLvl w:val="2"/>
        <w:rPr>
          <w:b/>
          <w:kern w:val="0"/>
          <w:sz w:val="24"/>
        </w:rPr>
      </w:pPr>
      <w:r>
        <w:rPr>
          <w:b/>
          <w:kern w:val="0"/>
          <w:sz w:val="24"/>
        </w:rPr>
        <w:t>4. 制造进度计划和质保期服务计划</w:t>
      </w:r>
    </w:p>
    <w:p w14:paraId="55B2B4F2">
      <w:pPr>
        <w:widowControl/>
        <w:snapToGrid w:val="0"/>
        <w:spacing w:line="480" w:lineRule="auto"/>
        <w:jc w:val="left"/>
        <w:rPr>
          <w:bCs/>
          <w:spacing w:val="1"/>
          <w:kern w:val="0"/>
          <w:szCs w:val="21"/>
        </w:rPr>
      </w:pPr>
      <w:r>
        <w:rPr>
          <w:bCs/>
          <w:spacing w:val="1"/>
          <w:kern w:val="0"/>
          <w:szCs w:val="21"/>
        </w:rPr>
        <w:t>（</w:t>
      </w:r>
      <w:r>
        <w:rPr>
          <w:kern w:val="0"/>
          <w:szCs w:val="21"/>
        </w:rPr>
        <w:t>谈判申请人自拟</w:t>
      </w:r>
      <w:r>
        <w:rPr>
          <w:bCs/>
          <w:spacing w:val="1"/>
          <w:kern w:val="0"/>
          <w:szCs w:val="21"/>
        </w:rPr>
        <w:t>）</w:t>
      </w:r>
    </w:p>
    <w:p w14:paraId="55B2B4F3">
      <w:pPr>
        <w:spacing w:line="360" w:lineRule="auto"/>
        <w:outlineLvl w:val="2"/>
        <w:rPr>
          <w:b/>
          <w:kern w:val="0"/>
          <w:sz w:val="24"/>
        </w:rPr>
      </w:pPr>
      <w:r>
        <w:rPr>
          <w:b/>
          <w:kern w:val="0"/>
          <w:sz w:val="24"/>
        </w:rPr>
        <w:t>5. 质量保障措施和技术服务</w:t>
      </w:r>
    </w:p>
    <w:p w14:paraId="55B2B4F4">
      <w:pPr>
        <w:widowControl/>
        <w:snapToGrid w:val="0"/>
        <w:spacing w:line="480" w:lineRule="auto"/>
        <w:jc w:val="left"/>
        <w:rPr>
          <w:bCs/>
          <w:spacing w:val="1"/>
          <w:kern w:val="0"/>
          <w:szCs w:val="21"/>
        </w:rPr>
      </w:pPr>
      <w:r>
        <w:rPr>
          <w:bCs/>
          <w:spacing w:val="1"/>
          <w:kern w:val="0"/>
          <w:szCs w:val="21"/>
        </w:rPr>
        <w:t>（</w:t>
      </w:r>
      <w:r>
        <w:rPr>
          <w:kern w:val="0"/>
          <w:szCs w:val="21"/>
        </w:rPr>
        <w:t>谈判申请人自拟</w:t>
      </w:r>
      <w:r>
        <w:rPr>
          <w:bCs/>
          <w:spacing w:val="1"/>
          <w:kern w:val="0"/>
          <w:szCs w:val="21"/>
        </w:rPr>
        <w:t>）</w:t>
      </w:r>
    </w:p>
    <w:p w14:paraId="55B2B4F5">
      <w:pPr>
        <w:spacing w:line="360" w:lineRule="auto"/>
        <w:outlineLvl w:val="2"/>
        <w:rPr>
          <w:b/>
          <w:kern w:val="0"/>
          <w:sz w:val="24"/>
        </w:rPr>
      </w:pPr>
      <w:r>
        <w:rPr>
          <w:b/>
          <w:kern w:val="0"/>
          <w:sz w:val="24"/>
        </w:rPr>
        <w:t>6. 其他技术支持资料</w:t>
      </w:r>
    </w:p>
    <w:p w14:paraId="55B2B4F6">
      <w:pPr>
        <w:widowControl/>
        <w:snapToGrid w:val="0"/>
        <w:spacing w:line="480" w:lineRule="auto"/>
        <w:jc w:val="left"/>
        <w:rPr>
          <w:bCs/>
          <w:spacing w:val="1"/>
          <w:kern w:val="0"/>
          <w:szCs w:val="21"/>
        </w:rPr>
      </w:pPr>
      <w:r>
        <w:rPr>
          <w:bCs/>
          <w:spacing w:val="1"/>
          <w:kern w:val="0"/>
          <w:szCs w:val="21"/>
        </w:rPr>
        <w:t>（</w:t>
      </w:r>
      <w:r>
        <w:rPr>
          <w:rFonts w:hint="eastAsia"/>
          <w:kern w:val="0"/>
          <w:szCs w:val="21"/>
        </w:rPr>
        <w:t>技术文件清单及交付进度；开车及试运行提供的备品备件清单；2年正常操作所需完整的备品备件清单</w:t>
      </w:r>
      <w:r>
        <w:rPr>
          <w:kern w:val="0"/>
          <w:szCs w:val="21"/>
        </w:rPr>
        <w:t>；1</w:t>
      </w:r>
      <w:r>
        <w:rPr>
          <w:rFonts w:hint="eastAsia"/>
          <w:kern w:val="0"/>
          <w:szCs w:val="21"/>
        </w:rPr>
        <w:t>年正常操作期间的易耗品清单；</w:t>
      </w:r>
      <w:r>
        <w:rPr>
          <w:kern w:val="0"/>
          <w:szCs w:val="21"/>
        </w:rPr>
        <w:t>组装安装、安装指导、调试、售后服务措施。谈判申请人自拟</w:t>
      </w:r>
      <w:r>
        <w:rPr>
          <w:bCs/>
          <w:spacing w:val="1"/>
          <w:kern w:val="0"/>
          <w:szCs w:val="21"/>
        </w:rPr>
        <w:t>）</w:t>
      </w:r>
    </w:p>
    <w:p w14:paraId="55B2B4F7">
      <w:pPr>
        <w:spacing w:line="360" w:lineRule="auto"/>
        <w:outlineLvl w:val="2"/>
        <w:rPr>
          <w:b/>
          <w:kern w:val="0"/>
          <w:sz w:val="24"/>
        </w:rPr>
      </w:pPr>
      <w:r>
        <w:rPr>
          <w:b/>
          <w:kern w:val="0"/>
          <w:sz w:val="24"/>
        </w:rPr>
        <w:t>7. 其他谈判申请人自行补充的资</w:t>
      </w:r>
      <w:r>
        <w:rPr>
          <w:rFonts w:hint="eastAsia"/>
          <w:b/>
          <w:kern w:val="0"/>
          <w:sz w:val="24"/>
          <w:lang w:eastAsia="zh-CN"/>
        </w:rPr>
        <w:t>料和</w:t>
      </w:r>
      <w:r>
        <w:rPr>
          <w:b/>
          <w:kern w:val="0"/>
          <w:sz w:val="24"/>
        </w:rPr>
        <w:t>技术方案</w:t>
      </w:r>
    </w:p>
    <w:p w14:paraId="55B2B4F8">
      <w:pPr>
        <w:widowControl/>
        <w:snapToGrid w:val="0"/>
        <w:spacing w:line="480" w:lineRule="auto"/>
        <w:jc w:val="left"/>
        <w:rPr>
          <w:bCs/>
          <w:spacing w:val="1"/>
          <w:kern w:val="0"/>
          <w:szCs w:val="21"/>
        </w:rPr>
      </w:pPr>
      <w:r>
        <w:rPr>
          <w:bCs/>
          <w:spacing w:val="1"/>
          <w:kern w:val="0"/>
          <w:szCs w:val="21"/>
        </w:rPr>
        <w:t>（</w:t>
      </w:r>
      <w:r>
        <w:rPr>
          <w:kern w:val="0"/>
          <w:szCs w:val="21"/>
        </w:rPr>
        <w:t>谈判申请人自拟</w:t>
      </w:r>
      <w:r>
        <w:rPr>
          <w:bCs/>
          <w:spacing w:val="1"/>
          <w:kern w:val="0"/>
          <w:szCs w:val="21"/>
        </w:rPr>
        <w:t>）</w:t>
      </w:r>
    </w:p>
    <w:p w14:paraId="55B2B4F9">
      <w:pPr>
        <w:widowControl/>
        <w:jc w:val="left"/>
        <w:rPr>
          <w:kern w:val="0"/>
          <w:sz w:val="20"/>
          <w:szCs w:val="20"/>
        </w:rPr>
      </w:pPr>
      <w:r>
        <w:rPr>
          <w:b/>
          <w:kern w:val="0"/>
          <w:sz w:val="24"/>
        </w:rPr>
        <w:t>8.谈判申请人</w:t>
      </w:r>
      <w:r>
        <w:rPr>
          <w:rFonts w:hint="eastAsia"/>
          <w:b/>
          <w:kern w:val="0"/>
          <w:sz w:val="24"/>
        </w:rPr>
        <w:t>需要说明的其他问题</w:t>
      </w:r>
    </w:p>
    <w:p w14:paraId="55B2B4FA">
      <w:pPr>
        <w:spacing w:line="360" w:lineRule="auto"/>
        <w:rPr>
          <w:kern w:val="0"/>
          <w:sz w:val="20"/>
          <w:szCs w:val="20"/>
        </w:rPr>
      </w:pPr>
      <w:r>
        <w:rPr>
          <w:kern w:val="0"/>
          <w:sz w:val="20"/>
          <w:szCs w:val="20"/>
        </w:rPr>
        <w:t>（谈判申请人自拟）</w:t>
      </w:r>
    </w:p>
    <w:p w14:paraId="55B2B4FB">
      <w:pPr>
        <w:spacing w:after="120"/>
        <w:ind w:firstLine="210" w:firstLineChars="100"/>
      </w:pPr>
    </w:p>
    <w:p w14:paraId="55B2B4FC">
      <w:pPr>
        <w:widowControl/>
        <w:adjustRightInd w:val="0"/>
        <w:snapToGrid w:val="0"/>
        <w:spacing w:line="360" w:lineRule="auto"/>
        <w:ind w:firstLine="480" w:firstLineChars="200"/>
        <w:jc w:val="left"/>
        <w:rPr>
          <w:b/>
          <w:bCs/>
          <w:sz w:val="24"/>
        </w:rPr>
      </w:pPr>
    </w:p>
    <w:p w14:paraId="55B2B4FD">
      <w:pPr>
        <w:adjustRightInd w:val="0"/>
        <w:snapToGrid w:val="0"/>
        <w:spacing w:before="312" w:beforeLines="100" w:after="312" w:afterLines="100" w:line="360" w:lineRule="auto"/>
        <w:jc w:val="center"/>
        <w:outlineLvl w:val="1"/>
        <w:rPr>
          <w:b/>
          <w:sz w:val="28"/>
          <w:szCs w:val="28"/>
        </w:rPr>
      </w:pPr>
      <w:bookmarkStart w:id="407" w:name="_Toc11121"/>
      <w:bookmarkStart w:id="408" w:name="_Toc1809"/>
      <w:bookmarkStart w:id="409" w:name="_Toc535415623"/>
      <w:r>
        <w:rPr>
          <w:b/>
          <w:bCs/>
          <w:sz w:val="24"/>
        </w:rPr>
        <w:br w:type="page"/>
      </w:r>
      <w:bookmarkEnd w:id="399"/>
      <w:bookmarkEnd w:id="407"/>
      <w:bookmarkEnd w:id="408"/>
      <w:bookmarkEnd w:id="409"/>
      <w:r>
        <w:rPr>
          <w:b/>
          <w:sz w:val="28"/>
          <w:szCs w:val="28"/>
        </w:rPr>
        <w:t>报价一览表（二次）</w:t>
      </w:r>
    </w:p>
    <w:p w14:paraId="55B2B4FE">
      <w:pPr>
        <w:adjustRightInd w:val="0"/>
        <w:snapToGrid w:val="0"/>
        <w:spacing w:line="360" w:lineRule="auto"/>
        <w:rPr>
          <w:b/>
          <w:sz w:val="24"/>
        </w:rPr>
      </w:pPr>
      <w:r>
        <w:rPr>
          <w:rFonts w:hint="eastAsia"/>
          <w:b/>
          <w:sz w:val="24"/>
        </w:rPr>
        <w:t>项目名称：红河文山输气管道流量计</w:t>
      </w:r>
      <w:r>
        <w:rPr>
          <w:b/>
          <w:sz w:val="24"/>
        </w:rPr>
        <w:t>采购</w:t>
      </w:r>
    </w:p>
    <w:p w14:paraId="55B2B4FF">
      <w:pPr>
        <w:adjustRightInd w:val="0"/>
        <w:snapToGrid w:val="0"/>
        <w:spacing w:line="360" w:lineRule="auto"/>
        <w:rPr>
          <w:rFonts w:hint="eastAsia" w:eastAsia="宋体"/>
          <w:b/>
          <w:sz w:val="24"/>
          <w:lang w:eastAsia="zh-CN"/>
        </w:rPr>
      </w:pPr>
      <w:r>
        <w:rPr>
          <w:rFonts w:hint="eastAsia"/>
          <w:b/>
          <w:sz w:val="24"/>
        </w:rPr>
        <w:t>项目编号：</w:t>
      </w:r>
      <w:r>
        <w:rPr>
          <w:rFonts w:hint="eastAsia"/>
          <w:b/>
          <w:sz w:val="24"/>
          <w:lang w:eastAsia="zh-CN"/>
        </w:rPr>
        <w:t>D53A00926001350</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409"/>
        <w:gridCol w:w="3044"/>
        <w:gridCol w:w="2722"/>
      </w:tblGrid>
      <w:tr w14:paraId="55B2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tcBorders>
              <w:top w:val="single" w:color="auto" w:sz="4" w:space="0"/>
              <w:left w:val="single" w:color="auto" w:sz="4" w:space="0"/>
              <w:bottom w:val="single" w:color="auto" w:sz="4" w:space="0"/>
              <w:right w:val="single" w:color="auto" w:sz="4" w:space="0"/>
            </w:tcBorders>
            <w:vAlign w:val="center"/>
          </w:tcPr>
          <w:p w14:paraId="55B2B500">
            <w:pPr>
              <w:jc w:val="center"/>
              <w:rPr>
                <w:kern w:val="0"/>
                <w:szCs w:val="21"/>
              </w:rPr>
            </w:pPr>
            <w:r>
              <w:rPr>
                <w:kern w:val="0"/>
                <w:szCs w:val="21"/>
              </w:rPr>
              <w:t>序号</w:t>
            </w:r>
          </w:p>
        </w:tc>
        <w:tc>
          <w:tcPr>
            <w:tcW w:w="2409" w:type="dxa"/>
            <w:tcBorders>
              <w:top w:val="single" w:color="auto" w:sz="4" w:space="0"/>
              <w:left w:val="single" w:color="auto" w:sz="4" w:space="0"/>
              <w:bottom w:val="single" w:color="auto" w:sz="4" w:space="0"/>
              <w:right w:val="single" w:color="auto" w:sz="4" w:space="0"/>
            </w:tcBorders>
            <w:vAlign w:val="center"/>
          </w:tcPr>
          <w:p w14:paraId="55B2B501">
            <w:pPr>
              <w:jc w:val="center"/>
              <w:rPr>
                <w:kern w:val="0"/>
                <w:szCs w:val="21"/>
              </w:rPr>
            </w:pPr>
            <w:r>
              <w:rPr>
                <w:kern w:val="0"/>
                <w:szCs w:val="21"/>
              </w:rPr>
              <w:t>项目</w:t>
            </w:r>
          </w:p>
        </w:tc>
        <w:tc>
          <w:tcPr>
            <w:tcW w:w="5766" w:type="dxa"/>
            <w:gridSpan w:val="2"/>
            <w:tcBorders>
              <w:top w:val="single" w:color="auto" w:sz="4" w:space="0"/>
              <w:left w:val="single" w:color="auto" w:sz="4" w:space="0"/>
              <w:right w:val="single" w:color="auto" w:sz="4" w:space="0"/>
            </w:tcBorders>
            <w:vAlign w:val="center"/>
          </w:tcPr>
          <w:p w14:paraId="55B2B502">
            <w:pPr>
              <w:ind w:right="200"/>
              <w:jc w:val="center"/>
              <w:rPr>
                <w:kern w:val="0"/>
                <w:szCs w:val="21"/>
              </w:rPr>
            </w:pPr>
            <w:r>
              <w:rPr>
                <w:rFonts w:hint="eastAsia"/>
                <w:kern w:val="0"/>
                <w:szCs w:val="21"/>
              </w:rPr>
              <w:t>填报内容</w:t>
            </w:r>
          </w:p>
        </w:tc>
      </w:tr>
      <w:tr w14:paraId="55B2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vMerge w:val="restart"/>
            <w:tcBorders>
              <w:left w:val="single" w:color="auto" w:sz="4" w:space="0"/>
              <w:right w:val="single" w:color="auto" w:sz="4" w:space="0"/>
            </w:tcBorders>
            <w:vAlign w:val="center"/>
          </w:tcPr>
          <w:p w14:paraId="55B2B504">
            <w:pPr>
              <w:jc w:val="center"/>
              <w:rPr>
                <w:kern w:val="0"/>
                <w:szCs w:val="21"/>
              </w:rPr>
            </w:pPr>
            <w:r>
              <w:rPr>
                <w:kern w:val="0"/>
                <w:szCs w:val="21"/>
              </w:rPr>
              <w:t>1</w:t>
            </w:r>
          </w:p>
        </w:tc>
        <w:tc>
          <w:tcPr>
            <w:tcW w:w="2409" w:type="dxa"/>
            <w:tcBorders>
              <w:top w:val="single" w:color="auto" w:sz="4" w:space="0"/>
              <w:left w:val="single" w:color="auto" w:sz="4" w:space="0"/>
              <w:bottom w:val="single" w:color="auto" w:sz="4" w:space="0"/>
              <w:right w:val="single" w:color="auto" w:sz="4" w:space="0"/>
            </w:tcBorders>
            <w:vAlign w:val="center"/>
          </w:tcPr>
          <w:p w14:paraId="55B2B505">
            <w:pPr>
              <w:jc w:val="center"/>
              <w:rPr>
                <w:kern w:val="0"/>
                <w:szCs w:val="21"/>
              </w:rPr>
            </w:pPr>
            <w:r>
              <w:rPr>
                <w:rFonts w:hint="eastAsia"/>
                <w:kern w:val="0"/>
                <w:szCs w:val="21"/>
              </w:rPr>
              <w:t>总报价（含税）</w:t>
            </w:r>
          </w:p>
        </w:tc>
        <w:tc>
          <w:tcPr>
            <w:tcW w:w="3044" w:type="dxa"/>
            <w:tcBorders>
              <w:top w:val="single" w:color="auto" w:sz="4" w:space="0"/>
              <w:left w:val="single" w:color="auto" w:sz="4" w:space="0"/>
              <w:bottom w:val="single" w:color="auto" w:sz="4" w:space="0"/>
              <w:right w:val="single" w:color="auto" w:sz="4" w:space="0"/>
            </w:tcBorders>
            <w:vAlign w:val="center"/>
          </w:tcPr>
          <w:p w14:paraId="55B2B506">
            <w:pPr>
              <w:rPr>
                <w:kern w:val="0"/>
                <w:szCs w:val="21"/>
              </w:rPr>
            </w:pPr>
            <w:r>
              <w:rPr>
                <w:rFonts w:hint="eastAsia"/>
                <w:kern w:val="0"/>
                <w:szCs w:val="21"/>
              </w:rPr>
              <w:t>小写：</w:t>
            </w:r>
          </w:p>
        </w:tc>
        <w:tc>
          <w:tcPr>
            <w:tcW w:w="2722" w:type="dxa"/>
            <w:tcBorders>
              <w:top w:val="single" w:color="auto" w:sz="4" w:space="0"/>
              <w:left w:val="single" w:color="auto" w:sz="4" w:space="0"/>
              <w:bottom w:val="single" w:color="auto" w:sz="4" w:space="0"/>
              <w:right w:val="single" w:color="auto" w:sz="4" w:space="0"/>
            </w:tcBorders>
            <w:vAlign w:val="center"/>
          </w:tcPr>
          <w:p w14:paraId="55B2B507">
            <w:pPr>
              <w:rPr>
                <w:kern w:val="0"/>
                <w:szCs w:val="21"/>
              </w:rPr>
            </w:pPr>
            <w:r>
              <w:rPr>
                <w:rFonts w:hint="eastAsia"/>
                <w:kern w:val="0"/>
                <w:szCs w:val="21"/>
              </w:rPr>
              <w:t>大写：</w:t>
            </w:r>
          </w:p>
        </w:tc>
      </w:tr>
      <w:tr w14:paraId="55B2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vMerge w:val="continue"/>
            <w:tcBorders>
              <w:left w:val="single" w:color="auto" w:sz="4" w:space="0"/>
              <w:bottom w:val="single" w:color="auto" w:sz="4" w:space="0"/>
              <w:right w:val="single" w:color="auto" w:sz="4" w:space="0"/>
            </w:tcBorders>
            <w:vAlign w:val="center"/>
          </w:tcPr>
          <w:p w14:paraId="55B2B509">
            <w:pPr>
              <w:jc w:val="center"/>
              <w:rPr>
                <w:kern w:val="0"/>
                <w:szCs w:val="21"/>
              </w:rPr>
            </w:pPr>
          </w:p>
        </w:tc>
        <w:tc>
          <w:tcPr>
            <w:tcW w:w="2409" w:type="dxa"/>
            <w:tcBorders>
              <w:top w:val="single" w:color="auto" w:sz="4" w:space="0"/>
              <w:left w:val="single" w:color="auto" w:sz="4" w:space="0"/>
              <w:bottom w:val="single" w:color="auto" w:sz="4" w:space="0"/>
              <w:right w:val="single" w:color="auto" w:sz="4" w:space="0"/>
            </w:tcBorders>
            <w:vAlign w:val="center"/>
          </w:tcPr>
          <w:p w14:paraId="55B2B50A">
            <w:pPr>
              <w:jc w:val="center"/>
              <w:rPr>
                <w:kern w:val="0"/>
                <w:szCs w:val="21"/>
              </w:rPr>
            </w:pPr>
            <w:r>
              <w:rPr>
                <w:rFonts w:hint="eastAsia"/>
                <w:kern w:val="0"/>
                <w:szCs w:val="21"/>
              </w:rPr>
              <w:t>开具增值税专票税率</w:t>
            </w:r>
          </w:p>
        </w:tc>
        <w:tc>
          <w:tcPr>
            <w:tcW w:w="5766" w:type="dxa"/>
            <w:gridSpan w:val="2"/>
            <w:tcBorders>
              <w:top w:val="single" w:color="auto" w:sz="4" w:space="0"/>
              <w:left w:val="single" w:color="auto" w:sz="4" w:space="0"/>
              <w:bottom w:val="single" w:color="auto" w:sz="4" w:space="0"/>
              <w:right w:val="single" w:color="auto" w:sz="4" w:space="0"/>
            </w:tcBorders>
            <w:vAlign w:val="center"/>
          </w:tcPr>
          <w:p w14:paraId="55B2B50B">
            <w:pPr>
              <w:rPr>
                <w:kern w:val="0"/>
                <w:szCs w:val="21"/>
              </w:rPr>
            </w:pPr>
          </w:p>
        </w:tc>
      </w:tr>
      <w:tr w14:paraId="55B2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tcBorders>
              <w:top w:val="single" w:color="auto" w:sz="4" w:space="0"/>
              <w:left w:val="single" w:color="auto" w:sz="4" w:space="0"/>
              <w:bottom w:val="single" w:color="auto" w:sz="4" w:space="0"/>
              <w:right w:val="single" w:color="auto" w:sz="4" w:space="0"/>
            </w:tcBorders>
            <w:vAlign w:val="center"/>
          </w:tcPr>
          <w:p w14:paraId="55B2B50D">
            <w:pPr>
              <w:jc w:val="center"/>
              <w:rPr>
                <w:kern w:val="0"/>
                <w:szCs w:val="21"/>
              </w:rPr>
            </w:pPr>
            <w:r>
              <w:rPr>
                <w:kern w:val="0"/>
                <w:szCs w:val="21"/>
              </w:rPr>
              <w:t>2</w:t>
            </w:r>
          </w:p>
        </w:tc>
        <w:tc>
          <w:tcPr>
            <w:tcW w:w="2409" w:type="dxa"/>
            <w:tcBorders>
              <w:top w:val="single" w:color="auto" w:sz="4" w:space="0"/>
              <w:left w:val="single" w:color="auto" w:sz="4" w:space="0"/>
              <w:bottom w:val="single" w:color="auto" w:sz="4" w:space="0"/>
              <w:right w:val="single" w:color="auto" w:sz="4" w:space="0"/>
            </w:tcBorders>
            <w:vAlign w:val="center"/>
          </w:tcPr>
          <w:p w14:paraId="55B2B50E">
            <w:pPr>
              <w:jc w:val="center"/>
              <w:rPr>
                <w:kern w:val="0"/>
                <w:szCs w:val="21"/>
              </w:rPr>
            </w:pPr>
            <w:r>
              <w:rPr>
                <w:kern w:val="0"/>
                <w:szCs w:val="21"/>
              </w:rPr>
              <w:t>交货周期</w:t>
            </w:r>
          </w:p>
        </w:tc>
        <w:tc>
          <w:tcPr>
            <w:tcW w:w="5766" w:type="dxa"/>
            <w:gridSpan w:val="2"/>
            <w:tcBorders>
              <w:top w:val="single" w:color="auto" w:sz="4" w:space="0"/>
              <w:left w:val="single" w:color="auto" w:sz="4" w:space="0"/>
              <w:bottom w:val="single" w:color="auto" w:sz="4" w:space="0"/>
              <w:right w:val="single" w:color="auto" w:sz="4" w:space="0"/>
            </w:tcBorders>
            <w:vAlign w:val="center"/>
          </w:tcPr>
          <w:p w14:paraId="55B2B50F">
            <w:pPr>
              <w:jc w:val="center"/>
              <w:rPr>
                <w:kern w:val="0"/>
                <w:szCs w:val="21"/>
              </w:rPr>
            </w:pPr>
            <w:r>
              <w:rPr>
                <w:rFonts w:hint="eastAsia"/>
                <w:kern w:val="0"/>
                <w:szCs w:val="21"/>
              </w:rPr>
              <w:t>合同签订生效之日起</w:t>
            </w:r>
            <w:r>
              <w:rPr>
                <w:rFonts w:hint="eastAsia"/>
                <w:kern w:val="0"/>
                <w:szCs w:val="21"/>
                <w:u w:val="single"/>
              </w:rPr>
              <w:t xml:space="preserve">    </w:t>
            </w:r>
            <w:r>
              <w:rPr>
                <w:rFonts w:hint="eastAsia"/>
                <w:kern w:val="0"/>
                <w:szCs w:val="21"/>
              </w:rPr>
              <w:t>日内设备具备交货条件</w:t>
            </w:r>
          </w:p>
        </w:tc>
      </w:tr>
      <w:tr w14:paraId="55B2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58" w:type="dxa"/>
            <w:tcBorders>
              <w:top w:val="single" w:color="auto" w:sz="4" w:space="0"/>
              <w:left w:val="single" w:color="auto" w:sz="4" w:space="0"/>
              <w:bottom w:val="single" w:color="auto" w:sz="4" w:space="0"/>
              <w:right w:val="single" w:color="auto" w:sz="4" w:space="0"/>
            </w:tcBorders>
            <w:vAlign w:val="center"/>
          </w:tcPr>
          <w:p w14:paraId="55B2B511">
            <w:pPr>
              <w:jc w:val="center"/>
              <w:rPr>
                <w:kern w:val="0"/>
                <w:szCs w:val="21"/>
              </w:rPr>
            </w:pPr>
            <w:r>
              <w:rPr>
                <w:kern w:val="0"/>
                <w:szCs w:val="21"/>
              </w:rPr>
              <w:t>3</w:t>
            </w:r>
          </w:p>
        </w:tc>
        <w:tc>
          <w:tcPr>
            <w:tcW w:w="2409" w:type="dxa"/>
            <w:tcBorders>
              <w:top w:val="single" w:color="auto" w:sz="4" w:space="0"/>
              <w:left w:val="single" w:color="auto" w:sz="4" w:space="0"/>
              <w:bottom w:val="single" w:color="auto" w:sz="4" w:space="0"/>
              <w:right w:val="single" w:color="auto" w:sz="4" w:space="0"/>
            </w:tcBorders>
            <w:vAlign w:val="center"/>
          </w:tcPr>
          <w:p w14:paraId="55B2B512">
            <w:pPr>
              <w:jc w:val="center"/>
              <w:rPr>
                <w:kern w:val="0"/>
                <w:szCs w:val="21"/>
              </w:rPr>
            </w:pPr>
            <w:r>
              <w:rPr>
                <w:kern w:val="0"/>
                <w:szCs w:val="21"/>
              </w:rPr>
              <w:t>交货地点</w:t>
            </w:r>
          </w:p>
        </w:tc>
        <w:tc>
          <w:tcPr>
            <w:tcW w:w="5766" w:type="dxa"/>
            <w:gridSpan w:val="2"/>
            <w:tcBorders>
              <w:top w:val="single" w:color="auto" w:sz="4" w:space="0"/>
              <w:left w:val="single" w:color="auto" w:sz="4" w:space="0"/>
              <w:bottom w:val="single" w:color="auto" w:sz="4" w:space="0"/>
              <w:right w:val="single" w:color="auto" w:sz="4" w:space="0"/>
            </w:tcBorders>
            <w:vAlign w:val="center"/>
          </w:tcPr>
          <w:p w14:paraId="55B2B513">
            <w:pPr>
              <w:jc w:val="center"/>
              <w:rPr>
                <w:kern w:val="0"/>
                <w:szCs w:val="21"/>
              </w:rPr>
            </w:pPr>
          </w:p>
        </w:tc>
      </w:tr>
    </w:tbl>
    <w:p w14:paraId="55B2B515">
      <w:pPr>
        <w:widowControl/>
        <w:jc w:val="left"/>
        <w:rPr>
          <w:b/>
          <w:bCs/>
          <w:sz w:val="24"/>
        </w:rPr>
      </w:pPr>
    </w:p>
    <w:p w14:paraId="55B2B516">
      <w:pPr>
        <w:spacing w:line="360" w:lineRule="auto"/>
        <w:rPr>
          <w:b/>
          <w:bCs/>
        </w:rPr>
      </w:pPr>
      <w:r>
        <w:rPr>
          <w:b/>
          <w:bCs/>
        </w:rPr>
        <w:t>注</w:t>
      </w:r>
      <w:r>
        <w:rPr>
          <w:rFonts w:hint="eastAsia"/>
          <w:b/>
          <w:bCs/>
          <w:lang w:eastAsia="zh-CN"/>
        </w:rPr>
        <w:t>：</w:t>
      </w:r>
      <w:r>
        <w:rPr>
          <w:b/>
          <w:bCs/>
        </w:rPr>
        <w:t>1、二次报价可先加盖“谈判申请人（公章）”单独带到现场进行二次报价，可不装订在响应文件中。</w:t>
      </w:r>
    </w:p>
    <w:p w14:paraId="55B2B517">
      <w:pPr>
        <w:pStyle w:val="9"/>
        <w:numPr>
          <w:ilvl w:val="0"/>
          <w:numId w:val="10"/>
        </w:numPr>
        <w:rPr>
          <w:b/>
          <w:bCs/>
        </w:rPr>
      </w:pPr>
      <w:r>
        <w:rPr>
          <w:b/>
          <w:bCs/>
        </w:rPr>
        <w:t>此表后附分项报价表（格式6.2、6.3）。</w:t>
      </w:r>
    </w:p>
    <w:p w14:paraId="55B2B518"/>
    <w:p w14:paraId="55B2B519">
      <w:pPr>
        <w:adjustRightInd w:val="0"/>
        <w:snapToGrid w:val="0"/>
        <w:jc w:val="left"/>
      </w:pPr>
      <w:r>
        <w:t>谈判申请人</w:t>
      </w:r>
      <w:r>
        <w:rPr>
          <w:rFonts w:hint="eastAsia"/>
        </w:rPr>
        <w:t>（盖单位公章）：</w:t>
      </w:r>
    </w:p>
    <w:p w14:paraId="55B2B51A">
      <w:pPr>
        <w:adjustRightInd w:val="0"/>
        <w:snapToGrid w:val="0"/>
        <w:jc w:val="left"/>
      </w:pPr>
    </w:p>
    <w:p w14:paraId="55B2B51B">
      <w:pPr>
        <w:adjustRightInd w:val="0"/>
        <w:snapToGrid w:val="0"/>
        <w:jc w:val="left"/>
      </w:pPr>
    </w:p>
    <w:p w14:paraId="55B2B51C">
      <w:pPr>
        <w:adjustRightInd w:val="0"/>
        <w:snapToGrid w:val="0"/>
        <w:jc w:val="left"/>
      </w:pPr>
      <w:r>
        <w:rPr>
          <w:rFonts w:hint="eastAsia"/>
        </w:rPr>
        <w:t>法定代表人或其委托代理人（签字或盖章）：</w:t>
      </w:r>
    </w:p>
    <w:p w14:paraId="55B2B51D">
      <w:pPr>
        <w:adjustRightInd w:val="0"/>
        <w:snapToGrid w:val="0"/>
        <w:jc w:val="left"/>
      </w:pPr>
    </w:p>
    <w:p w14:paraId="55B2B51E">
      <w:pPr>
        <w:adjustRightInd w:val="0"/>
        <w:snapToGrid w:val="0"/>
        <w:jc w:val="left"/>
      </w:pPr>
    </w:p>
    <w:p w14:paraId="55B2B51F">
      <w:pPr>
        <w:adjustRightInd w:val="0"/>
        <w:snapToGrid w:val="0"/>
        <w:jc w:val="left"/>
      </w:pPr>
    </w:p>
    <w:p w14:paraId="55B2B520">
      <w:pPr>
        <w:wordWrap w:val="0"/>
        <w:spacing w:line="360" w:lineRule="auto"/>
        <w:rPr>
          <w:bCs/>
          <w:iCs/>
          <w:szCs w:val="21"/>
          <w:lang w:bidi="en-US"/>
        </w:rPr>
      </w:pPr>
      <w:r>
        <w:rPr>
          <w:rFonts w:hint="eastAsia"/>
        </w:rPr>
        <w:t>日期：</w:t>
      </w:r>
      <w:r>
        <w:t xml:space="preserve"> </w:t>
      </w:r>
      <w:r>
        <w:rPr>
          <w:rFonts w:hint="eastAsia"/>
        </w:rPr>
        <w:t>年</w:t>
      </w:r>
      <w:r>
        <w:t xml:space="preserve"> </w:t>
      </w:r>
      <w:r>
        <w:rPr>
          <w:rFonts w:hint="eastAsia"/>
        </w:rPr>
        <w:t xml:space="preserve"> 月  日</w:t>
      </w:r>
    </w:p>
    <w:p w14:paraId="55B2B521">
      <w:pPr>
        <w:pStyle w:val="9"/>
      </w:pPr>
    </w:p>
    <w:p w14:paraId="55B2B522"/>
    <w:sectPr>
      <w:pgSz w:w="11906" w:h="16838"/>
      <w:pgMar w:top="936" w:right="1134" w:bottom="1089" w:left="1134" w:header="510" w:footer="680"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embedRegular r:id="rId1" w:fontKey="{75376A28-D827-4EB4-B67B-7B405980A03B}"/>
  </w:font>
  <w:font w:name="宋体">
    <w:panose1 w:val="02010600030101010101"/>
    <w:charset w:val="80"/>
    <w:family w:val="auto"/>
    <w:pitch w:val="default"/>
    <w:sig w:usb0="00000203" w:usb1="288F0000" w:usb2="00000006" w:usb3="00000000" w:csb0="00040001" w:csb1="00000000"/>
    <w:embedRegular r:id="rId2" w:fontKey="{B66B8BC1-07A1-40BA-A123-EE383F47A8F5}"/>
  </w:font>
  <w:font w:name="Wingdings">
    <w:panose1 w:val="05000000000000000000"/>
    <w:charset w:val="02"/>
    <w:family w:val="auto"/>
    <w:pitch w:val="default"/>
    <w:sig w:usb0="00000000" w:usb1="00000000" w:usb2="00000000" w:usb3="00000000" w:csb0="80000000" w:csb1="00000000"/>
    <w:embedRegular r:id="rId3" w:fontKey="{D84762DA-54B4-4A4F-A672-94B5B768205F}"/>
  </w:font>
  <w:font w:name="Arial">
    <w:panose1 w:val="020B0604020202020204"/>
    <w:charset w:val="01"/>
    <w:family w:val="swiss"/>
    <w:pitch w:val="default"/>
    <w:sig w:usb0="E0002EFF" w:usb1="C000785B" w:usb2="00000009" w:usb3="00000000" w:csb0="400001FF" w:csb1="FFFF0000"/>
    <w:embedRegular r:id="rId4" w:fontKey="{A81716FD-C6E2-4279-8F61-B6EF94ACA303}"/>
  </w:font>
  <w:font w:name="黑体">
    <w:panose1 w:val="02010600030101010101"/>
    <w:charset w:val="86"/>
    <w:family w:val="auto"/>
    <w:pitch w:val="default"/>
    <w:sig w:usb0="800002BF" w:usb1="38CF7CFA" w:usb2="00000016" w:usb3="00000000" w:csb0="00040001" w:csb1="00000000"/>
    <w:embedRegular r:id="rId5" w:fontKey="{56F06D5F-DE2E-4BB5-AE5B-E0D58E162EDD}"/>
  </w:font>
  <w:font w:name="Courier New">
    <w:panose1 w:val="02070309020205020404"/>
    <w:charset w:val="01"/>
    <w:family w:val="modern"/>
    <w:pitch w:val="default"/>
    <w:sig w:usb0="E0002EFF" w:usb1="C0007843" w:usb2="00000009" w:usb3="00000000" w:csb0="400001FF" w:csb1="FFFF0000"/>
    <w:embedRegular r:id="rId6" w:fontKey="{74620BFF-7FF1-444E-84DB-7104A03B05C3}"/>
  </w:font>
  <w:font w:name="Symbol">
    <w:panose1 w:val="05050102010706020507"/>
    <w:charset w:val="02"/>
    <w:family w:val="roman"/>
    <w:pitch w:val="default"/>
    <w:sig w:usb0="00000000" w:usb1="00000000" w:usb2="00000000" w:usb3="00000000" w:csb0="80000000" w:csb1="00000000"/>
    <w:embedRegular r:id="rId7" w:fontKey="{7772FCBD-B389-48D1-A131-70D6C3DE8438}"/>
  </w:font>
  <w:font w:name="Calibri">
    <w:panose1 w:val="020F0502020204030204"/>
    <w:charset w:val="00"/>
    <w:family w:val="swiss"/>
    <w:pitch w:val="default"/>
    <w:sig w:usb0="E4002EFF" w:usb1="C200247B" w:usb2="00000009" w:usb3="00000000" w:csb0="200001FF" w:csb1="00000000"/>
    <w:embedRegular r:id="rId8" w:fontKey="{3B3A707B-6FB5-444A-81CE-979F5D4CF8A8}"/>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embedRegular r:id="rId9" w:fontKey="{441461F9-E4C8-4DAA-87CC-B43D736B5C3C}"/>
  </w:font>
  <w:font w:name="方正黑体_GBK">
    <w:panose1 w:val="0201060001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仿宋_GB2312">
    <w:panose1 w:val="02010609030101010101"/>
    <w:charset w:val="86"/>
    <w:family w:val="modern"/>
    <w:pitch w:val="default"/>
    <w:sig w:usb0="00000001" w:usb1="080E0000" w:usb2="00000000" w:usb3="00000000" w:csb0="00040000" w:csb1="00000000"/>
    <w:embedRegular r:id="rId10" w:fontKey="{36FFEA55-45B1-4677-8226-3C849207589C}"/>
  </w:font>
  <w:font w:name="MS Sans Serif">
    <w:altName w:val="Arial"/>
    <w:panose1 w:val="00000000000000000000"/>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B529">
    <w:pPr>
      <w:pStyle w:val="13"/>
    </w:pPr>
  </w:p>
  <w:p w14:paraId="55B2B52A">
    <w:pPr>
      <w:pStyle w:val="13"/>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B527">
    <w:pPr>
      <w:pStyle w:val="13"/>
      <w:jc w:val="center"/>
    </w:pPr>
    <w:r>
      <w:fldChar w:fldCharType="begin"/>
    </w:r>
    <w:r>
      <w:instrText xml:space="preserve">PAGE   \* MERGEFORMAT</w:instrText>
    </w:r>
    <w:r>
      <w:fldChar w:fldCharType="separate"/>
    </w:r>
    <w:r>
      <w:rPr>
        <w:lang w:val="zh-CN"/>
      </w:rPr>
      <w:t>2</w:t>
    </w:r>
    <w:r>
      <w:fldChar w:fldCharType="end"/>
    </w:r>
  </w:p>
  <w:p w14:paraId="55B2B528">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26B56">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B52D">
    <w:pPr>
      <w:pStyle w:val="13"/>
      <w:ind w:right="360"/>
      <w:rPr>
        <w:sz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B2B53C">
                          <w:pPr>
                            <w:pStyle w:val="13"/>
                          </w:pPr>
                          <w:r>
                            <w:fldChar w:fldCharType="begin"/>
                          </w:r>
                          <w:r>
                            <w:instrText xml:space="preserve"> PAGE  \* MERGEFORMAT </w:instrText>
                          </w:r>
                          <w:r>
                            <w:fldChar w:fldCharType="separate"/>
                          </w:r>
                          <w:r>
                            <w:t>128</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dbuZMIBAACNAwAADgAAAGRycy9lMm9Eb2MueG1srVPNjtMwEL4j8Q6W&#10;79TZI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LeUOG5x4OefP86//px/fye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F3W7mTCAQAAjQMAAA4AAAAAAAAAAQAgAAAAHgEAAGRycy9lMm9Eb2MueG1sUEsF&#10;BgAAAAAGAAYAWQEAAFIFAAAAAA==&#10;">
              <v:fill on="f" focussize="0,0"/>
              <v:stroke on="f"/>
              <v:imagedata o:title=""/>
              <o:lock v:ext="edit" aspectratio="f"/>
              <v:textbox inset="0mm,0mm,0mm,0mm" style="mso-fit-shape-to-text:t;">
                <w:txbxContent>
                  <w:p w14:paraId="55B2B53C">
                    <w:pPr>
                      <w:pStyle w:val="13"/>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B52E">
    <w:pPr>
      <w:pStyle w:val="1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B2B53B">
                          <w:pPr>
                            <w:pStyle w:val="13"/>
                          </w:pPr>
                          <w:r>
                            <w:fldChar w:fldCharType="begin"/>
                          </w:r>
                          <w:r>
                            <w:instrText xml:space="preserve"> PAGE  \* MERGEFORMAT </w:instrText>
                          </w:r>
                          <w:r>
                            <w:fldChar w:fldCharType="separate"/>
                          </w:r>
                          <w:r>
                            <w:t>127</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JW7X8IBAACN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1DieMWB37++eP86/H88J0s&#10;szx9gBqz7gLmpeG9H3BpZj+gM7MeVLT5i3wIxlHc00VcOSQi8qPVcrWqMCQwNl8Qnz09DxHSB+kt&#10;yUZDI06viMqPnyCNqXNKrub8rTamTNC4vxyImT0s9z72mK007IaJ0M63J+TT4+Ab6nDPKTEfHeqa&#10;d2Q24mzsJiPXgPDukLBw6SejjlBTMZxSYTRtVF6DP+8l6+kv2v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CVu1/CAQAAjQMAAA4AAAAAAAAAAQAgAAAAHgEAAGRycy9lMm9Eb2MueG1sUEsF&#10;BgAAAAAGAAYAWQEAAFIFAAAAAA==&#10;">
              <v:fill on="f" focussize="0,0"/>
              <v:stroke on="f"/>
              <v:imagedata o:title=""/>
              <o:lock v:ext="edit" aspectratio="f"/>
              <v:textbox inset="0mm,0mm,0mm,0mm" style="mso-fit-shape-to-text:t;">
                <w:txbxContent>
                  <w:p w14:paraId="55B2B53B">
                    <w:pPr>
                      <w:pStyle w:val="13"/>
                    </w:pPr>
                    <w:r>
                      <w:fldChar w:fldCharType="begin"/>
                    </w:r>
                    <w:r>
                      <w:instrText xml:space="preserve"> PAGE  \* MERGEFORMAT </w:instrText>
                    </w:r>
                    <w:r>
                      <w:fldChar w:fldCharType="separate"/>
                    </w:r>
                    <w:r>
                      <w:t>127</w:t>
                    </w:r>
                    <w:r>
                      <w:fldChar w:fldCharType="end"/>
                    </w:r>
                  </w:p>
                </w:txbxContent>
              </v:textbox>
            </v:shape>
          </w:pict>
        </mc:Fallback>
      </mc:AlternateContent>
    </w:r>
  </w:p>
  <w:p w14:paraId="55B2B52F">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B530">
    <w:pPr>
      <w:pStyle w:val="13"/>
      <w:ind w:right="360"/>
      <w:rPr>
        <w:sz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B2B53E">
                          <w:pPr>
                            <w:pStyle w:val="13"/>
                          </w:pPr>
                          <w:r>
                            <w:fldChar w:fldCharType="begin"/>
                          </w:r>
                          <w:r>
                            <w:instrText xml:space="preserve"> PAGE  \* MERGEFORMAT </w:instrText>
                          </w:r>
                          <w:r>
                            <w:fldChar w:fldCharType="separate"/>
                          </w:r>
                          <w:r>
                            <w:t>128</w:t>
                          </w:r>
                          <w: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XEB/cEBAACO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VhS4rjFiV++f7v8+HX5+ZW8&#10;zvr0AWpMewiYmIY7P2Du7Ad0ZtqDijZ/kRDBOKp7vqorh0REfrRerdcVhgTG5gvis8fnIUJ6K70l&#10;2WhoxPEVVfnpPaQxdU7J1Zy/18aUERr3lwMxs4fl3sces5WG/TAR2vv2jHx6nHxDHS46JeadQ2Hz&#10;ksxGnI39ZOQaEG6PCQuXfjLqCDUVwzEVRtNK5T34816yHn+j7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RXEB/cEBAACOAwAADgAAAAAAAAABACAAAAAeAQAAZHJzL2Uyb0RvYy54bWxQSwUG&#10;AAAAAAYABgBZAQAAUQUAAAAA&#10;">
              <v:fill on="f" focussize="0,0"/>
              <v:stroke on="f"/>
              <v:imagedata o:title=""/>
              <o:lock v:ext="edit" aspectratio="f"/>
              <v:textbox inset="0mm,0mm,0mm,0mm" style="mso-fit-shape-to-text:t;">
                <w:txbxContent>
                  <w:p w14:paraId="55B2B53E">
                    <w:pPr>
                      <w:pStyle w:val="13"/>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B531">
    <w:pPr>
      <w:pStyle w:val="1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B2B53D">
                          <w:pPr>
                            <w:pStyle w:val="13"/>
                          </w:pPr>
                          <w:r>
                            <w:fldChar w:fldCharType="begin"/>
                          </w:r>
                          <w:r>
                            <w:instrText xml:space="preserve"> PAGE  \* MERGEFORMAT </w:instrText>
                          </w:r>
                          <w:r>
                            <w:fldChar w:fldCharType="separate"/>
                          </w:r>
                          <w:r>
                            <w:t>127</w:t>
                          </w:r>
                          <w: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xExMIBAACNAwAADgAAAGRycy9lMm9Eb2MueG1srVPNjtMwEL4j8Q6W&#10;79TZC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LeUOG5x4OefP86//px/fye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P4cRMTCAQAAjQMAAA4AAAAAAAAAAQAgAAAAHgEAAGRycy9lMm9Eb2MueG1sUEsF&#10;BgAAAAAGAAYAWQEAAFIFAAAAAA==&#10;">
              <v:fill on="f" focussize="0,0"/>
              <v:stroke on="f"/>
              <v:imagedata o:title=""/>
              <o:lock v:ext="edit" aspectratio="f"/>
              <v:textbox inset="0mm,0mm,0mm,0mm" style="mso-fit-shape-to-text:t;">
                <w:txbxContent>
                  <w:p w14:paraId="55B2B53D">
                    <w:pPr>
                      <w:pStyle w:val="13"/>
                    </w:pPr>
                    <w:r>
                      <w:fldChar w:fldCharType="begin"/>
                    </w:r>
                    <w:r>
                      <w:instrText xml:space="preserve"> PAGE  \* MERGEFORMAT </w:instrText>
                    </w:r>
                    <w:r>
                      <w:fldChar w:fldCharType="separate"/>
                    </w:r>
                    <w:r>
                      <w:t>127</w:t>
                    </w:r>
                    <w:r>
                      <w:fldChar w:fldCharType="end"/>
                    </w:r>
                  </w:p>
                </w:txbxContent>
              </v:textbox>
            </v:shape>
          </w:pict>
        </mc:Fallback>
      </mc:AlternateContent>
    </w:r>
  </w:p>
  <w:p w14:paraId="55B2B532">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B526">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B525">
    <w:pPr>
      <w:pStyle w:val="14"/>
    </w:pPr>
    <w:r>
      <w:rPr>
        <w:rFonts w:hint="eastAsia"/>
        <w:lang w:val="zh-CN"/>
      </w:rPr>
      <w:t>[键入文字]</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B52B">
    <w:pPr>
      <w:pStyle w:val="1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B52C">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FC314A"/>
    <w:multiLevelType w:val="singleLevel"/>
    <w:tmpl w:val="A5FC314A"/>
    <w:lvl w:ilvl="0" w:tentative="0">
      <w:start w:val="1"/>
      <w:numFmt w:val="decimal"/>
      <w:lvlText w:val="%1."/>
      <w:lvlJc w:val="left"/>
      <w:pPr>
        <w:tabs>
          <w:tab w:val="left" w:pos="312"/>
        </w:tabs>
      </w:pPr>
    </w:lvl>
  </w:abstractNum>
  <w:abstractNum w:abstractNumId="1">
    <w:nsid w:val="D9D82EE9"/>
    <w:multiLevelType w:val="singleLevel"/>
    <w:tmpl w:val="D9D82EE9"/>
    <w:lvl w:ilvl="0" w:tentative="0">
      <w:start w:val="2"/>
      <w:numFmt w:val="decimal"/>
      <w:suff w:val="nothing"/>
      <w:lvlText w:val="%1、"/>
      <w:lvlJc w:val="left"/>
    </w:lvl>
  </w:abstractNum>
  <w:abstractNum w:abstractNumId="2">
    <w:nsid w:val="F0884734"/>
    <w:multiLevelType w:val="singleLevel"/>
    <w:tmpl w:val="F0884734"/>
    <w:lvl w:ilvl="0" w:tentative="0">
      <w:start w:val="2"/>
      <w:numFmt w:val="decimal"/>
      <w:suff w:val="nothing"/>
      <w:lvlText w:val="%1．"/>
      <w:lvlJc w:val="left"/>
    </w:lvl>
  </w:abstractNum>
  <w:abstractNum w:abstractNumId="3">
    <w:nsid w:val="1BB0652B"/>
    <w:multiLevelType w:val="multilevel"/>
    <w:tmpl w:val="1BB0652B"/>
    <w:lvl w:ilvl="0" w:tentative="0">
      <w:start w:val="1"/>
      <w:numFmt w:val="decimal"/>
      <w:suff w:val="space"/>
      <w:lvlText w:val="(%1)"/>
      <w:lvlJc w:val="left"/>
      <w:pPr>
        <w:ind w:left="840" w:hanging="420"/>
      </w:pPr>
      <w:rPr>
        <w:rFonts w:hint="default" w:ascii="Times New Roman" w:hAnsi="Times New Roman"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1E585321"/>
    <w:multiLevelType w:val="multilevel"/>
    <w:tmpl w:val="1E585321"/>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0EB520E"/>
    <w:multiLevelType w:val="multilevel"/>
    <w:tmpl w:val="30EB520E"/>
    <w:lvl w:ilvl="0" w:tentative="0">
      <w:start w:val="1"/>
      <w:numFmt w:val="decimal"/>
      <w:suff w:val="nothing"/>
      <w:lvlText w:val="%1."/>
      <w:lvlJc w:val="left"/>
      <w:pPr>
        <w:ind w:left="482" w:firstLine="0"/>
      </w:pPr>
      <w:rPr>
        <w:rFonts w:hint="eastAsia"/>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42917250"/>
    <w:multiLevelType w:val="multilevel"/>
    <w:tmpl w:val="42917250"/>
    <w:lvl w:ilvl="0" w:tentative="0">
      <w:start w:val="1"/>
      <w:numFmt w:val="decimal"/>
      <w:suff w:val="space"/>
      <w:lvlText w:val="(%1)"/>
      <w:lvlJc w:val="left"/>
      <w:pPr>
        <w:ind w:left="360" w:hanging="36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98D5CA8"/>
    <w:multiLevelType w:val="multilevel"/>
    <w:tmpl w:val="498D5CA8"/>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4CAE715B"/>
    <w:multiLevelType w:val="multilevel"/>
    <w:tmpl w:val="4CAE715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C030523"/>
    <w:multiLevelType w:val="multilevel"/>
    <w:tmpl w:val="6C030523"/>
    <w:lvl w:ilvl="0" w:tentative="0">
      <w:start w:val="1"/>
      <w:numFmt w:val="decimal"/>
      <w:suff w:val="space"/>
      <w:lvlText w:val="(%1)"/>
      <w:lvlJc w:val="left"/>
      <w:pPr>
        <w:ind w:left="840" w:hanging="420"/>
      </w:pPr>
      <w:rPr>
        <w:rFonts w:hint="default" w:ascii="Times New Roman" w:hAnsi="Times New Roman"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5"/>
  </w:num>
  <w:num w:numId="2">
    <w:abstractNumId w:val="8"/>
  </w:num>
  <w:num w:numId="3">
    <w:abstractNumId w:val="2"/>
  </w:num>
  <w:num w:numId="4">
    <w:abstractNumId w:val="3"/>
  </w:num>
  <w:num w:numId="5">
    <w:abstractNumId w:val="9"/>
  </w:num>
  <w:num w:numId="6">
    <w:abstractNumId w:val="7"/>
  </w:num>
  <w:num w:numId="7">
    <w:abstractNumId w:val="0"/>
  </w:num>
  <w:num w:numId="8">
    <w:abstractNumId w:val="4"/>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BE4D8B"/>
    <w:rsid w:val="00002D41"/>
    <w:rsid w:val="00030B67"/>
    <w:rsid w:val="00041A05"/>
    <w:rsid w:val="0005606F"/>
    <w:rsid w:val="00063215"/>
    <w:rsid w:val="00082FFF"/>
    <w:rsid w:val="000B000D"/>
    <w:rsid w:val="000C4BD8"/>
    <w:rsid w:val="000C7B8B"/>
    <w:rsid w:val="00121E53"/>
    <w:rsid w:val="00122255"/>
    <w:rsid w:val="00156A45"/>
    <w:rsid w:val="00174CAF"/>
    <w:rsid w:val="001820A0"/>
    <w:rsid w:val="00191569"/>
    <w:rsid w:val="001A5A26"/>
    <w:rsid w:val="001B209A"/>
    <w:rsid w:val="001C0C3B"/>
    <w:rsid w:val="001C0DFC"/>
    <w:rsid w:val="001E09D4"/>
    <w:rsid w:val="001E450D"/>
    <w:rsid w:val="001E6113"/>
    <w:rsid w:val="00202C16"/>
    <w:rsid w:val="00204178"/>
    <w:rsid w:val="00210AC9"/>
    <w:rsid w:val="00232F0C"/>
    <w:rsid w:val="00242550"/>
    <w:rsid w:val="002426E7"/>
    <w:rsid w:val="00257D1D"/>
    <w:rsid w:val="00262862"/>
    <w:rsid w:val="002815FA"/>
    <w:rsid w:val="0028174D"/>
    <w:rsid w:val="00291588"/>
    <w:rsid w:val="00292A74"/>
    <w:rsid w:val="002D2915"/>
    <w:rsid w:val="002D4487"/>
    <w:rsid w:val="002F24E3"/>
    <w:rsid w:val="002F7AC3"/>
    <w:rsid w:val="00316CD4"/>
    <w:rsid w:val="003456BC"/>
    <w:rsid w:val="00357C50"/>
    <w:rsid w:val="00360BFA"/>
    <w:rsid w:val="00361A7F"/>
    <w:rsid w:val="00365F63"/>
    <w:rsid w:val="0036702D"/>
    <w:rsid w:val="00376A5A"/>
    <w:rsid w:val="00382AF8"/>
    <w:rsid w:val="00382F7B"/>
    <w:rsid w:val="00392A29"/>
    <w:rsid w:val="003B5674"/>
    <w:rsid w:val="003C51C6"/>
    <w:rsid w:val="003E015C"/>
    <w:rsid w:val="003E412D"/>
    <w:rsid w:val="0041238B"/>
    <w:rsid w:val="00412C17"/>
    <w:rsid w:val="0041794E"/>
    <w:rsid w:val="0042588F"/>
    <w:rsid w:val="004470A0"/>
    <w:rsid w:val="00447B53"/>
    <w:rsid w:val="004527C1"/>
    <w:rsid w:val="00463CC4"/>
    <w:rsid w:val="00480BCC"/>
    <w:rsid w:val="00485781"/>
    <w:rsid w:val="00490C05"/>
    <w:rsid w:val="00494487"/>
    <w:rsid w:val="0049505D"/>
    <w:rsid w:val="004A3FCF"/>
    <w:rsid w:val="004B33F3"/>
    <w:rsid w:val="00503DD9"/>
    <w:rsid w:val="00504118"/>
    <w:rsid w:val="00510B9B"/>
    <w:rsid w:val="0052006C"/>
    <w:rsid w:val="005201E4"/>
    <w:rsid w:val="00552FA2"/>
    <w:rsid w:val="00561E6B"/>
    <w:rsid w:val="00583478"/>
    <w:rsid w:val="0059115E"/>
    <w:rsid w:val="00596385"/>
    <w:rsid w:val="005A388C"/>
    <w:rsid w:val="005D5434"/>
    <w:rsid w:val="005D69A2"/>
    <w:rsid w:val="005F023B"/>
    <w:rsid w:val="006317C7"/>
    <w:rsid w:val="00636DB7"/>
    <w:rsid w:val="00637C42"/>
    <w:rsid w:val="00644155"/>
    <w:rsid w:val="006530F6"/>
    <w:rsid w:val="006700A0"/>
    <w:rsid w:val="006847E3"/>
    <w:rsid w:val="00692D21"/>
    <w:rsid w:val="00694444"/>
    <w:rsid w:val="00695CAE"/>
    <w:rsid w:val="006B047C"/>
    <w:rsid w:val="006C4ED0"/>
    <w:rsid w:val="006D64EA"/>
    <w:rsid w:val="006E0703"/>
    <w:rsid w:val="00713A35"/>
    <w:rsid w:val="00723B25"/>
    <w:rsid w:val="00740062"/>
    <w:rsid w:val="00754645"/>
    <w:rsid w:val="0076316D"/>
    <w:rsid w:val="0077246A"/>
    <w:rsid w:val="007922EE"/>
    <w:rsid w:val="00793CCB"/>
    <w:rsid w:val="007A53E7"/>
    <w:rsid w:val="007D43B2"/>
    <w:rsid w:val="007E0B7C"/>
    <w:rsid w:val="00806F41"/>
    <w:rsid w:val="00892BE1"/>
    <w:rsid w:val="008A1D27"/>
    <w:rsid w:val="008A4068"/>
    <w:rsid w:val="008C0A2F"/>
    <w:rsid w:val="008E1189"/>
    <w:rsid w:val="008F1B91"/>
    <w:rsid w:val="008F55CF"/>
    <w:rsid w:val="0091482C"/>
    <w:rsid w:val="00925E28"/>
    <w:rsid w:val="009564F1"/>
    <w:rsid w:val="0097385A"/>
    <w:rsid w:val="0099317D"/>
    <w:rsid w:val="0099490D"/>
    <w:rsid w:val="009C4EBF"/>
    <w:rsid w:val="009C5085"/>
    <w:rsid w:val="009C742B"/>
    <w:rsid w:val="009C78D1"/>
    <w:rsid w:val="009F3081"/>
    <w:rsid w:val="00A046DF"/>
    <w:rsid w:val="00A45A76"/>
    <w:rsid w:val="00A4678D"/>
    <w:rsid w:val="00A65500"/>
    <w:rsid w:val="00A84626"/>
    <w:rsid w:val="00A94919"/>
    <w:rsid w:val="00AA1473"/>
    <w:rsid w:val="00AD3864"/>
    <w:rsid w:val="00AD684B"/>
    <w:rsid w:val="00AE6AFF"/>
    <w:rsid w:val="00AF53F1"/>
    <w:rsid w:val="00B01D8B"/>
    <w:rsid w:val="00B528EE"/>
    <w:rsid w:val="00B87ED2"/>
    <w:rsid w:val="00B915D6"/>
    <w:rsid w:val="00B950CB"/>
    <w:rsid w:val="00BA7D13"/>
    <w:rsid w:val="00BD5E43"/>
    <w:rsid w:val="00BF0BD9"/>
    <w:rsid w:val="00BF1209"/>
    <w:rsid w:val="00BF7C71"/>
    <w:rsid w:val="00C079D7"/>
    <w:rsid w:val="00C225EA"/>
    <w:rsid w:val="00C36C63"/>
    <w:rsid w:val="00C40C16"/>
    <w:rsid w:val="00C421D6"/>
    <w:rsid w:val="00C4727D"/>
    <w:rsid w:val="00C64CB0"/>
    <w:rsid w:val="00C80490"/>
    <w:rsid w:val="00C81C20"/>
    <w:rsid w:val="00C82154"/>
    <w:rsid w:val="00C90826"/>
    <w:rsid w:val="00CA4518"/>
    <w:rsid w:val="00CA4882"/>
    <w:rsid w:val="00CC25E0"/>
    <w:rsid w:val="00CC4177"/>
    <w:rsid w:val="00CC6D9D"/>
    <w:rsid w:val="00CE4EA6"/>
    <w:rsid w:val="00CF1364"/>
    <w:rsid w:val="00D20171"/>
    <w:rsid w:val="00D231F6"/>
    <w:rsid w:val="00D27BB8"/>
    <w:rsid w:val="00D4402E"/>
    <w:rsid w:val="00D5131B"/>
    <w:rsid w:val="00D556F6"/>
    <w:rsid w:val="00D5594C"/>
    <w:rsid w:val="00D728AC"/>
    <w:rsid w:val="00D76571"/>
    <w:rsid w:val="00D773AE"/>
    <w:rsid w:val="00D80A98"/>
    <w:rsid w:val="00D94C2D"/>
    <w:rsid w:val="00DE6BB8"/>
    <w:rsid w:val="00E03944"/>
    <w:rsid w:val="00E040D5"/>
    <w:rsid w:val="00E10BD7"/>
    <w:rsid w:val="00E22960"/>
    <w:rsid w:val="00E251D7"/>
    <w:rsid w:val="00E356B0"/>
    <w:rsid w:val="00E45A7B"/>
    <w:rsid w:val="00E64253"/>
    <w:rsid w:val="00E678AF"/>
    <w:rsid w:val="00E71297"/>
    <w:rsid w:val="00E80171"/>
    <w:rsid w:val="00E8194C"/>
    <w:rsid w:val="00E83AB8"/>
    <w:rsid w:val="00E8457A"/>
    <w:rsid w:val="00E878FB"/>
    <w:rsid w:val="00E96883"/>
    <w:rsid w:val="00E97468"/>
    <w:rsid w:val="00E976EE"/>
    <w:rsid w:val="00EA77F0"/>
    <w:rsid w:val="00EB2E02"/>
    <w:rsid w:val="00EC368F"/>
    <w:rsid w:val="00ED2425"/>
    <w:rsid w:val="00ED48FD"/>
    <w:rsid w:val="00EE57E7"/>
    <w:rsid w:val="00EF0377"/>
    <w:rsid w:val="00EF0DBB"/>
    <w:rsid w:val="00EF35AA"/>
    <w:rsid w:val="00F02FC1"/>
    <w:rsid w:val="00F22674"/>
    <w:rsid w:val="00F358AF"/>
    <w:rsid w:val="00F408A3"/>
    <w:rsid w:val="00F45F4B"/>
    <w:rsid w:val="00F4618E"/>
    <w:rsid w:val="00F54181"/>
    <w:rsid w:val="00F57D85"/>
    <w:rsid w:val="00FC2064"/>
    <w:rsid w:val="00FE44E4"/>
    <w:rsid w:val="00FF0734"/>
    <w:rsid w:val="03497AF7"/>
    <w:rsid w:val="041469E8"/>
    <w:rsid w:val="0536769A"/>
    <w:rsid w:val="05B140FA"/>
    <w:rsid w:val="06CC0F09"/>
    <w:rsid w:val="06DA075B"/>
    <w:rsid w:val="06F17C50"/>
    <w:rsid w:val="075C4B87"/>
    <w:rsid w:val="09AC4AAC"/>
    <w:rsid w:val="0D3B3F1D"/>
    <w:rsid w:val="0D6C4F00"/>
    <w:rsid w:val="0D71693B"/>
    <w:rsid w:val="0E86610B"/>
    <w:rsid w:val="0F950E9E"/>
    <w:rsid w:val="10312443"/>
    <w:rsid w:val="137D4E72"/>
    <w:rsid w:val="13E03F5F"/>
    <w:rsid w:val="14434391"/>
    <w:rsid w:val="15C65321"/>
    <w:rsid w:val="1646717F"/>
    <w:rsid w:val="165E1D10"/>
    <w:rsid w:val="16761940"/>
    <w:rsid w:val="16F37B36"/>
    <w:rsid w:val="18F3251E"/>
    <w:rsid w:val="19136F16"/>
    <w:rsid w:val="191F3495"/>
    <w:rsid w:val="19566D66"/>
    <w:rsid w:val="1BBA0724"/>
    <w:rsid w:val="1C4F2BF7"/>
    <w:rsid w:val="1E1247BD"/>
    <w:rsid w:val="1E6226ED"/>
    <w:rsid w:val="201B6EB2"/>
    <w:rsid w:val="207A085B"/>
    <w:rsid w:val="20E77795"/>
    <w:rsid w:val="238E2E63"/>
    <w:rsid w:val="278A1DA4"/>
    <w:rsid w:val="2ADA734F"/>
    <w:rsid w:val="2B035C23"/>
    <w:rsid w:val="2E606E39"/>
    <w:rsid w:val="2E6A7D67"/>
    <w:rsid w:val="2F43624E"/>
    <w:rsid w:val="2F747966"/>
    <w:rsid w:val="30E87D1B"/>
    <w:rsid w:val="313605D0"/>
    <w:rsid w:val="31F235A6"/>
    <w:rsid w:val="3213760E"/>
    <w:rsid w:val="32AB31F5"/>
    <w:rsid w:val="330D71CD"/>
    <w:rsid w:val="355F34FB"/>
    <w:rsid w:val="366058B7"/>
    <w:rsid w:val="37A61E5A"/>
    <w:rsid w:val="38003807"/>
    <w:rsid w:val="392D2C56"/>
    <w:rsid w:val="3B9F372B"/>
    <w:rsid w:val="3BBE3130"/>
    <w:rsid w:val="3CBE4D8B"/>
    <w:rsid w:val="3D101DB0"/>
    <w:rsid w:val="3F65208A"/>
    <w:rsid w:val="40FB7670"/>
    <w:rsid w:val="41D92CE5"/>
    <w:rsid w:val="42516881"/>
    <w:rsid w:val="43183F0B"/>
    <w:rsid w:val="43B80652"/>
    <w:rsid w:val="44EE129A"/>
    <w:rsid w:val="4539571E"/>
    <w:rsid w:val="45457A0C"/>
    <w:rsid w:val="47033EAD"/>
    <w:rsid w:val="48087ABB"/>
    <w:rsid w:val="484A3DA7"/>
    <w:rsid w:val="484E798F"/>
    <w:rsid w:val="4981092F"/>
    <w:rsid w:val="4A952667"/>
    <w:rsid w:val="4B5A51B0"/>
    <w:rsid w:val="4CAF0BB2"/>
    <w:rsid w:val="4CC60683"/>
    <w:rsid w:val="4CCC7435"/>
    <w:rsid w:val="4DC2379F"/>
    <w:rsid w:val="4E384CAE"/>
    <w:rsid w:val="4ED0764A"/>
    <w:rsid w:val="4F3A40BE"/>
    <w:rsid w:val="4FA94C3E"/>
    <w:rsid w:val="51EB4853"/>
    <w:rsid w:val="520F24BE"/>
    <w:rsid w:val="55064433"/>
    <w:rsid w:val="55415582"/>
    <w:rsid w:val="55C5536A"/>
    <w:rsid w:val="571B7148"/>
    <w:rsid w:val="5A862593"/>
    <w:rsid w:val="5BF7725A"/>
    <w:rsid w:val="5C9F6A5F"/>
    <w:rsid w:val="5CA0743D"/>
    <w:rsid w:val="5D5C6839"/>
    <w:rsid w:val="5E562184"/>
    <w:rsid w:val="5FAC0856"/>
    <w:rsid w:val="601131DA"/>
    <w:rsid w:val="61763052"/>
    <w:rsid w:val="626F08D6"/>
    <w:rsid w:val="62F1736F"/>
    <w:rsid w:val="63B92B13"/>
    <w:rsid w:val="6593106F"/>
    <w:rsid w:val="67AF4DDD"/>
    <w:rsid w:val="68992864"/>
    <w:rsid w:val="68A17036"/>
    <w:rsid w:val="69126921"/>
    <w:rsid w:val="69394EC1"/>
    <w:rsid w:val="6A9D0BCD"/>
    <w:rsid w:val="6BBC3381"/>
    <w:rsid w:val="6C487179"/>
    <w:rsid w:val="6E134596"/>
    <w:rsid w:val="6E7B3979"/>
    <w:rsid w:val="6ED26C27"/>
    <w:rsid w:val="6F447501"/>
    <w:rsid w:val="704E1F84"/>
    <w:rsid w:val="71005DDA"/>
    <w:rsid w:val="711D0690"/>
    <w:rsid w:val="71D36ECE"/>
    <w:rsid w:val="723D0EF7"/>
    <w:rsid w:val="79111F03"/>
    <w:rsid w:val="7BF42A69"/>
    <w:rsid w:val="7C6C5F2D"/>
    <w:rsid w:val="7E704BAB"/>
    <w:rsid w:val="7EE448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99"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99"/>
    <w:pPr>
      <w:keepNext/>
      <w:widowControl w:val="0"/>
      <w:autoSpaceDE w:val="0"/>
      <w:autoSpaceDN w:val="0"/>
      <w:adjustRightInd w:val="0"/>
      <w:outlineLvl w:val="0"/>
    </w:pPr>
    <w:rPr>
      <w:rFonts w:ascii="仿宋_GB2312" w:hAnsi="Times New Roman" w:eastAsia="仿宋_GB2312" w:cs="Times New Roman"/>
      <w:b/>
      <w:bCs/>
      <w:color w:val="000000"/>
      <w:lang w:val="en-US" w:eastAsia="zh-CN" w:bidi="ar-SA"/>
    </w:rPr>
  </w:style>
  <w:style w:type="paragraph" w:styleId="3">
    <w:name w:val="heading 2"/>
    <w:next w:val="1"/>
    <w:qFormat/>
    <w:uiPriority w:val="99"/>
    <w:pPr>
      <w:keepNext/>
      <w:keepLines/>
      <w:widowControl w:val="0"/>
      <w:spacing w:before="120" w:after="120" w:line="360" w:lineRule="auto"/>
      <w:jc w:val="center"/>
      <w:outlineLvl w:val="1"/>
    </w:pPr>
    <w:rPr>
      <w:rFonts w:ascii="Arial" w:hAnsi="Arial" w:eastAsia="宋体" w:cs="Times New Roman"/>
      <w:b/>
      <w:bCs/>
      <w:sz w:val="32"/>
      <w:szCs w:val="32"/>
      <w:lang w:val="en-US" w:eastAsia="zh-CN" w:bidi="ar-SA"/>
    </w:rPr>
  </w:style>
  <w:style w:type="paragraph" w:styleId="4">
    <w:name w:val="heading 3"/>
    <w:next w:val="1"/>
    <w:qFormat/>
    <w:uiPriority w:val="0"/>
    <w:pPr>
      <w:keepNext/>
      <w:keepLines/>
      <w:widowControl w:val="0"/>
      <w:spacing w:before="120" w:after="120" w:line="360" w:lineRule="auto"/>
      <w:ind w:firstLine="200" w:firstLineChars="200"/>
      <w:jc w:val="center"/>
      <w:outlineLvl w:val="2"/>
    </w:pPr>
    <w:rPr>
      <w:rFonts w:ascii="宋体" w:hAnsi="Times New Roman" w:eastAsia="宋体" w:cs="Times New Roman"/>
      <w:b/>
      <w:bCs/>
      <w:sz w:val="32"/>
      <w:szCs w:val="32"/>
      <w:lang w:val="en-US" w:eastAsia="zh-CN" w:bidi="ar-SA"/>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qFormat/>
    <w:uiPriority w:val="99"/>
    <w:pPr>
      <w:widowControl w:val="0"/>
      <w:tabs>
        <w:tab w:val="left" w:pos="750"/>
      </w:tabs>
      <w:spacing w:beforeLines="50" w:line="300" w:lineRule="auto"/>
      <w:ind w:firstLine="200" w:firstLineChars="200"/>
      <w:jc w:val="both"/>
    </w:pPr>
    <w:rPr>
      <w:rFonts w:ascii="宋体" w:hAnsi="Times New Roman" w:eastAsia="宋体" w:cs="Times New Roman"/>
      <w:kern w:val="2"/>
      <w:sz w:val="21"/>
      <w:lang w:val="en-US" w:eastAsia="zh-CN" w:bidi="ar-SA"/>
    </w:rPr>
  </w:style>
  <w:style w:type="paragraph" w:styleId="7">
    <w:name w:val="annotation text"/>
    <w:basedOn w:val="1"/>
    <w:qFormat/>
    <w:uiPriority w:val="0"/>
    <w:pPr>
      <w:jc w:val="left"/>
    </w:pPr>
  </w:style>
  <w:style w:type="paragraph" w:styleId="8">
    <w:name w:val="Body Text 3"/>
    <w:qFormat/>
    <w:uiPriority w:val="99"/>
    <w:pPr>
      <w:widowControl w:val="0"/>
      <w:jc w:val="both"/>
    </w:pPr>
    <w:rPr>
      <w:rFonts w:ascii="宋体" w:hAnsi="宋体" w:eastAsia="宋体" w:cs="Times New Roman"/>
      <w:color w:val="0000FF"/>
      <w:kern w:val="2"/>
      <w:szCs w:val="24"/>
      <w:lang w:val="en-US" w:eastAsia="zh-CN" w:bidi="ar-SA"/>
    </w:rPr>
  </w:style>
  <w:style w:type="paragraph" w:styleId="9">
    <w:name w:val="Body Text"/>
    <w:next w:val="10"/>
    <w:unhideWhenUsed/>
    <w:qFormat/>
    <w:uiPriority w:val="99"/>
    <w:pPr>
      <w:widowControl w:val="0"/>
      <w:spacing w:after="120"/>
      <w:jc w:val="both"/>
    </w:pPr>
    <w:rPr>
      <w:rFonts w:ascii="Times New Roman" w:hAnsi="Times New Roman" w:eastAsia="宋体" w:cs="Times New Roman"/>
      <w:sz w:val="24"/>
      <w:szCs w:val="24"/>
      <w:lang w:val="en-US" w:eastAsia="zh-CN" w:bidi="ar-SA"/>
    </w:rPr>
  </w:style>
  <w:style w:type="paragraph" w:styleId="10">
    <w:name w:val="toc 5"/>
    <w:next w:val="1"/>
    <w:qFormat/>
    <w:uiPriority w:val="39"/>
    <w:pPr>
      <w:widowControl w:val="0"/>
      <w:ind w:left="800" w:leftChars="800"/>
      <w:jc w:val="both"/>
    </w:pPr>
    <w:rPr>
      <w:rFonts w:ascii="Times New Roman" w:hAnsi="Times New Roman" w:eastAsia="宋体" w:cs="Times New Roman"/>
      <w:kern w:val="2"/>
      <w:sz w:val="21"/>
      <w:szCs w:val="24"/>
      <w:lang w:val="en-US" w:eastAsia="zh-CN" w:bidi="ar-SA"/>
    </w:rPr>
  </w:style>
  <w:style w:type="paragraph" w:styleId="11">
    <w:name w:val="toc 3"/>
    <w:next w:val="1"/>
    <w:qFormat/>
    <w:uiPriority w:val="39"/>
    <w:pPr>
      <w:widowControl w:val="0"/>
      <w:tabs>
        <w:tab w:val="right" w:leader="dot" w:pos="9515"/>
      </w:tabs>
      <w:ind w:left="400" w:leftChars="400"/>
      <w:jc w:val="both"/>
    </w:pPr>
    <w:rPr>
      <w:rFonts w:ascii="Times New Roman" w:hAnsi="Times New Roman" w:eastAsia="宋体" w:cs="Times New Roman"/>
      <w:kern w:val="2"/>
      <w:sz w:val="21"/>
      <w:szCs w:val="24"/>
      <w:lang w:val="en-US" w:eastAsia="zh-CN" w:bidi="ar-SA"/>
    </w:rPr>
  </w:style>
  <w:style w:type="paragraph" w:styleId="12">
    <w:name w:val="Plain Text"/>
    <w:next w:val="1"/>
    <w:qFormat/>
    <w:uiPriority w:val="0"/>
    <w:pPr>
      <w:widowControl w:val="0"/>
      <w:autoSpaceDE w:val="0"/>
      <w:autoSpaceDN w:val="0"/>
      <w:adjustRightInd w:val="0"/>
    </w:pPr>
    <w:rPr>
      <w:rFonts w:ascii="宋体" w:hAnsi="Courier New" w:eastAsia="宋体" w:cs="Times New Roman"/>
      <w:kern w:val="2"/>
      <w:sz w:val="21"/>
      <w:szCs w:val="21"/>
      <w:lang w:val="en-US" w:eastAsia="zh-CN" w:bidi="ar-SA"/>
    </w:rPr>
  </w:style>
  <w:style w:type="paragraph" w:styleId="13">
    <w:name w:val="footer"/>
    <w:unhideWhenUsed/>
    <w:qFormat/>
    <w:uiPriority w:val="99"/>
    <w:pPr>
      <w:widowControl w:val="0"/>
      <w:tabs>
        <w:tab w:val="center" w:pos="4153"/>
        <w:tab w:val="right" w:pos="8306"/>
      </w:tabs>
      <w:snapToGrid w:val="0"/>
    </w:pPr>
    <w:rPr>
      <w:rFonts w:ascii="Calibri" w:hAnsi="Calibri" w:eastAsia="宋体" w:cs="Times New Roman"/>
      <w:sz w:val="18"/>
      <w:szCs w:val="18"/>
      <w:lang w:val="en-US" w:eastAsia="zh-CN" w:bidi="ar-SA"/>
    </w:rPr>
  </w:style>
  <w:style w:type="paragraph" w:styleId="14">
    <w:name w:val="header"/>
    <w:unhideWhenUsed/>
    <w:qFormat/>
    <w:uiPriority w:val="99"/>
    <w:pPr>
      <w:widowControl w:val="0"/>
      <w:pBdr>
        <w:bottom w:val="single" w:color="auto" w:sz="6" w:space="1"/>
      </w:pBdr>
      <w:tabs>
        <w:tab w:val="center" w:pos="4153"/>
        <w:tab w:val="right" w:pos="8306"/>
      </w:tabs>
      <w:snapToGrid w:val="0"/>
      <w:jc w:val="center"/>
    </w:pPr>
    <w:rPr>
      <w:rFonts w:ascii="Calibri" w:hAnsi="Calibri" w:eastAsia="宋体" w:cs="Times New Roman"/>
      <w:sz w:val="18"/>
      <w:szCs w:val="18"/>
      <w:lang w:val="en-US" w:eastAsia="zh-CN" w:bidi="ar-SA"/>
    </w:rPr>
  </w:style>
  <w:style w:type="paragraph" w:styleId="15">
    <w:name w:val="toc 1"/>
    <w:next w:val="1"/>
    <w:qFormat/>
    <w:uiPriority w:val="39"/>
    <w:pPr>
      <w:widowControl w:val="0"/>
      <w:tabs>
        <w:tab w:val="right" w:leader="dot" w:pos="9628"/>
      </w:tabs>
      <w:spacing w:line="360" w:lineRule="auto"/>
      <w:jc w:val="both"/>
    </w:pPr>
    <w:rPr>
      <w:rFonts w:ascii="Times New Roman" w:hAnsi="宋体" w:eastAsia="宋体" w:cs="Times New Roman"/>
      <w:b/>
      <w:kern w:val="2"/>
      <w:sz w:val="24"/>
      <w:szCs w:val="24"/>
      <w:lang w:val="en-US" w:eastAsia="zh-CN" w:bidi="ar-SA"/>
    </w:rPr>
  </w:style>
  <w:style w:type="paragraph" w:styleId="16">
    <w:name w:val="footnote text"/>
    <w:semiHidden/>
    <w:qFormat/>
    <w:uiPriority w:val="99"/>
    <w:pPr>
      <w:widowControl w:val="0"/>
      <w:adjustRightInd w:val="0"/>
      <w:spacing w:line="312" w:lineRule="atLeast"/>
      <w:textAlignment w:val="baseline"/>
    </w:pPr>
    <w:rPr>
      <w:rFonts w:ascii="Calibri" w:hAnsi="Calibri" w:eastAsia="宋体" w:cs="Times New Roman"/>
      <w:sz w:val="18"/>
      <w:lang w:val="en-US" w:eastAsia="zh-CN" w:bidi="ar-SA"/>
    </w:rPr>
  </w:style>
  <w:style w:type="paragraph" w:styleId="17">
    <w:name w:val="Normal (Web)"/>
    <w:basedOn w:val="1"/>
    <w:unhideWhenUsed/>
    <w:qFormat/>
    <w:uiPriority w:val="99"/>
    <w:pPr>
      <w:widowControl/>
      <w:spacing w:before="100" w:beforeAutospacing="1" w:after="100" w:afterAutospacing="1" w:line="278" w:lineRule="auto"/>
      <w:jc w:val="left"/>
    </w:pPr>
    <w:rPr>
      <w:rFonts w:ascii="宋体" w:hAnsi="宋体" w:cs="宋体"/>
      <w:kern w:val="0"/>
      <w:sz w:val="24"/>
    </w:rPr>
  </w:style>
  <w:style w:type="character" w:styleId="20">
    <w:name w:val="page number"/>
    <w:qFormat/>
    <w:uiPriority w:val="0"/>
    <w:rPr>
      <w:rFonts w:cs="Times New Roman"/>
    </w:rPr>
  </w:style>
  <w:style w:type="paragraph" w:customStyle="1" w:styleId="21">
    <w:name w:val="Table Paragraph"/>
    <w:qFormat/>
    <w:uiPriority w:val="1"/>
    <w:pPr>
      <w:widowControl w:val="0"/>
      <w:autoSpaceDE w:val="0"/>
      <w:autoSpaceDN w:val="0"/>
      <w:adjustRightInd w:val="0"/>
      <w:jc w:val="both"/>
    </w:pPr>
    <w:rPr>
      <w:rFonts w:ascii="宋体" w:hAnsi="Times New Roman" w:eastAsia="宋体" w:cs="宋体"/>
      <w:kern w:val="2"/>
      <w:sz w:val="21"/>
      <w:szCs w:val="24"/>
      <w:lang w:val="en-US" w:eastAsia="zh-CN" w:bidi="ar-SA"/>
    </w:rPr>
  </w:style>
  <w:style w:type="paragraph" w:customStyle="1" w:styleId="22">
    <w:name w:val="TESTO"/>
    <w:qFormat/>
    <w:uiPriority w:val="99"/>
    <w:pPr>
      <w:widowControl w:val="0"/>
      <w:spacing w:line="240" w:lineRule="atLeast"/>
      <w:ind w:left="1247" w:right="851" w:hanging="851"/>
      <w:jc w:val="both"/>
      <w:textAlignment w:val="baseline"/>
    </w:pPr>
    <w:rPr>
      <w:rFonts w:ascii="Arial" w:hAnsi="Arial" w:eastAsia="宋体" w:cs="Times New Roman"/>
      <w:kern w:val="2"/>
      <w:sz w:val="22"/>
      <w:szCs w:val="22"/>
      <w:lang w:val="en-GB" w:eastAsia="zh-CN" w:bidi="ar-SA"/>
    </w:rPr>
  </w:style>
  <w:style w:type="paragraph" w:customStyle="1" w:styleId="23">
    <w:name w:val="ZB正文小四"/>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24">
    <w:name w:val="Section Char Char"/>
    <w:qFormat/>
    <w:uiPriority w:val="0"/>
    <w:rPr>
      <w:rFonts w:ascii="MS Sans Serif" w:hAnsi="MS Sans Serif" w:eastAsia="宋体"/>
      <w:sz w:val="24"/>
      <w:lang w:val="en-US" w:eastAsia="zh-CN" w:bidi="ar-SA"/>
    </w:rPr>
  </w:style>
  <w:style w:type="character" w:customStyle="1" w:styleId="25">
    <w:name w:val="font61"/>
    <w:qFormat/>
    <w:uiPriority w:val="0"/>
    <w:rPr>
      <w:rFonts w:hint="eastAsia" w:ascii="宋体" w:hAnsi="宋体" w:eastAsia="宋体" w:cs="宋体"/>
      <w:snapToGrid/>
      <w:color w:val="000000"/>
      <w:sz w:val="21"/>
      <w:szCs w:val="21"/>
      <w:u w:val="none"/>
      <w:lang w:eastAsia="en-US"/>
    </w:rPr>
  </w:style>
  <w:style w:type="paragraph" w:styleId="26">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27">
    <w:name w:val="中文正文、"/>
    <w:qFormat/>
    <w:uiPriority w:val="0"/>
    <w:pPr>
      <w:widowControl w:val="0"/>
      <w:spacing w:line="360" w:lineRule="auto"/>
      <w:ind w:firstLine="420" w:firstLineChars="200"/>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71</Pages>
  <Words>19323</Words>
  <Characters>20600</Characters>
  <Lines>1717</Lines>
  <Paragraphs>1357</Paragraphs>
  <TotalTime>0</TotalTime>
  <ScaleCrop>false</ScaleCrop>
  <LinksUpToDate>false</LinksUpToDate>
  <CharactersWithSpaces>20810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2026-10-13T03:19:00Z</dcterms:created>
  <dc:creator>灰机飞过</dc:creator>
  <cp:lastModifiedBy>此处汪叉叉出没</cp:lastModifiedBy>
  <dcterms:modified xsi:type="dcterms:W3CDTF">2026-10-22T02:56:09Z</dcterms:modified>
  <cp:revision>229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4F598ECB6A5C4E1A9A7DE76F3880CB73_13</vt:lpwstr>
  </property>
  <property fmtid="{D5CDD505-2E9C-101B-9397-08002B2CF9AE}" pid="4" name="KSOTemplateDocerSaveRecord">
    <vt:lpwstr>eyJoZGlkIjoiOWQ2ZWExMDIwMTAyNTlkY2I3MDQ0MGE2NzkwYzQ5NGQiLCJ1c2VySWQiOiIyODQwOTMyNDAifQ==</vt:lpwstr>
  </property>
</Properties>
</file>