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77991">
      <w:pPr>
        <w:pStyle w:val="34"/>
        <w:jc w:val="center"/>
        <w:rPr>
          <w:rFonts w:hint="eastAsia" w:hAnsi="宋体"/>
          <w:b/>
          <w:bCs/>
          <w:color w:val="auto"/>
          <w:sz w:val="52"/>
          <w:szCs w:val="52"/>
          <w:highlight w:val="none"/>
        </w:rPr>
      </w:pPr>
      <w:bookmarkStart w:id="951" w:name="_GoBack"/>
      <w:bookmarkEnd w:id="951"/>
      <w:r>
        <w:rPr>
          <w:rFonts w:hint="eastAsia" w:hAnsi="宋体"/>
          <w:b/>
          <w:bCs/>
          <w:color w:val="auto"/>
          <w:sz w:val="52"/>
          <w:szCs w:val="52"/>
          <w:highlight w:val="none"/>
        </w:rPr>
        <w:t>开封市鼓楼区机关事务中心机关食堂食材供应商服务项</w:t>
      </w:r>
      <w:r>
        <w:rPr>
          <w:rFonts w:hAnsi="宋体"/>
          <w:b/>
          <w:bCs/>
          <w:color w:val="auto"/>
          <w:sz w:val="52"/>
          <w:szCs w:val="52"/>
          <w:highlight w:val="none"/>
        </w:rPr>
        <w:t>目</w:t>
      </w:r>
    </w:p>
    <w:p w14:paraId="72D58B82">
      <w:pPr>
        <w:pStyle w:val="34"/>
        <w:rPr>
          <w:rFonts w:hint="eastAsia" w:hAnsi="宋体"/>
          <w:b/>
          <w:bCs/>
          <w:color w:val="auto"/>
          <w:sz w:val="28"/>
          <w:szCs w:val="28"/>
          <w:highlight w:val="none"/>
        </w:rPr>
      </w:pPr>
    </w:p>
    <w:p w14:paraId="6CACCE5A">
      <w:pPr>
        <w:rPr>
          <w:rFonts w:hint="eastAsia" w:hAnsi="宋体"/>
          <w:b/>
          <w:bCs/>
          <w:color w:val="auto"/>
          <w:sz w:val="28"/>
          <w:szCs w:val="28"/>
          <w:highlight w:val="none"/>
        </w:rPr>
      </w:pPr>
    </w:p>
    <w:p w14:paraId="7FE05C34">
      <w:pPr>
        <w:pStyle w:val="32"/>
        <w:rPr>
          <w:color w:val="auto"/>
          <w:highlight w:val="none"/>
        </w:rPr>
      </w:pPr>
    </w:p>
    <w:p w14:paraId="59D12E77">
      <w:pPr>
        <w:pStyle w:val="35"/>
        <w:rPr>
          <w:color w:val="auto"/>
          <w:highlight w:val="none"/>
        </w:rPr>
      </w:pPr>
    </w:p>
    <w:p w14:paraId="5B9639DA">
      <w:pPr>
        <w:spacing w:line="360" w:lineRule="auto"/>
        <w:jc w:val="center"/>
        <w:rPr>
          <w:rFonts w:hint="eastAsia" w:ascii="宋体" w:hAnsi="宋体"/>
          <w:b/>
          <w:bCs/>
          <w:color w:val="auto"/>
          <w:sz w:val="68"/>
          <w:szCs w:val="68"/>
          <w:highlight w:val="none"/>
        </w:rPr>
      </w:pPr>
      <w:r>
        <w:rPr>
          <w:rFonts w:hint="eastAsia" w:ascii="宋体" w:hAnsi="宋体"/>
          <w:b/>
          <w:bCs/>
          <w:color w:val="auto"/>
          <w:sz w:val="68"/>
          <w:szCs w:val="68"/>
          <w:highlight w:val="none"/>
        </w:rPr>
        <w:t>招 标 文 件</w:t>
      </w:r>
    </w:p>
    <w:p w14:paraId="76706701">
      <w:pPr>
        <w:jc w:val="center"/>
        <w:rPr>
          <w:color w:val="auto"/>
          <w:highlight w:val="none"/>
        </w:rPr>
      </w:pPr>
    </w:p>
    <w:p w14:paraId="4D408D71">
      <w:pPr>
        <w:jc w:val="center"/>
        <w:rPr>
          <w:color w:val="auto"/>
          <w:highlight w:val="none"/>
        </w:rPr>
      </w:pPr>
    </w:p>
    <w:p w14:paraId="3D2DD1F7">
      <w:pPr>
        <w:jc w:val="center"/>
        <w:rPr>
          <w:color w:val="auto"/>
          <w:highlight w:val="none"/>
        </w:rPr>
      </w:pPr>
    </w:p>
    <w:p w14:paraId="7F630DBA">
      <w:pPr>
        <w:jc w:val="center"/>
        <w:rPr>
          <w:rFonts w:hint="eastAsia" w:ascii="宋体" w:hAnsi="宋体"/>
          <w:b/>
          <w:bCs/>
          <w:color w:val="auto"/>
          <w:sz w:val="66"/>
          <w:szCs w:val="66"/>
          <w:highlight w:val="none"/>
        </w:rPr>
      </w:pPr>
    </w:p>
    <w:p w14:paraId="4E79C72B">
      <w:pPr>
        <w:pStyle w:val="10"/>
        <w:rPr>
          <w:rFonts w:hint="eastAsia" w:ascii="宋体" w:hAnsi="宋体"/>
          <w:b/>
          <w:bCs/>
          <w:color w:val="auto"/>
          <w:sz w:val="66"/>
          <w:szCs w:val="66"/>
          <w:highlight w:val="none"/>
        </w:rPr>
      </w:pPr>
    </w:p>
    <w:p w14:paraId="6FB27C9C">
      <w:pPr>
        <w:rPr>
          <w:rFonts w:hint="eastAsia" w:ascii="宋体" w:hAnsi="宋体"/>
          <w:b/>
          <w:bCs/>
          <w:color w:val="auto"/>
          <w:sz w:val="66"/>
          <w:szCs w:val="66"/>
          <w:highlight w:val="none"/>
        </w:rPr>
      </w:pPr>
    </w:p>
    <w:p w14:paraId="1F40260C">
      <w:pPr>
        <w:pStyle w:val="10"/>
        <w:rPr>
          <w:color w:val="auto"/>
          <w:highlight w:val="none"/>
        </w:rPr>
      </w:pPr>
    </w:p>
    <w:p w14:paraId="2015E990">
      <w:pPr>
        <w:pStyle w:val="3"/>
        <w:ind w:left="0" w:firstLine="0"/>
        <w:rPr>
          <w:color w:val="auto"/>
          <w:highlight w:val="none"/>
        </w:rPr>
      </w:pPr>
    </w:p>
    <w:p w14:paraId="5614E7BE">
      <w:pPr>
        <w:spacing w:line="600" w:lineRule="exact"/>
        <w:ind w:firstLine="1285" w:firstLineChars="400"/>
        <w:jc w:val="center"/>
        <w:rPr>
          <w:rFonts w:hint="eastAsia" w:ascii="宋体" w:hAnsi="宋体"/>
          <w:b/>
          <w:bCs/>
          <w:color w:val="auto"/>
          <w:spacing w:val="-10"/>
          <w:sz w:val="34"/>
          <w:szCs w:val="34"/>
          <w:highlight w:val="none"/>
        </w:rPr>
      </w:pPr>
      <w:r>
        <w:rPr>
          <w:rFonts w:hint="eastAsia" w:ascii="宋体" w:hAnsi="宋体"/>
          <w:b/>
          <w:bCs/>
          <w:color w:val="auto"/>
          <w:spacing w:val="-10"/>
          <w:sz w:val="34"/>
          <w:szCs w:val="34"/>
          <w:highlight w:val="none"/>
        </w:rPr>
        <w:t>采 购 人：</w:t>
      </w:r>
      <w:r>
        <w:rPr>
          <w:rFonts w:hint="eastAsia" w:ascii="宋体" w:hAnsi="宋体"/>
          <w:b/>
          <w:bCs/>
          <w:color w:val="auto"/>
          <w:spacing w:val="-10"/>
          <w:sz w:val="34"/>
          <w:szCs w:val="34"/>
          <w:highlight w:val="none"/>
          <w:lang w:eastAsia="zh-CN"/>
        </w:rPr>
        <w:t>开封市鼓楼区机关事务中心</w:t>
      </w:r>
      <w:r>
        <w:rPr>
          <w:rFonts w:hint="eastAsia" w:ascii="宋体" w:hAnsi="宋体"/>
          <w:b/>
          <w:bCs/>
          <w:color w:val="auto"/>
          <w:spacing w:val="-10"/>
          <w:sz w:val="34"/>
          <w:szCs w:val="34"/>
          <w:highlight w:val="none"/>
        </w:rPr>
        <w:t xml:space="preserve"> </w:t>
      </w:r>
    </w:p>
    <w:p w14:paraId="7683FCE8">
      <w:pPr>
        <w:spacing w:line="600" w:lineRule="exact"/>
        <w:ind w:firstLine="1285" w:firstLineChars="400"/>
        <w:rPr>
          <w:rFonts w:hint="eastAsia" w:ascii="宋体" w:hAnsi="宋体"/>
          <w:b/>
          <w:bCs/>
          <w:color w:val="auto"/>
          <w:spacing w:val="60"/>
          <w:sz w:val="34"/>
          <w:szCs w:val="34"/>
          <w:highlight w:val="none"/>
          <w:u w:val="double"/>
        </w:rPr>
      </w:pPr>
      <w:r>
        <w:rPr>
          <w:rFonts w:hint="eastAsia" w:ascii="宋体" w:hAnsi="宋体"/>
          <w:b/>
          <w:bCs/>
          <w:color w:val="auto"/>
          <w:spacing w:val="-10"/>
          <w:sz w:val="34"/>
          <w:szCs w:val="34"/>
          <w:highlight w:val="none"/>
        </w:rPr>
        <w:t>采购代理</w:t>
      </w:r>
      <w:r>
        <w:rPr>
          <w:rFonts w:hint="eastAsia" w:ascii="宋体" w:hAnsi="宋体"/>
          <w:b/>
          <w:bCs/>
          <w:color w:val="auto"/>
          <w:sz w:val="34"/>
          <w:szCs w:val="34"/>
          <w:highlight w:val="none"/>
        </w:rPr>
        <w:t>机构：河南星润工程管理有限公司</w:t>
      </w:r>
    </w:p>
    <w:p w14:paraId="53BBDA29">
      <w:pPr>
        <w:spacing w:line="480" w:lineRule="auto"/>
        <w:jc w:val="center"/>
        <w:rPr>
          <w:rFonts w:hint="eastAsia" w:ascii="宋体" w:hAnsi="宋体"/>
          <w:b/>
          <w:bCs/>
          <w:color w:val="auto"/>
          <w:sz w:val="28"/>
          <w:szCs w:val="28"/>
          <w:highlight w:val="none"/>
        </w:rPr>
        <w:sectPr>
          <w:pgSz w:w="11906" w:h="16838"/>
          <w:pgMar w:top="1440" w:right="1800" w:bottom="1440" w:left="1800" w:header="851" w:footer="992" w:gutter="0"/>
          <w:cols w:space="720" w:num="1"/>
          <w:docGrid w:type="lines" w:linePitch="312" w:charSpace="0"/>
        </w:sectPr>
      </w:pPr>
      <w:r>
        <w:rPr>
          <w:rFonts w:hint="eastAsia" w:ascii="宋体" w:hAnsi="宋体"/>
          <w:b/>
          <w:bCs/>
          <w:color w:val="auto"/>
          <w:spacing w:val="44"/>
          <w:sz w:val="34"/>
          <w:szCs w:val="34"/>
          <w:highlight w:val="none"/>
        </w:rPr>
        <w:t xml:space="preserve">    二零二</w:t>
      </w:r>
      <w:r>
        <w:rPr>
          <w:rFonts w:hint="eastAsia" w:ascii="宋体" w:hAnsi="宋体"/>
          <w:b/>
          <w:bCs/>
          <w:color w:val="auto"/>
          <w:spacing w:val="44"/>
          <w:sz w:val="34"/>
          <w:szCs w:val="34"/>
          <w:highlight w:val="none"/>
          <w:lang w:val="en-US" w:eastAsia="zh-CN"/>
        </w:rPr>
        <w:t>六</w:t>
      </w:r>
      <w:r>
        <w:rPr>
          <w:rFonts w:hint="eastAsia" w:ascii="宋体" w:hAnsi="宋体"/>
          <w:b/>
          <w:bCs/>
          <w:color w:val="auto"/>
          <w:spacing w:val="44"/>
          <w:sz w:val="34"/>
          <w:szCs w:val="34"/>
          <w:highlight w:val="none"/>
        </w:rPr>
        <w:t>年</w:t>
      </w:r>
      <w:r>
        <w:rPr>
          <w:rFonts w:hint="eastAsia" w:ascii="宋体" w:hAnsi="宋体"/>
          <w:b/>
          <w:bCs/>
          <w:color w:val="auto"/>
          <w:spacing w:val="44"/>
          <w:sz w:val="34"/>
          <w:szCs w:val="34"/>
          <w:highlight w:val="none"/>
          <w:lang w:val="en-US" w:eastAsia="zh-CN"/>
        </w:rPr>
        <w:t>九</w:t>
      </w:r>
      <w:r>
        <w:rPr>
          <w:rFonts w:hint="eastAsia" w:ascii="宋体" w:hAnsi="宋体"/>
          <w:b/>
          <w:bCs/>
          <w:color w:val="auto"/>
          <w:spacing w:val="44"/>
          <w:sz w:val="34"/>
          <w:szCs w:val="34"/>
          <w:highlight w:val="none"/>
        </w:rPr>
        <w:t>月</w:t>
      </w:r>
    </w:p>
    <w:p w14:paraId="579565E7">
      <w:pPr>
        <w:spacing w:line="480" w:lineRule="auto"/>
        <w:rPr>
          <w:rFonts w:hint="eastAsia" w:ascii="宋体" w:hAnsi="宋体"/>
          <w:b/>
          <w:bCs/>
          <w:color w:val="auto"/>
          <w:sz w:val="28"/>
          <w:szCs w:val="28"/>
          <w:highlight w:val="none"/>
        </w:rPr>
      </w:pPr>
      <w:r>
        <w:rPr>
          <w:rFonts w:hint="eastAsia" w:ascii="宋体" w:hAnsi="宋体" w:eastAsia="宋体"/>
          <w:b/>
          <w:bCs/>
          <w:color w:val="auto"/>
          <w:sz w:val="28"/>
          <w:szCs w:val="28"/>
          <w:highlight w:val="none"/>
          <w:lang w:eastAsia="zh-CN"/>
        </w:rPr>
        <w:drawing>
          <wp:anchor distT="0" distB="0" distL="114300" distR="114300" simplePos="0" relativeHeight="251660288" behindDoc="0" locked="0" layoutInCell="1" allowOverlap="1">
            <wp:simplePos x="0" y="0"/>
            <wp:positionH relativeFrom="column">
              <wp:posOffset>-328295</wp:posOffset>
            </wp:positionH>
            <wp:positionV relativeFrom="paragraph">
              <wp:posOffset>22225</wp:posOffset>
            </wp:positionV>
            <wp:extent cx="5782310" cy="8567420"/>
            <wp:effectExtent l="0" t="0" r="8890" b="5080"/>
            <wp:wrapSquare wrapText="bothSides"/>
            <wp:docPr id="1" name="图片 1" descr="8c715453c00535a55c152b7fb8ec17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c715453c00535a55c152b7fb8ec17a3"/>
                    <pic:cNvPicPr>
                      <a:picLocks noChangeAspect="1"/>
                    </pic:cNvPicPr>
                  </pic:nvPicPr>
                  <pic:blipFill>
                    <a:blip r:embed="rId6"/>
                    <a:stretch>
                      <a:fillRect/>
                    </a:stretch>
                  </pic:blipFill>
                  <pic:spPr>
                    <a:xfrm>
                      <a:off x="0" y="0"/>
                      <a:ext cx="5782310" cy="8567420"/>
                    </a:xfrm>
                    <a:prstGeom prst="rect">
                      <a:avLst/>
                    </a:prstGeom>
                  </pic:spPr>
                </pic:pic>
              </a:graphicData>
            </a:graphic>
          </wp:anchor>
        </w:drawing>
      </w:r>
    </w:p>
    <w:p w14:paraId="32829002">
      <w:pPr>
        <w:spacing w:line="480" w:lineRule="auto"/>
        <w:jc w:val="center"/>
        <w:rPr>
          <w:rFonts w:hint="eastAsia" w:ascii="宋体" w:hAnsi="宋体" w:eastAsia="宋体"/>
          <w:b/>
          <w:bCs/>
          <w:color w:val="auto"/>
          <w:sz w:val="28"/>
          <w:szCs w:val="28"/>
          <w:highlight w:val="none"/>
          <w:lang w:eastAsia="zh-CN"/>
        </w:rPr>
      </w:pPr>
    </w:p>
    <w:p w14:paraId="5879AA8A">
      <w:pPr>
        <w:spacing w:line="480" w:lineRule="auto"/>
        <w:jc w:val="center"/>
        <w:rPr>
          <w:rFonts w:ascii="宋体"/>
          <w:b/>
          <w:bCs/>
          <w:color w:val="auto"/>
          <w:sz w:val="28"/>
          <w:szCs w:val="28"/>
          <w:highlight w:val="none"/>
        </w:rPr>
      </w:pPr>
      <w:r>
        <w:rPr>
          <w:rFonts w:hint="eastAsia" w:ascii="宋体" w:hAnsi="宋体"/>
          <w:b/>
          <w:bCs/>
          <w:color w:val="auto"/>
          <w:sz w:val="28"/>
          <w:szCs w:val="28"/>
          <w:highlight w:val="none"/>
        </w:rPr>
        <w:t>目 录</w:t>
      </w:r>
    </w:p>
    <w:p w14:paraId="5156790F">
      <w:pPr>
        <w:pStyle w:val="18"/>
        <w:spacing w:line="480" w:lineRule="auto"/>
        <w:rPr>
          <w:color w:val="auto"/>
          <w:highlight w:val="none"/>
        </w:rPr>
      </w:pPr>
      <w:bookmarkStart w:id="0" w:name="_Toc28207"/>
      <w:bookmarkEnd w:id="0"/>
      <w:bookmarkStart w:id="1" w:name="_Toc87235877"/>
      <w:bookmarkEnd w:id="1"/>
      <w:r>
        <w:rPr>
          <w:color w:val="auto"/>
          <w:highlight w:val="none"/>
        </w:rPr>
        <w:fldChar w:fldCharType="begin"/>
      </w:r>
      <w:r>
        <w:rPr>
          <w:color w:val="auto"/>
          <w:highlight w:val="none"/>
        </w:rPr>
        <w:instrText xml:space="preserve"> HYPERLINK "" \l "_Toc32454"</w:instrText>
      </w:r>
      <w:r>
        <w:rPr>
          <w:color w:val="auto"/>
          <w:highlight w:val="none"/>
        </w:rPr>
        <w:fldChar w:fldCharType="separate"/>
      </w:r>
      <w:r>
        <w:rPr>
          <w:rStyle w:val="31"/>
          <w:rFonts w:hint="eastAsia" w:ascii="宋体" w:hAnsi="宋体"/>
          <w:color w:val="auto"/>
          <w:highlight w:val="none"/>
        </w:rPr>
        <w:t>第一部分招标公告</w:t>
      </w:r>
      <w:r>
        <w:rPr>
          <w:rStyle w:val="31"/>
          <w:rFonts w:hint="eastAsia"/>
          <w:color w:val="auto"/>
          <w:highlight w:val="none"/>
        </w:rPr>
        <w:t>..........................................................................................................................3</w:t>
      </w:r>
      <w:r>
        <w:rPr>
          <w:color w:val="auto"/>
          <w:highlight w:val="none"/>
        </w:rPr>
        <w:fldChar w:fldCharType="end"/>
      </w:r>
    </w:p>
    <w:p w14:paraId="6BFBC4EF">
      <w:pPr>
        <w:pStyle w:val="18"/>
        <w:spacing w:line="480" w:lineRule="auto"/>
        <w:rPr>
          <w:color w:val="auto"/>
          <w:highlight w:val="none"/>
        </w:rPr>
      </w:pPr>
      <w:r>
        <w:rPr>
          <w:color w:val="auto"/>
          <w:highlight w:val="none"/>
        </w:rPr>
        <w:fldChar w:fldCharType="begin"/>
      </w:r>
      <w:r>
        <w:rPr>
          <w:color w:val="auto"/>
          <w:highlight w:val="none"/>
        </w:rPr>
        <w:instrText xml:space="preserve"> HYPERLINK \l "_Toc31639" </w:instrText>
      </w:r>
      <w:r>
        <w:rPr>
          <w:color w:val="auto"/>
          <w:highlight w:val="none"/>
        </w:rPr>
        <w:fldChar w:fldCharType="separate"/>
      </w:r>
      <w:r>
        <w:rPr>
          <w:rStyle w:val="31"/>
          <w:rFonts w:hint="eastAsia" w:ascii="宋体" w:hAnsi="宋体"/>
          <w:color w:val="auto"/>
          <w:highlight w:val="none"/>
        </w:rPr>
        <w:t>第二部分投标须知</w:t>
      </w:r>
      <w:r>
        <w:rPr>
          <w:rStyle w:val="31"/>
          <w:rFonts w:hint="eastAsia"/>
          <w:color w:val="auto"/>
          <w:highlight w:val="none"/>
        </w:rPr>
        <w:t>..........................................................................................................................7</w:t>
      </w:r>
      <w:r>
        <w:rPr>
          <w:rStyle w:val="31"/>
          <w:rFonts w:hint="eastAsia"/>
          <w:color w:val="auto"/>
          <w:highlight w:val="none"/>
        </w:rPr>
        <w:fldChar w:fldCharType="end"/>
      </w:r>
    </w:p>
    <w:p w14:paraId="2333D9B0">
      <w:pPr>
        <w:pStyle w:val="18"/>
        <w:spacing w:line="480" w:lineRule="auto"/>
        <w:rPr>
          <w:color w:val="auto"/>
          <w:highlight w:val="none"/>
        </w:rPr>
      </w:pPr>
      <w:r>
        <w:rPr>
          <w:color w:val="auto"/>
          <w:highlight w:val="none"/>
        </w:rPr>
        <w:fldChar w:fldCharType="begin"/>
      </w:r>
      <w:r>
        <w:rPr>
          <w:color w:val="auto"/>
          <w:highlight w:val="none"/>
        </w:rPr>
        <w:instrText xml:space="preserve"> HYPERLINK \l "_Toc18778" </w:instrText>
      </w:r>
      <w:r>
        <w:rPr>
          <w:color w:val="auto"/>
          <w:highlight w:val="none"/>
        </w:rPr>
        <w:fldChar w:fldCharType="separate"/>
      </w:r>
      <w:r>
        <w:rPr>
          <w:rStyle w:val="31"/>
          <w:rFonts w:hint="eastAsia" w:ascii="宋体" w:hAnsi="宋体"/>
          <w:color w:val="auto"/>
          <w:highlight w:val="none"/>
        </w:rPr>
        <w:t>第三部分评标办法</w:t>
      </w:r>
      <w:r>
        <w:rPr>
          <w:rStyle w:val="31"/>
          <w:rFonts w:hint="eastAsia"/>
          <w:color w:val="auto"/>
          <w:highlight w:val="none"/>
        </w:rPr>
        <w:t>........................................................................................................................2</w:t>
      </w:r>
      <w:r>
        <w:rPr>
          <w:rStyle w:val="31"/>
          <w:rFonts w:hint="eastAsia"/>
          <w:color w:val="auto"/>
          <w:highlight w:val="none"/>
        </w:rPr>
        <w:fldChar w:fldCharType="end"/>
      </w:r>
      <w:r>
        <w:rPr>
          <w:rFonts w:hint="eastAsia"/>
          <w:color w:val="auto"/>
          <w:highlight w:val="none"/>
        </w:rPr>
        <w:t>3</w:t>
      </w:r>
    </w:p>
    <w:p w14:paraId="356A269E">
      <w:pPr>
        <w:pStyle w:val="18"/>
        <w:spacing w:line="480" w:lineRule="auto"/>
        <w:rPr>
          <w:color w:val="auto"/>
          <w:highlight w:val="none"/>
        </w:rPr>
      </w:pPr>
      <w:r>
        <w:rPr>
          <w:color w:val="auto"/>
          <w:highlight w:val="none"/>
        </w:rPr>
        <w:fldChar w:fldCharType="begin"/>
      </w:r>
      <w:r>
        <w:rPr>
          <w:color w:val="auto"/>
          <w:highlight w:val="none"/>
        </w:rPr>
        <w:instrText xml:space="preserve"> HYPERLINK \l "_Toc5306" </w:instrText>
      </w:r>
      <w:r>
        <w:rPr>
          <w:color w:val="auto"/>
          <w:highlight w:val="none"/>
        </w:rPr>
        <w:fldChar w:fldCharType="separate"/>
      </w:r>
      <w:r>
        <w:rPr>
          <w:rStyle w:val="31"/>
          <w:rFonts w:hint="eastAsia" w:ascii="宋体" w:hAnsi="宋体"/>
          <w:color w:val="auto"/>
          <w:highlight w:val="none"/>
        </w:rPr>
        <w:t>第四部分招标任务书</w:t>
      </w:r>
      <w:r>
        <w:rPr>
          <w:rStyle w:val="31"/>
          <w:rFonts w:hint="eastAsia"/>
          <w:color w:val="auto"/>
          <w:highlight w:val="none"/>
        </w:rPr>
        <w:t>.....................................................................................................................2</w:t>
      </w:r>
      <w:r>
        <w:rPr>
          <w:rStyle w:val="31"/>
          <w:rFonts w:hint="eastAsia"/>
          <w:color w:val="auto"/>
          <w:highlight w:val="none"/>
        </w:rPr>
        <w:fldChar w:fldCharType="end"/>
      </w:r>
      <w:r>
        <w:rPr>
          <w:rFonts w:hint="eastAsia"/>
          <w:color w:val="auto"/>
          <w:highlight w:val="none"/>
        </w:rPr>
        <w:t>9</w:t>
      </w:r>
    </w:p>
    <w:p w14:paraId="4C92DF69">
      <w:pPr>
        <w:pStyle w:val="18"/>
        <w:spacing w:line="480" w:lineRule="auto"/>
        <w:rPr>
          <w:color w:val="auto"/>
          <w:highlight w:val="none"/>
        </w:rPr>
      </w:pPr>
      <w:r>
        <w:rPr>
          <w:color w:val="auto"/>
          <w:highlight w:val="none"/>
        </w:rPr>
        <w:fldChar w:fldCharType="begin"/>
      </w:r>
      <w:r>
        <w:rPr>
          <w:color w:val="auto"/>
          <w:highlight w:val="none"/>
        </w:rPr>
        <w:instrText xml:space="preserve"> HYPERLINK \l "_Toc6781" </w:instrText>
      </w:r>
      <w:r>
        <w:rPr>
          <w:color w:val="auto"/>
          <w:highlight w:val="none"/>
        </w:rPr>
        <w:fldChar w:fldCharType="separate"/>
      </w:r>
      <w:r>
        <w:rPr>
          <w:rStyle w:val="31"/>
          <w:rFonts w:hint="eastAsia" w:ascii="宋体" w:hAnsi="宋体"/>
          <w:color w:val="auto"/>
          <w:highlight w:val="none"/>
        </w:rPr>
        <w:t>第五部分合同条款及格式</w:t>
      </w:r>
      <w:r>
        <w:rPr>
          <w:rStyle w:val="31"/>
          <w:rFonts w:hint="eastAsia"/>
          <w:color w:val="auto"/>
          <w:highlight w:val="none"/>
        </w:rPr>
        <w:t>.............................................................................................................49</w:t>
      </w:r>
      <w:r>
        <w:rPr>
          <w:rStyle w:val="31"/>
          <w:rFonts w:hint="eastAsia"/>
          <w:color w:val="auto"/>
          <w:highlight w:val="none"/>
        </w:rPr>
        <w:fldChar w:fldCharType="end"/>
      </w:r>
    </w:p>
    <w:p w14:paraId="145A94B5">
      <w:pPr>
        <w:pStyle w:val="18"/>
        <w:spacing w:line="480" w:lineRule="auto"/>
        <w:rPr>
          <w:color w:val="auto"/>
          <w:highlight w:val="none"/>
        </w:rPr>
      </w:pPr>
      <w:r>
        <w:rPr>
          <w:color w:val="auto"/>
          <w:highlight w:val="none"/>
        </w:rPr>
        <w:fldChar w:fldCharType="begin"/>
      </w:r>
      <w:r>
        <w:rPr>
          <w:color w:val="auto"/>
          <w:highlight w:val="none"/>
        </w:rPr>
        <w:instrText xml:space="preserve"> HYPERLINK \l "_Toc13681" </w:instrText>
      </w:r>
      <w:r>
        <w:rPr>
          <w:color w:val="auto"/>
          <w:highlight w:val="none"/>
        </w:rPr>
        <w:fldChar w:fldCharType="separate"/>
      </w:r>
      <w:r>
        <w:rPr>
          <w:rStyle w:val="31"/>
          <w:rFonts w:hint="eastAsia" w:ascii="宋体" w:hAnsi="宋体"/>
          <w:color w:val="auto"/>
          <w:highlight w:val="none"/>
        </w:rPr>
        <w:t>第六部分投标文件格式</w:t>
      </w:r>
      <w:r>
        <w:rPr>
          <w:rStyle w:val="31"/>
          <w:rFonts w:hint="eastAsia"/>
          <w:color w:val="auto"/>
          <w:highlight w:val="none"/>
        </w:rPr>
        <w:t>.................................................................................................................5</w:t>
      </w:r>
      <w:r>
        <w:rPr>
          <w:rStyle w:val="31"/>
          <w:rFonts w:hint="eastAsia"/>
          <w:color w:val="auto"/>
          <w:highlight w:val="none"/>
        </w:rPr>
        <w:fldChar w:fldCharType="end"/>
      </w:r>
      <w:r>
        <w:rPr>
          <w:rFonts w:hint="eastAsia"/>
          <w:color w:val="auto"/>
          <w:highlight w:val="none"/>
        </w:rPr>
        <w:t>3</w:t>
      </w:r>
    </w:p>
    <w:p w14:paraId="6C744D6E">
      <w:pPr>
        <w:pStyle w:val="2"/>
        <w:spacing w:line="360" w:lineRule="auto"/>
        <w:ind w:left="0" w:firstLine="0"/>
        <w:jc w:val="center"/>
        <w:rPr>
          <w:rFonts w:hint="eastAsia" w:ascii="宋体" w:hAnsi="宋体"/>
          <w:color w:val="auto"/>
          <w:highlight w:val="none"/>
        </w:rPr>
      </w:pPr>
      <w:bookmarkStart w:id="2" w:name="_Toc23236"/>
      <w:bookmarkEnd w:id="2"/>
      <w:bookmarkStart w:id="3" w:name="_Toc32454"/>
      <w:bookmarkEnd w:id="3"/>
      <w:bookmarkStart w:id="4" w:name="_Toc26594"/>
    </w:p>
    <w:p w14:paraId="2A495B19">
      <w:pPr>
        <w:pStyle w:val="2"/>
        <w:spacing w:line="360" w:lineRule="auto"/>
        <w:ind w:left="0" w:firstLine="0"/>
        <w:jc w:val="center"/>
        <w:rPr>
          <w:rFonts w:hint="eastAsia" w:ascii="宋体" w:hAnsi="宋体"/>
          <w:color w:val="auto"/>
          <w:highlight w:val="none"/>
        </w:rPr>
      </w:pPr>
    </w:p>
    <w:p w14:paraId="616201DC">
      <w:pPr>
        <w:pStyle w:val="2"/>
        <w:spacing w:line="360" w:lineRule="auto"/>
        <w:ind w:left="0" w:firstLine="0"/>
        <w:jc w:val="center"/>
        <w:rPr>
          <w:rFonts w:hint="eastAsia" w:ascii="宋体" w:hAnsi="宋体"/>
          <w:color w:val="auto"/>
          <w:highlight w:val="none"/>
        </w:rPr>
      </w:pPr>
    </w:p>
    <w:p w14:paraId="63BAB0FF">
      <w:pPr>
        <w:pStyle w:val="2"/>
        <w:spacing w:line="360" w:lineRule="auto"/>
        <w:ind w:left="0" w:firstLine="0"/>
        <w:jc w:val="center"/>
        <w:rPr>
          <w:rFonts w:hint="eastAsia" w:ascii="宋体" w:hAnsi="宋体"/>
          <w:color w:val="auto"/>
          <w:highlight w:val="none"/>
        </w:rPr>
      </w:pPr>
    </w:p>
    <w:p w14:paraId="4D2799DF">
      <w:pPr>
        <w:pStyle w:val="2"/>
        <w:spacing w:line="360" w:lineRule="auto"/>
        <w:ind w:left="0" w:firstLine="0"/>
        <w:rPr>
          <w:rFonts w:hint="eastAsia" w:ascii="宋体" w:hAnsi="宋体"/>
          <w:color w:val="auto"/>
          <w:highlight w:val="none"/>
        </w:rPr>
      </w:pPr>
    </w:p>
    <w:bookmarkEnd w:id="4"/>
    <w:p w14:paraId="667B3405">
      <w:pPr>
        <w:autoSpaceDE w:val="0"/>
        <w:autoSpaceDN w:val="0"/>
        <w:adjustRightInd w:val="0"/>
        <w:spacing w:line="444" w:lineRule="exact"/>
        <w:ind w:left="1859" w:right="1858"/>
        <w:jc w:val="center"/>
        <w:rPr>
          <w:rFonts w:hint="eastAsia" w:ascii="宋体" w:hAnsi="宋体"/>
          <w:color w:val="auto"/>
          <w:kern w:val="0"/>
          <w:sz w:val="28"/>
          <w:szCs w:val="28"/>
          <w:highlight w:val="none"/>
        </w:rPr>
      </w:pPr>
      <w:bookmarkStart w:id="5" w:name="_Toc11071"/>
      <w:bookmarkEnd w:id="5"/>
      <w:bookmarkStart w:id="6" w:name="_Toc21389"/>
      <w:bookmarkEnd w:id="6"/>
      <w:bookmarkStart w:id="7" w:name="_Toc11847"/>
      <w:bookmarkEnd w:id="7"/>
      <w:bookmarkStart w:id="8" w:name="_Toc25952"/>
      <w:bookmarkEnd w:id="8"/>
      <w:bookmarkStart w:id="9" w:name="_Toc1009"/>
      <w:bookmarkEnd w:id="9"/>
      <w:bookmarkStart w:id="10" w:name="_Toc15301"/>
      <w:bookmarkEnd w:id="10"/>
      <w:bookmarkStart w:id="11" w:name="_Toc5672"/>
      <w:bookmarkEnd w:id="11"/>
      <w:bookmarkStart w:id="12" w:name="_Toc5557"/>
      <w:bookmarkEnd w:id="12"/>
      <w:bookmarkStart w:id="13" w:name="_Toc11002"/>
      <w:bookmarkEnd w:id="13"/>
      <w:bookmarkStart w:id="14" w:name="_Toc9139"/>
      <w:bookmarkEnd w:id="14"/>
      <w:bookmarkStart w:id="15" w:name="_Toc20928"/>
      <w:bookmarkEnd w:id="15"/>
      <w:bookmarkStart w:id="16" w:name="_Toc8702"/>
      <w:bookmarkEnd w:id="16"/>
      <w:bookmarkStart w:id="17" w:name="_Toc8940"/>
    </w:p>
    <w:p w14:paraId="3FB23037">
      <w:pPr>
        <w:autoSpaceDE w:val="0"/>
        <w:autoSpaceDN w:val="0"/>
        <w:adjustRightInd w:val="0"/>
        <w:spacing w:line="444" w:lineRule="exact"/>
        <w:ind w:left="1859" w:right="1858"/>
        <w:jc w:val="center"/>
        <w:rPr>
          <w:rFonts w:hint="eastAsia" w:ascii="宋体" w:hAnsi="宋体"/>
          <w:color w:val="auto"/>
          <w:kern w:val="0"/>
          <w:sz w:val="28"/>
          <w:szCs w:val="28"/>
          <w:highlight w:val="none"/>
        </w:rPr>
      </w:pPr>
    </w:p>
    <w:p w14:paraId="3A5562B4">
      <w:pPr>
        <w:autoSpaceDE w:val="0"/>
        <w:autoSpaceDN w:val="0"/>
        <w:adjustRightInd w:val="0"/>
        <w:spacing w:line="444" w:lineRule="exact"/>
        <w:ind w:left="1859" w:right="1858"/>
        <w:jc w:val="center"/>
        <w:rPr>
          <w:rFonts w:hint="eastAsia" w:ascii="宋体" w:hAnsi="宋体"/>
          <w:color w:val="auto"/>
          <w:kern w:val="0"/>
          <w:sz w:val="28"/>
          <w:szCs w:val="28"/>
          <w:highlight w:val="none"/>
        </w:rPr>
      </w:pPr>
    </w:p>
    <w:p w14:paraId="2412E880">
      <w:pPr>
        <w:pStyle w:val="10"/>
        <w:rPr>
          <w:rFonts w:hint="eastAsia" w:ascii="宋体" w:hAnsi="宋体"/>
          <w:color w:val="auto"/>
          <w:kern w:val="0"/>
          <w:sz w:val="28"/>
          <w:szCs w:val="28"/>
          <w:highlight w:val="none"/>
        </w:rPr>
      </w:pPr>
    </w:p>
    <w:p w14:paraId="17EDB470">
      <w:pPr>
        <w:pStyle w:val="2"/>
        <w:spacing w:before="0" w:beforeAutospacing="0" w:after="0" w:afterAutospacing="0" w:line="240" w:lineRule="auto"/>
        <w:ind w:left="0" w:firstLine="0"/>
        <w:jc w:val="both"/>
        <w:rPr>
          <w:rFonts w:hint="eastAsia" w:ascii="宋体" w:hAnsi="宋体"/>
          <w:color w:val="auto"/>
          <w:highlight w:val="none"/>
        </w:rPr>
      </w:pPr>
    </w:p>
    <w:p w14:paraId="232C9C04">
      <w:pPr>
        <w:pStyle w:val="2"/>
        <w:spacing w:before="0" w:beforeAutospacing="0" w:after="0" w:afterAutospacing="0" w:line="240" w:lineRule="auto"/>
        <w:ind w:left="0" w:firstLine="0"/>
        <w:jc w:val="both"/>
        <w:rPr>
          <w:rFonts w:hint="eastAsia" w:ascii="宋体" w:hAnsi="宋体"/>
          <w:color w:val="auto"/>
          <w:highlight w:val="none"/>
        </w:rPr>
      </w:pPr>
    </w:p>
    <w:p w14:paraId="325C24E5">
      <w:pPr>
        <w:rPr>
          <w:color w:val="auto"/>
          <w:highlight w:val="none"/>
        </w:rPr>
      </w:pPr>
    </w:p>
    <w:p w14:paraId="4A22171A">
      <w:pPr>
        <w:pStyle w:val="2"/>
        <w:spacing w:before="0" w:beforeAutospacing="0" w:after="0" w:afterAutospacing="0" w:line="240" w:lineRule="auto"/>
        <w:ind w:left="0" w:firstLine="0"/>
        <w:jc w:val="center"/>
        <w:rPr>
          <w:rFonts w:hint="eastAsia" w:ascii="宋体" w:hAnsi="宋体"/>
          <w:color w:val="auto"/>
          <w:highlight w:val="none"/>
        </w:rPr>
      </w:pPr>
      <w:r>
        <w:rPr>
          <w:rFonts w:hint="eastAsia" w:ascii="宋体" w:hAnsi="宋体"/>
          <w:color w:val="auto"/>
          <w:highlight w:val="none"/>
        </w:rPr>
        <w:t>第一部分招标公告</w:t>
      </w:r>
    </w:p>
    <w:p w14:paraId="3E6FFA64">
      <w:pPr>
        <w:pStyle w:val="43"/>
        <w:jc w:val="center"/>
        <w:rPr>
          <w:rFonts w:hint="eastAsia" w:ascii="宋体" w:hAnsi="宋体"/>
          <w:b/>
          <w:color w:val="auto"/>
          <w:sz w:val="24"/>
          <w:szCs w:val="24"/>
          <w:highlight w:val="none"/>
        </w:rPr>
      </w:pPr>
      <w:r>
        <w:rPr>
          <w:rFonts w:hint="eastAsia" w:ascii="宋体" w:hAnsi="宋体"/>
          <w:b/>
          <w:color w:val="auto"/>
          <w:sz w:val="24"/>
          <w:szCs w:val="24"/>
          <w:highlight w:val="none"/>
        </w:rPr>
        <w:t>开封市鼓楼区机关事务中心机关食堂食材供应商服务项目</w:t>
      </w:r>
    </w:p>
    <w:p w14:paraId="6EE9ACB3">
      <w:pPr>
        <w:pStyle w:val="43"/>
        <w:jc w:val="center"/>
        <w:rPr>
          <w:rFonts w:ascii="宋体" w:hAnsi="宋体"/>
          <w:b/>
          <w:color w:val="auto"/>
          <w:sz w:val="24"/>
          <w:szCs w:val="24"/>
          <w:highlight w:val="none"/>
        </w:rPr>
      </w:pPr>
      <w:r>
        <w:rPr>
          <w:rFonts w:ascii="宋体" w:hAnsi="宋体"/>
          <w:b/>
          <w:color w:val="auto"/>
          <w:sz w:val="24"/>
          <w:szCs w:val="24"/>
          <w:highlight w:val="none"/>
        </w:rPr>
        <w:t>招标公告</w:t>
      </w:r>
      <w:bookmarkEnd w:id="17"/>
      <w:bookmarkStart w:id="18" w:name="_Toc247085688"/>
      <w:bookmarkEnd w:id="18"/>
      <w:bookmarkStart w:id="19" w:name="_Toc2105"/>
      <w:bookmarkEnd w:id="19"/>
      <w:bookmarkStart w:id="20" w:name="_Toc21352"/>
      <w:bookmarkEnd w:id="20"/>
      <w:bookmarkStart w:id="21" w:name="_Toc8140"/>
      <w:bookmarkEnd w:id="21"/>
      <w:bookmarkStart w:id="22" w:name="_Toc144974496"/>
      <w:bookmarkEnd w:id="22"/>
      <w:bookmarkStart w:id="23" w:name="_Toc21278"/>
      <w:bookmarkEnd w:id="23"/>
      <w:bookmarkStart w:id="24" w:name="_Toc246996174"/>
      <w:bookmarkEnd w:id="24"/>
      <w:bookmarkStart w:id="25" w:name="_Toc179632545"/>
      <w:bookmarkEnd w:id="25"/>
      <w:bookmarkStart w:id="26" w:name="_Toc152045528"/>
      <w:bookmarkEnd w:id="26"/>
      <w:bookmarkStart w:id="27" w:name="_Toc338840480"/>
      <w:bookmarkEnd w:id="27"/>
      <w:bookmarkStart w:id="28" w:name="_Toc12412"/>
      <w:bookmarkEnd w:id="28"/>
      <w:bookmarkStart w:id="29" w:name="_Toc15752"/>
      <w:bookmarkEnd w:id="29"/>
      <w:bookmarkStart w:id="30" w:name="_Toc246996917"/>
      <w:bookmarkEnd w:id="30"/>
      <w:bookmarkStart w:id="31" w:name="_Toc18366"/>
      <w:bookmarkEnd w:id="31"/>
      <w:bookmarkStart w:id="32" w:name="_Toc346523401"/>
      <w:bookmarkEnd w:id="32"/>
      <w:bookmarkStart w:id="33" w:name="_Toc13435"/>
      <w:bookmarkEnd w:id="33"/>
      <w:bookmarkStart w:id="34" w:name="_Toc152042304"/>
      <w:bookmarkEnd w:id="34"/>
      <w:bookmarkStart w:id="35" w:name="_Toc4901220"/>
      <w:bookmarkEnd w:id="35"/>
      <w:bookmarkStart w:id="36" w:name="_Toc11930"/>
      <w:bookmarkEnd w:id="36"/>
      <w:bookmarkStart w:id="37" w:name="_Toc338840441"/>
      <w:bookmarkEnd w:id="37"/>
      <w:bookmarkStart w:id="38" w:name="_Toc13881"/>
      <w:bookmarkEnd w:id="38"/>
      <w:bookmarkStart w:id="39" w:name="_Toc117657127"/>
      <w:bookmarkEnd w:id="39"/>
      <w:bookmarkStart w:id="40" w:name="_Toc338840186"/>
      <w:bookmarkEnd w:id="40"/>
      <w:bookmarkStart w:id="41" w:name="_Toc89055971"/>
    </w:p>
    <w:p w14:paraId="59612282">
      <w:pPr>
        <w:pStyle w:val="43"/>
        <w:spacing w:line="360" w:lineRule="auto"/>
        <w:rPr>
          <w:rFonts w:ascii="宋体" w:hAnsi="宋体"/>
          <w:bCs/>
          <w:color w:val="auto"/>
          <w:highlight w:val="none"/>
        </w:rPr>
      </w:pPr>
      <w:r>
        <w:rPr>
          <w:rFonts w:ascii="宋体" w:hAnsi="宋体"/>
          <w:bCs/>
          <w:color w:val="auto"/>
          <w:highlight w:val="none"/>
        </w:rPr>
        <w:t>项目概况</w:t>
      </w:r>
    </w:p>
    <w:p w14:paraId="2FDA9F95">
      <w:pPr>
        <w:pStyle w:val="43"/>
        <w:spacing w:line="360" w:lineRule="auto"/>
        <w:ind w:firstLine="420" w:firstLineChars="200"/>
        <w:rPr>
          <w:rFonts w:ascii="宋体" w:hAnsi="宋体"/>
          <w:bCs/>
          <w:color w:val="auto"/>
          <w:highlight w:val="none"/>
        </w:rPr>
      </w:pPr>
      <w:r>
        <w:rPr>
          <w:rFonts w:hint="eastAsia" w:ascii="宋体" w:hAnsi="宋体"/>
          <w:bCs/>
          <w:color w:val="auto"/>
          <w:highlight w:val="none"/>
          <w:u w:val="single"/>
        </w:rPr>
        <w:t>开封市鼓楼区机关事务中心机关食堂食材供应商服务项目</w:t>
      </w:r>
      <w:r>
        <w:rPr>
          <w:rFonts w:ascii="宋体" w:hAnsi="宋体"/>
          <w:bCs/>
          <w:color w:val="auto"/>
          <w:highlight w:val="none"/>
        </w:rPr>
        <w:t>招标项目的潜在投标人应在</w:t>
      </w:r>
      <w:r>
        <w:rPr>
          <w:rFonts w:ascii="宋体" w:hAnsi="宋体"/>
          <w:bCs/>
          <w:color w:val="auto"/>
          <w:highlight w:val="none"/>
          <w:u w:val="single"/>
        </w:rPr>
        <w:t>规定时间内凭CA密钥登录开封市公共资源交易信息网站（http://www.kfsggzyjyw.cn/），点击“交易主体登陆”进入电子招投标交易平台</w:t>
      </w:r>
      <w:r>
        <w:rPr>
          <w:rFonts w:ascii="宋体" w:hAnsi="宋体"/>
          <w:bCs/>
          <w:color w:val="auto"/>
          <w:highlight w:val="none"/>
        </w:rPr>
        <w:t>获取招标文件，并于</w:t>
      </w:r>
      <w:r>
        <w:rPr>
          <w:rFonts w:ascii="宋体" w:hAnsi="宋体"/>
          <w:bCs/>
          <w:color w:val="auto"/>
          <w:highlight w:val="none"/>
          <w:u w:val="single"/>
        </w:rPr>
        <w:t>2026年</w:t>
      </w:r>
      <w:r>
        <w:rPr>
          <w:rFonts w:hint="eastAsia" w:ascii="宋体" w:hAnsi="宋体"/>
          <w:bCs/>
          <w:color w:val="auto"/>
          <w:highlight w:val="none"/>
          <w:u w:val="single"/>
          <w:lang w:val="en-US" w:eastAsia="zh-CN"/>
        </w:rPr>
        <w:t>10</w:t>
      </w:r>
      <w:r>
        <w:rPr>
          <w:rFonts w:ascii="宋体" w:hAnsi="宋体"/>
          <w:bCs/>
          <w:color w:val="auto"/>
          <w:highlight w:val="none"/>
          <w:u w:val="single"/>
        </w:rPr>
        <w:t>月</w:t>
      </w:r>
      <w:r>
        <w:rPr>
          <w:rFonts w:hint="eastAsia" w:ascii="宋体" w:hAnsi="宋体"/>
          <w:bCs/>
          <w:color w:val="auto"/>
          <w:highlight w:val="none"/>
          <w:u w:val="single"/>
          <w:lang w:val="en-US" w:eastAsia="zh-CN"/>
        </w:rPr>
        <w:t>21</w:t>
      </w:r>
      <w:r>
        <w:rPr>
          <w:rFonts w:ascii="宋体" w:hAnsi="宋体"/>
          <w:bCs/>
          <w:color w:val="auto"/>
          <w:highlight w:val="none"/>
          <w:u w:val="single"/>
        </w:rPr>
        <w:t xml:space="preserve"> 日9时20分</w:t>
      </w:r>
      <w:r>
        <w:rPr>
          <w:rFonts w:ascii="宋体" w:hAnsi="宋体"/>
          <w:bCs/>
          <w:color w:val="auto"/>
          <w:highlight w:val="none"/>
        </w:rPr>
        <w:t>（北京时间）前递交投标文件。</w:t>
      </w:r>
    </w:p>
    <w:p w14:paraId="060ACC31">
      <w:pPr>
        <w:pStyle w:val="43"/>
        <w:spacing w:line="360" w:lineRule="auto"/>
        <w:rPr>
          <w:rFonts w:ascii="宋体" w:hAnsi="宋体"/>
          <w:b/>
          <w:color w:val="auto"/>
          <w:highlight w:val="none"/>
        </w:rPr>
      </w:pPr>
      <w:r>
        <w:rPr>
          <w:rFonts w:ascii="宋体" w:hAnsi="宋体"/>
          <w:b/>
          <w:color w:val="auto"/>
          <w:highlight w:val="none"/>
        </w:rPr>
        <w:t>一、项目基本情况</w:t>
      </w:r>
    </w:p>
    <w:p w14:paraId="72274518">
      <w:pPr>
        <w:pStyle w:val="43"/>
        <w:spacing w:line="360" w:lineRule="auto"/>
        <w:ind w:firstLine="420" w:firstLineChars="200"/>
        <w:rPr>
          <w:rFonts w:hint="default" w:ascii="宋体" w:hAnsi="宋体"/>
          <w:bCs/>
          <w:color w:val="auto"/>
          <w:highlight w:val="none"/>
          <w:lang w:val="en-US"/>
        </w:rPr>
      </w:pPr>
      <w:r>
        <w:rPr>
          <w:rFonts w:ascii="宋体" w:hAnsi="宋体"/>
          <w:bCs/>
          <w:color w:val="auto"/>
          <w:highlight w:val="none"/>
        </w:rPr>
        <w:t>1、项目编号：</w:t>
      </w:r>
      <w:r>
        <w:rPr>
          <w:rFonts w:hint="eastAsia" w:ascii="宋体" w:hAnsi="宋体"/>
          <w:bCs/>
          <w:color w:val="auto"/>
          <w:highlight w:val="none"/>
          <w:lang w:eastAsia="zh-CN"/>
        </w:rPr>
        <w:t>汴鼓财招标采购-202</w:t>
      </w:r>
      <w:r>
        <w:rPr>
          <w:rFonts w:hint="eastAsia" w:ascii="宋体" w:hAnsi="宋体"/>
          <w:bCs/>
          <w:color w:val="auto"/>
          <w:highlight w:val="none"/>
          <w:lang w:val="en-US" w:eastAsia="zh-CN"/>
        </w:rPr>
        <w:t>6</w:t>
      </w:r>
      <w:r>
        <w:rPr>
          <w:rFonts w:hint="eastAsia" w:ascii="宋体" w:hAnsi="宋体"/>
          <w:bCs/>
          <w:color w:val="auto"/>
          <w:highlight w:val="none"/>
          <w:lang w:eastAsia="zh-CN"/>
        </w:rPr>
        <w:t>-</w:t>
      </w:r>
      <w:r>
        <w:rPr>
          <w:rFonts w:hint="eastAsia" w:ascii="宋体" w:hAnsi="宋体"/>
          <w:bCs/>
          <w:color w:val="auto"/>
          <w:highlight w:val="none"/>
          <w:lang w:val="en-US" w:eastAsia="zh-CN"/>
        </w:rPr>
        <w:t>2</w:t>
      </w:r>
    </w:p>
    <w:p w14:paraId="45DF6085">
      <w:pPr>
        <w:pStyle w:val="43"/>
        <w:spacing w:line="360" w:lineRule="auto"/>
        <w:ind w:firstLine="420" w:firstLineChars="200"/>
        <w:rPr>
          <w:rFonts w:hint="eastAsia" w:ascii="宋体" w:hAnsi="宋体"/>
          <w:bCs/>
          <w:color w:val="auto"/>
          <w:highlight w:val="none"/>
        </w:rPr>
      </w:pPr>
      <w:r>
        <w:rPr>
          <w:rFonts w:ascii="宋体" w:hAnsi="宋体"/>
          <w:bCs/>
          <w:color w:val="auto"/>
          <w:highlight w:val="none"/>
        </w:rPr>
        <w:t>2、项目名称：</w:t>
      </w:r>
      <w:r>
        <w:rPr>
          <w:rFonts w:hint="eastAsia" w:ascii="宋体" w:hAnsi="宋体"/>
          <w:bCs/>
          <w:color w:val="auto"/>
          <w:highlight w:val="none"/>
        </w:rPr>
        <w:t>开封市鼓楼区机关事务中心机关食堂食材供应商服务项目</w:t>
      </w:r>
    </w:p>
    <w:p w14:paraId="58972741">
      <w:pPr>
        <w:pStyle w:val="43"/>
        <w:spacing w:line="360" w:lineRule="auto"/>
        <w:ind w:firstLine="420" w:firstLineChars="200"/>
        <w:rPr>
          <w:rFonts w:ascii="宋体" w:hAnsi="宋体"/>
          <w:bCs/>
          <w:color w:val="auto"/>
          <w:highlight w:val="none"/>
          <w:lang w:val="zh-TW"/>
        </w:rPr>
      </w:pPr>
      <w:r>
        <w:rPr>
          <w:rFonts w:ascii="宋体" w:hAnsi="宋体"/>
          <w:bCs/>
          <w:color w:val="auto"/>
          <w:highlight w:val="none"/>
          <w:lang w:val="zh-TW"/>
        </w:rPr>
        <w:t>3、采购方式：公开招标</w:t>
      </w:r>
    </w:p>
    <w:p w14:paraId="096C7F9F">
      <w:pPr>
        <w:pStyle w:val="43"/>
        <w:spacing w:line="360" w:lineRule="auto"/>
        <w:ind w:firstLine="420" w:firstLineChars="200"/>
        <w:rPr>
          <w:rFonts w:ascii="宋体" w:hAnsi="宋体"/>
          <w:bCs/>
          <w:color w:val="auto"/>
          <w:highlight w:val="none"/>
          <w:lang w:val="zh-TW"/>
        </w:rPr>
      </w:pPr>
      <w:r>
        <w:rPr>
          <w:rFonts w:ascii="宋体" w:hAnsi="宋体"/>
          <w:bCs/>
          <w:color w:val="auto"/>
          <w:highlight w:val="none"/>
          <w:lang w:val="zh-TW"/>
        </w:rPr>
        <w:t>4、预算金额：</w:t>
      </w:r>
      <w:r>
        <w:rPr>
          <w:rFonts w:hint="eastAsia" w:ascii="宋体" w:hAnsi="宋体"/>
          <w:bCs/>
          <w:color w:val="auto"/>
          <w:highlight w:val="none"/>
          <w:lang w:val="en-US" w:eastAsia="zh-CN"/>
        </w:rPr>
        <w:t>1800000.00</w:t>
      </w:r>
      <w:r>
        <w:rPr>
          <w:rFonts w:ascii="宋体" w:hAnsi="宋体" w:cs="宋体"/>
          <w:bCs/>
          <w:color w:val="auto"/>
          <w:highlight w:val="none"/>
        </w:rPr>
        <w:t>元</w:t>
      </w:r>
    </w:p>
    <w:p w14:paraId="52205DC3">
      <w:pPr>
        <w:pStyle w:val="43"/>
        <w:spacing w:line="360" w:lineRule="auto"/>
        <w:ind w:firstLine="630" w:firstLineChars="300"/>
        <w:rPr>
          <w:rFonts w:ascii="宋体" w:hAnsi="宋体" w:cs="宋体"/>
          <w:bCs/>
          <w:color w:val="auto"/>
          <w:highlight w:val="none"/>
        </w:rPr>
      </w:pPr>
      <w:r>
        <w:rPr>
          <w:rFonts w:ascii="宋体" w:hAnsi="宋体" w:cs="宋体"/>
          <w:bCs/>
          <w:color w:val="auto"/>
          <w:highlight w:val="none"/>
        </w:rPr>
        <w:t xml:space="preserve"> 最高限价：</w:t>
      </w:r>
      <w:r>
        <w:rPr>
          <w:rFonts w:hint="eastAsia" w:ascii="宋体" w:hAnsi="宋体"/>
          <w:bCs/>
          <w:color w:val="auto"/>
          <w:highlight w:val="none"/>
          <w:lang w:val="en-US" w:eastAsia="zh-CN"/>
        </w:rPr>
        <w:t>1800000.00</w:t>
      </w:r>
      <w:r>
        <w:rPr>
          <w:rFonts w:ascii="宋体" w:hAnsi="宋体" w:cs="宋体"/>
          <w:bCs/>
          <w:color w:val="auto"/>
          <w:highlight w:val="none"/>
        </w:rPr>
        <w:t>元</w:t>
      </w:r>
    </w:p>
    <w:tbl>
      <w:tblPr>
        <w:tblStyle w:val="26"/>
        <w:tblpPr w:leftFromText="180" w:rightFromText="180" w:vertAnchor="text" w:tblpX="-205" w:tblpY="62"/>
        <w:tblOverlap w:val="never"/>
        <w:tblW w:w="93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417"/>
        <w:gridCol w:w="2516"/>
        <w:gridCol w:w="1367"/>
        <w:gridCol w:w="1117"/>
        <w:gridCol w:w="1183"/>
        <w:gridCol w:w="1167"/>
      </w:tblGrid>
      <w:tr w14:paraId="4203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567" w:type="dxa"/>
            <w:vAlign w:val="center"/>
          </w:tcPr>
          <w:p w14:paraId="7F064B8D">
            <w:pPr>
              <w:spacing w:line="360" w:lineRule="auto"/>
              <w:jc w:val="center"/>
              <w:rPr>
                <w:rFonts w:hint="eastAsia" w:ascii="宋体" w:hAnsi="宋体" w:cs="宋体"/>
                <w:color w:val="auto"/>
                <w:highlight w:val="none"/>
              </w:rPr>
            </w:pPr>
            <w:r>
              <w:rPr>
                <w:rFonts w:hint="eastAsia" w:ascii="宋体" w:hAnsi="宋体" w:cs="宋体"/>
                <w:color w:val="auto"/>
                <w:highlight w:val="none"/>
              </w:rPr>
              <w:t>序号</w:t>
            </w:r>
          </w:p>
        </w:tc>
        <w:tc>
          <w:tcPr>
            <w:tcW w:w="1417" w:type="dxa"/>
            <w:vAlign w:val="center"/>
          </w:tcPr>
          <w:p w14:paraId="72C77F14">
            <w:pPr>
              <w:spacing w:line="360" w:lineRule="auto"/>
              <w:jc w:val="center"/>
              <w:rPr>
                <w:rFonts w:hint="eastAsia" w:ascii="宋体" w:hAnsi="宋体" w:cs="宋体"/>
                <w:color w:val="auto"/>
                <w:highlight w:val="none"/>
              </w:rPr>
            </w:pPr>
            <w:r>
              <w:rPr>
                <w:rFonts w:hint="eastAsia" w:ascii="宋体" w:hAnsi="宋体" w:cs="宋体"/>
                <w:color w:val="auto"/>
                <w:highlight w:val="none"/>
              </w:rPr>
              <w:t>包号</w:t>
            </w:r>
          </w:p>
        </w:tc>
        <w:tc>
          <w:tcPr>
            <w:tcW w:w="2516" w:type="dxa"/>
            <w:vAlign w:val="center"/>
          </w:tcPr>
          <w:p w14:paraId="1995E635">
            <w:pPr>
              <w:jc w:val="center"/>
              <w:rPr>
                <w:rFonts w:hint="eastAsia" w:ascii="宋体" w:hAnsi="宋体" w:eastAsia="宋体" w:cs="宋体"/>
                <w:color w:val="auto"/>
                <w:highlight w:val="none"/>
              </w:rPr>
            </w:pPr>
            <w:r>
              <w:rPr>
                <w:rFonts w:hint="eastAsia" w:ascii="宋体" w:hAnsi="宋体" w:eastAsia="宋体" w:cs="宋体"/>
                <w:color w:val="auto"/>
                <w:highlight w:val="none"/>
              </w:rPr>
              <w:t>包名称</w:t>
            </w:r>
          </w:p>
        </w:tc>
        <w:tc>
          <w:tcPr>
            <w:tcW w:w="1367" w:type="dxa"/>
            <w:vAlign w:val="center"/>
          </w:tcPr>
          <w:p w14:paraId="769000DC">
            <w:pPr>
              <w:jc w:val="center"/>
              <w:rPr>
                <w:rFonts w:hint="eastAsia" w:ascii="宋体" w:hAnsi="宋体" w:eastAsia="宋体" w:cs="宋体"/>
                <w:color w:val="auto"/>
                <w:highlight w:val="none"/>
              </w:rPr>
            </w:pPr>
            <w:r>
              <w:rPr>
                <w:rFonts w:hint="eastAsia" w:ascii="宋体" w:hAnsi="宋体" w:eastAsia="宋体" w:cs="宋体"/>
                <w:color w:val="auto"/>
                <w:highlight w:val="none"/>
              </w:rPr>
              <w:t>包预算（元）</w:t>
            </w:r>
          </w:p>
        </w:tc>
        <w:tc>
          <w:tcPr>
            <w:tcW w:w="1117" w:type="dxa"/>
            <w:vAlign w:val="center"/>
          </w:tcPr>
          <w:p w14:paraId="22BFFE0E">
            <w:pPr>
              <w:jc w:val="center"/>
              <w:rPr>
                <w:rFonts w:hint="eastAsia" w:ascii="宋体" w:hAnsi="宋体" w:eastAsia="宋体" w:cs="宋体"/>
                <w:color w:val="auto"/>
                <w:highlight w:val="none"/>
              </w:rPr>
            </w:pPr>
            <w:r>
              <w:rPr>
                <w:rFonts w:hint="eastAsia" w:ascii="宋体" w:hAnsi="宋体" w:eastAsia="宋体" w:cs="宋体"/>
                <w:color w:val="auto"/>
                <w:highlight w:val="none"/>
              </w:rPr>
              <w:t>包最高限价（元）</w:t>
            </w:r>
          </w:p>
        </w:tc>
        <w:tc>
          <w:tcPr>
            <w:tcW w:w="1183" w:type="dxa"/>
            <w:vAlign w:val="center"/>
          </w:tcPr>
          <w:p w14:paraId="29666002">
            <w:pPr>
              <w:jc w:val="center"/>
              <w:rPr>
                <w:rFonts w:hint="eastAsia" w:ascii="宋体" w:hAnsi="宋体" w:eastAsia="宋体" w:cs="宋体"/>
                <w:color w:val="auto"/>
                <w:highlight w:val="none"/>
              </w:rPr>
            </w:pPr>
            <w:r>
              <w:rPr>
                <w:rFonts w:hint="eastAsia" w:ascii="宋体" w:hAnsi="宋体" w:eastAsia="宋体" w:cs="宋体"/>
                <w:color w:val="auto"/>
                <w:highlight w:val="none"/>
              </w:rPr>
              <w:t>是否专门面向中小企业</w:t>
            </w:r>
          </w:p>
        </w:tc>
        <w:tc>
          <w:tcPr>
            <w:tcW w:w="1167" w:type="dxa"/>
            <w:vAlign w:val="center"/>
          </w:tcPr>
          <w:p w14:paraId="4B7D1097">
            <w:pPr>
              <w:jc w:val="center"/>
              <w:rPr>
                <w:rFonts w:hint="eastAsia" w:ascii="宋体" w:hAnsi="宋体" w:eastAsia="宋体" w:cs="宋体"/>
                <w:color w:val="auto"/>
                <w:highlight w:val="none"/>
              </w:rPr>
            </w:pPr>
            <w:r>
              <w:rPr>
                <w:rFonts w:hint="eastAsia" w:ascii="宋体" w:hAnsi="宋体" w:eastAsia="宋体" w:cs="宋体"/>
                <w:color w:val="auto"/>
                <w:highlight w:val="none"/>
              </w:rPr>
              <w:t>采购预留金额（元）</w:t>
            </w:r>
          </w:p>
        </w:tc>
      </w:tr>
      <w:tr w14:paraId="574E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567" w:type="dxa"/>
            <w:vAlign w:val="center"/>
          </w:tcPr>
          <w:p w14:paraId="670F2622">
            <w:pPr>
              <w:spacing w:line="360" w:lineRule="auto"/>
              <w:jc w:val="center"/>
              <w:rPr>
                <w:rFonts w:hint="eastAsia" w:ascii="宋体" w:hAnsi="宋体" w:cs="宋体"/>
                <w:color w:val="auto"/>
                <w:highlight w:val="none"/>
              </w:rPr>
            </w:pPr>
            <w:r>
              <w:rPr>
                <w:rFonts w:hint="eastAsia" w:ascii="宋体" w:hAnsi="宋体" w:cs="宋体"/>
                <w:color w:val="auto"/>
                <w:highlight w:val="none"/>
              </w:rPr>
              <w:t>1</w:t>
            </w:r>
          </w:p>
        </w:tc>
        <w:tc>
          <w:tcPr>
            <w:tcW w:w="1417" w:type="dxa"/>
            <w:vAlign w:val="center"/>
          </w:tcPr>
          <w:p w14:paraId="2169B268">
            <w:pPr>
              <w:widowControl/>
              <w:jc w:val="center"/>
              <w:rPr>
                <w:rFonts w:hint="default" w:ascii="宋体" w:hAnsi="宋体" w:cs="宋体"/>
                <w:color w:val="auto"/>
                <w:highlight w:val="none"/>
                <w:lang w:val="en-US"/>
              </w:rPr>
            </w:pPr>
            <w:r>
              <w:rPr>
                <w:rFonts w:hint="eastAsia" w:ascii="宋体" w:hAnsi="宋体"/>
                <w:bCs/>
                <w:color w:val="auto"/>
                <w:highlight w:val="none"/>
                <w:lang w:eastAsia="zh-CN"/>
              </w:rPr>
              <w:t>汴鼓财招标采购-202</w:t>
            </w:r>
            <w:r>
              <w:rPr>
                <w:rFonts w:hint="eastAsia" w:ascii="宋体" w:hAnsi="宋体"/>
                <w:bCs/>
                <w:color w:val="auto"/>
                <w:highlight w:val="none"/>
                <w:lang w:val="en-US" w:eastAsia="zh-CN"/>
              </w:rPr>
              <w:t>6</w:t>
            </w:r>
            <w:r>
              <w:rPr>
                <w:rFonts w:hint="eastAsia" w:ascii="宋体" w:hAnsi="宋体"/>
                <w:bCs/>
                <w:color w:val="auto"/>
                <w:highlight w:val="none"/>
                <w:lang w:eastAsia="zh-CN"/>
              </w:rPr>
              <w:t>-</w:t>
            </w:r>
            <w:r>
              <w:rPr>
                <w:rFonts w:hint="eastAsia" w:ascii="宋体" w:hAnsi="宋体"/>
                <w:bCs/>
                <w:color w:val="auto"/>
                <w:highlight w:val="none"/>
                <w:lang w:val="en-US" w:eastAsia="zh-CN"/>
              </w:rPr>
              <w:t>2</w:t>
            </w:r>
          </w:p>
        </w:tc>
        <w:tc>
          <w:tcPr>
            <w:tcW w:w="2516" w:type="dxa"/>
            <w:vAlign w:val="center"/>
          </w:tcPr>
          <w:p w14:paraId="286B3B0D">
            <w:pPr>
              <w:jc w:val="center"/>
              <w:rPr>
                <w:rFonts w:hint="eastAsia" w:ascii="宋体" w:hAnsi="宋体" w:eastAsia="宋体" w:cs="宋体"/>
                <w:color w:val="auto"/>
                <w:highlight w:val="none"/>
              </w:rPr>
            </w:pPr>
            <w:r>
              <w:rPr>
                <w:rFonts w:hint="eastAsia" w:ascii="宋体" w:hAnsi="宋体" w:eastAsia="宋体" w:cs="宋体"/>
                <w:color w:val="auto"/>
                <w:highlight w:val="none"/>
              </w:rPr>
              <w:t>开封市鼓楼区机关事务中心机关食堂食材供应商服务项目</w:t>
            </w:r>
          </w:p>
        </w:tc>
        <w:tc>
          <w:tcPr>
            <w:tcW w:w="1367" w:type="dxa"/>
            <w:vAlign w:val="center"/>
          </w:tcPr>
          <w:p w14:paraId="2B01DF7D">
            <w:pPr>
              <w:jc w:val="center"/>
              <w:rPr>
                <w:rFonts w:hint="eastAsia" w:ascii="宋体" w:hAnsi="宋体" w:eastAsia="宋体" w:cs="宋体"/>
                <w:color w:val="auto"/>
                <w:highlight w:val="none"/>
                <w:lang w:val="en"/>
              </w:rPr>
            </w:pPr>
            <w:r>
              <w:rPr>
                <w:rFonts w:hint="eastAsia" w:ascii="宋体" w:hAnsi="宋体" w:eastAsia="宋体" w:cs="宋体"/>
                <w:color w:val="auto"/>
                <w:highlight w:val="none"/>
                <w:lang w:val="en-US" w:eastAsia="zh-CN"/>
              </w:rPr>
              <w:t>1800000</w:t>
            </w:r>
          </w:p>
        </w:tc>
        <w:tc>
          <w:tcPr>
            <w:tcW w:w="1117" w:type="dxa"/>
            <w:vAlign w:val="center"/>
          </w:tcPr>
          <w:p w14:paraId="14F6E80A">
            <w:pPr>
              <w:jc w:val="center"/>
              <w:rPr>
                <w:rFonts w:hint="eastAsia" w:ascii="宋体" w:hAnsi="宋体" w:eastAsia="宋体" w:cs="宋体"/>
                <w:color w:val="auto"/>
                <w:highlight w:val="none"/>
                <w:lang w:val="en"/>
              </w:rPr>
            </w:pPr>
            <w:r>
              <w:rPr>
                <w:rFonts w:hint="eastAsia" w:ascii="宋体" w:hAnsi="宋体" w:eastAsia="宋体" w:cs="宋体"/>
                <w:color w:val="auto"/>
                <w:highlight w:val="none"/>
                <w:lang w:val="en-US" w:eastAsia="zh-CN"/>
              </w:rPr>
              <w:t>1800000</w:t>
            </w:r>
          </w:p>
        </w:tc>
        <w:tc>
          <w:tcPr>
            <w:tcW w:w="1183" w:type="dxa"/>
            <w:vAlign w:val="center"/>
          </w:tcPr>
          <w:p w14:paraId="57814864">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是</w:t>
            </w:r>
          </w:p>
        </w:tc>
        <w:tc>
          <w:tcPr>
            <w:tcW w:w="1167" w:type="dxa"/>
            <w:vAlign w:val="center"/>
          </w:tcPr>
          <w:p w14:paraId="2BCFF5AD">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1800000</w:t>
            </w:r>
          </w:p>
        </w:tc>
      </w:tr>
    </w:tbl>
    <w:p w14:paraId="789008D8">
      <w:pPr>
        <w:spacing w:line="360" w:lineRule="auto"/>
        <w:ind w:firstLine="420" w:firstLineChars="200"/>
        <w:rPr>
          <w:rFonts w:hint="eastAsia" w:ascii="宋体" w:hAnsi="宋体"/>
          <w:bCs/>
          <w:color w:val="auto"/>
          <w:highlight w:val="none"/>
          <w:lang w:val="zh-TW"/>
        </w:rPr>
      </w:pPr>
      <w:r>
        <w:rPr>
          <w:rFonts w:hint="eastAsia" w:ascii="宋体" w:hAnsi="宋体"/>
          <w:bCs/>
          <w:color w:val="auto"/>
          <w:highlight w:val="none"/>
        </w:rPr>
        <w:t>5</w:t>
      </w:r>
      <w:r>
        <w:rPr>
          <w:rFonts w:ascii="宋体" w:hAnsi="宋体"/>
          <w:bCs/>
          <w:color w:val="auto"/>
          <w:highlight w:val="none"/>
          <w:lang w:val="zh-TW"/>
        </w:rPr>
        <w:t>、采购需求</w:t>
      </w:r>
      <w:r>
        <w:rPr>
          <w:rFonts w:hint="eastAsia" w:ascii="宋体" w:hAnsi="宋体"/>
          <w:color w:val="auto"/>
          <w:highlight w:val="none"/>
        </w:rPr>
        <w:t>（包括但不限于标的的名称、数量、简要技术需求或服务要求等）</w:t>
      </w:r>
      <w:r>
        <w:rPr>
          <w:rFonts w:ascii="宋体" w:hAnsi="宋体"/>
          <w:bCs/>
          <w:color w:val="auto"/>
          <w:highlight w:val="none"/>
          <w:lang w:val="zh-TW"/>
        </w:rPr>
        <w:t>：</w:t>
      </w:r>
    </w:p>
    <w:p w14:paraId="258CFD69">
      <w:pPr>
        <w:spacing w:line="360" w:lineRule="auto"/>
        <w:ind w:firstLine="630" w:firstLineChars="300"/>
        <w:rPr>
          <w:rFonts w:ascii="宋体"/>
          <w:bCs/>
          <w:color w:val="auto"/>
          <w:highlight w:val="none"/>
        </w:rPr>
      </w:pPr>
      <w:r>
        <w:rPr>
          <w:rFonts w:ascii="宋体" w:hAnsi="宋体"/>
          <w:bCs/>
          <w:color w:val="auto"/>
          <w:highlight w:val="none"/>
        </w:rPr>
        <w:t>5.1</w:t>
      </w:r>
      <w:r>
        <w:rPr>
          <w:rFonts w:hint="eastAsia" w:ascii="宋体" w:hAnsi="宋体"/>
          <w:bCs/>
          <w:color w:val="auto"/>
          <w:highlight w:val="none"/>
        </w:rPr>
        <w:t>、服务</w:t>
      </w:r>
      <w:r>
        <w:rPr>
          <w:rFonts w:hint="eastAsia" w:ascii="宋体" w:hAnsi="宋体"/>
          <w:bCs/>
          <w:color w:val="auto"/>
          <w:highlight w:val="none"/>
          <w:lang w:val="zh-TW"/>
        </w:rPr>
        <w:t>内容：</w:t>
      </w:r>
      <w:r>
        <w:rPr>
          <w:rFonts w:hint="eastAsia" w:ascii="宋体" w:hAnsi="宋体" w:eastAsia="宋体" w:cs="宋体"/>
          <w:color w:val="auto"/>
          <w:highlight w:val="none"/>
        </w:rPr>
        <w:t>开封市鼓楼区机关事务中心机关食堂食材供应商服务</w:t>
      </w:r>
      <w:r>
        <w:rPr>
          <w:rFonts w:hint="eastAsia" w:ascii="宋体" w:hAnsi="宋体" w:eastAsia="宋体" w:cs="宋体"/>
          <w:color w:val="auto"/>
          <w:highlight w:val="none"/>
          <w:lang w:val="en-US" w:eastAsia="zh-CN"/>
        </w:rPr>
        <w:t>（包含果蔬类、生鲜肉类、禽肉类、蛋类、水产类、干货调料类、粮油类、豆制品类及其他副食品等，具体详见招标文件）</w:t>
      </w:r>
    </w:p>
    <w:p w14:paraId="757E3AA1">
      <w:pPr>
        <w:spacing w:line="360" w:lineRule="auto"/>
        <w:ind w:firstLine="630" w:firstLineChars="300"/>
        <w:rPr>
          <w:rFonts w:ascii="宋体"/>
          <w:bCs/>
          <w:color w:val="auto"/>
          <w:highlight w:val="none"/>
        </w:rPr>
      </w:pPr>
      <w:r>
        <w:rPr>
          <w:rFonts w:ascii="宋体" w:hAnsi="宋体"/>
          <w:bCs/>
          <w:color w:val="auto"/>
          <w:highlight w:val="none"/>
        </w:rPr>
        <w:t>5.2</w:t>
      </w:r>
      <w:r>
        <w:rPr>
          <w:rFonts w:hint="eastAsia" w:ascii="宋体" w:hAnsi="宋体"/>
          <w:bCs/>
          <w:color w:val="auto"/>
          <w:highlight w:val="none"/>
        </w:rPr>
        <w:t>、服务地点：</w:t>
      </w:r>
      <w:r>
        <w:rPr>
          <w:rFonts w:hint="eastAsia" w:ascii="宋体" w:hAnsi="宋体" w:eastAsia="宋体" w:cs="宋体"/>
          <w:color w:val="auto"/>
          <w:highlight w:val="none"/>
        </w:rPr>
        <w:t>开封市鼓楼区机关事务中心</w:t>
      </w:r>
      <w:r>
        <w:rPr>
          <w:rFonts w:hint="eastAsia" w:ascii="宋体" w:hAnsi="宋体"/>
          <w:bCs/>
          <w:color w:val="auto"/>
          <w:highlight w:val="none"/>
        </w:rPr>
        <w:t>指定地点</w:t>
      </w:r>
    </w:p>
    <w:p w14:paraId="773FB957">
      <w:pPr>
        <w:spacing w:line="360" w:lineRule="auto"/>
        <w:ind w:firstLine="630" w:firstLineChars="300"/>
        <w:rPr>
          <w:rFonts w:ascii="宋体"/>
          <w:bCs/>
          <w:color w:val="auto"/>
          <w:highlight w:val="none"/>
        </w:rPr>
      </w:pPr>
      <w:r>
        <w:rPr>
          <w:rFonts w:ascii="宋体" w:hAnsi="宋体"/>
          <w:bCs/>
          <w:color w:val="auto"/>
          <w:highlight w:val="none"/>
        </w:rPr>
        <w:t>5.3</w:t>
      </w:r>
      <w:r>
        <w:rPr>
          <w:rFonts w:hint="eastAsia" w:ascii="宋体" w:hAnsi="宋体"/>
          <w:bCs/>
          <w:color w:val="auto"/>
          <w:highlight w:val="none"/>
        </w:rPr>
        <w:t>、</w:t>
      </w:r>
      <w:r>
        <w:rPr>
          <w:rFonts w:hint="eastAsia" w:ascii="宋体" w:hAnsi="宋体" w:cs="宋体"/>
          <w:color w:val="auto"/>
          <w:highlight w:val="none"/>
        </w:rPr>
        <w:t>资金来源：财政资金，已落实</w:t>
      </w:r>
    </w:p>
    <w:p w14:paraId="482F1857">
      <w:pPr>
        <w:spacing w:line="360" w:lineRule="auto"/>
        <w:ind w:firstLine="630" w:firstLineChars="300"/>
        <w:rPr>
          <w:rFonts w:hint="eastAsia" w:ascii="宋体" w:hAnsi="宋体" w:cs="宋体"/>
          <w:color w:val="auto"/>
          <w:szCs w:val="21"/>
          <w:highlight w:val="none"/>
        </w:rPr>
      </w:pPr>
      <w:r>
        <w:rPr>
          <w:rFonts w:ascii="宋体" w:hAnsi="宋体"/>
          <w:bCs/>
          <w:color w:val="auto"/>
          <w:highlight w:val="none"/>
        </w:rPr>
        <w:t>5.4</w:t>
      </w:r>
      <w:r>
        <w:rPr>
          <w:rFonts w:hint="eastAsia" w:ascii="宋体" w:hAnsi="宋体"/>
          <w:bCs/>
          <w:color w:val="auto"/>
          <w:highlight w:val="none"/>
        </w:rPr>
        <w:t>、服务期限：</w:t>
      </w:r>
      <w:r>
        <w:rPr>
          <w:rFonts w:hint="eastAsia" w:ascii="宋体" w:hAnsi="宋体" w:cs="宋体"/>
          <w:color w:val="auto"/>
          <w:szCs w:val="21"/>
          <w:highlight w:val="none"/>
        </w:rPr>
        <w:t>自合同签订之日起</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 xml:space="preserve">年 </w:t>
      </w:r>
    </w:p>
    <w:p w14:paraId="12DF056D">
      <w:pPr>
        <w:spacing w:line="360" w:lineRule="auto"/>
        <w:ind w:firstLine="630" w:firstLineChars="300"/>
        <w:rPr>
          <w:rFonts w:ascii="宋体"/>
          <w:bCs/>
          <w:color w:val="auto"/>
          <w:highlight w:val="none"/>
        </w:rPr>
      </w:pPr>
      <w:r>
        <w:rPr>
          <w:rFonts w:ascii="宋体" w:hAnsi="宋体"/>
          <w:bCs/>
          <w:color w:val="auto"/>
          <w:highlight w:val="none"/>
        </w:rPr>
        <w:t>5.5</w:t>
      </w:r>
      <w:r>
        <w:rPr>
          <w:rFonts w:hint="eastAsia" w:ascii="宋体" w:hAnsi="宋体"/>
          <w:bCs/>
          <w:color w:val="auto"/>
          <w:highlight w:val="none"/>
        </w:rPr>
        <w:t>、质量要求：符合国家及相关行业合格标准及采购人要求</w:t>
      </w:r>
    </w:p>
    <w:p w14:paraId="373362B8">
      <w:pPr>
        <w:spacing w:line="360" w:lineRule="auto"/>
        <w:ind w:firstLine="630" w:firstLineChars="300"/>
        <w:rPr>
          <w:rFonts w:ascii="宋体"/>
          <w:bCs/>
          <w:color w:val="auto"/>
          <w:highlight w:val="none"/>
        </w:rPr>
      </w:pPr>
      <w:r>
        <w:rPr>
          <w:rFonts w:ascii="宋体" w:hAnsi="宋体"/>
          <w:bCs/>
          <w:color w:val="auto"/>
          <w:highlight w:val="none"/>
        </w:rPr>
        <w:t>5.6</w:t>
      </w:r>
      <w:r>
        <w:rPr>
          <w:rFonts w:hint="eastAsia" w:ascii="宋体" w:hAnsi="宋体"/>
          <w:bCs/>
          <w:color w:val="auto"/>
          <w:highlight w:val="none"/>
        </w:rPr>
        <w:t>、服务范围：招标文件内的所有内容</w:t>
      </w:r>
    </w:p>
    <w:p w14:paraId="6E8B1FC2">
      <w:pPr>
        <w:spacing w:line="360" w:lineRule="auto"/>
        <w:ind w:firstLine="630" w:firstLineChars="300"/>
        <w:rPr>
          <w:rFonts w:ascii="宋体"/>
          <w:bCs/>
          <w:color w:val="auto"/>
          <w:highlight w:val="none"/>
        </w:rPr>
      </w:pPr>
      <w:r>
        <w:rPr>
          <w:rFonts w:ascii="宋体" w:hAnsi="宋体"/>
          <w:bCs/>
          <w:color w:val="auto"/>
          <w:highlight w:val="none"/>
        </w:rPr>
        <w:t>5.7</w:t>
      </w:r>
      <w:r>
        <w:rPr>
          <w:rFonts w:hint="eastAsia" w:ascii="宋体" w:hAnsi="宋体"/>
          <w:bCs/>
          <w:color w:val="auto"/>
          <w:highlight w:val="none"/>
        </w:rPr>
        <w:t>、标包划分：</w:t>
      </w:r>
    </w:p>
    <w:p w14:paraId="27B35D6C">
      <w:pPr>
        <w:spacing w:line="360" w:lineRule="auto"/>
        <w:ind w:firstLine="1050" w:firstLineChars="500"/>
        <w:rPr>
          <w:rFonts w:ascii="宋体"/>
          <w:bCs/>
          <w:color w:val="auto"/>
          <w:highlight w:val="none"/>
          <w:lang w:val="zh-TW"/>
        </w:rPr>
      </w:pPr>
      <w:r>
        <w:rPr>
          <w:rFonts w:hint="eastAsia" w:ascii="宋体" w:hAnsi="宋体"/>
          <w:bCs/>
          <w:color w:val="auto"/>
          <w:highlight w:val="none"/>
        </w:rPr>
        <w:t>一个标包：</w:t>
      </w:r>
      <w:r>
        <w:rPr>
          <w:rFonts w:hint="eastAsia" w:ascii="宋体" w:hAnsi="宋体" w:eastAsia="宋体" w:cs="宋体"/>
          <w:color w:val="auto"/>
          <w:highlight w:val="none"/>
        </w:rPr>
        <w:t>开封市鼓楼区机关事务中心机关食堂食材供应商服务项目</w:t>
      </w:r>
    </w:p>
    <w:p w14:paraId="724AEC41">
      <w:pPr>
        <w:spacing w:line="360" w:lineRule="auto"/>
        <w:ind w:firstLine="525" w:firstLineChars="250"/>
        <w:rPr>
          <w:rFonts w:hint="eastAsia" w:ascii="宋体" w:hAnsi="宋体"/>
          <w:color w:val="auto"/>
          <w:highlight w:val="none"/>
        </w:rPr>
      </w:pPr>
      <w:r>
        <w:rPr>
          <w:rFonts w:hint="eastAsia" w:ascii="宋体" w:hAnsi="宋体"/>
          <w:color w:val="auto"/>
          <w:highlight w:val="none"/>
        </w:rPr>
        <w:t>6、合同履行期限：</w:t>
      </w:r>
      <w:r>
        <w:rPr>
          <w:rFonts w:hint="eastAsia" w:ascii="宋体" w:hAnsi="宋体"/>
          <w:color w:val="auto"/>
          <w:highlight w:val="none"/>
          <w:lang w:val="en-US" w:eastAsia="zh-CN"/>
        </w:rPr>
        <w:t>同</w:t>
      </w:r>
      <w:r>
        <w:rPr>
          <w:rFonts w:hint="eastAsia" w:ascii="宋体" w:hAnsi="宋体"/>
          <w:bCs/>
          <w:color w:val="auto"/>
          <w:highlight w:val="none"/>
        </w:rPr>
        <w:t>服务期限</w:t>
      </w:r>
    </w:p>
    <w:p w14:paraId="43EC8BA1">
      <w:pPr>
        <w:spacing w:line="360" w:lineRule="auto"/>
        <w:ind w:firstLine="525" w:firstLineChars="250"/>
        <w:rPr>
          <w:rFonts w:hint="eastAsia" w:ascii="宋体" w:hAnsi="宋体"/>
          <w:color w:val="auto"/>
          <w:highlight w:val="none"/>
        </w:rPr>
      </w:pPr>
      <w:r>
        <w:rPr>
          <w:rFonts w:hint="eastAsia" w:ascii="宋体" w:hAnsi="宋体"/>
          <w:color w:val="auto"/>
          <w:highlight w:val="none"/>
        </w:rPr>
        <w:t>7、本项目是否接受联合体投标：否</w:t>
      </w:r>
    </w:p>
    <w:p w14:paraId="46444C41">
      <w:pPr>
        <w:spacing w:line="360" w:lineRule="auto"/>
        <w:ind w:firstLine="525" w:firstLineChars="250"/>
        <w:rPr>
          <w:rFonts w:hint="eastAsia" w:ascii="宋体" w:hAnsi="宋体"/>
          <w:color w:val="auto"/>
          <w:highlight w:val="none"/>
        </w:rPr>
      </w:pPr>
      <w:r>
        <w:rPr>
          <w:rFonts w:hint="eastAsia" w:ascii="宋体" w:hAnsi="宋体"/>
          <w:color w:val="auto"/>
          <w:highlight w:val="none"/>
        </w:rPr>
        <w:t>8、是否接受进口产品：否</w:t>
      </w:r>
    </w:p>
    <w:p w14:paraId="0760A4D9">
      <w:pPr>
        <w:spacing w:line="360" w:lineRule="auto"/>
        <w:ind w:firstLine="525" w:firstLineChars="250"/>
        <w:rPr>
          <w:rFonts w:hint="eastAsia" w:ascii="宋体" w:hAnsi="宋体" w:eastAsia="宋体"/>
          <w:color w:val="auto"/>
          <w:highlight w:val="none"/>
          <w:lang w:val="en-US" w:eastAsia="zh-CN"/>
        </w:rPr>
      </w:pPr>
      <w:r>
        <w:rPr>
          <w:rFonts w:hint="eastAsia" w:ascii="宋体" w:hAnsi="宋体"/>
          <w:color w:val="auto"/>
          <w:highlight w:val="none"/>
        </w:rPr>
        <w:t>9、是否专门面向中小企业：</w:t>
      </w:r>
      <w:r>
        <w:rPr>
          <w:rFonts w:hint="eastAsia" w:ascii="宋体" w:hAnsi="宋体"/>
          <w:color w:val="auto"/>
          <w:highlight w:val="none"/>
          <w:lang w:val="en-US" w:eastAsia="zh-CN"/>
        </w:rPr>
        <w:t>是</w:t>
      </w:r>
    </w:p>
    <w:p w14:paraId="4D6B814E">
      <w:pPr>
        <w:pStyle w:val="43"/>
        <w:spacing w:line="360" w:lineRule="auto"/>
        <w:rPr>
          <w:rFonts w:ascii="宋体" w:hAnsi="宋体"/>
          <w:b/>
          <w:color w:val="auto"/>
          <w:highlight w:val="none"/>
          <w:lang w:val="zh-TW"/>
        </w:rPr>
      </w:pPr>
      <w:r>
        <w:rPr>
          <w:rFonts w:ascii="宋体" w:hAnsi="宋体"/>
          <w:b/>
          <w:color w:val="auto"/>
          <w:highlight w:val="none"/>
          <w:lang w:val="zh-TW"/>
        </w:rPr>
        <w:t>二、申请人的资格要求：</w:t>
      </w:r>
    </w:p>
    <w:p w14:paraId="3C6C7FE4">
      <w:pPr>
        <w:spacing w:line="360" w:lineRule="auto"/>
        <w:ind w:firstLine="420" w:firstLineChars="200"/>
        <w:outlineLvl w:val="0"/>
        <w:rPr>
          <w:rFonts w:hint="eastAsia" w:ascii="宋体" w:hAnsi="宋体" w:cs="宋体"/>
          <w:color w:val="auto"/>
          <w:highlight w:val="none"/>
          <w:shd w:val="clear" w:color="auto" w:fill="FFFFFF"/>
          <w:lang w:val="zh-TW"/>
        </w:rPr>
      </w:pPr>
      <w:bookmarkStart w:id="42" w:name="OLE_LINK9"/>
      <w:r>
        <w:rPr>
          <w:rFonts w:hint="eastAsia" w:ascii="宋体" w:hAnsi="宋体" w:cs="宋体"/>
          <w:color w:val="auto"/>
          <w:highlight w:val="none"/>
          <w:shd w:val="clear" w:color="auto" w:fill="FFFFFF"/>
          <w:lang w:val="zh-TW"/>
        </w:rPr>
        <w:t>1、满足符合《中华人民共和国政府采购法》第二十二条规定：</w:t>
      </w:r>
      <w:bookmarkEnd w:id="42"/>
    </w:p>
    <w:p w14:paraId="2F941F38">
      <w:pPr>
        <w:spacing w:line="360" w:lineRule="auto"/>
        <w:ind w:firstLine="420" w:firstLineChars="20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2、落实政府采购政策需满足的资格要求：</w:t>
      </w:r>
      <w:r>
        <w:rPr>
          <w:rFonts w:hint="eastAsia" w:ascii="宋体" w:hAnsi="宋体" w:cs="宋体"/>
          <w:color w:val="auto"/>
          <w:highlight w:val="none"/>
        </w:rPr>
        <w:t>无。</w:t>
      </w:r>
    </w:p>
    <w:p w14:paraId="5E57EE77">
      <w:pPr>
        <w:spacing w:line="360" w:lineRule="auto"/>
        <w:ind w:firstLine="420" w:firstLineChars="2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rPr>
        <w:t>3</w:t>
      </w:r>
      <w:r>
        <w:rPr>
          <w:rFonts w:hint="eastAsia" w:ascii="宋体" w:hAnsi="宋体" w:cs="宋体"/>
          <w:color w:val="auto"/>
          <w:highlight w:val="none"/>
          <w:shd w:val="clear" w:color="auto" w:fill="FFFFFF"/>
          <w:lang w:val="zh-TW"/>
        </w:rPr>
        <w:t>、本项目的特定资格要求：</w:t>
      </w:r>
    </w:p>
    <w:p w14:paraId="114A3AB6">
      <w:pPr>
        <w:spacing w:line="360" w:lineRule="auto"/>
        <w:ind w:firstLine="630" w:firstLineChars="300"/>
        <w:rPr>
          <w:rFonts w:hint="eastAsia" w:ascii="宋体" w:hAnsi="宋体"/>
          <w:color w:val="auto"/>
          <w:highlight w:val="none"/>
        </w:rPr>
      </w:pPr>
      <w:r>
        <w:rPr>
          <w:rFonts w:hint="eastAsia" w:ascii="宋体" w:hAnsi="宋体"/>
          <w:color w:val="auto"/>
          <w:highlight w:val="none"/>
        </w:rPr>
        <w:t>3.1、符合《中华人民共和国政府采购法》的二十二条之规定；</w:t>
      </w:r>
    </w:p>
    <w:p w14:paraId="56E31805">
      <w:pPr>
        <w:tabs>
          <w:tab w:val="left" w:pos="7770"/>
        </w:tabs>
        <w:spacing w:line="360" w:lineRule="auto"/>
        <w:ind w:firstLine="630" w:firstLineChars="30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（一）具有独立承担民事责任的能力；</w:t>
      </w:r>
      <w:r>
        <w:rPr>
          <w:rFonts w:hint="eastAsia" w:ascii="宋体" w:hAnsi="宋体"/>
          <w:color w:val="auto"/>
          <w:highlight w:val="none"/>
        </w:rPr>
        <w:t>（提供法人或者其他组织的营业执照等证明文件，自然人的身份证明）</w:t>
      </w:r>
    </w:p>
    <w:p w14:paraId="6F2A27C2">
      <w:pPr>
        <w:spacing w:line="360" w:lineRule="auto"/>
        <w:ind w:firstLine="630" w:firstLineChars="3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（二）具有良好的商业信誉和健全的财务会计制度；（提供</w:t>
      </w:r>
      <w:r>
        <w:rPr>
          <w:rFonts w:hint="eastAsia" w:ascii="宋体" w:hAnsi="宋体" w:cs="宋体"/>
          <w:color w:val="auto"/>
          <w:highlight w:val="none"/>
          <w:shd w:val="clear" w:color="auto" w:fill="FFFFFF"/>
        </w:rPr>
        <w:t>2024</w:t>
      </w:r>
      <w:r>
        <w:rPr>
          <w:rFonts w:hint="eastAsia" w:ascii="宋体" w:hAnsi="宋体" w:cs="宋体"/>
          <w:color w:val="auto"/>
          <w:highlight w:val="none"/>
          <w:shd w:val="clear" w:color="auto" w:fill="FFFFFF"/>
          <w:lang w:eastAsia="zh-CN"/>
        </w:rPr>
        <w:t>或</w:t>
      </w:r>
      <w:r>
        <w:rPr>
          <w:rFonts w:hint="eastAsia" w:ascii="宋体" w:hAnsi="宋体" w:cs="宋体"/>
          <w:color w:val="auto"/>
          <w:highlight w:val="none"/>
          <w:shd w:val="clear" w:color="auto" w:fill="FFFFFF"/>
          <w:lang w:val="en-US" w:eastAsia="zh-CN"/>
        </w:rPr>
        <w:t>2025</w:t>
      </w:r>
      <w:r>
        <w:rPr>
          <w:rFonts w:hint="eastAsia" w:ascii="宋体" w:hAnsi="宋体" w:cs="宋体"/>
          <w:color w:val="auto"/>
          <w:highlight w:val="none"/>
          <w:shd w:val="clear" w:color="auto" w:fill="FFFFFF"/>
        </w:rPr>
        <w:t>年度</w:t>
      </w:r>
      <w:r>
        <w:rPr>
          <w:rFonts w:hint="eastAsia" w:ascii="宋体" w:hAnsi="宋体" w:cs="宋体"/>
          <w:color w:val="auto"/>
          <w:highlight w:val="none"/>
          <w:shd w:val="clear" w:color="auto" w:fill="FFFFFF"/>
          <w:lang w:val="zh-TW"/>
        </w:rPr>
        <w:t>经审计的财务报告，新成立企业不足一年的可提供其基本开户银行出具的资信证明，资信证明出具时间距开标不超过一年）</w:t>
      </w:r>
    </w:p>
    <w:p w14:paraId="5C635F8F">
      <w:pPr>
        <w:spacing w:line="360" w:lineRule="auto"/>
        <w:ind w:firstLine="630" w:firstLineChars="3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（三）具有履行合同所必需的设备和专业技术能力；</w:t>
      </w:r>
      <w:r>
        <w:rPr>
          <w:rFonts w:hint="eastAsia" w:ascii="宋体" w:hAnsi="宋体"/>
          <w:color w:val="auto"/>
          <w:highlight w:val="none"/>
        </w:rPr>
        <w:t>（提供书面声明或其他证明材料）</w:t>
      </w:r>
    </w:p>
    <w:p w14:paraId="11899C56">
      <w:pPr>
        <w:spacing w:line="360" w:lineRule="auto"/>
        <w:ind w:firstLine="630" w:firstLineChars="3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（四）有依法缴纳税收和社会保障资金的良好记录；（提供相关部门出具的自</w:t>
      </w:r>
      <w:r>
        <w:rPr>
          <w:rFonts w:hint="eastAsia" w:ascii="宋体" w:hAnsi="宋体" w:cs="宋体"/>
          <w:color w:val="auto"/>
          <w:highlight w:val="none"/>
          <w:shd w:val="clear" w:color="auto" w:fill="FFFFFF"/>
        </w:rPr>
        <w:t>202</w:t>
      </w:r>
      <w:r>
        <w:rPr>
          <w:rFonts w:hint="eastAsia" w:ascii="宋体" w:hAnsi="宋体" w:cs="宋体"/>
          <w:color w:val="auto"/>
          <w:highlight w:val="none"/>
          <w:shd w:val="clear" w:color="auto" w:fill="FFFFFF"/>
          <w:lang w:val="en-US" w:eastAsia="zh-CN"/>
        </w:rPr>
        <w:t>6</w:t>
      </w:r>
      <w:r>
        <w:rPr>
          <w:rFonts w:hint="eastAsia" w:ascii="宋体" w:hAnsi="宋体" w:cs="宋体"/>
          <w:color w:val="auto"/>
          <w:highlight w:val="none"/>
          <w:shd w:val="clear" w:color="auto" w:fill="FFFFFF"/>
          <w:lang w:val="zh-TW"/>
        </w:rPr>
        <w:t>年</w:t>
      </w:r>
      <w:r>
        <w:rPr>
          <w:rFonts w:hint="eastAsia" w:ascii="宋体" w:hAnsi="宋体" w:cs="宋体"/>
          <w:color w:val="auto"/>
          <w:highlight w:val="none"/>
          <w:shd w:val="clear" w:color="auto" w:fill="FFFFFF"/>
          <w:lang w:val="en-US" w:eastAsia="zh-CN"/>
        </w:rPr>
        <w:t>1</w:t>
      </w:r>
      <w:r>
        <w:rPr>
          <w:rFonts w:hint="eastAsia" w:ascii="宋体" w:hAnsi="宋体" w:cs="宋体"/>
          <w:color w:val="auto"/>
          <w:highlight w:val="none"/>
          <w:shd w:val="clear" w:color="auto" w:fill="FFFFFF"/>
          <w:lang w:val="zh-TW"/>
        </w:rPr>
        <w:t>月以来至少</w:t>
      </w:r>
      <w:r>
        <w:rPr>
          <w:rFonts w:hint="eastAsia" w:ascii="宋体" w:hAnsi="宋体" w:cs="宋体"/>
          <w:color w:val="auto"/>
          <w:highlight w:val="none"/>
          <w:shd w:val="clear" w:color="auto" w:fill="FFFFFF"/>
        </w:rPr>
        <w:t>3</w:t>
      </w:r>
      <w:r>
        <w:rPr>
          <w:rFonts w:hint="eastAsia" w:ascii="宋体" w:hAnsi="宋体" w:cs="宋体"/>
          <w:color w:val="auto"/>
          <w:highlight w:val="none"/>
          <w:shd w:val="clear" w:color="auto" w:fill="FFFFFF"/>
          <w:lang w:val="zh-TW"/>
        </w:rPr>
        <w:t>个月的依法缴纳税收证明和社保证明，若符合免税条件等其他情况应提供相应证明材料。）</w:t>
      </w:r>
    </w:p>
    <w:p w14:paraId="4BDA4362">
      <w:pPr>
        <w:spacing w:line="360" w:lineRule="auto"/>
        <w:ind w:firstLine="630" w:firstLineChars="3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（五）参加政府采购活动前三年内，在经营活动中没有重大违法记录；（提供声明函）</w:t>
      </w:r>
    </w:p>
    <w:p w14:paraId="52C85E2C">
      <w:pPr>
        <w:spacing w:line="360" w:lineRule="auto"/>
        <w:ind w:firstLine="630" w:firstLineChars="3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（六）法律、行政法规规定的其他条件。</w:t>
      </w:r>
    </w:p>
    <w:p w14:paraId="61F9B494">
      <w:pPr>
        <w:widowControl/>
        <w:snapToGrid w:val="0"/>
        <w:spacing w:line="420" w:lineRule="exact"/>
        <w:ind w:firstLine="420" w:firstLineChars="200"/>
        <w:jc w:val="left"/>
        <w:rPr>
          <w:rFonts w:hint="eastAsia" w:ascii="宋体" w:hAnsi="宋体" w:eastAsia="宋体"/>
          <w:color w:val="auto"/>
          <w:highlight w:val="none"/>
          <w:lang w:eastAsia="zh-CN"/>
        </w:rPr>
      </w:pPr>
      <w:r>
        <w:rPr>
          <w:rFonts w:hint="eastAsia" w:ascii="宋体" w:hAnsi="宋体"/>
          <w:color w:val="auto"/>
          <w:highlight w:val="none"/>
          <w:lang w:eastAsia="zh-TW"/>
        </w:rPr>
        <w:t>3.2、</w:t>
      </w:r>
      <w:r>
        <w:rPr>
          <w:rFonts w:hint="eastAsia" w:ascii="宋体" w:hAnsi="宋体"/>
          <w:color w:val="auto"/>
          <w:highlight w:val="none"/>
          <w:lang w:val="en-US" w:eastAsia="zh-TW"/>
        </w:rPr>
        <w:t>供应商须具有</w:t>
      </w:r>
      <w:r>
        <w:rPr>
          <w:rFonts w:hint="eastAsia" w:ascii="宋体" w:hAnsi="宋体"/>
          <w:color w:val="auto"/>
          <w:highlight w:val="none"/>
          <w:lang w:val="en-US" w:eastAsia="zh-CN"/>
        </w:rPr>
        <w:t>有效</w:t>
      </w:r>
      <w:r>
        <w:rPr>
          <w:rFonts w:hint="eastAsia" w:ascii="宋体" w:hAnsi="宋体"/>
          <w:color w:val="auto"/>
          <w:highlight w:val="none"/>
          <w:lang w:val="en-US" w:eastAsia="zh-TW"/>
        </w:rPr>
        <w:t>的《食品经营许可证》</w:t>
      </w:r>
      <w:r>
        <w:rPr>
          <w:rFonts w:hint="eastAsia" w:ascii="宋体" w:hAnsi="宋体"/>
          <w:color w:val="auto"/>
          <w:highlight w:val="none"/>
          <w:lang w:val="en-US" w:eastAsia="zh-CN"/>
        </w:rPr>
        <w:t>。</w:t>
      </w:r>
    </w:p>
    <w:p w14:paraId="7D6590EB">
      <w:pPr>
        <w:widowControl/>
        <w:snapToGrid w:val="0"/>
        <w:spacing w:line="420" w:lineRule="exact"/>
        <w:ind w:firstLine="420" w:firstLineChars="200"/>
        <w:jc w:val="left"/>
        <w:rPr>
          <w:rFonts w:hint="eastAsia" w:ascii="宋体" w:hAnsi="宋体"/>
          <w:color w:val="auto"/>
          <w:highlight w:val="none"/>
          <w:lang w:eastAsia="zh-TW"/>
        </w:rPr>
      </w:pPr>
      <w:r>
        <w:rPr>
          <w:rFonts w:hint="eastAsia" w:ascii="宋体" w:hAnsi="宋体"/>
          <w:color w:val="auto"/>
          <w:highlight w:val="none"/>
          <w:lang w:val="en-US" w:eastAsia="zh-CN"/>
        </w:rPr>
        <w:t>3.3、</w:t>
      </w:r>
      <w:r>
        <w:rPr>
          <w:rFonts w:hint="eastAsia" w:ascii="宋体" w:hAnsi="宋体"/>
          <w:color w:val="auto"/>
          <w:highlight w:val="none"/>
        </w:rPr>
        <w:t>根据《财政部关于在政府采购活动中查询及使用信用记录有关问题的通知》（财库[2016]125号）规</w:t>
      </w:r>
      <w:r>
        <w:rPr>
          <w:rFonts w:hint="eastAsia" w:ascii="宋体" w:hAnsi="宋体"/>
          <w:color w:val="auto"/>
          <w:kern w:val="0"/>
          <w:highlight w:val="none"/>
        </w:rPr>
        <w:t>定，采购人、采购代理机构应当通过</w:t>
      </w:r>
      <w:r>
        <w:rPr>
          <w:rFonts w:hint="eastAsia" w:ascii="宋体" w:hAnsi="宋体"/>
          <w:color w:val="auto"/>
          <w:highlight w:val="none"/>
          <w:lang w:eastAsia="zh-TW"/>
        </w:rPr>
        <w:t>【</w:t>
      </w:r>
      <w:r>
        <w:rPr>
          <w:rFonts w:hint="eastAsia"/>
          <w:color w:val="auto"/>
          <w:highlight w:val="none"/>
          <w:lang w:val="en-US" w:eastAsia="zh-CN"/>
        </w:rPr>
        <w:t>查询渠道：“中国执行信息公开网”（http://zxgk.court.gov.cn/shixin）查询“失信被执行人”、“信用中国”（http://www.creditchina.gov.cn）查询“重大税收违法失信主体”、“中国政府采购网”(http://www.ccgp.gov.cn)查询“政府采购严重违法失信行为记录名单”</w:t>
      </w:r>
      <w:r>
        <w:rPr>
          <w:rFonts w:hint="eastAsia" w:ascii="宋体" w:hAnsi="宋体"/>
          <w:color w:val="auto"/>
          <w:highlight w:val="none"/>
          <w:lang w:eastAsia="zh-TW"/>
        </w:rPr>
        <w:t>】查询相关主体信用记录；（采购人或者采购代理机构</w:t>
      </w:r>
      <w:r>
        <w:rPr>
          <w:rFonts w:hint="eastAsia" w:ascii="宋体" w:hAnsi="宋体"/>
          <w:color w:val="auto"/>
          <w:highlight w:val="none"/>
          <w:lang w:val="en-US" w:eastAsia="zh-CN"/>
        </w:rPr>
        <w:t>在</w:t>
      </w:r>
      <w:r>
        <w:rPr>
          <w:rFonts w:hint="eastAsia" w:ascii="宋体" w:hAnsi="宋体"/>
          <w:color w:val="auto"/>
          <w:highlight w:val="none"/>
          <w:lang w:eastAsia="zh-TW"/>
        </w:rPr>
        <w:t>开标后至评标结束前，对供应商信用记录进行甄别，并</w:t>
      </w:r>
      <w:r>
        <w:rPr>
          <w:rFonts w:hint="eastAsia" w:ascii="宋体" w:hAnsi="宋体"/>
          <w:color w:val="auto"/>
          <w:highlight w:val="none"/>
          <w:lang w:val="en-US" w:eastAsia="zh-CN"/>
        </w:rPr>
        <w:t>由</w:t>
      </w:r>
      <w:r>
        <w:rPr>
          <w:rFonts w:hint="eastAsia" w:ascii="宋体" w:hAnsi="宋体"/>
          <w:color w:val="auto"/>
          <w:highlight w:val="none"/>
          <w:lang w:eastAsia="zh-TW"/>
        </w:rPr>
        <w:t>采购人或采购代理机构</w:t>
      </w:r>
      <w:r>
        <w:rPr>
          <w:rFonts w:hint="eastAsia" w:ascii="宋体" w:hAnsi="宋体"/>
          <w:color w:val="auto"/>
          <w:highlight w:val="none"/>
          <w:lang w:val="en-US" w:eastAsia="zh-CN"/>
        </w:rPr>
        <w:t>将</w:t>
      </w:r>
      <w:r>
        <w:rPr>
          <w:rFonts w:hint="eastAsia" w:ascii="宋体" w:hAnsi="宋体"/>
          <w:color w:val="auto"/>
          <w:highlight w:val="none"/>
          <w:lang w:eastAsia="zh-TW"/>
        </w:rPr>
        <w:t>查询供应商信用记录和证据留存，信用信息查询记录及相关证据与其他采购文件一并保存</w:t>
      </w:r>
      <w:r>
        <w:rPr>
          <w:rFonts w:hint="eastAsia" w:ascii="宋体" w:hAnsi="宋体"/>
          <w:color w:val="auto"/>
          <w:highlight w:val="none"/>
          <w:lang w:eastAsia="zh-CN"/>
        </w:rPr>
        <w:t>）</w:t>
      </w:r>
      <w:r>
        <w:rPr>
          <w:rFonts w:hint="eastAsia" w:ascii="宋体" w:hAnsi="宋体"/>
          <w:color w:val="auto"/>
          <w:highlight w:val="none"/>
          <w:lang w:eastAsia="zh-TW"/>
        </w:rPr>
        <w:t>。</w:t>
      </w:r>
      <w:r>
        <w:rPr>
          <w:rFonts w:hint="eastAsia" w:ascii="宋体" w:hAnsi="宋体"/>
          <w:color w:val="auto"/>
          <w:kern w:val="0"/>
          <w:highlight w:val="none"/>
        </w:rPr>
        <w:t>对列入失信被执行人、重大税收违法失信主体、政府采购严重违法失信行为记录名单的供应商，拒绝参与本项目政府采购活动。</w:t>
      </w:r>
      <w:r>
        <w:rPr>
          <w:rFonts w:hint="eastAsia" w:ascii="宋体" w:hAnsi="宋体"/>
          <w:color w:val="auto"/>
          <w:highlight w:val="none"/>
        </w:rPr>
        <w:t>供应商获取文件至与采购人签订合同期间一旦发现供应商存在信用问题，采购人均有权取消其中标资格。</w:t>
      </w:r>
    </w:p>
    <w:p w14:paraId="77EF08AD">
      <w:pPr>
        <w:widowControl/>
        <w:snapToGrid w:val="0"/>
        <w:spacing w:line="420" w:lineRule="exact"/>
        <w:ind w:firstLine="420" w:firstLineChars="200"/>
        <w:jc w:val="left"/>
        <w:rPr>
          <w:rFonts w:hint="eastAsia" w:ascii="宋体" w:hAnsi="宋体"/>
          <w:color w:val="auto"/>
          <w:kern w:val="0"/>
          <w:highlight w:val="none"/>
          <w:shd w:val="clear" w:color="auto" w:fill="FFFFFF"/>
        </w:rPr>
      </w:pPr>
      <w:r>
        <w:rPr>
          <w:rFonts w:hint="eastAsia" w:ascii="宋体" w:hAnsi="宋体"/>
          <w:color w:val="auto"/>
          <w:kern w:val="0"/>
          <w:highlight w:val="none"/>
          <w:shd w:val="clear" w:color="auto" w:fill="FFFFFF"/>
        </w:rPr>
        <w:t>3.4、本项目应执行的政府采购政策：落实财政部会同国务院有关部门制定的政府采购政策，实现节约能源、保护环境、扶持不发达地区和少数民族地区、促进中小企业发展等目标。</w:t>
      </w:r>
    </w:p>
    <w:p w14:paraId="6BA6E69A">
      <w:pPr>
        <w:spacing w:line="460" w:lineRule="exact"/>
        <w:ind w:firstLine="420" w:firstLineChars="200"/>
        <w:outlineLvl w:val="0"/>
        <w:rPr>
          <w:color w:val="auto"/>
          <w:highlight w:val="none"/>
        </w:rPr>
      </w:pPr>
      <w:r>
        <w:rPr>
          <w:rFonts w:hint="eastAsia" w:ascii="宋体" w:hAnsi="宋体"/>
          <w:color w:val="auto"/>
          <w:highlight w:val="none"/>
        </w:rPr>
        <w:t>3.5、</w:t>
      </w:r>
      <w:r>
        <w:rPr>
          <w:color w:val="auto"/>
          <w:highlight w:val="none"/>
        </w:rPr>
        <w:t>单位负责人为同一人或者存在直接控股、管理关系的不同供应商，不得参加同一合同项下的政府采购活动</w:t>
      </w:r>
      <w:r>
        <w:rPr>
          <w:rFonts w:hint="eastAsia" w:ascii="宋体" w:hAnsi="宋体"/>
          <w:color w:val="auto"/>
          <w:highlight w:val="none"/>
        </w:rPr>
        <w:t>。</w:t>
      </w:r>
      <w:r>
        <w:rPr>
          <w:rFonts w:hint="eastAsia" w:ascii="宋体" w:hAnsi="宋体"/>
          <w:color w:val="auto"/>
          <w:highlight w:val="none"/>
          <w:lang w:eastAsia="zh-CN"/>
        </w:rPr>
        <w:t>（</w:t>
      </w:r>
      <w:r>
        <w:rPr>
          <w:rFonts w:hint="eastAsia" w:ascii="宋体" w:hAnsi="宋体" w:cs="宋体"/>
          <w:color w:val="auto"/>
          <w:highlight w:val="none"/>
          <w:shd w:val="clear" w:color="auto" w:fill="FFFFFF"/>
          <w:lang w:val="zh-TW"/>
        </w:rPr>
        <w:t>提供</w:t>
      </w:r>
      <w:r>
        <w:rPr>
          <w:rFonts w:hint="eastAsia" w:ascii="宋体" w:hAnsi="宋体" w:cs="宋体"/>
          <w:color w:val="auto"/>
          <w:highlight w:val="none"/>
          <w:shd w:val="clear" w:color="auto" w:fill="FFFFFF"/>
          <w:lang w:val="en-US" w:eastAsia="zh-CN"/>
        </w:rPr>
        <w:t>承诺书</w:t>
      </w:r>
      <w:r>
        <w:rPr>
          <w:rFonts w:hint="eastAsia" w:ascii="宋体" w:hAnsi="宋体"/>
          <w:color w:val="auto"/>
          <w:highlight w:val="none"/>
          <w:lang w:eastAsia="zh-CN"/>
        </w:rPr>
        <w:t>）</w:t>
      </w:r>
      <w:r>
        <w:rPr>
          <w:rFonts w:hint="eastAsia" w:ascii="宋体" w:hAnsi="宋体"/>
          <w:color w:val="auto"/>
          <w:highlight w:val="none"/>
        </w:rPr>
        <w:t>。</w:t>
      </w:r>
    </w:p>
    <w:p w14:paraId="4C99A87D">
      <w:pPr>
        <w:pStyle w:val="36"/>
        <w:ind w:firstLine="210"/>
        <w:rPr>
          <w:color w:val="auto"/>
          <w:highlight w:val="none"/>
        </w:rPr>
      </w:pPr>
    </w:p>
    <w:p w14:paraId="5973C214">
      <w:pPr>
        <w:pStyle w:val="43"/>
        <w:spacing w:line="360" w:lineRule="auto"/>
        <w:rPr>
          <w:rFonts w:ascii="宋体" w:hAnsi="宋体"/>
          <w:b/>
          <w:color w:val="auto"/>
          <w:highlight w:val="none"/>
          <w:lang w:val="zh-TW"/>
        </w:rPr>
      </w:pPr>
      <w:r>
        <w:rPr>
          <w:rFonts w:ascii="宋体" w:hAnsi="宋体"/>
          <w:b/>
          <w:color w:val="auto"/>
          <w:highlight w:val="none"/>
          <w:lang w:val="zh-TW"/>
        </w:rPr>
        <w:t>三、获取招标文件：</w:t>
      </w:r>
    </w:p>
    <w:p w14:paraId="06268C82">
      <w:pPr>
        <w:widowControl/>
        <w:snapToGrid w:val="0"/>
        <w:spacing w:line="420" w:lineRule="exact"/>
        <w:ind w:firstLine="420" w:firstLineChars="200"/>
        <w:jc w:val="left"/>
        <w:rPr>
          <w:rFonts w:hint="eastAsia" w:ascii="宋体" w:hAnsi="宋体"/>
          <w:color w:val="auto"/>
          <w:kern w:val="0"/>
          <w:highlight w:val="none"/>
          <w:shd w:val="clear" w:color="auto" w:fill="FFFFFF"/>
        </w:rPr>
      </w:pPr>
      <w:r>
        <w:rPr>
          <w:rFonts w:hint="eastAsia" w:ascii="宋体" w:hAnsi="宋体"/>
          <w:color w:val="auto"/>
          <w:kern w:val="0"/>
          <w:highlight w:val="none"/>
          <w:shd w:val="clear" w:color="auto" w:fill="FFFFFF"/>
        </w:rPr>
        <w:t>1、 时间：202</w:t>
      </w:r>
      <w:r>
        <w:rPr>
          <w:rFonts w:hint="eastAsia" w:ascii="宋体" w:hAnsi="宋体"/>
          <w:color w:val="auto"/>
          <w:kern w:val="0"/>
          <w:highlight w:val="none"/>
          <w:shd w:val="clear" w:color="auto" w:fill="FFFFFF"/>
          <w:lang w:val="en-US" w:eastAsia="zh-CN"/>
        </w:rPr>
        <w:t>6</w:t>
      </w:r>
      <w:r>
        <w:rPr>
          <w:rFonts w:hint="eastAsia" w:ascii="宋体" w:hAnsi="宋体"/>
          <w:color w:val="auto"/>
          <w:kern w:val="0"/>
          <w:highlight w:val="none"/>
          <w:shd w:val="clear" w:color="auto" w:fill="FFFFFF"/>
        </w:rPr>
        <w:t>年</w:t>
      </w:r>
      <w:r>
        <w:rPr>
          <w:rFonts w:hint="eastAsia" w:ascii="宋体" w:hAnsi="宋体"/>
          <w:color w:val="auto"/>
          <w:kern w:val="0"/>
          <w:highlight w:val="none"/>
          <w:shd w:val="clear" w:color="auto" w:fill="FFFFFF"/>
          <w:lang w:val="en-US" w:eastAsia="zh-CN"/>
        </w:rPr>
        <w:t>9</w:t>
      </w:r>
      <w:r>
        <w:rPr>
          <w:rFonts w:hint="eastAsia" w:ascii="宋体" w:hAnsi="宋体"/>
          <w:color w:val="auto"/>
          <w:kern w:val="0"/>
          <w:highlight w:val="none"/>
          <w:shd w:val="clear" w:color="auto" w:fill="FFFFFF"/>
        </w:rPr>
        <w:t>月</w:t>
      </w:r>
      <w:r>
        <w:rPr>
          <w:rFonts w:hint="eastAsia" w:ascii="宋体" w:hAnsi="宋体"/>
          <w:color w:val="auto"/>
          <w:kern w:val="0"/>
          <w:highlight w:val="none"/>
          <w:shd w:val="clear" w:color="auto" w:fill="FFFFFF"/>
          <w:lang w:val="en-US" w:eastAsia="zh-CN"/>
        </w:rPr>
        <w:t>29</w:t>
      </w:r>
      <w:r>
        <w:rPr>
          <w:rFonts w:hint="eastAsia" w:ascii="宋体" w:hAnsi="宋体"/>
          <w:color w:val="auto"/>
          <w:kern w:val="0"/>
          <w:highlight w:val="none"/>
          <w:shd w:val="clear" w:color="auto" w:fill="FFFFFF"/>
        </w:rPr>
        <w:t>日至 202</w:t>
      </w:r>
      <w:r>
        <w:rPr>
          <w:rFonts w:hint="eastAsia" w:ascii="宋体" w:hAnsi="宋体"/>
          <w:color w:val="auto"/>
          <w:kern w:val="0"/>
          <w:highlight w:val="none"/>
          <w:shd w:val="clear" w:color="auto" w:fill="FFFFFF"/>
          <w:lang w:val="en-US" w:eastAsia="zh-CN"/>
        </w:rPr>
        <w:t>6</w:t>
      </w:r>
      <w:r>
        <w:rPr>
          <w:rFonts w:hint="eastAsia" w:ascii="宋体" w:hAnsi="宋体"/>
          <w:color w:val="auto"/>
          <w:kern w:val="0"/>
          <w:highlight w:val="none"/>
          <w:shd w:val="clear" w:color="auto" w:fill="FFFFFF"/>
        </w:rPr>
        <w:t>年</w:t>
      </w:r>
      <w:r>
        <w:rPr>
          <w:rFonts w:hint="eastAsia" w:ascii="宋体" w:hAnsi="宋体"/>
          <w:color w:val="auto"/>
          <w:kern w:val="0"/>
          <w:highlight w:val="none"/>
          <w:shd w:val="clear" w:color="auto" w:fill="FFFFFF"/>
          <w:lang w:val="en-US" w:eastAsia="zh-CN"/>
        </w:rPr>
        <w:t>10</w:t>
      </w:r>
      <w:r>
        <w:rPr>
          <w:rFonts w:hint="eastAsia" w:ascii="宋体" w:hAnsi="宋体"/>
          <w:color w:val="auto"/>
          <w:kern w:val="0"/>
          <w:highlight w:val="none"/>
          <w:shd w:val="clear" w:color="auto" w:fill="FFFFFF"/>
        </w:rPr>
        <w:t>月</w:t>
      </w:r>
      <w:r>
        <w:rPr>
          <w:rFonts w:hint="eastAsia" w:ascii="宋体" w:hAnsi="宋体"/>
          <w:color w:val="auto"/>
          <w:kern w:val="0"/>
          <w:highlight w:val="none"/>
          <w:shd w:val="clear" w:color="auto" w:fill="FFFFFF"/>
          <w:lang w:val="en-US" w:eastAsia="zh-CN"/>
        </w:rPr>
        <w:t>20</w:t>
      </w:r>
      <w:r>
        <w:rPr>
          <w:rFonts w:hint="eastAsia" w:ascii="宋体" w:hAnsi="宋体"/>
          <w:color w:val="auto"/>
          <w:kern w:val="0"/>
          <w:highlight w:val="none"/>
          <w:shd w:val="clear" w:color="auto" w:fill="FFFFFF"/>
        </w:rPr>
        <w:t>日，每天上午9:00至12:00，下午12:00至17:00。（北京时间，法定节假日除外）</w:t>
      </w:r>
    </w:p>
    <w:p w14:paraId="6F87AFBE">
      <w:pPr>
        <w:widowControl/>
        <w:shd w:val="clear" w:color="auto" w:fill="FFFFFF"/>
        <w:spacing w:before="60" w:after="60" w:line="360" w:lineRule="auto"/>
        <w:ind w:firstLine="420" w:firstLineChars="200"/>
        <w:jc w:val="left"/>
        <w:rPr>
          <w:rFonts w:hint="eastAsia" w:ascii="宋体" w:hAnsi="宋体"/>
          <w:color w:val="auto"/>
          <w:highlight w:val="none"/>
        </w:rPr>
      </w:pPr>
      <w:r>
        <w:rPr>
          <w:rFonts w:hint="eastAsia" w:ascii="宋体" w:hAnsi="宋体"/>
          <w:color w:val="auto"/>
          <w:kern w:val="0"/>
          <w:highlight w:val="none"/>
          <w:shd w:val="clear" w:color="auto" w:fill="FFFFFF"/>
        </w:rPr>
        <w:t>2、地点：开封市公共资源交易中心网站</w:t>
      </w:r>
      <w:r>
        <w:rPr>
          <w:rFonts w:hint="eastAsia" w:ascii="宋体" w:hAnsi="宋体"/>
          <w:color w:val="auto"/>
          <w:highlight w:val="none"/>
        </w:rPr>
        <w:fldChar w:fldCharType="begin"/>
      </w:r>
      <w:r>
        <w:rPr>
          <w:rFonts w:hint="eastAsia" w:ascii="宋体" w:hAnsi="宋体"/>
          <w:color w:val="auto"/>
          <w:highlight w:val="none"/>
        </w:rPr>
        <w:instrText xml:space="preserve"> HYPERLINK "http://www.kfsggzyjyw.cn" </w:instrText>
      </w:r>
      <w:r>
        <w:rPr>
          <w:rFonts w:hint="eastAsia" w:ascii="宋体" w:hAnsi="宋体"/>
          <w:color w:val="auto"/>
          <w:highlight w:val="none"/>
        </w:rPr>
        <w:fldChar w:fldCharType="separate"/>
      </w:r>
      <w:r>
        <w:rPr>
          <w:rStyle w:val="31"/>
          <w:rFonts w:hint="eastAsia" w:ascii="宋体" w:hAnsi="宋体"/>
          <w:color w:val="auto"/>
          <w:highlight w:val="none"/>
        </w:rPr>
        <w:t>http://www.kfsggzyjyw.cn</w:t>
      </w:r>
      <w:r>
        <w:rPr>
          <w:rFonts w:hint="eastAsia" w:ascii="宋体" w:hAnsi="宋体"/>
          <w:color w:val="auto"/>
          <w:highlight w:val="none"/>
        </w:rPr>
        <w:fldChar w:fldCharType="end"/>
      </w:r>
    </w:p>
    <w:p w14:paraId="26031C8E">
      <w:pPr>
        <w:widowControl/>
        <w:shd w:val="clear" w:color="auto" w:fill="FFFFFF"/>
        <w:spacing w:before="60" w:after="60" w:line="360" w:lineRule="auto"/>
        <w:ind w:firstLine="420" w:firstLineChars="200"/>
        <w:jc w:val="left"/>
        <w:rPr>
          <w:rFonts w:hint="eastAsia" w:ascii="宋体" w:hAnsi="宋体"/>
          <w:color w:val="auto"/>
          <w:highlight w:val="none"/>
        </w:rPr>
      </w:pPr>
      <w:r>
        <w:rPr>
          <w:rFonts w:hint="eastAsia" w:ascii="宋体" w:hAnsi="宋体"/>
          <w:color w:val="auto"/>
          <w:kern w:val="0"/>
          <w:highlight w:val="none"/>
          <w:shd w:val="clear" w:color="auto" w:fill="FFFFFF"/>
        </w:rPr>
        <w:t>3、方式：</w:t>
      </w:r>
      <w:r>
        <w:rPr>
          <w:rFonts w:hint="eastAsia" w:ascii="宋体" w:hAnsi="宋体"/>
          <w:color w:val="auto"/>
          <w:highlight w:val="none"/>
        </w:rPr>
        <w:t>供应商应注册成为开封市公共资源交易中心网站会员并取得</w:t>
      </w:r>
      <w:r>
        <w:rPr>
          <w:rFonts w:hint="eastAsia"/>
          <w:color w:val="auto"/>
          <w:highlight w:val="none"/>
        </w:rPr>
        <w:t>CA</w:t>
      </w:r>
      <w:r>
        <w:rPr>
          <w:rFonts w:hint="eastAsia" w:ascii="宋体" w:hAnsi="宋体"/>
          <w:color w:val="auto"/>
          <w:highlight w:val="none"/>
        </w:rPr>
        <w:t>密钥，在开封市公共资源交易中心网站http://www.kfsggzyjyw.cn登录政采、工程业务系统，凭</w:t>
      </w:r>
      <w:r>
        <w:rPr>
          <w:rFonts w:hint="eastAsia"/>
          <w:color w:val="auto"/>
          <w:highlight w:val="none"/>
        </w:rPr>
        <w:t>CA</w:t>
      </w:r>
      <w:r>
        <w:rPr>
          <w:rFonts w:hint="eastAsia" w:ascii="宋体" w:hAnsi="宋体"/>
          <w:color w:val="auto"/>
          <w:highlight w:val="none"/>
        </w:rPr>
        <w:t>密钥登录会员系统下载招标文件。供应商系统操作手册在开封市公共资源交易中心网站http://www.kfsggzyjyw.cn查看，</w:t>
      </w:r>
      <w:r>
        <w:rPr>
          <w:rFonts w:hint="eastAsia" w:ascii="宋体" w:hAnsi="宋体"/>
          <w:color w:val="auto"/>
          <w:kern w:val="0"/>
          <w:highlight w:val="none"/>
          <w:shd w:val="clear" w:color="auto" w:fill="FFFFFF"/>
        </w:rPr>
        <w:t>请供应商时刻关注开封市公共资源交易中心网站和公司CA密钥推送消息。</w:t>
      </w:r>
      <w:r>
        <w:rPr>
          <w:rFonts w:hint="eastAsia" w:ascii="宋体" w:hAnsi="宋体"/>
          <w:color w:val="auto"/>
          <w:highlight w:val="none"/>
        </w:rPr>
        <w:t>查询招标文件方式：潜在投标人、供应商可打开开封市公共资源交易中心网站http://www.kfsggzyjyw.cn首页“流程公开”里查询招标文件。</w:t>
      </w:r>
    </w:p>
    <w:p w14:paraId="2251CEB0">
      <w:pPr>
        <w:widowControl/>
        <w:shd w:val="clear" w:color="auto" w:fill="FFFFFF"/>
        <w:spacing w:before="60" w:after="60" w:line="360" w:lineRule="auto"/>
        <w:ind w:firstLine="630" w:firstLineChars="300"/>
        <w:jc w:val="left"/>
        <w:rPr>
          <w:rFonts w:hint="eastAsia" w:ascii="宋体" w:hAnsi="宋体"/>
          <w:color w:val="auto"/>
          <w:kern w:val="0"/>
          <w:highlight w:val="none"/>
          <w:shd w:val="clear" w:color="auto" w:fill="FFFFFF"/>
        </w:rPr>
      </w:pPr>
      <w:r>
        <w:rPr>
          <w:rFonts w:hint="eastAsia" w:ascii="宋体" w:hAnsi="宋体"/>
          <w:color w:val="auto"/>
          <w:kern w:val="0"/>
          <w:highlight w:val="none"/>
          <w:shd w:val="clear" w:color="auto" w:fill="FFFFFF"/>
        </w:rPr>
        <w:t>4、售价：0元</w:t>
      </w:r>
    </w:p>
    <w:p w14:paraId="5F0CC4D7">
      <w:pPr>
        <w:pStyle w:val="43"/>
        <w:spacing w:line="360" w:lineRule="auto"/>
        <w:rPr>
          <w:rFonts w:ascii="宋体" w:hAnsi="宋体"/>
          <w:b/>
          <w:color w:val="auto"/>
          <w:highlight w:val="none"/>
        </w:rPr>
      </w:pPr>
      <w:r>
        <w:rPr>
          <w:rFonts w:ascii="宋体" w:hAnsi="宋体"/>
          <w:b/>
          <w:color w:val="auto"/>
          <w:highlight w:val="none"/>
        </w:rPr>
        <w:t>四、投标截止时间及地点</w:t>
      </w:r>
    </w:p>
    <w:p w14:paraId="24A9CD3C">
      <w:pPr>
        <w:pStyle w:val="43"/>
        <w:spacing w:line="360" w:lineRule="auto"/>
        <w:ind w:firstLine="420" w:firstLineChars="200"/>
        <w:rPr>
          <w:rFonts w:ascii="宋体" w:hAnsi="宋体"/>
          <w:bCs/>
          <w:color w:val="auto"/>
          <w:highlight w:val="none"/>
        </w:rPr>
      </w:pPr>
      <w:r>
        <w:rPr>
          <w:rFonts w:ascii="宋体" w:hAnsi="宋体"/>
          <w:bCs/>
          <w:color w:val="auto"/>
          <w:highlight w:val="none"/>
        </w:rPr>
        <w:t>1、时间：2026年</w:t>
      </w:r>
      <w:r>
        <w:rPr>
          <w:rFonts w:hint="eastAsia" w:ascii="宋体" w:hAnsi="宋体"/>
          <w:bCs/>
          <w:color w:val="auto"/>
          <w:highlight w:val="none"/>
          <w:lang w:val="en-US" w:eastAsia="zh-CN"/>
        </w:rPr>
        <w:t>10</w:t>
      </w:r>
      <w:r>
        <w:rPr>
          <w:rFonts w:ascii="宋体" w:hAnsi="宋体"/>
          <w:bCs/>
          <w:color w:val="auto"/>
          <w:highlight w:val="none"/>
        </w:rPr>
        <w:t>月</w:t>
      </w:r>
      <w:r>
        <w:rPr>
          <w:rFonts w:hint="eastAsia" w:ascii="宋体" w:hAnsi="宋体"/>
          <w:bCs/>
          <w:color w:val="auto"/>
          <w:highlight w:val="none"/>
          <w:lang w:val="en-US" w:eastAsia="zh-CN"/>
        </w:rPr>
        <w:t>21</w:t>
      </w:r>
      <w:r>
        <w:rPr>
          <w:rFonts w:ascii="宋体" w:hAnsi="宋体"/>
          <w:bCs/>
          <w:color w:val="auto"/>
          <w:highlight w:val="none"/>
        </w:rPr>
        <w:t xml:space="preserve">日9时20分（北京时间） </w:t>
      </w:r>
      <w:r>
        <w:rPr>
          <w:rFonts w:ascii="宋体" w:hAnsi="宋体"/>
          <w:bCs/>
          <w:color w:val="auto"/>
          <w:highlight w:val="none"/>
        </w:rPr>
        <w:tab/>
      </w:r>
      <w:r>
        <w:rPr>
          <w:rFonts w:ascii="宋体" w:hAnsi="宋体"/>
          <w:bCs/>
          <w:color w:val="auto"/>
          <w:highlight w:val="none"/>
        </w:rPr>
        <w:tab/>
      </w:r>
    </w:p>
    <w:p w14:paraId="6109AEE0">
      <w:pPr>
        <w:pStyle w:val="43"/>
        <w:spacing w:line="360" w:lineRule="auto"/>
        <w:ind w:firstLine="420" w:firstLineChars="200"/>
        <w:rPr>
          <w:rFonts w:ascii="宋体" w:hAnsi="宋体"/>
          <w:bCs/>
          <w:color w:val="auto"/>
          <w:highlight w:val="none"/>
        </w:rPr>
      </w:pPr>
      <w:r>
        <w:rPr>
          <w:rFonts w:ascii="宋体" w:hAnsi="宋体"/>
          <w:bCs/>
          <w:color w:val="auto"/>
          <w:highlight w:val="none"/>
        </w:rPr>
        <w:t>2、地点：</w:t>
      </w:r>
      <w:r>
        <w:rPr>
          <w:color w:val="auto"/>
          <w:highlight w:val="none"/>
        </w:rPr>
        <w:t>电子投标文件须在投标截止时间前在开封市公共资源交易中心网站（</w:t>
      </w:r>
      <w:r>
        <w:rPr>
          <w:rFonts w:hint="eastAsia" w:ascii="宋体" w:hAnsi="宋体"/>
          <w:color w:val="auto"/>
          <w:highlight w:val="none"/>
        </w:rPr>
        <w:t>http://www.kfsggzyjyw.cn</w:t>
      </w:r>
      <w:r>
        <w:rPr>
          <w:color w:val="auto"/>
          <w:highlight w:val="none"/>
        </w:rPr>
        <w:t>）会员系统中加密上传。（投标文件逾期未上传或未上传成功的，采购人不予受理）</w:t>
      </w:r>
    </w:p>
    <w:p w14:paraId="3ECAC859">
      <w:pPr>
        <w:pStyle w:val="43"/>
        <w:spacing w:line="360" w:lineRule="auto"/>
        <w:rPr>
          <w:rFonts w:ascii="宋体" w:hAnsi="宋体"/>
          <w:b/>
          <w:color w:val="auto"/>
          <w:highlight w:val="none"/>
        </w:rPr>
      </w:pPr>
      <w:r>
        <w:rPr>
          <w:rFonts w:ascii="宋体" w:hAnsi="宋体"/>
          <w:b/>
          <w:color w:val="auto"/>
          <w:highlight w:val="none"/>
        </w:rPr>
        <w:t>五、开标时间及地点</w:t>
      </w:r>
    </w:p>
    <w:p w14:paraId="2691361B">
      <w:pPr>
        <w:spacing w:line="360" w:lineRule="auto"/>
        <w:ind w:firstLine="420" w:firstLineChars="200"/>
        <w:rPr>
          <w:rFonts w:hint="eastAsia" w:ascii="宋体" w:hAnsi="宋体"/>
          <w:bCs/>
          <w:color w:val="auto"/>
          <w:highlight w:val="none"/>
        </w:rPr>
      </w:pPr>
      <w:r>
        <w:rPr>
          <w:rFonts w:hint="eastAsia" w:ascii="宋体" w:hAnsi="宋体"/>
          <w:color w:val="auto"/>
          <w:highlight w:val="none"/>
        </w:rPr>
        <w:t>1、时间：</w:t>
      </w:r>
      <w:r>
        <w:rPr>
          <w:rFonts w:ascii="宋体" w:hAnsi="宋体"/>
          <w:bCs/>
          <w:color w:val="auto"/>
          <w:highlight w:val="none"/>
        </w:rPr>
        <w:t>202</w:t>
      </w:r>
      <w:r>
        <w:rPr>
          <w:rFonts w:hint="eastAsia" w:ascii="宋体" w:hAnsi="宋体"/>
          <w:bCs/>
          <w:color w:val="auto"/>
          <w:highlight w:val="none"/>
        </w:rPr>
        <w:t>6</w:t>
      </w:r>
      <w:r>
        <w:rPr>
          <w:rFonts w:ascii="宋体" w:hAnsi="宋体"/>
          <w:bCs/>
          <w:color w:val="auto"/>
          <w:highlight w:val="none"/>
        </w:rPr>
        <w:t>年</w:t>
      </w:r>
      <w:r>
        <w:rPr>
          <w:rFonts w:hint="eastAsia" w:ascii="宋体" w:hAnsi="宋体"/>
          <w:bCs/>
          <w:color w:val="auto"/>
          <w:highlight w:val="none"/>
          <w:lang w:val="en-US" w:eastAsia="zh-CN"/>
        </w:rPr>
        <w:t>10</w:t>
      </w:r>
      <w:r>
        <w:rPr>
          <w:rFonts w:ascii="宋体" w:hAnsi="宋体"/>
          <w:bCs/>
          <w:color w:val="auto"/>
          <w:highlight w:val="none"/>
        </w:rPr>
        <w:t>月</w:t>
      </w:r>
      <w:r>
        <w:rPr>
          <w:rFonts w:hint="eastAsia" w:ascii="宋体" w:hAnsi="宋体"/>
          <w:bCs/>
          <w:color w:val="auto"/>
          <w:highlight w:val="none"/>
        </w:rPr>
        <w:t xml:space="preserve"> </w:t>
      </w:r>
      <w:r>
        <w:rPr>
          <w:rFonts w:hint="eastAsia" w:ascii="宋体" w:hAnsi="宋体"/>
          <w:bCs/>
          <w:color w:val="auto"/>
          <w:highlight w:val="none"/>
          <w:lang w:val="en-US" w:eastAsia="zh-CN"/>
        </w:rPr>
        <w:t>21</w:t>
      </w:r>
      <w:r>
        <w:rPr>
          <w:rFonts w:ascii="宋体" w:hAnsi="宋体"/>
          <w:bCs/>
          <w:color w:val="auto"/>
          <w:highlight w:val="none"/>
        </w:rPr>
        <w:t>日9时2</w:t>
      </w:r>
      <w:r>
        <w:rPr>
          <w:rFonts w:hint="eastAsia" w:ascii="宋体" w:hAnsi="宋体"/>
          <w:bCs/>
          <w:color w:val="auto"/>
          <w:highlight w:val="none"/>
        </w:rPr>
        <w:t>0</w:t>
      </w:r>
      <w:r>
        <w:rPr>
          <w:rFonts w:ascii="宋体" w:hAnsi="宋体"/>
          <w:bCs/>
          <w:color w:val="auto"/>
          <w:highlight w:val="none"/>
        </w:rPr>
        <w:t>分</w:t>
      </w:r>
      <w:r>
        <w:rPr>
          <w:rFonts w:hint="eastAsia" w:ascii="宋体" w:hAnsi="宋体"/>
          <w:bCs/>
          <w:color w:val="auto"/>
          <w:highlight w:val="none"/>
        </w:rPr>
        <w:t>（北京时间）</w:t>
      </w:r>
    </w:p>
    <w:p w14:paraId="03B3F345">
      <w:pPr>
        <w:tabs>
          <w:tab w:val="left" w:pos="540"/>
        </w:tabs>
        <w:spacing w:line="360" w:lineRule="auto"/>
        <w:ind w:firstLine="420" w:firstLineChars="200"/>
        <w:rPr>
          <w:rFonts w:hint="eastAsia" w:ascii="宋体" w:hAnsi="宋体"/>
          <w:bCs/>
          <w:color w:val="auto"/>
          <w:highlight w:val="none"/>
        </w:rPr>
      </w:pPr>
      <w:r>
        <w:rPr>
          <w:rFonts w:hint="eastAsia" w:ascii="宋体" w:hAnsi="宋体"/>
          <w:color w:val="auto"/>
          <w:highlight w:val="none"/>
        </w:rPr>
        <w:t>2、地点：开封市市民之家5楼西区开标室（地址：开封市郑开大道与三大街交叉口西北角开封市市民之家）。</w:t>
      </w:r>
    </w:p>
    <w:p w14:paraId="44905751">
      <w:pPr>
        <w:spacing w:line="360" w:lineRule="auto"/>
        <w:outlineLvl w:val="1"/>
        <w:rPr>
          <w:rFonts w:hint="eastAsia" w:ascii="宋体" w:hAnsi="宋体"/>
          <w:b/>
          <w:color w:val="auto"/>
          <w:highlight w:val="none"/>
        </w:rPr>
      </w:pPr>
      <w:r>
        <w:rPr>
          <w:rFonts w:ascii="宋体" w:hAnsi="宋体"/>
          <w:b/>
          <w:color w:val="auto"/>
          <w:highlight w:val="none"/>
        </w:rPr>
        <w:t>六、</w:t>
      </w:r>
      <w:r>
        <w:rPr>
          <w:rFonts w:hint="eastAsia" w:ascii="宋体" w:hAnsi="宋体"/>
          <w:b/>
          <w:color w:val="auto"/>
          <w:highlight w:val="none"/>
        </w:rPr>
        <w:t>发布公告的媒介及招标公告的期限</w:t>
      </w:r>
    </w:p>
    <w:p w14:paraId="7C2A5D41">
      <w:pPr>
        <w:spacing w:line="360" w:lineRule="auto"/>
        <w:ind w:firstLine="420" w:firstLineChars="200"/>
        <w:rPr>
          <w:rFonts w:hint="eastAsia" w:ascii="宋体" w:hAnsi="宋体"/>
          <w:b/>
          <w:color w:val="auto"/>
          <w:highlight w:val="none"/>
        </w:rPr>
      </w:pPr>
      <w:r>
        <w:rPr>
          <w:rFonts w:hint="eastAsia" w:ascii="宋体" w:hAnsi="宋体"/>
          <w:color w:val="auto"/>
          <w:highlight w:val="none"/>
        </w:rPr>
        <w:t>本次招标公告在《河南省政府采购网》、《中国招标投标公共服务平台》、《开封市公共资源交易信息网》上发布，招标</w:t>
      </w:r>
      <w:r>
        <w:rPr>
          <w:rFonts w:hint="eastAsia" w:ascii="宋体" w:hAnsi="宋体"/>
          <w:color w:val="auto"/>
          <w:kern w:val="0"/>
          <w:highlight w:val="none"/>
        </w:rPr>
        <w:t>公告期限为五个工作日。</w:t>
      </w:r>
    </w:p>
    <w:p w14:paraId="4E9A909D">
      <w:pPr>
        <w:pStyle w:val="43"/>
        <w:rPr>
          <w:rFonts w:ascii="宋体" w:hAnsi="宋体"/>
          <w:b/>
          <w:color w:val="auto"/>
          <w:highlight w:val="none"/>
        </w:rPr>
      </w:pPr>
      <w:r>
        <w:rPr>
          <w:rFonts w:ascii="宋体" w:hAnsi="宋体"/>
          <w:b/>
          <w:color w:val="auto"/>
          <w:highlight w:val="none"/>
        </w:rPr>
        <w:t>七、其他补充事宜：</w:t>
      </w:r>
    </w:p>
    <w:p w14:paraId="21BF50E8">
      <w:pPr>
        <w:pStyle w:val="43"/>
        <w:spacing w:line="360" w:lineRule="auto"/>
        <w:ind w:firstLine="420" w:firstLineChars="200"/>
        <w:rPr>
          <w:rFonts w:ascii="宋体" w:hAnsi="宋体"/>
          <w:color w:val="auto"/>
          <w:highlight w:val="none"/>
          <w:shd w:val="clear" w:color="auto" w:fill="FFFFFF"/>
        </w:rPr>
      </w:pPr>
      <w:r>
        <w:rPr>
          <w:rFonts w:ascii="宋体" w:hAnsi="宋体"/>
          <w:color w:val="auto"/>
          <w:highlight w:val="none"/>
          <w:shd w:val="clear" w:color="auto" w:fill="FFFFFF"/>
        </w:rPr>
        <w:t>1、本项目采用“远程不见面”开标方式,供应商无需到现场提交原件资料、无需到开封市公共资源交易中心现场参加开标会议；供应商应当在投标截止时间前,登录远程开标大厅,在线准时参加开标活动并进行投标文件的解密、答疑澄清等。（系统解密时长默认为40分钟，错过解密时长者视为自动放弃本次投标。）</w:t>
      </w:r>
    </w:p>
    <w:p w14:paraId="6D86507B">
      <w:pPr>
        <w:pStyle w:val="22"/>
        <w:spacing w:before="0" w:beforeAutospacing="0" w:after="0" w:afterAutospacing="0" w:line="360" w:lineRule="exact"/>
        <w:ind w:firstLine="480" w:firstLineChars="200"/>
        <w:rPr>
          <w:color w:val="auto"/>
          <w:kern w:val="2"/>
          <w:sz w:val="21"/>
          <w:szCs w:val="21"/>
          <w:highlight w:val="none"/>
        </w:rPr>
      </w:pPr>
      <w:r>
        <w:rPr>
          <w:rFonts w:ascii="宋体" w:hAnsi="宋体"/>
          <w:color w:val="auto"/>
          <w:highlight w:val="none"/>
          <w:shd w:val="clear" w:color="auto" w:fill="FFFFFF"/>
        </w:rPr>
        <w:t>2、</w:t>
      </w:r>
      <w:r>
        <w:rPr>
          <w:rFonts w:ascii="宋体" w:hAnsi="宋体"/>
          <w:bCs/>
          <w:color w:val="auto"/>
          <w:highlight w:val="none"/>
        </w:rPr>
        <w:t xml:space="preserve"> </w:t>
      </w:r>
      <w:r>
        <w:rPr>
          <w:rFonts w:hint="eastAsia"/>
          <w:color w:val="auto"/>
          <w:kern w:val="2"/>
          <w:sz w:val="21"/>
          <w:szCs w:val="21"/>
          <w:highlight w:val="none"/>
        </w:rPr>
        <w:t>监督部门：开封市鼓楼区财政局政府采购办公室</w:t>
      </w:r>
    </w:p>
    <w:p w14:paraId="1FF12209">
      <w:pPr>
        <w:pStyle w:val="22"/>
        <w:spacing w:before="0" w:beforeAutospacing="0" w:after="0" w:afterAutospacing="0" w:line="360" w:lineRule="exact"/>
        <w:ind w:firstLine="1050" w:firstLineChars="500"/>
        <w:rPr>
          <w:rFonts w:ascii="宋体" w:hAnsi="宋体"/>
          <w:bCs/>
          <w:color w:val="auto"/>
          <w:highlight w:val="none"/>
        </w:rPr>
      </w:pPr>
      <w:r>
        <w:rPr>
          <w:rFonts w:hint="eastAsia"/>
          <w:color w:val="auto"/>
          <w:kern w:val="2"/>
          <w:sz w:val="21"/>
          <w:szCs w:val="21"/>
          <w:highlight w:val="none"/>
        </w:rPr>
        <w:t>联系电话：0371-27889359</w:t>
      </w:r>
    </w:p>
    <w:p w14:paraId="78CB6EDF">
      <w:pPr>
        <w:pStyle w:val="43"/>
        <w:spacing w:line="360" w:lineRule="auto"/>
        <w:rPr>
          <w:rFonts w:hAnsi="宋体"/>
          <w:color w:val="auto"/>
          <w:highlight w:val="none"/>
        </w:rPr>
      </w:pPr>
      <w:r>
        <w:rPr>
          <w:rFonts w:ascii="宋体" w:hAnsi="宋体"/>
          <w:b/>
          <w:color w:val="auto"/>
          <w:highlight w:val="none"/>
        </w:rPr>
        <w:t>八、对本次招标提出询问，请按以下方式联系：</w:t>
      </w:r>
      <w:bookmarkEnd w:id="41"/>
    </w:p>
    <w:p w14:paraId="5879F5F2">
      <w:pPr>
        <w:spacing w:line="380" w:lineRule="exact"/>
        <w:ind w:firstLine="420" w:firstLineChars="200"/>
        <w:jc w:val="left"/>
        <w:rPr>
          <w:rFonts w:hint="eastAsia" w:hAnsi="宋体"/>
          <w:color w:val="auto"/>
          <w:highlight w:val="none"/>
        </w:rPr>
      </w:pPr>
      <w:r>
        <w:rPr>
          <w:rFonts w:hint="eastAsia" w:ascii="宋体" w:hAnsi="宋体"/>
          <w:color w:val="auto"/>
          <w:highlight w:val="none"/>
        </w:rPr>
        <w:t>1.采购人信息</w:t>
      </w:r>
    </w:p>
    <w:p w14:paraId="02CDC625">
      <w:pPr>
        <w:pStyle w:val="22"/>
        <w:spacing w:before="0" w:beforeAutospacing="0" w:after="0" w:afterAutospacing="0" w:line="360" w:lineRule="auto"/>
        <w:ind w:firstLine="420"/>
        <w:rPr>
          <w:rFonts w:hint="eastAsia" w:ascii="宋体" w:hAnsi="宋体" w:eastAsia="宋体" w:cs="宋体"/>
          <w:color w:val="auto"/>
          <w:kern w:val="2"/>
          <w:sz w:val="21"/>
          <w:szCs w:val="21"/>
          <w:highlight w:val="none"/>
          <w:lang w:eastAsia="zh-CN"/>
        </w:rPr>
      </w:pPr>
      <w:r>
        <w:rPr>
          <w:rFonts w:hint="eastAsia" w:hAnsi="宋体"/>
          <w:color w:val="auto"/>
          <w:sz w:val="21"/>
          <w:szCs w:val="21"/>
          <w:highlight w:val="none"/>
        </w:rPr>
        <w:t>名称：</w:t>
      </w:r>
      <w:r>
        <w:rPr>
          <w:rFonts w:hint="eastAsia" w:ascii="宋体" w:hAnsi="宋体" w:eastAsia="宋体" w:cs="宋体"/>
          <w:color w:val="auto"/>
          <w:kern w:val="2"/>
          <w:sz w:val="21"/>
          <w:szCs w:val="21"/>
          <w:highlight w:val="none"/>
          <w:lang w:val="en-US" w:eastAsia="zh-CN"/>
        </w:rPr>
        <w:t>开封市鼓楼区机关事务中心</w:t>
      </w:r>
    </w:p>
    <w:p w14:paraId="7B4B6EC5">
      <w:pPr>
        <w:pStyle w:val="22"/>
        <w:spacing w:before="0" w:beforeAutospacing="0" w:after="0" w:afterAutospacing="0" w:line="360" w:lineRule="auto"/>
        <w:ind w:firstLine="42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地址：</w:t>
      </w:r>
      <w:r>
        <w:rPr>
          <w:rFonts w:hint="eastAsia" w:ascii="宋体" w:hAnsi="宋体" w:eastAsia="宋体" w:cs="宋体"/>
          <w:color w:val="auto"/>
          <w:kern w:val="2"/>
          <w:sz w:val="21"/>
          <w:szCs w:val="21"/>
          <w:highlight w:val="none"/>
          <w:lang w:eastAsia="zh-CN"/>
        </w:rPr>
        <w:t>开封市鼓楼区中山路中段92号</w:t>
      </w:r>
    </w:p>
    <w:p w14:paraId="273F40F6">
      <w:pPr>
        <w:pStyle w:val="22"/>
        <w:spacing w:before="0" w:beforeAutospacing="0" w:after="0" w:afterAutospacing="0" w:line="360" w:lineRule="auto"/>
        <w:ind w:firstLine="42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联系人：陈保岗</w:t>
      </w:r>
    </w:p>
    <w:p w14:paraId="73097E7A">
      <w:pPr>
        <w:pStyle w:val="22"/>
        <w:spacing w:before="0" w:beforeAutospacing="0" w:after="0" w:afterAutospacing="0" w:line="360" w:lineRule="auto"/>
        <w:ind w:firstLine="420"/>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联系方式：</w:t>
      </w:r>
      <w:r>
        <w:rPr>
          <w:rFonts w:hint="eastAsia" w:ascii="宋体" w:hAnsi="宋体" w:eastAsia="宋体" w:cs="宋体"/>
          <w:color w:val="auto"/>
          <w:kern w:val="2"/>
          <w:sz w:val="21"/>
          <w:szCs w:val="21"/>
          <w:highlight w:val="none"/>
          <w:lang w:eastAsia="zh-CN"/>
        </w:rPr>
        <w:t>0371-27889595</w:t>
      </w:r>
    </w:p>
    <w:p w14:paraId="74B7DFD3">
      <w:pPr>
        <w:pStyle w:val="22"/>
        <w:spacing w:before="0" w:beforeAutospacing="0" w:after="0" w:afterAutospacing="0" w:line="360" w:lineRule="auto"/>
        <w:ind w:firstLine="42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2.采购代理机构信息</w:t>
      </w:r>
    </w:p>
    <w:p w14:paraId="09746FF3">
      <w:pPr>
        <w:pStyle w:val="22"/>
        <w:spacing w:before="0" w:beforeAutospacing="0" w:after="0" w:afterAutospacing="0" w:line="360" w:lineRule="auto"/>
        <w:ind w:firstLine="42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名 称：河南星润工程管理有限公司</w:t>
      </w:r>
    </w:p>
    <w:p w14:paraId="5D0325D9">
      <w:pPr>
        <w:pStyle w:val="22"/>
        <w:spacing w:before="0" w:beforeAutospacing="0" w:after="0" w:afterAutospacing="0" w:line="360" w:lineRule="auto"/>
        <w:ind w:firstLine="42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地址：开封市金裕路西蔡屯A区一排9号</w:t>
      </w:r>
    </w:p>
    <w:p w14:paraId="5AED06C4">
      <w:pPr>
        <w:pStyle w:val="22"/>
        <w:spacing w:before="0" w:beforeAutospacing="0" w:after="0" w:afterAutospacing="0" w:line="360" w:lineRule="auto"/>
        <w:ind w:firstLine="42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联系人：宋静静</w:t>
      </w:r>
    </w:p>
    <w:p w14:paraId="0632221D">
      <w:pPr>
        <w:pStyle w:val="22"/>
        <w:spacing w:before="0" w:beforeAutospacing="0" w:after="0" w:afterAutospacing="0" w:line="360" w:lineRule="auto"/>
        <w:ind w:firstLine="42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联系方式：15503787044 　　　　　　　　　　 </w:t>
      </w:r>
    </w:p>
    <w:p w14:paraId="2D55898F">
      <w:pPr>
        <w:pStyle w:val="22"/>
        <w:spacing w:before="0" w:beforeAutospacing="0" w:after="0" w:afterAutospacing="0" w:line="360" w:lineRule="auto"/>
        <w:ind w:firstLine="42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3、项目联系方式</w:t>
      </w:r>
    </w:p>
    <w:p w14:paraId="58CFA1FF">
      <w:pPr>
        <w:pStyle w:val="22"/>
        <w:spacing w:before="0" w:beforeAutospacing="0" w:after="0" w:afterAutospacing="0" w:line="360" w:lineRule="auto"/>
        <w:ind w:firstLine="42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项目联系人：宋静静</w:t>
      </w:r>
    </w:p>
    <w:p w14:paraId="60FD6275">
      <w:pPr>
        <w:pStyle w:val="22"/>
        <w:spacing w:before="0" w:beforeAutospacing="0" w:after="0" w:afterAutospacing="0" w:line="360" w:lineRule="auto"/>
        <w:ind w:firstLine="420"/>
        <w:rPr>
          <w:color w:val="auto"/>
          <w:kern w:val="2"/>
          <w:sz w:val="21"/>
          <w:szCs w:val="21"/>
          <w:highlight w:val="none"/>
        </w:rPr>
      </w:pPr>
      <w:r>
        <w:rPr>
          <w:rFonts w:hint="eastAsia" w:ascii="宋体" w:hAnsi="宋体" w:eastAsia="宋体" w:cs="宋体"/>
          <w:color w:val="auto"/>
          <w:kern w:val="2"/>
          <w:sz w:val="21"/>
          <w:szCs w:val="21"/>
          <w:highlight w:val="none"/>
        </w:rPr>
        <w:t>电　　话：1550</w:t>
      </w:r>
      <w:r>
        <w:rPr>
          <w:color w:val="auto"/>
          <w:kern w:val="2"/>
          <w:sz w:val="21"/>
          <w:szCs w:val="21"/>
          <w:highlight w:val="none"/>
        </w:rPr>
        <w:t>3787044</w:t>
      </w:r>
    </w:p>
    <w:p w14:paraId="17861712">
      <w:pPr>
        <w:pStyle w:val="22"/>
        <w:spacing w:before="0" w:beforeAutospacing="0" w:after="0" w:afterAutospacing="0" w:line="360" w:lineRule="auto"/>
        <w:ind w:firstLine="420"/>
        <w:rPr>
          <w:rFonts w:hint="eastAsia"/>
          <w:color w:val="auto"/>
          <w:highlight w:val="none"/>
        </w:rPr>
      </w:pPr>
    </w:p>
    <w:p w14:paraId="28DEE681">
      <w:pPr>
        <w:rPr>
          <w:rFonts w:hint="eastAsia" w:ascii="宋体" w:hAnsi="宋体"/>
          <w:color w:val="auto"/>
          <w:highlight w:val="none"/>
        </w:rPr>
      </w:pPr>
    </w:p>
    <w:p w14:paraId="7F779AC2">
      <w:pPr>
        <w:rPr>
          <w:rFonts w:hint="eastAsia" w:ascii="宋体" w:hAnsi="宋体"/>
          <w:color w:val="auto"/>
          <w:highlight w:val="none"/>
        </w:rPr>
      </w:pPr>
    </w:p>
    <w:p w14:paraId="68D64A32">
      <w:pPr>
        <w:rPr>
          <w:rFonts w:hint="eastAsia" w:ascii="宋体" w:hAnsi="宋体"/>
          <w:color w:val="auto"/>
          <w:highlight w:val="none"/>
        </w:rPr>
      </w:pPr>
    </w:p>
    <w:p w14:paraId="367182B1">
      <w:pPr>
        <w:rPr>
          <w:rFonts w:hint="eastAsia" w:ascii="宋体" w:hAnsi="宋体"/>
          <w:color w:val="auto"/>
          <w:highlight w:val="none"/>
        </w:rPr>
      </w:pPr>
    </w:p>
    <w:p w14:paraId="38A4C7D3">
      <w:pPr>
        <w:rPr>
          <w:rFonts w:hint="eastAsia" w:ascii="宋体" w:hAnsi="宋体"/>
          <w:color w:val="auto"/>
          <w:highlight w:val="none"/>
        </w:rPr>
      </w:pPr>
    </w:p>
    <w:p w14:paraId="37710B30">
      <w:pPr>
        <w:rPr>
          <w:rFonts w:hint="eastAsia" w:ascii="宋体" w:hAnsi="宋体"/>
          <w:color w:val="auto"/>
          <w:highlight w:val="none"/>
        </w:rPr>
      </w:pPr>
    </w:p>
    <w:p w14:paraId="06CCB1E6">
      <w:pPr>
        <w:rPr>
          <w:rFonts w:hint="eastAsia" w:ascii="宋体" w:hAnsi="宋体"/>
          <w:color w:val="auto"/>
          <w:highlight w:val="none"/>
        </w:rPr>
      </w:pPr>
    </w:p>
    <w:p w14:paraId="0FE72877">
      <w:pPr>
        <w:rPr>
          <w:rFonts w:hint="eastAsia" w:ascii="宋体" w:hAnsi="宋体"/>
          <w:color w:val="auto"/>
          <w:highlight w:val="none"/>
        </w:rPr>
      </w:pPr>
    </w:p>
    <w:p w14:paraId="3780CFF0">
      <w:pPr>
        <w:rPr>
          <w:rFonts w:hint="eastAsia" w:ascii="宋体" w:hAnsi="宋体"/>
          <w:color w:val="auto"/>
          <w:highlight w:val="none"/>
        </w:rPr>
      </w:pPr>
    </w:p>
    <w:p w14:paraId="5537C836">
      <w:pPr>
        <w:rPr>
          <w:rFonts w:hint="eastAsia" w:ascii="宋体" w:hAnsi="宋体"/>
          <w:color w:val="auto"/>
          <w:highlight w:val="none"/>
        </w:rPr>
      </w:pPr>
    </w:p>
    <w:p w14:paraId="66698B59">
      <w:pPr>
        <w:rPr>
          <w:rFonts w:hint="eastAsia" w:ascii="宋体" w:hAnsi="宋体"/>
          <w:color w:val="auto"/>
          <w:highlight w:val="none"/>
        </w:rPr>
      </w:pPr>
    </w:p>
    <w:p w14:paraId="20DB1077">
      <w:pPr>
        <w:rPr>
          <w:rFonts w:hint="eastAsia" w:ascii="宋体" w:hAnsi="宋体"/>
          <w:color w:val="auto"/>
          <w:highlight w:val="none"/>
        </w:rPr>
      </w:pPr>
    </w:p>
    <w:p w14:paraId="6D6E51AC">
      <w:pPr>
        <w:rPr>
          <w:rFonts w:hint="eastAsia" w:ascii="宋体" w:hAnsi="宋体"/>
          <w:color w:val="auto"/>
          <w:highlight w:val="none"/>
        </w:rPr>
      </w:pPr>
    </w:p>
    <w:p w14:paraId="18B23C70">
      <w:pPr>
        <w:rPr>
          <w:rFonts w:hint="eastAsia" w:ascii="宋体" w:hAnsi="宋体"/>
          <w:color w:val="auto"/>
          <w:highlight w:val="none"/>
        </w:rPr>
      </w:pPr>
    </w:p>
    <w:p w14:paraId="460B9B4E">
      <w:pPr>
        <w:rPr>
          <w:rFonts w:hint="eastAsia" w:ascii="宋体" w:hAnsi="宋体"/>
          <w:color w:val="auto"/>
          <w:highlight w:val="none"/>
        </w:rPr>
      </w:pPr>
    </w:p>
    <w:p w14:paraId="75418D4B">
      <w:pPr>
        <w:pStyle w:val="3"/>
        <w:spacing w:before="0" w:beforeAutospacing="0" w:after="0" w:afterAutospacing="0" w:line="240" w:lineRule="auto"/>
        <w:ind w:left="0" w:firstLine="0"/>
        <w:jc w:val="center"/>
        <w:rPr>
          <w:rFonts w:hint="eastAsia" w:ascii="宋体" w:hAnsi="宋体"/>
          <w:color w:val="auto"/>
          <w:sz w:val="28"/>
          <w:szCs w:val="28"/>
          <w:highlight w:val="none"/>
        </w:rPr>
      </w:pPr>
      <w:r>
        <w:rPr>
          <w:rFonts w:hint="eastAsia" w:ascii="宋体" w:hAnsi="宋体"/>
          <w:color w:val="auto"/>
          <w:sz w:val="40"/>
          <w:szCs w:val="40"/>
          <w:highlight w:val="none"/>
        </w:rPr>
        <w:t>第二部分投标须</w:t>
      </w:r>
      <w:bookmarkStart w:id="43" w:name="_Hlt130807893"/>
      <w:bookmarkEnd w:id="43"/>
      <w:r>
        <w:rPr>
          <w:rFonts w:hint="eastAsia" w:ascii="宋体" w:hAnsi="宋体"/>
          <w:color w:val="auto"/>
          <w:sz w:val="40"/>
          <w:szCs w:val="40"/>
          <w:highlight w:val="none"/>
        </w:rPr>
        <w:t>知</w:t>
      </w:r>
    </w:p>
    <w:p w14:paraId="041BC357">
      <w:pPr>
        <w:pStyle w:val="3"/>
        <w:spacing w:before="0" w:beforeAutospacing="0" w:after="0" w:afterAutospacing="0" w:line="240" w:lineRule="auto"/>
        <w:ind w:left="0" w:firstLine="0"/>
        <w:jc w:val="center"/>
        <w:rPr>
          <w:rFonts w:hint="eastAsia" w:ascii="宋体" w:hAnsi="宋体"/>
          <w:color w:val="auto"/>
          <w:highlight w:val="none"/>
        </w:rPr>
      </w:pPr>
      <w:r>
        <w:rPr>
          <w:rFonts w:hint="eastAsia" w:ascii="宋体" w:hAnsi="宋体"/>
          <w:color w:val="auto"/>
          <w:sz w:val="28"/>
          <w:szCs w:val="28"/>
          <w:highlight w:val="none"/>
        </w:rPr>
        <w:t>供应商须知前附表</w:t>
      </w:r>
    </w:p>
    <w:p w14:paraId="2452EDE3">
      <w:pPr>
        <w:rPr>
          <w:color w:val="auto"/>
          <w:highlight w:val="none"/>
        </w:rPr>
      </w:pPr>
      <w:r>
        <w:rPr>
          <w:rFonts w:hint="eastAsia" w:ascii="宋体" w:hAnsi="宋体"/>
          <w:color w:val="auto"/>
          <w:highlight w:val="none"/>
        </w:rPr>
        <w:t>注：本供应商须知前附表内容与供应商须知正文内容不一致时以本前附表内容为准。</w:t>
      </w:r>
    </w:p>
    <w:tbl>
      <w:tblPr>
        <w:tblStyle w:val="25"/>
        <w:tblW w:w="9659" w:type="dxa"/>
        <w:jc w:val="center"/>
        <w:tblLayout w:type="fixed"/>
        <w:tblCellMar>
          <w:top w:w="0" w:type="dxa"/>
          <w:left w:w="108" w:type="dxa"/>
          <w:bottom w:w="0" w:type="dxa"/>
          <w:right w:w="108" w:type="dxa"/>
        </w:tblCellMar>
      </w:tblPr>
      <w:tblGrid>
        <w:gridCol w:w="1008"/>
        <w:gridCol w:w="1980"/>
        <w:gridCol w:w="6671"/>
      </w:tblGrid>
      <w:tr w14:paraId="6D945579">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0CD7D55C">
            <w:pPr>
              <w:spacing w:line="396" w:lineRule="exact"/>
              <w:jc w:val="center"/>
              <w:rPr>
                <w:rFonts w:ascii="宋体"/>
                <w:b/>
                <w:bCs/>
                <w:color w:val="auto"/>
                <w:sz w:val="24"/>
                <w:szCs w:val="24"/>
                <w:highlight w:val="none"/>
              </w:rPr>
            </w:pPr>
            <w:r>
              <w:rPr>
                <w:rFonts w:hint="eastAsia" w:ascii="宋体" w:hAnsi="宋体"/>
                <w:b/>
                <w:bCs/>
                <w:color w:val="auto"/>
                <w:sz w:val="24"/>
                <w:szCs w:val="24"/>
                <w:highlight w:val="none"/>
              </w:rPr>
              <w:t>条款号</w:t>
            </w:r>
          </w:p>
        </w:tc>
        <w:tc>
          <w:tcPr>
            <w:tcW w:w="1980" w:type="dxa"/>
            <w:tcBorders>
              <w:top w:val="single" w:color="auto" w:sz="4" w:space="0"/>
              <w:left w:val="nil"/>
              <w:bottom w:val="single" w:color="auto" w:sz="4" w:space="0"/>
              <w:right w:val="single" w:color="auto" w:sz="4" w:space="0"/>
            </w:tcBorders>
            <w:vAlign w:val="center"/>
          </w:tcPr>
          <w:p w14:paraId="3ED8C215">
            <w:pPr>
              <w:spacing w:line="396" w:lineRule="exact"/>
              <w:jc w:val="center"/>
              <w:rPr>
                <w:rFonts w:ascii="宋体"/>
                <w:b/>
                <w:bCs/>
                <w:color w:val="auto"/>
                <w:sz w:val="24"/>
                <w:szCs w:val="24"/>
                <w:highlight w:val="none"/>
              </w:rPr>
            </w:pPr>
            <w:r>
              <w:rPr>
                <w:rFonts w:hint="eastAsia" w:ascii="宋体" w:hAnsi="宋体"/>
                <w:b/>
                <w:bCs/>
                <w:color w:val="auto"/>
                <w:sz w:val="24"/>
                <w:szCs w:val="24"/>
                <w:highlight w:val="none"/>
              </w:rPr>
              <w:t>条款名称</w:t>
            </w:r>
          </w:p>
        </w:tc>
        <w:tc>
          <w:tcPr>
            <w:tcW w:w="6671" w:type="dxa"/>
            <w:tcBorders>
              <w:top w:val="single" w:color="auto" w:sz="4" w:space="0"/>
              <w:left w:val="nil"/>
              <w:bottom w:val="single" w:color="auto" w:sz="4" w:space="0"/>
              <w:right w:val="single" w:color="auto" w:sz="4" w:space="0"/>
            </w:tcBorders>
            <w:vAlign w:val="center"/>
          </w:tcPr>
          <w:p w14:paraId="60DB431C">
            <w:pPr>
              <w:spacing w:line="396" w:lineRule="exact"/>
              <w:jc w:val="center"/>
              <w:rPr>
                <w:rFonts w:ascii="宋体"/>
                <w:b/>
                <w:bCs/>
                <w:color w:val="auto"/>
                <w:sz w:val="24"/>
                <w:szCs w:val="24"/>
                <w:highlight w:val="none"/>
              </w:rPr>
            </w:pPr>
            <w:r>
              <w:rPr>
                <w:rFonts w:hint="eastAsia" w:ascii="宋体" w:hAnsi="宋体"/>
                <w:b/>
                <w:bCs/>
                <w:color w:val="auto"/>
                <w:sz w:val="24"/>
                <w:szCs w:val="24"/>
                <w:highlight w:val="none"/>
              </w:rPr>
              <w:t>编列内容</w:t>
            </w:r>
          </w:p>
        </w:tc>
      </w:tr>
      <w:tr w14:paraId="0F7C1DEB">
        <w:tblPrEx>
          <w:tblCellMar>
            <w:top w:w="0" w:type="dxa"/>
            <w:left w:w="108" w:type="dxa"/>
            <w:bottom w:w="0" w:type="dxa"/>
            <w:right w:w="108" w:type="dxa"/>
          </w:tblCellMar>
        </w:tblPrEx>
        <w:trPr>
          <w:trHeight w:val="9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13C03F53">
            <w:pPr>
              <w:spacing w:line="396" w:lineRule="exact"/>
              <w:jc w:val="center"/>
              <w:rPr>
                <w:rFonts w:ascii="宋体"/>
                <w:color w:val="auto"/>
                <w:sz w:val="24"/>
                <w:szCs w:val="24"/>
                <w:highlight w:val="none"/>
              </w:rPr>
            </w:pPr>
            <w:r>
              <w:rPr>
                <w:rFonts w:hint="eastAsia" w:ascii="宋体" w:hAnsi="宋体"/>
                <w:color w:val="auto"/>
                <w:sz w:val="24"/>
                <w:szCs w:val="24"/>
                <w:highlight w:val="none"/>
              </w:rPr>
              <w:t>1.1.2</w:t>
            </w:r>
          </w:p>
        </w:tc>
        <w:tc>
          <w:tcPr>
            <w:tcW w:w="1980" w:type="dxa"/>
            <w:tcBorders>
              <w:top w:val="single" w:color="auto" w:sz="4" w:space="0"/>
              <w:left w:val="nil"/>
              <w:bottom w:val="single" w:color="auto" w:sz="4" w:space="0"/>
              <w:right w:val="single" w:color="auto" w:sz="4" w:space="0"/>
            </w:tcBorders>
            <w:vAlign w:val="center"/>
          </w:tcPr>
          <w:p w14:paraId="0005B22A">
            <w:pPr>
              <w:spacing w:line="360" w:lineRule="auto"/>
              <w:jc w:val="center"/>
              <w:rPr>
                <w:rFonts w:hint="eastAsia" w:ascii="宋体" w:hAnsi="宋体"/>
                <w:color w:val="auto"/>
                <w:kern w:val="0"/>
                <w:highlight w:val="none"/>
              </w:rPr>
            </w:pPr>
            <w:r>
              <w:rPr>
                <w:rFonts w:hint="eastAsia" w:ascii="宋体" w:hAnsi="宋体"/>
                <w:color w:val="auto"/>
                <w:kern w:val="0"/>
                <w:highlight w:val="none"/>
              </w:rPr>
              <w:t>采购人</w:t>
            </w:r>
          </w:p>
          <w:p w14:paraId="29A6D236">
            <w:pPr>
              <w:pStyle w:val="34"/>
              <w:spacing w:line="360" w:lineRule="auto"/>
              <w:rPr>
                <w:rFonts w:hint="eastAsia" w:hAnsi="宋体" w:cs="Times New Roman"/>
                <w:color w:val="auto"/>
                <w:sz w:val="21"/>
                <w:szCs w:val="21"/>
                <w:highlight w:val="none"/>
              </w:rPr>
            </w:pPr>
          </w:p>
        </w:tc>
        <w:tc>
          <w:tcPr>
            <w:tcW w:w="6671" w:type="dxa"/>
            <w:tcBorders>
              <w:top w:val="single" w:color="auto" w:sz="4" w:space="0"/>
              <w:left w:val="nil"/>
              <w:bottom w:val="single" w:color="auto" w:sz="4" w:space="0"/>
              <w:right w:val="single" w:color="auto" w:sz="4" w:space="0"/>
            </w:tcBorders>
            <w:vAlign w:val="center"/>
          </w:tcPr>
          <w:p w14:paraId="348F82E5">
            <w:pPr>
              <w:tabs>
                <w:tab w:val="left" w:pos="540"/>
              </w:tabs>
              <w:spacing w:line="360" w:lineRule="auto"/>
              <w:jc w:val="left"/>
              <w:rPr>
                <w:rFonts w:hint="eastAsia"/>
                <w:color w:val="auto"/>
                <w:highlight w:val="none"/>
                <w:lang w:eastAsia="zh-CN"/>
              </w:rPr>
            </w:pPr>
            <w:r>
              <w:rPr>
                <w:rFonts w:hint="eastAsia"/>
                <w:color w:val="auto"/>
                <w:highlight w:val="none"/>
              </w:rPr>
              <w:t>名称：</w:t>
            </w:r>
            <w:r>
              <w:rPr>
                <w:rFonts w:hint="eastAsia"/>
                <w:color w:val="auto"/>
                <w:highlight w:val="none"/>
                <w:lang w:val="en-US" w:eastAsia="zh-CN"/>
              </w:rPr>
              <w:t>开封市鼓楼区机关事务中心</w:t>
            </w:r>
          </w:p>
          <w:p w14:paraId="49FB557A">
            <w:pPr>
              <w:tabs>
                <w:tab w:val="left" w:pos="540"/>
              </w:tabs>
              <w:spacing w:line="360" w:lineRule="auto"/>
              <w:jc w:val="left"/>
              <w:rPr>
                <w:rFonts w:hint="eastAsia"/>
                <w:color w:val="auto"/>
                <w:highlight w:val="none"/>
                <w:lang w:val="en-US" w:eastAsia="zh-CN"/>
              </w:rPr>
            </w:pPr>
            <w:r>
              <w:rPr>
                <w:rFonts w:hint="eastAsia"/>
                <w:color w:val="auto"/>
                <w:highlight w:val="none"/>
              </w:rPr>
              <w:t>地址：</w:t>
            </w:r>
            <w:r>
              <w:rPr>
                <w:rFonts w:hint="eastAsia"/>
                <w:color w:val="auto"/>
                <w:highlight w:val="none"/>
                <w:lang w:eastAsia="zh-CN"/>
              </w:rPr>
              <w:t>开封市鼓楼区中山路中段92号</w:t>
            </w:r>
          </w:p>
          <w:p w14:paraId="635DE4B1">
            <w:pPr>
              <w:tabs>
                <w:tab w:val="left" w:pos="540"/>
              </w:tabs>
              <w:spacing w:line="360" w:lineRule="auto"/>
              <w:jc w:val="left"/>
              <w:rPr>
                <w:rFonts w:hint="eastAsia"/>
                <w:color w:val="auto"/>
                <w:highlight w:val="none"/>
                <w:lang w:val="en-US" w:eastAsia="zh-CN"/>
              </w:rPr>
            </w:pPr>
            <w:r>
              <w:rPr>
                <w:rFonts w:hint="eastAsia"/>
                <w:color w:val="auto"/>
                <w:highlight w:val="none"/>
              </w:rPr>
              <w:t>联系人：陈保岗</w:t>
            </w:r>
          </w:p>
          <w:p w14:paraId="0FBCE79A">
            <w:pPr>
              <w:tabs>
                <w:tab w:val="left" w:pos="540"/>
              </w:tabs>
              <w:spacing w:line="360" w:lineRule="auto"/>
              <w:jc w:val="left"/>
              <w:rPr>
                <w:color w:val="auto"/>
                <w:highlight w:val="none"/>
              </w:rPr>
            </w:pPr>
            <w:r>
              <w:rPr>
                <w:rFonts w:hint="eastAsia"/>
                <w:color w:val="auto"/>
                <w:highlight w:val="none"/>
              </w:rPr>
              <w:t>联系方式：</w:t>
            </w:r>
            <w:r>
              <w:rPr>
                <w:rFonts w:hint="eastAsia"/>
                <w:color w:val="auto"/>
                <w:highlight w:val="none"/>
                <w:lang w:eastAsia="zh-CN"/>
              </w:rPr>
              <w:t>0371-27889595</w:t>
            </w:r>
          </w:p>
        </w:tc>
      </w:tr>
      <w:tr w14:paraId="3191AE30">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3C5D0219">
            <w:pPr>
              <w:spacing w:line="396" w:lineRule="exact"/>
              <w:jc w:val="center"/>
              <w:rPr>
                <w:rFonts w:ascii="宋体"/>
                <w:color w:val="auto"/>
                <w:sz w:val="24"/>
                <w:szCs w:val="24"/>
                <w:highlight w:val="none"/>
              </w:rPr>
            </w:pPr>
            <w:r>
              <w:rPr>
                <w:rFonts w:hint="eastAsia" w:ascii="宋体" w:hAnsi="宋体"/>
                <w:color w:val="auto"/>
                <w:sz w:val="24"/>
                <w:szCs w:val="24"/>
                <w:highlight w:val="none"/>
              </w:rPr>
              <w:t>1.1.3</w:t>
            </w:r>
          </w:p>
        </w:tc>
        <w:tc>
          <w:tcPr>
            <w:tcW w:w="1980" w:type="dxa"/>
            <w:tcBorders>
              <w:top w:val="single" w:color="auto" w:sz="4" w:space="0"/>
              <w:left w:val="nil"/>
              <w:bottom w:val="single" w:color="auto" w:sz="4" w:space="0"/>
              <w:right w:val="single" w:color="auto" w:sz="4" w:space="0"/>
            </w:tcBorders>
            <w:vAlign w:val="center"/>
          </w:tcPr>
          <w:p w14:paraId="4B620559">
            <w:pPr>
              <w:spacing w:line="360" w:lineRule="auto"/>
              <w:jc w:val="center"/>
              <w:rPr>
                <w:rFonts w:hint="eastAsia" w:ascii="宋体" w:hAnsi="宋体"/>
                <w:color w:val="auto"/>
                <w:kern w:val="0"/>
                <w:highlight w:val="none"/>
              </w:rPr>
            </w:pPr>
            <w:r>
              <w:rPr>
                <w:rFonts w:hint="eastAsia" w:ascii="宋体" w:hAnsi="宋体"/>
                <w:color w:val="auto"/>
                <w:kern w:val="0"/>
                <w:highlight w:val="none"/>
              </w:rPr>
              <w:t>采购代理机构</w:t>
            </w:r>
          </w:p>
        </w:tc>
        <w:tc>
          <w:tcPr>
            <w:tcW w:w="6671" w:type="dxa"/>
            <w:tcBorders>
              <w:top w:val="single" w:color="auto" w:sz="4" w:space="0"/>
              <w:left w:val="nil"/>
              <w:bottom w:val="single" w:color="auto" w:sz="4" w:space="0"/>
              <w:right w:val="single" w:color="auto" w:sz="4" w:space="0"/>
            </w:tcBorders>
            <w:vAlign w:val="center"/>
          </w:tcPr>
          <w:p w14:paraId="7EC17358">
            <w:pPr>
              <w:widowControl/>
              <w:spacing w:line="360" w:lineRule="exact"/>
              <w:jc w:val="left"/>
              <w:rPr>
                <w:rFonts w:hint="eastAsia" w:ascii="宋体" w:hAnsi="宋体"/>
                <w:color w:val="auto"/>
                <w:kern w:val="0"/>
                <w:highlight w:val="none"/>
              </w:rPr>
            </w:pPr>
            <w:r>
              <w:rPr>
                <w:rFonts w:hint="eastAsia" w:ascii="宋体" w:hAnsi="宋体"/>
                <w:color w:val="auto"/>
                <w:kern w:val="0"/>
                <w:highlight w:val="none"/>
              </w:rPr>
              <w:t>名称：河南星润工程管理有限公司</w:t>
            </w:r>
          </w:p>
          <w:p w14:paraId="3F3912EE">
            <w:pPr>
              <w:widowControl/>
              <w:spacing w:line="360" w:lineRule="exact"/>
              <w:jc w:val="left"/>
              <w:rPr>
                <w:rFonts w:hint="eastAsia" w:ascii="宋体" w:hAnsi="宋体"/>
                <w:color w:val="auto"/>
                <w:kern w:val="0"/>
                <w:highlight w:val="none"/>
              </w:rPr>
            </w:pPr>
            <w:r>
              <w:rPr>
                <w:rFonts w:hint="eastAsia" w:ascii="宋体" w:hAnsi="宋体"/>
                <w:color w:val="auto"/>
                <w:kern w:val="0"/>
                <w:highlight w:val="none"/>
              </w:rPr>
              <w:t>地址：开封市金裕路西蔡屯A区一排9号</w:t>
            </w:r>
          </w:p>
          <w:p w14:paraId="326B81E2">
            <w:pPr>
              <w:widowControl/>
              <w:spacing w:line="360" w:lineRule="exact"/>
              <w:jc w:val="left"/>
              <w:rPr>
                <w:rFonts w:hint="eastAsia" w:ascii="宋体" w:hAnsi="宋体"/>
                <w:color w:val="auto"/>
                <w:kern w:val="0"/>
                <w:highlight w:val="none"/>
              </w:rPr>
            </w:pPr>
            <w:r>
              <w:rPr>
                <w:rFonts w:hint="eastAsia" w:ascii="宋体" w:hAnsi="宋体"/>
                <w:color w:val="auto"/>
                <w:kern w:val="0"/>
                <w:highlight w:val="none"/>
              </w:rPr>
              <w:t>联系人：宋静静</w:t>
            </w:r>
          </w:p>
          <w:p w14:paraId="6E4F12AE">
            <w:pPr>
              <w:widowControl/>
              <w:spacing w:line="360" w:lineRule="exact"/>
              <w:jc w:val="left"/>
              <w:rPr>
                <w:rFonts w:hint="eastAsia" w:ascii="宋体" w:hAnsi="宋体"/>
                <w:color w:val="auto"/>
                <w:kern w:val="0"/>
                <w:highlight w:val="none"/>
              </w:rPr>
            </w:pPr>
            <w:r>
              <w:rPr>
                <w:rFonts w:hint="eastAsia" w:ascii="宋体" w:hAnsi="宋体"/>
                <w:color w:val="auto"/>
                <w:kern w:val="0"/>
                <w:highlight w:val="none"/>
              </w:rPr>
              <w:t>联系方式：15503787044　</w:t>
            </w:r>
          </w:p>
        </w:tc>
      </w:tr>
      <w:tr w14:paraId="7A2DB9DA">
        <w:tblPrEx>
          <w:tblCellMar>
            <w:top w:w="0" w:type="dxa"/>
            <w:left w:w="108" w:type="dxa"/>
            <w:bottom w:w="0" w:type="dxa"/>
            <w:right w:w="108" w:type="dxa"/>
          </w:tblCellMar>
        </w:tblPrEx>
        <w:trPr>
          <w:trHeight w:val="707"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0AEB37C0">
            <w:pPr>
              <w:spacing w:line="396" w:lineRule="exact"/>
              <w:jc w:val="center"/>
              <w:rPr>
                <w:rFonts w:ascii="宋体"/>
                <w:color w:val="auto"/>
                <w:sz w:val="24"/>
                <w:szCs w:val="24"/>
                <w:highlight w:val="none"/>
              </w:rPr>
            </w:pPr>
            <w:r>
              <w:rPr>
                <w:rFonts w:hint="eastAsia" w:ascii="宋体" w:hAnsi="宋体"/>
                <w:color w:val="auto"/>
                <w:sz w:val="24"/>
                <w:szCs w:val="24"/>
                <w:highlight w:val="none"/>
              </w:rPr>
              <w:t>1.1.4</w:t>
            </w:r>
          </w:p>
        </w:tc>
        <w:tc>
          <w:tcPr>
            <w:tcW w:w="1980" w:type="dxa"/>
            <w:tcBorders>
              <w:top w:val="single" w:color="auto" w:sz="4" w:space="0"/>
              <w:left w:val="nil"/>
              <w:bottom w:val="single" w:color="auto" w:sz="4" w:space="0"/>
              <w:right w:val="single" w:color="auto" w:sz="4" w:space="0"/>
            </w:tcBorders>
            <w:vAlign w:val="center"/>
          </w:tcPr>
          <w:p w14:paraId="25F16054">
            <w:pPr>
              <w:spacing w:line="396" w:lineRule="exact"/>
              <w:jc w:val="center"/>
              <w:rPr>
                <w:rFonts w:hint="eastAsia" w:ascii="宋体" w:hAnsi="宋体"/>
                <w:color w:val="auto"/>
                <w:kern w:val="0"/>
                <w:highlight w:val="none"/>
              </w:rPr>
            </w:pPr>
            <w:r>
              <w:rPr>
                <w:rFonts w:hint="eastAsia"/>
                <w:color w:val="auto"/>
                <w:highlight w:val="none"/>
              </w:rPr>
              <w:t>项目名称</w:t>
            </w:r>
          </w:p>
        </w:tc>
        <w:tc>
          <w:tcPr>
            <w:tcW w:w="6671" w:type="dxa"/>
            <w:tcBorders>
              <w:top w:val="single" w:color="auto" w:sz="4" w:space="0"/>
              <w:left w:val="nil"/>
              <w:bottom w:val="single" w:color="auto" w:sz="4" w:space="0"/>
              <w:right w:val="single" w:color="auto" w:sz="4" w:space="0"/>
            </w:tcBorders>
            <w:vAlign w:val="center"/>
          </w:tcPr>
          <w:p w14:paraId="6FD6458D">
            <w:pPr>
              <w:widowControl/>
              <w:spacing w:line="360" w:lineRule="exact"/>
              <w:jc w:val="left"/>
              <w:rPr>
                <w:rFonts w:hint="eastAsia" w:ascii="宋体" w:hAnsi="宋体"/>
                <w:color w:val="auto"/>
                <w:kern w:val="0"/>
                <w:highlight w:val="none"/>
              </w:rPr>
            </w:pPr>
            <w:r>
              <w:rPr>
                <w:rFonts w:hint="eastAsia" w:ascii="宋体" w:hAnsi="宋体" w:eastAsia="宋体" w:cs="宋体"/>
                <w:color w:val="auto"/>
                <w:highlight w:val="none"/>
              </w:rPr>
              <w:t>开封市鼓楼区机关事务中心机关食堂食材供应商服务项目</w:t>
            </w:r>
          </w:p>
        </w:tc>
      </w:tr>
      <w:tr w14:paraId="45C04CEC">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7983D0BA">
            <w:pPr>
              <w:spacing w:line="396" w:lineRule="exact"/>
              <w:jc w:val="center"/>
              <w:rPr>
                <w:rFonts w:ascii="宋体"/>
                <w:color w:val="auto"/>
                <w:sz w:val="24"/>
                <w:szCs w:val="24"/>
                <w:highlight w:val="none"/>
              </w:rPr>
            </w:pPr>
            <w:r>
              <w:rPr>
                <w:rFonts w:hint="eastAsia" w:ascii="宋体" w:hAnsi="宋体"/>
                <w:color w:val="auto"/>
                <w:sz w:val="24"/>
                <w:szCs w:val="24"/>
                <w:highlight w:val="none"/>
              </w:rPr>
              <w:t>1.1.5</w:t>
            </w:r>
          </w:p>
        </w:tc>
        <w:tc>
          <w:tcPr>
            <w:tcW w:w="1980" w:type="dxa"/>
            <w:tcBorders>
              <w:top w:val="single" w:color="auto" w:sz="4" w:space="0"/>
              <w:left w:val="nil"/>
              <w:bottom w:val="single" w:color="auto" w:sz="4" w:space="0"/>
              <w:right w:val="single" w:color="auto" w:sz="4" w:space="0"/>
            </w:tcBorders>
            <w:vAlign w:val="center"/>
          </w:tcPr>
          <w:p w14:paraId="44A4A045">
            <w:pPr>
              <w:spacing w:line="396" w:lineRule="exact"/>
              <w:jc w:val="center"/>
              <w:rPr>
                <w:rFonts w:hint="eastAsia" w:ascii="宋体" w:hAnsi="宋体"/>
                <w:color w:val="auto"/>
                <w:kern w:val="0"/>
                <w:highlight w:val="none"/>
              </w:rPr>
            </w:pPr>
            <w:r>
              <w:rPr>
                <w:rFonts w:hint="eastAsia" w:ascii="宋体" w:hAnsi="宋体"/>
                <w:bCs/>
                <w:color w:val="auto"/>
                <w:highlight w:val="none"/>
              </w:rPr>
              <w:t>服务地点</w:t>
            </w:r>
          </w:p>
        </w:tc>
        <w:tc>
          <w:tcPr>
            <w:tcW w:w="6671" w:type="dxa"/>
            <w:tcBorders>
              <w:top w:val="single" w:color="auto" w:sz="4" w:space="0"/>
              <w:left w:val="nil"/>
              <w:bottom w:val="single" w:color="auto" w:sz="4" w:space="0"/>
              <w:right w:val="single" w:color="auto" w:sz="4" w:space="0"/>
            </w:tcBorders>
            <w:vAlign w:val="center"/>
          </w:tcPr>
          <w:p w14:paraId="1D588CED">
            <w:pPr>
              <w:spacing w:line="396" w:lineRule="exact"/>
              <w:jc w:val="left"/>
              <w:rPr>
                <w:rFonts w:hint="eastAsia" w:ascii="宋体" w:hAnsi="宋体"/>
                <w:color w:val="auto"/>
                <w:kern w:val="0"/>
                <w:highlight w:val="none"/>
              </w:rPr>
            </w:pPr>
            <w:r>
              <w:rPr>
                <w:rFonts w:hint="eastAsia" w:ascii="宋体" w:hAnsi="宋体" w:eastAsia="宋体" w:cs="宋体"/>
                <w:color w:val="auto"/>
                <w:highlight w:val="none"/>
              </w:rPr>
              <w:t>开封市鼓楼区机关事务中心</w:t>
            </w:r>
            <w:r>
              <w:rPr>
                <w:rFonts w:hint="eastAsia" w:ascii="宋体" w:hAnsi="宋体"/>
                <w:bCs/>
                <w:color w:val="auto"/>
                <w:highlight w:val="none"/>
              </w:rPr>
              <w:t>指定地点</w:t>
            </w:r>
          </w:p>
        </w:tc>
      </w:tr>
      <w:tr w14:paraId="5E519E79">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7F737E56">
            <w:pPr>
              <w:spacing w:line="396" w:lineRule="exact"/>
              <w:jc w:val="center"/>
              <w:rPr>
                <w:rFonts w:ascii="宋体"/>
                <w:color w:val="auto"/>
                <w:sz w:val="24"/>
                <w:szCs w:val="24"/>
                <w:highlight w:val="none"/>
              </w:rPr>
            </w:pPr>
            <w:r>
              <w:rPr>
                <w:rFonts w:hint="eastAsia" w:ascii="宋体" w:hAnsi="宋体"/>
                <w:color w:val="auto"/>
                <w:sz w:val="24"/>
                <w:szCs w:val="24"/>
                <w:highlight w:val="none"/>
              </w:rPr>
              <w:t>1.2.1</w:t>
            </w:r>
          </w:p>
        </w:tc>
        <w:tc>
          <w:tcPr>
            <w:tcW w:w="1980" w:type="dxa"/>
            <w:tcBorders>
              <w:top w:val="single" w:color="auto" w:sz="4" w:space="0"/>
              <w:left w:val="nil"/>
              <w:bottom w:val="single" w:color="auto" w:sz="4" w:space="0"/>
              <w:right w:val="single" w:color="auto" w:sz="4" w:space="0"/>
            </w:tcBorders>
            <w:vAlign w:val="center"/>
          </w:tcPr>
          <w:p w14:paraId="51E9AF3F">
            <w:pPr>
              <w:spacing w:line="396" w:lineRule="exact"/>
              <w:jc w:val="center"/>
              <w:rPr>
                <w:rFonts w:hint="eastAsia" w:ascii="宋体" w:hAnsi="宋体"/>
                <w:color w:val="auto"/>
                <w:kern w:val="0"/>
                <w:highlight w:val="none"/>
              </w:rPr>
            </w:pPr>
            <w:r>
              <w:rPr>
                <w:rFonts w:hint="eastAsia" w:ascii="宋体" w:hAnsi="宋体"/>
                <w:color w:val="auto"/>
                <w:kern w:val="0"/>
                <w:highlight w:val="none"/>
              </w:rPr>
              <w:t>资金来源及比例</w:t>
            </w:r>
          </w:p>
        </w:tc>
        <w:tc>
          <w:tcPr>
            <w:tcW w:w="6671" w:type="dxa"/>
            <w:tcBorders>
              <w:top w:val="single" w:color="auto" w:sz="4" w:space="0"/>
              <w:left w:val="nil"/>
              <w:bottom w:val="single" w:color="auto" w:sz="4" w:space="0"/>
              <w:right w:val="single" w:color="auto" w:sz="4" w:space="0"/>
            </w:tcBorders>
            <w:vAlign w:val="center"/>
          </w:tcPr>
          <w:p w14:paraId="50BA470B">
            <w:pPr>
              <w:spacing w:line="396" w:lineRule="exact"/>
              <w:jc w:val="left"/>
              <w:rPr>
                <w:rFonts w:hint="eastAsia" w:ascii="宋体" w:hAnsi="宋体"/>
                <w:color w:val="auto"/>
                <w:kern w:val="0"/>
                <w:highlight w:val="none"/>
              </w:rPr>
            </w:pPr>
            <w:r>
              <w:rPr>
                <w:rFonts w:hint="eastAsia" w:ascii="宋体" w:hAnsi="宋体"/>
                <w:color w:val="auto"/>
                <w:kern w:val="0"/>
                <w:highlight w:val="none"/>
              </w:rPr>
              <w:t>财政资金，100%。</w:t>
            </w:r>
          </w:p>
        </w:tc>
      </w:tr>
      <w:tr w14:paraId="35490E65">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7BDCC1F2">
            <w:pPr>
              <w:spacing w:line="396" w:lineRule="exact"/>
              <w:jc w:val="center"/>
              <w:rPr>
                <w:rFonts w:ascii="宋体"/>
                <w:color w:val="auto"/>
                <w:sz w:val="24"/>
                <w:szCs w:val="24"/>
                <w:highlight w:val="none"/>
              </w:rPr>
            </w:pPr>
            <w:r>
              <w:rPr>
                <w:rFonts w:hint="eastAsia" w:ascii="宋体" w:hAnsi="宋体"/>
                <w:color w:val="auto"/>
                <w:sz w:val="24"/>
                <w:szCs w:val="24"/>
                <w:highlight w:val="none"/>
              </w:rPr>
              <w:t>1.2.2</w:t>
            </w:r>
          </w:p>
        </w:tc>
        <w:tc>
          <w:tcPr>
            <w:tcW w:w="1980" w:type="dxa"/>
            <w:tcBorders>
              <w:top w:val="single" w:color="auto" w:sz="4" w:space="0"/>
              <w:left w:val="nil"/>
              <w:bottom w:val="single" w:color="auto" w:sz="4" w:space="0"/>
              <w:right w:val="single" w:color="auto" w:sz="4" w:space="0"/>
            </w:tcBorders>
            <w:vAlign w:val="center"/>
          </w:tcPr>
          <w:p w14:paraId="3420B490">
            <w:pPr>
              <w:spacing w:line="396" w:lineRule="exact"/>
              <w:jc w:val="center"/>
              <w:rPr>
                <w:rFonts w:hint="eastAsia" w:ascii="宋体" w:hAnsi="宋体"/>
                <w:color w:val="auto"/>
                <w:kern w:val="0"/>
                <w:highlight w:val="none"/>
              </w:rPr>
            </w:pPr>
            <w:r>
              <w:rPr>
                <w:rFonts w:hint="eastAsia" w:ascii="宋体" w:hAnsi="宋体"/>
                <w:color w:val="auto"/>
                <w:kern w:val="0"/>
                <w:highlight w:val="none"/>
              </w:rPr>
              <w:t>资金落实情况</w:t>
            </w:r>
          </w:p>
        </w:tc>
        <w:tc>
          <w:tcPr>
            <w:tcW w:w="6671" w:type="dxa"/>
            <w:tcBorders>
              <w:top w:val="single" w:color="auto" w:sz="4" w:space="0"/>
              <w:left w:val="nil"/>
              <w:bottom w:val="single" w:color="auto" w:sz="4" w:space="0"/>
              <w:right w:val="single" w:color="auto" w:sz="4" w:space="0"/>
            </w:tcBorders>
            <w:vAlign w:val="center"/>
          </w:tcPr>
          <w:p w14:paraId="2D94047D">
            <w:pPr>
              <w:spacing w:line="396" w:lineRule="exact"/>
              <w:jc w:val="left"/>
              <w:rPr>
                <w:rFonts w:hint="eastAsia" w:ascii="宋体" w:hAnsi="宋体"/>
                <w:color w:val="auto"/>
                <w:kern w:val="0"/>
                <w:highlight w:val="none"/>
              </w:rPr>
            </w:pPr>
            <w:r>
              <w:rPr>
                <w:rFonts w:hint="eastAsia" w:ascii="宋体" w:hAnsi="宋体"/>
                <w:color w:val="auto"/>
                <w:kern w:val="0"/>
                <w:highlight w:val="none"/>
              </w:rPr>
              <w:t>已落实</w:t>
            </w:r>
          </w:p>
        </w:tc>
      </w:tr>
      <w:tr w14:paraId="09132468">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0AA55541">
            <w:pPr>
              <w:spacing w:line="396" w:lineRule="exact"/>
              <w:jc w:val="center"/>
              <w:rPr>
                <w:rFonts w:ascii="宋体"/>
                <w:color w:val="auto"/>
                <w:sz w:val="24"/>
                <w:szCs w:val="24"/>
                <w:highlight w:val="none"/>
              </w:rPr>
            </w:pPr>
            <w:r>
              <w:rPr>
                <w:rFonts w:hint="eastAsia" w:ascii="宋体" w:hAnsi="宋体"/>
                <w:color w:val="auto"/>
                <w:sz w:val="24"/>
                <w:szCs w:val="24"/>
                <w:highlight w:val="none"/>
              </w:rPr>
              <w:t>1.3.1</w:t>
            </w:r>
          </w:p>
        </w:tc>
        <w:tc>
          <w:tcPr>
            <w:tcW w:w="1980" w:type="dxa"/>
            <w:tcBorders>
              <w:top w:val="single" w:color="auto" w:sz="4" w:space="0"/>
              <w:left w:val="nil"/>
              <w:bottom w:val="single" w:color="auto" w:sz="4" w:space="0"/>
              <w:right w:val="single" w:color="auto" w:sz="4" w:space="0"/>
            </w:tcBorders>
            <w:vAlign w:val="center"/>
          </w:tcPr>
          <w:p w14:paraId="3BB2F3E8">
            <w:pPr>
              <w:spacing w:line="396" w:lineRule="exact"/>
              <w:jc w:val="center"/>
              <w:rPr>
                <w:rFonts w:hint="eastAsia" w:ascii="宋体" w:hAnsi="宋体"/>
                <w:color w:val="auto"/>
                <w:kern w:val="0"/>
                <w:highlight w:val="none"/>
              </w:rPr>
            </w:pPr>
            <w:r>
              <w:rPr>
                <w:rFonts w:hint="eastAsia" w:ascii="宋体" w:hAnsi="宋体"/>
                <w:bCs/>
                <w:color w:val="auto"/>
                <w:highlight w:val="none"/>
              </w:rPr>
              <w:t>服务</w:t>
            </w:r>
            <w:r>
              <w:rPr>
                <w:rFonts w:hint="eastAsia" w:ascii="宋体" w:hAnsi="宋体"/>
                <w:bCs/>
                <w:color w:val="auto"/>
                <w:highlight w:val="none"/>
                <w:lang w:val="zh-TW"/>
              </w:rPr>
              <w:t>内容</w:t>
            </w:r>
          </w:p>
        </w:tc>
        <w:tc>
          <w:tcPr>
            <w:tcW w:w="6671" w:type="dxa"/>
            <w:tcBorders>
              <w:top w:val="single" w:color="auto" w:sz="4" w:space="0"/>
              <w:left w:val="nil"/>
              <w:bottom w:val="single" w:color="auto" w:sz="4" w:space="0"/>
              <w:right w:val="single" w:color="auto" w:sz="4" w:space="0"/>
            </w:tcBorders>
            <w:vAlign w:val="center"/>
          </w:tcPr>
          <w:p w14:paraId="7D6635BE">
            <w:pPr>
              <w:spacing w:line="396" w:lineRule="exact"/>
              <w:jc w:val="left"/>
              <w:rPr>
                <w:rFonts w:hint="eastAsia" w:ascii="宋体" w:hAnsi="宋体"/>
                <w:color w:val="auto"/>
                <w:kern w:val="0"/>
                <w:highlight w:val="none"/>
              </w:rPr>
            </w:pPr>
            <w:r>
              <w:rPr>
                <w:rFonts w:hint="eastAsia" w:ascii="宋体" w:hAnsi="宋体"/>
                <w:color w:val="auto"/>
                <w:kern w:val="0"/>
                <w:highlight w:val="none"/>
              </w:rPr>
              <w:t>开封市鼓楼区机关事务中心机关食堂食材供应商服务</w:t>
            </w:r>
            <w:r>
              <w:rPr>
                <w:rFonts w:hint="eastAsia" w:ascii="宋体" w:hAnsi="宋体"/>
                <w:color w:val="auto"/>
                <w:kern w:val="0"/>
                <w:highlight w:val="none"/>
                <w:lang w:val="en-US" w:eastAsia="zh-CN"/>
              </w:rPr>
              <w:t>（包含果蔬类、生鲜肉类、禽肉类、蛋类、水产类、干货调料类、粮油类、豆制品类及其他副食品等，具体详见招标文件）</w:t>
            </w:r>
          </w:p>
        </w:tc>
      </w:tr>
      <w:tr w14:paraId="0D7F5955">
        <w:tblPrEx>
          <w:tblCellMar>
            <w:top w:w="0" w:type="dxa"/>
            <w:left w:w="108" w:type="dxa"/>
            <w:bottom w:w="0" w:type="dxa"/>
            <w:right w:w="108" w:type="dxa"/>
          </w:tblCellMar>
        </w:tblPrEx>
        <w:trPr>
          <w:trHeight w:val="511"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681AB8C9">
            <w:pPr>
              <w:spacing w:line="396" w:lineRule="exact"/>
              <w:jc w:val="center"/>
              <w:rPr>
                <w:rFonts w:ascii="宋体"/>
                <w:color w:val="auto"/>
                <w:sz w:val="24"/>
                <w:szCs w:val="24"/>
                <w:highlight w:val="none"/>
              </w:rPr>
            </w:pPr>
            <w:r>
              <w:rPr>
                <w:rFonts w:hint="eastAsia" w:ascii="宋体" w:hAnsi="宋体"/>
                <w:color w:val="auto"/>
                <w:sz w:val="24"/>
                <w:szCs w:val="24"/>
                <w:highlight w:val="none"/>
              </w:rPr>
              <w:t>1.3.2</w:t>
            </w:r>
          </w:p>
        </w:tc>
        <w:tc>
          <w:tcPr>
            <w:tcW w:w="1980" w:type="dxa"/>
            <w:tcBorders>
              <w:top w:val="single" w:color="auto" w:sz="4" w:space="0"/>
              <w:left w:val="nil"/>
              <w:bottom w:val="single" w:color="auto" w:sz="4" w:space="0"/>
              <w:right w:val="single" w:color="auto" w:sz="4" w:space="0"/>
            </w:tcBorders>
            <w:vAlign w:val="center"/>
          </w:tcPr>
          <w:p w14:paraId="60179EAA">
            <w:pPr>
              <w:spacing w:line="396" w:lineRule="exact"/>
              <w:jc w:val="center"/>
              <w:rPr>
                <w:rFonts w:hint="eastAsia" w:ascii="宋体" w:hAnsi="宋体"/>
                <w:color w:val="auto"/>
                <w:kern w:val="0"/>
                <w:highlight w:val="none"/>
                <w:lang w:val="zh-TW"/>
              </w:rPr>
            </w:pPr>
            <w:r>
              <w:rPr>
                <w:rFonts w:hint="eastAsia" w:ascii="宋体" w:hAnsi="宋体"/>
                <w:color w:val="auto"/>
                <w:kern w:val="0"/>
                <w:highlight w:val="none"/>
                <w:lang w:val="zh-TW"/>
              </w:rPr>
              <w:t>质量要求</w:t>
            </w:r>
          </w:p>
        </w:tc>
        <w:tc>
          <w:tcPr>
            <w:tcW w:w="6671" w:type="dxa"/>
            <w:tcBorders>
              <w:top w:val="single" w:color="auto" w:sz="4" w:space="0"/>
              <w:left w:val="nil"/>
              <w:bottom w:val="single" w:color="auto" w:sz="4" w:space="0"/>
              <w:right w:val="single" w:color="auto" w:sz="4" w:space="0"/>
            </w:tcBorders>
            <w:vAlign w:val="center"/>
          </w:tcPr>
          <w:p w14:paraId="38D37B76">
            <w:pPr>
              <w:spacing w:line="396" w:lineRule="exact"/>
              <w:jc w:val="left"/>
              <w:rPr>
                <w:rFonts w:hint="eastAsia" w:ascii="宋体" w:hAnsi="宋体"/>
                <w:color w:val="auto"/>
                <w:kern w:val="0"/>
                <w:highlight w:val="none"/>
                <w:lang w:val="zh-TW"/>
              </w:rPr>
            </w:pPr>
            <w:r>
              <w:rPr>
                <w:rFonts w:hint="eastAsia" w:ascii="宋体" w:hAnsi="宋体"/>
                <w:color w:val="auto"/>
                <w:kern w:val="0"/>
                <w:highlight w:val="none"/>
                <w:lang w:val="zh-TW"/>
              </w:rPr>
              <w:t>符合国家及相关行业合格标准及采购人要求</w:t>
            </w:r>
          </w:p>
        </w:tc>
      </w:tr>
      <w:tr w14:paraId="35D4D989">
        <w:tblPrEx>
          <w:tblCellMar>
            <w:top w:w="0" w:type="dxa"/>
            <w:left w:w="108" w:type="dxa"/>
            <w:bottom w:w="0" w:type="dxa"/>
            <w:right w:w="108" w:type="dxa"/>
          </w:tblCellMar>
        </w:tblPrEx>
        <w:trPr>
          <w:trHeight w:val="506"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16A0827B">
            <w:pPr>
              <w:spacing w:line="396" w:lineRule="exact"/>
              <w:jc w:val="center"/>
              <w:rPr>
                <w:rFonts w:ascii="宋体"/>
                <w:color w:val="auto"/>
                <w:sz w:val="24"/>
                <w:szCs w:val="24"/>
                <w:highlight w:val="none"/>
              </w:rPr>
            </w:pPr>
            <w:r>
              <w:rPr>
                <w:rFonts w:hint="eastAsia" w:ascii="宋体" w:hAnsi="宋体"/>
                <w:color w:val="auto"/>
                <w:sz w:val="24"/>
                <w:szCs w:val="24"/>
                <w:highlight w:val="none"/>
              </w:rPr>
              <w:t>1.3.3</w:t>
            </w:r>
          </w:p>
        </w:tc>
        <w:tc>
          <w:tcPr>
            <w:tcW w:w="1980" w:type="dxa"/>
            <w:tcBorders>
              <w:top w:val="single" w:color="auto" w:sz="4" w:space="0"/>
              <w:left w:val="nil"/>
              <w:bottom w:val="single" w:color="auto" w:sz="4" w:space="0"/>
              <w:right w:val="single" w:color="auto" w:sz="4" w:space="0"/>
            </w:tcBorders>
            <w:vAlign w:val="center"/>
          </w:tcPr>
          <w:p w14:paraId="7E709851">
            <w:pPr>
              <w:spacing w:line="396" w:lineRule="exact"/>
              <w:ind w:firstLine="420" w:firstLineChars="200"/>
              <w:rPr>
                <w:rFonts w:hint="eastAsia" w:ascii="宋体" w:hAnsi="宋体"/>
                <w:color w:val="auto"/>
                <w:kern w:val="0"/>
                <w:highlight w:val="none"/>
              </w:rPr>
            </w:pPr>
            <w:r>
              <w:rPr>
                <w:rFonts w:hint="eastAsia" w:ascii="宋体" w:hAnsi="宋体"/>
                <w:bCs/>
                <w:color w:val="auto"/>
                <w:highlight w:val="none"/>
              </w:rPr>
              <w:t>服务期限</w:t>
            </w:r>
          </w:p>
        </w:tc>
        <w:tc>
          <w:tcPr>
            <w:tcW w:w="6671" w:type="dxa"/>
            <w:tcBorders>
              <w:top w:val="single" w:color="auto" w:sz="4" w:space="0"/>
              <w:left w:val="nil"/>
              <w:bottom w:val="single" w:color="auto" w:sz="4" w:space="0"/>
              <w:right w:val="single" w:color="auto" w:sz="4" w:space="0"/>
            </w:tcBorders>
            <w:vAlign w:val="center"/>
          </w:tcPr>
          <w:p w14:paraId="530BE4E7">
            <w:pPr>
              <w:spacing w:line="396" w:lineRule="exact"/>
              <w:rPr>
                <w:rFonts w:hint="eastAsia" w:ascii="宋体" w:hAnsi="宋体"/>
                <w:bCs/>
                <w:color w:val="auto"/>
                <w:highlight w:val="none"/>
              </w:rPr>
            </w:pPr>
            <w:r>
              <w:rPr>
                <w:rFonts w:hint="eastAsia" w:ascii="宋体" w:hAnsi="宋体" w:cs="宋体"/>
                <w:color w:val="auto"/>
                <w:szCs w:val="21"/>
                <w:highlight w:val="none"/>
              </w:rPr>
              <w:t>自合同签订之日起</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 xml:space="preserve">年 </w:t>
            </w:r>
          </w:p>
        </w:tc>
      </w:tr>
      <w:tr w14:paraId="5CD263DE">
        <w:tblPrEx>
          <w:tblCellMar>
            <w:top w:w="0" w:type="dxa"/>
            <w:left w:w="108" w:type="dxa"/>
            <w:bottom w:w="0" w:type="dxa"/>
            <w:right w:w="108" w:type="dxa"/>
          </w:tblCellMar>
        </w:tblPrEx>
        <w:trPr>
          <w:trHeight w:val="506"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02DFC990">
            <w:pPr>
              <w:spacing w:line="396" w:lineRule="exact"/>
              <w:jc w:val="center"/>
              <w:rPr>
                <w:rFonts w:hint="eastAsia" w:ascii="宋体" w:hAnsi="宋体"/>
                <w:color w:val="auto"/>
                <w:sz w:val="24"/>
                <w:szCs w:val="24"/>
                <w:highlight w:val="none"/>
              </w:rPr>
            </w:pPr>
            <w:r>
              <w:rPr>
                <w:rFonts w:hint="eastAsia" w:ascii="宋体" w:hAnsi="宋体"/>
                <w:color w:val="auto"/>
                <w:sz w:val="24"/>
                <w:szCs w:val="24"/>
                <w:highlight w:val="none"/>
              </w:rPr>
              <w:t>1.3.4</w:t>
            </w:r>
          </w:p>
        </w:tc>
        <w:tc>
          <w:tcPr>
            <w:tcW w:w="1980" w:type="dxa"/>
            <w:tcBorders>
              <w:top w:val="single" w:color="auto" w:sz="4" w:space="0"/>
              <w:left w:val="nil"/>
              <w:bottom w:val="single" w:color="auto" w:sz="4" w:space="0"/>
              <w:right w:val="single" w:color="auto" w:sz="4" w:space="0"/>
            </w:tcBorders>
            <w:vAlign w:val="center"/>
          </w:tcPr>
          <w:p w14:paraId="00887637">
            <w:pPr>
              <w:spacing w:line="396" w:lineRule="exact"/>
              <w:jc w:val="center"/>
              <w:rPr>
                <w:rFonts w:hint="eastAsia" w:ascii="宋体" w:hAnsi="宋体"/>
                <w:bCs/>
                <w:color w:val="auto"/>
                <w:highlight w:val="none"/>
              </w:rPr>
            </w:pPr>
            <w:r>
              <w:rPr>
                <w:rFonts w:hint="eastAsia" w:ascii="宋体" w:hAnsi="宋体"/>
                <w:bCs/>
                <w:color w:val="auto"/>
                <w:highlight w:val="none"/>
              </w:rPr>
              <w:t>服务范围</w:t>
            </w:r>
          </w:p>
        </w:tc>
        <w:tc>
          <w:tcPr>
            <w:tcW w:w="6671" w:type="dxa"/>
            <w:tcBorders>
              <w:top w:val="single" w:color="auto" w:sz="4" w:space="0"/>
              <w:left w:val="nil"/>
              <w:bottom w:val="single" w:color="auto" w:sz="4" w:space="0"/>
              <w:right w:val="single" w:color="auto" w:sz="4" w:space="0"/>
            </w:tcBorders>
            <w:vAlign w:val="center"/>
          </w:tcPr>
          <w:p w14:paraId="703ADB8E">
            <w:pPr>
              <w:spacing w:line="396" w:lineRule="exact"/>
              <w:jc w:val="left"/>
              <w:rPr>
                <w:color w:val="auto"/>
                <w:highlight w:val="none"/>
              </w:rPr>
            </w:pPr>
            <w:r>
              <w:rPr>
                <w:rFonts w:hint="eastAsia"/>
                <w:color w:val="auto"/>
                <w:highlight w:val="none"/>
              </w:rPr>
              <w:t>招标文件内的所有内容</w:t>
            </w:r>
          </w:p>
        </w:tc>
      </w:tr>
      <w:tr w14:paraId="1F035BDA">
        <w:tblPrEx>
          <w:tblCellMar>
            <w:top w:w="0" w:type="dxa"/>
            <w:left w:w="108" w:type="dxa"/>
            <w:bottom w:w="0" w:type="dxa"/>
            <w:right w:w="108" w:type="dxa"/>
          </w:tblCellMar>
        </w:tblPrEx>
        <w:trPr>
          <w:trHeight w:val="506"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63A657CC">
            <w:pPr>
              <w:spacing w:line="396" w:lineRule="exact"/>
              <w:jc w:val="center"/>
              <w:rPr>
                <w:rFonts w:hint="eastAsia" w:ascii="宋体" w:hAnsi="宋体"/>
                <w:color w:val="auto"/>
                <w:sz w:val="24"/>
                <w:szCs w:val="24"/>
                <w:highlight w:val="none"/>
              </w:rPr>
            </w:pPr>
            <w:r>
              <w:rPr>
                <w:rFonts w:hint="eastAsia" w:ascii="宋体" w:hAnsi="宋体"/>
                <w:color w:val="auto"/>
                <w:sz w:val="24"/>
                <w:szCs w:val="24"/>
                <w:highlight w:val="none"/>
              </w:rPr>
              <w:t>1.3.5</w:t>
            </w:r>
          </w:p>
        </w:tc>
        <w:tc>
          <w:tcPr>
            <w:tcW w:w="1980" w:type="dxa"/>
            <w:tcBorders>
              <w:top w:val="single" w:color="auto" w:sz="4" w:space="0"/>
              <w:left w:val="nil"/>
              <w:bottom w:val="single" w:color="auto" w:sz="4" w:space="0"/>
              <w:right w:val="single" w:color="auto" w:sz="4" w:space="0"/>
            </w:tcBorders>
            <w:vAlign w:val="center"/>
          </w:tcPr>
          <w:p w14:paraId="675F9B45">
            <w:pPr>
              <w:spacing w:line="396" w:lineRule="exact"/>
              <w:jc w:val="center"/>
              <w:rPr>
                <w:rFonts w:hint="eastAsia" w:ascii="宋体" w:hAnsi="宋体"/>
                <w:bCs/>
                <w:color w:val="auto"/>
                <w:highlight w:val="none"/>
              </w:rPr>
            </w:pPr>
            <w:r>
              <w:rPr>
                <w:rFonts w:hint="eastAsia" w:ascii="宋体" w:hAnsi="宋体"/>
                <w:bCs/>
                <w:color w:val="auto"/>
                <w:highlight w:val="none"/>
              </w:rPr>
              <w:t>转包、分包</w:t>
            </w:r>
          </w:p>
        </w:tc>
        <w:tc>
          <w:tcPr>
            <w:tcW w:w="6671" w:type="dxa"/>
            <w:tcBorders>
              <w:top w:val="single" w:color="auto" w:sz="4" w:space="0"/>
              <w:left w:val="nil"/>
              <w:bottom w:val="single" w:color="auto" w:sz="4" w:space="0"/>
              <w:right w:val="single" w:color="auto" w:sz="4" w:space="0"/>
            </w:tcBorders>
            <w:vAlign w:val="center"/>
          </w:tcPr>
          <w:p w14:paraId="5EFAE26B">
            <w:pPr>
              <w:spacing w:line="396" w:lineRule="exact"/>
              <w:jc w:val="left"/>
              <w:rPr>
                <w:color w:val="auto"/>
                <w:highlight w:val="none"/>
              </w:rPr>
            </w:pPr>
            <w:r>
              <w:rPr>
                <w:rFonts w:hint="eastAsia"/>
                <w:color w:val="auto"/>
                <w:highlight w:val="none"/>
              </w:rPr>
              <w:t>不允许</w:t>
            </w:r>
          </w:p>
        </w:tc>
      </w:tr>
      <w:tr w14:paraId="0B07E3EE">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60146CC2">
            <w:pPr>
              <w:spacing w:line="396" w:lineRule="exact"/>
              <w:jc w:val="center"/>
              <w:rPr>
                <w:rFonts w:ascii="宋体"/>
                <w:color w:val="auto"/>
                <w:sz w:val="24"/>
                <w:szCs w:val="24"/>
                <w:highlight w:val="none"/>
              </w:rPr>
            </w:pPr>
            <w:r>
              <w:rPr>
                <w:rFonts w:hint="eastAsia" w:ascii="宋体" w:hAnsi="宋体"/>
                <w:color w:val="auto"/>
                <w:sz w:val="24"/>
                <w:szCs w:val="24"/>
                <w:highlight w:val="none"/>
              </w:rPr>
              <w:t>1.4.1</w:t>
            </w:r>
          </w:p>
        </w:tc>
        <w:tc>
          <w:tcPr>
            <w:tcW w:w="1980" w:type="dxa"/>
            <w:tcBorders>
              <w:top w:val="single" w:color="auto" w:sz="4" w:space="0"/>
              <w:left w:val="nil"/>
              <w:bottom w:val="single" w:color="auto" w:sz="4" w:space="0"/>
              <w:right w:val="single" w:color="auto" w:sz="4" w:space="0"/>
            </w:tcBorders>
            <w:vAlign w:val="center"/>
          </w:tcPr>
          <w:p w14:paraId="28ACF0A7">
            <w:pPr>
              <w:spacing w:line="396" w:lineRule="exact"/>
              <w:jc w:val="center"/>
              <w:rPr>
                <w:rFonts w:ascii="宋体"/>
                <w:color w:val="auto"/>
                <w:highlight w:val="none"/>
              </w:rPr>
            </w:pPr>
            <w:r>
              <w:rPr>
                <w:rFonts w:hint="eastAsia" w:ascii="宋体" w:hAnsi="宋体"/>
                <w:color w:val="auto"/>
                <w:highlight w:val="none"/>
              </w:rPr>
              <w:t>供应商资格要求</w:t>
            </w:r>
          </w:p>
        </w:tc>
        <w:tc>
          <w:tcPr>
            <w:tcW w:w="6671" w:type="dxa"/>
            <w:tcBorders>
              <w:top w:val="single" w:color="auto" w:sz="4" w:space="0"/>
              <w:left w:val="nil"/>
              <w:bottom w:val="single" w:color="auto" w:sz="4" w:space="0"/>
              <w:right w:val="single" w:color="auto" w:sz="4" w:space="0"/>
            </w:tcBorders>
            <w:vAlign w:val="center"/>
          </w:tcPr>
          <w:p w14:paraId="7ECA15C0">
            <w:pPr>
              <w:spacing w:line="360" w:lineRule="auto"/>
              <w:ind w:firstLine="420" w:firstLineChars="2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1、满足符合《中华人民共和国政府采购法》第二十二条规定：</w:t>
            </w:r>
          </w:p>
          <w:p w14:paraId="02EB5680">
            <w:pPr>
              <w:spacing w:line="360" w:lineRule="auto"/>
              <w:ind w:firstLine="420" w:firstLineChars="20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2、落实政府采购政策需满足的资格要求：</w:t>
            </w:r>
            <w:r>
              <w:rPr>
                <w:rFonts w:hint="eastAsia" w:ascii="宋体" w:hAnsi="宋体" w:cs="宋体"/>
                <w:color w:val="auto"/>
                <w:highlight w:val="none"/>
              </w:rPr>
              <w:t>无。</w:t>
            </w:r>
          </w:p>
          <w:p w14:paraId="576B5E50">
            <w:pPr>
              <w:spacing w:line="360" w:lineRule="auto"/>
              <w:ind w:firstLine="420" w:firstLineChars="2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rPr>
              <w:t>3</w:t>
            </w:r>
            <w:r>
              <w:rPr>
                <w:rFonts w:hint="eastAsia" w:ascii="宋体" w:hAnsi="宋体" w:cs="宋体"/>
                <w:color w:val="auto"/>
                <w:highlight w:val="none"/>
                <w:shd w:val="clear" w:color="auto" w:fill="FFFFFF"/>
                <w:lang w:val="zh-TW"/>
              </w:rPr>
              <w:t>、本项目的特定资格要求：</w:t>
            </w:r>
          </w:p>
          <w:p w14:paraId="2C2A8B3D">
            <w:pPr>
              <w:spacing w:line="360" w:lineRule="auto"/>
              <w:ind w:firstLine="630" w:firstLineChars="300"/>
              <w:rPr>
                <w:rFonts w:hint="eastAsia" w:ascii="宋体" w:hAnsi="宋体"/>
                <w:color w:val="auto"/>
                <w:highlight w:val="none"/>
              </w:rPr>
            </w:pPr>
            <w:r>
              <w:rPr>
                <w:rFonts w:hint="eastAsia" w:ascii="宋体" w:hAnsi="宋体"/>
                <w:color w:val="auto"/>
                <w:highlight w:val="none"/>
              </w:rPr>
              <w:t>3.1、符合《中华人民共和国政府采购法》的二十二条之规定；</w:t>
            </w:r>
          </w:p>
          <w:p w14:paraId="66C4DC25">
            <w:pPr>
              <w:tabs>
                <w:tab w:val="left" w:pos="7770"/>
              </w:tabs>
              <w:spacing w:line="360" w:lineRule="auto"/>
              <w:ind w:firstLine="630" w:firstLineChars="30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（一）具有独立承担民事责任的能力；</w:t>
            </w:r>
            <w:r>
              <w:rPr>
                <w:rFonts w:hint="eastAsia" w:ascii="宋体" w:hAnsi="宋体"/>
                <w:color w:val="auto"/>
                <w:highlight w:val="none"/>
              </w:rPr>
              <w:t>（提供法人或者其他组织的营业执照等证明文件，自然人的身份证明）</w:t>
            </w:r>
          </w:p>
          <w:p w14:paraId="7D1ADF80">
            <w:pPr>
              <w:spacing w:line="360" w:lineRule="auto"/>
              <w:ind w:firstLine="630" w:firstLineChars="3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（二）具有良好的商业信誉和健全的财务会计制度；（提供</w:t>
            </w:r>
            <w:r>
              <w:rPr>
                <w:rFonts w:hint="eastAsia" w:ascii="宋体" w:hAnsi="宋体" w:cs="宋体"/>
                <w:color w:val="auto"/>
                <w:highlight w:val="none"/>
                <w:shd w:val="clear" w:color="auto" w:fill="FFFFFF"/>
              </w:rPr>
              <w:t>2024</w:t>
            </w:r>
            <w:r>
              <w:rPr>
                <w:rFonts w:hint="eastAsia" w:ascii="宋体" w:hAnsi="宋体" w:cs="宋体"/>
                <w:color w:val="auto"/>
                <w:highlight w:val="none"/>
                <w:shd w:val="clear" w:color="auto" w:fill="FFFFFF"/>
                <w:lang w:eastAsia="zh-CN"/>
              </w:rPr>
              <w:t>或</w:t>
            </w:r>
            <w:r>
              <w:rPr>
                <w:rFonts w:hint="eastAsia" w:ascii="宋体" w:hAnsi="宋体" w:cs="宋体"/>
                <w:color w:val="auto"/>
                <w:highlight w:val="none"/>
                <w:shd w:val="clear" w:color="auto" w:fill="FFFFFF"/>
                <w:lang w:val="en-US" w:eastAsia="zh-CN"/>
              </w:rPr>
              <w:t>2025</w:t>
            </w:r>
            <w:r>
              <w:rPr>
                <w:rFonts w:hint="eastAsia" w:ascii="宋体" w:hAnsi="宋体" w:cs="宋体"/>
                <w:color w:val="auto"/>
                <w:highlight w:val="none"/>
                <w:shd w:val="clear" w:color="auto" w:fill="FFFFFF"/>
              </w:rPr>
              <w:t>年度</w:t>
            </w:r>
            <w:r>
              <w:rPr>
                <w:rFonts w:hint="eastAsia" w:ascii="宋体" w:hAnsi="宋体" w:cs="宋体"/>
                <w:color w:val="auto"/>
                <w:highlight w:val="none"/>
                <w:shd w:val="clear" w:color="auto" w:fill="FFFFFF"/>
                <w:lang w:val="zh-TW"/>
              </w:rPr>
              <w:t>经审计的财务报告，新成立企业不足一年的可提供其基本开户银行出具的资信证明，资信证明出具时间距开标不超过一年）</w:t>
            </w:r>
          </w:p>
          <w:p w14:paraId="4CFB9860">
            <w:pPr>
              <w:spacing w:line="360" w:lineRule="auto"/>
              <w:ind w:firstLine="630" w:firstLineChars="3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（三）具有履行合同所必需的设备和专业技术能力；</w:t>
            </w:r>
            <w:r>
              <w:rPr>
                <w:rFonts w:hint="eastAsia" w:ascii="宋体" w:hAnsi="宋体"/>
                <w:color w:val="auto"/>
                <w:highlight w:val="none"/>
              </w:rPr>
              <w:t>（提供书面声明或其他证明材料）</w:t>
            </w:r>
          </w:p>
          <w:p w14:paraId="16C0889A">
            <w:pPr>
              <w:spacing w:line="360" w:lineRule="auto"/>
              <w:ind w:firstLine="630" w:firstLineChars="3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（四）有依法缴纳税收和社会保障资金的良好记录；（提供相关部门出具的自</w:t>
            </w:r>
            <w:r>
              <w:rPr>
                <w:rFonts w:hint="eastAsia" w:ascii="宋体" w:hAnsi="宋体" w:cs="宋体"/>
                <w:color w:val="auto"/>
                <w:highlight w:val="none"/>
                <w:shd w:val="clear" w:color="auto" w:fill="FFFFFF"/>
              </w:rPr>
              <w:t>202</w:t>
            </w:r>
            <w:r>
              <w:rPr>
                <w:rFonts w:hint="eastAsia" w:ascii="宋体" w:hAnsi="宋体" w:cs="宋体"/>
                <w:color w:val="auto"/>
                <w:highlight w:val="none"/>
                <w:shd w:val="clear" w:color="auto" w:fill="FFFFFF"/>
                <w:lang w:val="en-US" w:eastAsia="zh-CN"/>
              </w:rPr>
              <w:t>6</w:t>
            </w:r>
            <w:r>
              <w:rPr>
                <w:rFonts w:hint="eastAsia" w:ascii="宋体" w:hAnsi="宋体" w:cs="宋体"/>
                <w:color w:val="auto"/>
                <w:highlight w:val="none"/>
                <w:shd w:val="clear" w:color="auto" w:fill="FFFFFF"/>
                <w:lang w:val="zh-TW"/>
              </w:rPr>
              <w:t>年</w:t>
            </w:r>
            <w:r>
              <w:rPr>
                <w:rFonts w:hint="eastAsia" w:ascii="宋体" w:hAnsi="宋体" w:cs="宋体"/>
                <w:color w:val="auto"/>
                <w:highlight w:val="none"/>
                <w:shd w:val="clear" w:color="auto" w:fill="FFFFFF"/>
                <w:lang w:val="en-US" w:eastAsia="zh-CN"/>
              </w:rPr>
              <w:t>1</w:t>
            </w:r>
            <w:r>
              <w:rPr>
                <w:rFonts w:hint="eastAsia" w:ascii="宋体" w:hAnsi="宋体" w:cs="宋体"/>
                <w:color w:val="auto"/>
                <w:highlight w:val="none"/>
                <w:shd w:val="clear" w:color="auto" w:fill="FFFFFF"/>
                <w:lang w:val="zh-TW"/>
              </w:rPr>
              <w:t>月以来至少</w:t>
            </w:r>
            <w:r>
              <w:rPr>
                <w:rFonts w:hint="eastAsia" w:ascii="宋体" w:hAnsi="宋体" w:cs="宋体"/>
                <w:color w:val="auto"/>
                <w:highlight w:val="none"/>
                <w:shd w:val="clear" w:color="auto" w:fill="FFFFFF"/>
              </w:rPr>
              <w:t>3</w:t>
            </w:r>
            <w:r>
              <w:rPr>
                <w:rFonts w:hint="eastAsia" w:ascii="宋体" w:hAnsi="宋体" w:cs="宋体"/>
                <w:color w:val="auto"/>
                <w:highlight w:val="none"/>
                <w:shd w:val="clear" w:color="auto" w:fill="FFFFFF"/>
                <w:lang w:val="zh-TW"/>
              </w:rPr>
              <w:t>个月的依法缴纳税收证明和社保证明，若符合免税条件等其他情况应提供相应证明材料。）</w:t>
            </w:r>
          </w:p>
          <w:p w14:paraId="420DE0A9">
            <w:pPr>
              <w:spacing w:line="360" w:lineRule="auto"/>
              <w:ind w:firstLine="630" w:firstLineChars="3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（五）参加政府采购活动前三年内，在经营活动中没有重大违法记录；（提供声明函）</w:t>
            </w:r>
          </w:p>
          <w:p w14:paraId="0869E826">
            <w:pPr>
              <w:spacing w:line="360" w:lineRule="auto"/>
              <w:ind w:firstLine="630" w:firstLineChars="300"/>
              <w:outlineLvl w:val="0"/>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（六）法律、行政法规规定的其他条件。</w:t>
            </w:r>
          </w:p>
          <w:p w14:paraId="654D5BBB">
            <w:pPr>
              <w:widowControl/>
              <w:snapToGrid w:val="0"/>
              <w:spacing w:line="420" w:lineRule="exact"/>
              <w:ind w:firstLine="420" w:firstLineChars="200"/>
              <w:jc w:val="left"/>
              <w:rPr>
                <w:rFonts w:hint="eastAsia" w:ascii="宋体" w:hAnsi="宋体" w:eastAsia="宋体"/>
                <w:color w:val="auto"/>
                <w:highlight w:val="none"/>
                <w:lang w:eastAsia="zh-CN"/>
              </w:rPr>
            </w:pPr>
            <w:r>
              <w:rPr>
                <w:rFonts w:hint="eastAsia" w:ascii="宋体" w:hAnsi="宋体"/>
                <w:color w:val="auto"/>
                <w:highlight w:val="none"/>
                <w:lang w:eastAsia="zh-TW"/>
              </w:rPr>
              <w:t>3.2、</w:t>
            </w:r>
            <w:r>
              <w:rPr>
                <w:rFonts w:hint="eastAsia" w:ascii="宋体" w:hAnsi="宋体"/>
                <w:color w:val="auto"/>
                <w:highlight w:val="none"/>
                <w:lang w:val="en-US" w:eastAsia="zh-TW"/>
              </w:rPr>
              <w:t>供应商须具有</w:t>
            </w:r>
            <w:r>
              <w:rPr>
                <w:rFonts w:hint="eastAsia" w:ascii="宋体" w:hAnsi="宋体"/>
                <w:color w:val="auto"/>
                <w:highlight w:val="none"/>
                <w:lang w:val="en-US" w:eastAsia="zh-CN"/>
              </w:rPr>
              <w:t>有效</w:t>
            </w:r>
            <w:r>
              <w:rPr>
                <w:rFonts w:hint="eastAsia" w:ascii="宋体" w:hAnsi="宋体"/>
                <w:color w:val="auto"/>
                <w:highlight w:val="none"/>
                <w:lang w:val="en-US" w:eastAsia="zh-TW"/>
              </w:rPr>
              <w:t>的《食品经营许可证》</w:t>
            </w:r>
            <w:r>
              <w:rPr>
                <w:rFonts w:hint="eastAsia" w:ascii="宋体" w:hAnsi="宋体"/>
                <w:color w:val="auto"/>
                <w:highlight w:val="none"/>
                <w:lang w:val="en-US" w:eastAsia="zh-CN"/>
              </w:rPr>
              <w:t>。</w:t>
            </w:r>
          </w:p>
          <w:p w14:paraId="32C5EDD9">
            <w:pPr>
              <w:widowControl/>
              <w:snapToGrid w:val="0"/>
              <w:spacing w:line="420" w:lineRule="exact"/>
              <w:ind w:firstLine="420" w:firstLineChars="200"/>
              <w:jc w:val="left"/>
              <w:rPr>
                <w:rFonts w:hint="eastAsia" w:ascii="宋体" w:hAnsi="宋体"/>
                <w:color w:val="auto"/>
                <w:highlight w:val="none"/>
                <w:lang w:eastAsia="zh-TW"/>
              </w:rPr>
            </w:pPr>
            <w:r>
              <w:rPr>
                <w:rFonts w:hint="eastAsia" w:ascii="宋体" w:hAnsi="宋体"/>
                <w:color w:val="auto"/>
                <w:highlight w:val="none"/>
                <w:lang w:val="en-US" w:eastAsia="zh-CN"/>
              </w:rPr>
              <w:t>3.3、</w:t>
            </w:r>
            <w:r>
              <w:rPr>
                <w:rFonts w:hint="eastAsia" w:ascii="宋体" w:hAnsi="宋体"/>
                <w:color w:val="auto"/>
                <w:highlight w:val="none"/>
              </w:rPr>
              <w:t>根据《财政部关于在政府采购活动中查询及使用信用记录有关问题的通知》（财库[2016]125号）规</w:t>
            </w:r>
            <w:r>
              <w:rPr>
                <w:rFonts w:hint="eastAsia" w:ascii="宋体" w:hAnsi="宋体"/>
                <w:color w:val="auto"/>
                <w:kern w:val="0"/>
                <w:highlight w:val="none"/>
              </w:rPr>
              <w:t>定，采购人、采购代理机构应当通过</w:t>
            </w:r>
            <w:r>
              <w:rPr>
                <w:rFonts w:hint="eastAsia" w:ascii="宋体" w:hAnsi="宋体"/>
                <w:color w:val="auto"/>
                <w:highlight w:val="none"/>
                <w:lang w:eastAsia="zh-TW"/>
              </w:rPr>
              <w:t>【</w:t>
            </w:r>
            <w:r>
              <w:rPr>
                <w:rFonts w:hint="eastAsia"/>
                <w:color w:val="auto"/>
                <w:highlight w:val="none"/>
                <w:lang w:val="en-US" w:eastAsia="zh-CN"/>
              </w:rPr>
              <w:t>查询渠道：“中国执行信息公开网”（http://zxgk.court.gov.cn/shixin）查询“失信被执行人”、“信用中国”（http://www.creditchina.gov.cn）查询“重大税收违法失信主体”、“中国政府采购网”(http://www.ccgp.gov.cn)查询“政府采购严重违法失信行为记录名单”</w:t>
            </w:r>
            <w:r>
              <w:rPr>
                <w:rFonts w:hint="eastAsia" w:ascii="宋体" w:hAnsi="宋体"/>
                <w:color w:val="auto"/>
                <w:highlight w:val="none"/>
                <w:lang w:eastAsia="zh-TW"/>
              </w:rPr>
              <w:t>】查询相关主体信用记录；（采购人或者采购代理机构</w:t>
            </w:r>
            <w:r>
              <w:rPr>
                <w:rFonts w:hint="eastAsia" w:ascii="宋体" w:hAnsi="宋体"/>
                <w:color w:val="auto"/>
                <w:highlight w:val="none"/>
                <w:lang w:val="en-US" w:eastAsia="zh-CN"/>
              </w:rPr>
              <w:t>在</w:t>
            </w:r>
            <w:r>
              <w:rPr>
                <w:rFonts w:hint="eastAsia" w:ascii="宋体" w:hAnsi="宋体"/>
                <w:color w:val="auto"/>
                <w:highlight w:val="none"/>
                <w:lang w:eastAsia="zh-TW"/>
              </w:rPr>
              <w:t>开标后至评标结束前，对供应商信用记录进行甄别，并</w:t>
            </w:r>
            <w:r>
              <w:rPr>
                <w:rFonts w:hint="eastAsia" w:ascii="宋体" w:hAnsi="宋体"/>
                <w:color w:val="auto"/>
                <w:highlight w:val="none"/>
                <w:lang w:val="en-US" w:eastAsia="zh-CN"/>
              </w:rPr>
              <w:t>由</w:t>
            </w:r>
            <w:r>
              <w:rPr>
                <w:rFonts w:hint="eastAsia" w:ascii="宋体" w:hAnsi="宋体"/>
                <w:color w:val="auto"/>
                <w:highlight w:val="none"/>
                <w:lang w:eastAsia="zh-TW"/>
              </w:rPr>
              <w:t>采购人或采购代理机构</w:t>
            </w:r>
            <w:r>
              <w:rPr>
                <w:rFonts w:hint="eastAsia" w:ascii="宋体" w:hAnsi="宋体"/>
                <w:color w:val="auto"/>
                <w:highlight w:val="none"/>
                <w:lang w:val="en-US" w:eastAsia="zh-CN"/>
              </w:rPr>
              <w:t>将</w:t>
            </w:r>
            <w:r>
              <w:rPr>
                <w:rFonts w:hint="eastAsia" w:ascii="宋体" w:hAnsi="宋体"/>
                <w:color w:val="auto"/>
                <w:highlight w:val="none"/>
                <w:lang w:eastAsia="zh-TW"/>
              </w:rPr>
              <w:t>查询供应商信用记录和证据留存，信用信息查询记录及相关证据与其他采购文件一并保存</w:t>
            </w:r>
            <w:r>
              <w:rPr>
                <w:rFonts w:hint="eastAsia" w:ascii="宋体" w:hAnsi="宋体"/>
                <w:color w:val="auto"/>
                <w:highlight w:val="none"/>
                <w:lang w:eastAsia="zh-CN"/>
              </w:rPr>
              <w:t>）</w:t>
            </w:r>
            <w:r>
              <w:rPr>
                <w:rFonts w:hint="eastAsia" w:ascii="宋体" w:hAnsi="宋体"/>
                <w:color w:val="auto"/>
                <w:highlight w:val="none"/>
                <w:lang w:eastAsia="zh-TW"/>
              </w:rPr>
              <w:t>。</w:t>
            </w:r>
            <w:r>
              <w:rPr>
                <w:rFonts w:hint="eastAsia" w:ascii="宋体" w:hAnsi="宋体"/>
                <w:color w:val="auto"/>
                <w:kern w:val="0"/>
                <w:highlight w:val="none"/>
              </w:rPr>
              <w:t>对列入失信被执行人、重大税收违法失信主体、政府采购严重违法失信行为记录名单的供应商，拒绝参与本项目政府采购活动。</w:t>
            </w:r>
            <w:r>
              <w:rPr>
                <w:rFonts w:hint="eastAsia" w:ascii="宋体" w:hAnsi="宋体"/>
                <w:color w:val="auto"/>
                <w:highlight w:val="none"/>
              </w:rPr>
              <w:t>供应商获取文件至与采购人签订合同期间一旦发现供应商存在信用问题，采购人均有权取消其中标资格。</w:t>
            </w:r>
          </w:p>
          <w:p w14:paraId="53559661">
            <w:pPr>
              <w:widowControl/>
              <w:snapToGrid w:val="0"/>
              <w:spacing w:line="420" w:lineRule="exact"/>
              <w:ind w:firstLine="420" w:firstLineChars="200"/>
              <w:jc w:val="left"/>
              <w:rPr>
                <w:rFonts w:hint="eastAsia" w:ascii="宋体" w:hAnsi="宋体"/>
                <w:color w:val="auto"/>
                <w:kern w:val="0"/>
                <w:highlight w:val="none"/>
                <w:shd w:val="clear" w:color="auto" w:fill="FFFFFF"/>
              </w:rPr>
            </w:pPr>
            <w:r>
              <w:rPr>
                <w:rFonts w:hint="eastAsia" w:ascii="宋体" w:hAnsi="宋体"/>
                <w:color w:val="auto"/>
                <w:kern w:val="0"/>
                <w:highlight w:val="none"/>
                <w:shd w:val="clear" w:color="auto" w:fill="FFFFFF"/>
              </w:rPr>
              <w:t>3.4、本项目应执行的政府采购政策：落实财政部会同国务院有关部门制定的政府采购政策，实现节约能源、保护环境、扶持不发达地区和少数民族地区、促进中小企业发展等目标。</w:t>
            </w:r>
          </w:p>
          <w:p w14:paraId="2A0E40E4">
            <w:pPr>
              <w:spacing w:line="460" w:lineRule="exact"/>
              <w:ind w:firstLine="420" w:firstLineChars="200"/>
              <w:outlineLvl w:val="0"/>
              <w:rPr>
                <w:rFonts w:hint="eastAsia" w:ascii="宋体" w:hAnsi="宋体"/>
                <w:color w:val="auto"/>
                <w:highlight w:val="none"/>
              </w:rPr>
            </w:pPr>
            <w:r>
              <w:rPr>
                <w:rFonts w:hint="eastAsia" w:ascii="宋体" w:hAnsi="宋体"/>
                <w:color w:val="auto"/>
                <w:highlight w:val="none"/>
              </w:rPr>
              <w:t>3.5、</w:t>
            </w:r>
            <w:r>
              <w:rPr>
                <w:color w:val="auto"/>
                <w:highlight w:val="none"/>
              </w:rPr>
              <w:t>单位负责人为同一人或者存在直接控股、管理关系的不同供应商，不得参加同一合同项下的政府采购活动</w:t>
            </w:r>
            <w:r>
              <w:rPr>
                <w:rFonts w:hint="eastAsia" w:ascii="宋体" w:hAnsi="宋体"/>
                <w:color w:val="auto"/>
                <w:highlight w:val="none"/>
              </w:rPr>
              <w:t>。（提供承诺书）</w:t>
            </w:r>
          </w:p>
        </w:tc>
      </w:tr>
      <w:tr w14:paraId="0F624688">
        <w:tblPrEx>
          <w:tblCellMar>
            <w:top w:w="0" w:type="dxa"/>
            <w:left w:w="108" w:type="dxa"/>
            <w:bottom w:w="0" w:type="dxa"/>
            <w:right w:w="108" w:type="dxa"/>
          </w:tblCellMar>
        </w:tblPrEx>
        <w:trPr>
          <w:trHeight w:val="9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6B82E901">
            <w:pPr>
              <w:spacing w:line="396" w:lineRule="exact"/>
              <w:jc w:val="center"/>
              <w:rPr>
                <w:rFonts w:ascii="宋体"/>
                <w:color w:val="auto"/>
                <w:sz w:val="24"/>
                <w:szCs w:val="24"/>
                <w:highlight w:val="none"/>
              </w:rPr>
            </w:pPr>
            <w:r>
              <w:rPr>
                <w:rFonts w:hint="eastAsia" w:ascii="宋体" w:hAnsi="宋体"/>
                <w:color w:val="auto"/>
                <w:sz w:val="24"/>
                <w:szCs w:val="24"/>
                <w:highlight w:val="none"/>
              </w:rPr>
              <w:t>1.9.1</w:t>
            </w:r>
          </w:p>
        </w:tc>
        <w:tc>
          <w:tcPr>
            <w:tcW w:w="1980" w:type="dxa"/>
            <w:tcBorders>
              <w:top w:val="single" w:color="auto" w:sz="4" w:space="0"/>
              <w:left w:val="nil"/>
              <w:bottom w:val="single" w:color="auto" w:sz="4" w:space="0"/>
              <w:right w:val="single" w:color="auto" w:sz="4" w:space="0"/>
            </w:tcBorders>
            <w:vAlign w:val="center"/>
          </w:tcPr>
          <w:p w14:paraId="3D782910">
            <w:pPr>
              <w:spacing w:line="400" w:lineRule="exact"/>
              <w:jc w:val="center"/>
              <w:rPr>
                <w:rFonts w:ascii="宋体"/>
                <w:color w:val="auto"/>
                <w:highlight w:val="none"/>
              </w:rPr>
            </w:pPr>
            <w:r>
              <w:rPr>
                <w:rFonts w:hint="eastAsia" w:ascii="宋体" w:hAnsi="宋体"/>
                <w:color w:val="auto"/>
                <w:highlight w:val="none"/>
              </w:rPr>
              <w:t>踏勘现场</w:t>
            </w:r>
          </w:p>
        </w:tc>
        <w:tc>
          <w:tcPr>
            <w:tcW w:w="6671" w:type="dxa"/>
            <w:tcBorders>
              <w:top w:val="single" w:color="auto" w:sz="4" w:space="0"/>
              <w:left w:val="nil"/>
              <w:bottom w:val="single" w:color="auto" w:sz="4" w:space="0"/>
              <w:right w:val="single" w:color="auto" w:sz="4" w:space="0"/>
            </w:tcBorders>
            <w:vAlign w:val="center"/>
          </w:tcPr>
          <w:p w14:paraId="2EA89089">
            <w:pPr>
              <w:pStyle w:val="41"/>
              <w:spacing w:line="420" w:lineRule="exact"/>
              <w:rPr>
                <w:rFonts w:ascii="宋体"/>
                <w:color w:val="auto"/>
                <w:highlight w:val="none"/>
              </w:rPr>
            </w:pPr>
            <w:r>
              <w:rPr>
                <w:rFonts w:ascii="Arial" w:hAnsi="Arial" w:cs="Arial"/>
                <w:color w:val="auto"/>
                <w:sz w:val="21"/>
                <w:szCs w:val="21"/>
                <w:highlight w:val="none"/>
              </w:rPr>
              <w:t>√</w:t>
            </w:r>
            <w:r>
              <w:rPr>
                <w:rFonts w:hint="eastAsia" w:hAnsi="宋体"/>
                <w:color w:val="auto"/>
                <w:sz w:val="21"/>
                <w:szCs w:val="21"/>
                <w:highlight w:val="none"/>
              </w:rPr>
              <w:t>不组织，各供应商自行踏勘</w:t>
            </w:r>
          </w:p>
        </w:tc>
      </w:tr>
      <w:tr w14:paraId="30ED0B5C">
        <w:tblPrEx>
          <w:tblCellMar>
            <w:top w:w="0" w:type="dxa"/>
            <w:left w:w="108" w:type="dxa"/>
            <w:bottom w:w="0" w:type="dxa"/>
            <w:right w:w="108" w:type="dxa"/>
          </w:tblCellMar>
        </w:tblPrEx>
        <w:trPr>
          <w:trHeight w:val="9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4BA88495">
            <w:pPr>
              <w:spacing w:line="396" w:lineRule="exact"/>
              <w:jc w:val="center"/>
              <w:rPr>
                <w:rFonts w:ascii="宋体"/>
                <w:color w:val="auto"/>
                <w:sz w:val="24"/>
                <w:szCs w:val="24"/>
                <w:highlight w:val="none"/>
              </w:rPr>
            </w:pPr>
            <w:r>
              <w:rPr>
                <w:rFonts w:hint="eastAsia" w:ascii="宋体" w:hAnsi="宋体"/>
                <w:color w:val="auto"/>
                <w:sz w:val="24"/>
                <w:szCs w:val="24"/>
                <w:highlight w:val="none"/>
              </w:rPr>
              <w:t>1.10.1</w:t>
            </w:r>
          </w:p>
        </w:tc>
        <w:tc>
          <w:tcPr>
            <w:tcW w:w="1980" w:type="dxa"/>
            <w:tcBorders>
              <w:top w:val="single" w:color="auto" w:sz="4" w:space="0"/>
              <w:left w:val="nil"/>
              <w:bottom w:val="single" w:color="auto" w:sz="4" w:space="0"/>
              <w:right w:val="single" w:color="auto" w:sz="4" w:space="0"/>
            </w:tcBorders>
            <w:vAlign w:val="center"/>
          </w:tcPr>
          <w:p w14:paraId="5130F3F9">
            <w:pPr>
              <w:spacing w:line="400" w:lineRule="exact"/>
              <w:jc w:val="center"/>
              <w:rPr>
                <w:rFonts w:ascii="宋体"/>
                <w:color w:val="auto"/>
                <w:highlight w:val="none"/>
              </w:rPr>
            </w:pPr>
            <w:r>
              <w:rPr>
                <w:rFonts w:hint="eastAsia" w:ascii="宋体" w:hAnsi="宋体"/>
                <w:color w:val="auto"/>
                <w:highlight w:val="none"/>
              </w:rPr>
              <w:t>投标预备会</w:t>
            </w:r>
          </w:p>
        </w:tc>
        <w:tc>
          <w:tcPr>
            <w:tcW w:w="6671" w:type="dxa"/>
            <w:tcBorders>
              <w:top w:val="single" w:color="auto" w:sz="4" w:space="0"/>
              <w:left w:val="nil"/>
              <w:bottom w:val="single" w:color="auto" w:sz="4" w:space="0"/>
              <w:right w:val="single" w:color="auto" w:sz="4" w:space="0"/>
            </w:tcBorders>
            <w:vAlign w:val="center"/>
          </w:tcPr>
          <w:p w14:paraId="6EAA23BF">
            <w:pPr>
              <w:pStyle w:val="41"/>
              <w:spacing w:line="420" w:lineRule="exact"/>
              <w:rPr>
                <w:rFonts w:ascii="宋体"/>
                <w:color w:val="auto"/>
                <w:highlight w:val="none"/>
              </w:rPr>
            </w:pPr>
            <w:r>
              <w:rPr>
                <w:rFonts w:ascii="Arial" w:hAnsi="Arial" w:cs="Arial"/>
                <w:color w:val="auto"/>
                <w:sz w:val="21"/>
                <w:szCs w:val="21"/>
                <w:highlight w:val="none"/>
              </w:rPr>
              <w:t>√</w:t>
            </w:r>
            <w:r>
              <w:rPr>
                <w:rFonts w:hint="eastAsia" w:hAnsi="宋体"/>
                <w:color w:val="auto"/>
                <w:sz w:val="21"/>
                <w:szCs w:val="21"/>
                <w:highlight w:val="none"/>
              </w:rPr>
              <w:t>不召开</w:t>
            </w:r>
          </w:p>
        </w:tc>
      </w:tr>
      <w:tr w14:paraId="479607DF">
        <w:tblPrEx>
          <w:tblCellMar>
            <w:top w:w="0" w:type="dxa"/>
            <w:left w:w="108" w:type="dxa"/>
            <w:bottom w:w="0" w:type="dxa"/>
            <w:right w:w="108" w:type="dxa"/>
          </w:tblCellMar>
        </w:tblPrEx>
        <w:trPr>
          <w:trHeight w:val="61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4C8B8872">
            <w:pPr>
              <w:spacing w:line="396" w:lineRule="exact"/>
              <w:jc w:val="center"/>
              <w:rPr>
                <w:rFonts w:ascii="宋体"/>
                <w:color w:val="auto"/>
                <w:sz w:val="24"/>
                <w:szCs w:val="24"/>
                <w:highlight w:val="none"/>
              </w:rPr>
            </w:pPr>
            <w:bookmarkStart w:id="44" w:name="OLE_LINK12"/>
            <w:r>
              <w:rPr>
                <w:rFonts w:hint="eastAsia" w:ascii="宋体" w:hAnsi="宋体"/>
                <w:color w:val="auto"/>
                <w:sz w:val="24"/>
                <w:szCs w:val="24"/>
                <w:highlight w:val="none"/>
              </w:rPr>
              <w:t>1.10.2</w:t>
            </w:r>
            <w:bookmarkEnd w:id="44"/>
          </w:p>
        </w:tc>
        <w:tc>
          <w:tcPr>
            <w:tcW w:w="1980" w:type="dxa"/>
            <w:tcBorders>
              <w:top w:val="single" w:color="auto" w:sz="4" w:space="0"/>
              <w:left w:val="nil"/>
              <w:bottom w:val="single" w:color="auto" w:sz="4" w:space="0"/>
              <w:right w:val="single" w:color="auto" w:sz="4" w:space="0"/>
            </w:tcBorders>
            <w:vAlign w:val="center"/>
          </w:tcPr>
          <w:p w14:paraId="4F81AB05">
            <w:pPr>
              <w:spacing w:line="400" w:lineRule="exact"/>
              <w:jc w:val="center"/>
              <w:rPr>
                <w:rFonts w:ascii="宋体"/>
                <w:color w:val="auto"/>
                <w:highlight w:val="none"/>
              </w:rPr>
            </w:pPr>
            <w:r>
              <w:rPr>
                <w:rFonts w:hint="eastAsia" w:ascii="宋体" w:hAnsi="宋体"/>
                <w:color w:val="auto"/>
                <w:highlight w:val="none"/>
              </w:rPr>
              <w:t>供应商提出问题的截止时间</w:t>
            </w:r>
          </w:p>
        </w:tc>
        <w:tc>
          <w:tcPr>
            <w:tcW w:w="6671" w:type="dxa"/>
            <w:tcBorders>
              <w:top w:val="single" w:color="auto" w:sz="4" w:space="0"/>
              <w:left w:val="nil"/>
              <w:bottom w:val="single" w:color="auto" w:sz="4" w:space="0"/>
              <w:right w:val="single" w:color="auto" w:sz="4" w:space="0"/>
            </w:tcBorders>
            <w:vAlign w:val="center"/>
          </w:tcPr>
          <w:p w14:paraId="2BDC5C44">
            <w:pPr>
              <w:spacing w:line="420" w:lineRule="exact"/>
              <w:rPr>
                <w:rFonts w:ascii="宋体"/>
                <w:color w:val="auto"/>
                <w:highlight w:val="none"/>
              </w:rPr>
            </w:pPr>
            <w:r>
              <w:rPr>
                <w:rFonts w:hint="eastAsia" w:ascii="宋体"/>
                <w:color w:val="auto"/>
                <w:highlight w:val="none"/>
              </w:rPr>
              <w:t>应当在获取采购文件或者采购文件公告期限届满之日起7个工作日内提出。</w:t>
            </w:r>
          </w:p>
        </w:tc>
      </w:tr>
      <w:tr w14:paraId="0BFE592F">
        <w:tblPrEx>
          <w:tblCellMar>
            <w:top w:w="0" w:type="dxa"/>
            <w:left w:w="108" w:type="dxa"/>
            <w:bottom w:w="0" w:type="dxa"/>
            <w:right w:w="108" w:type="dxa"/>
          </w:tblCellMar>
        </w:tblPrEx>
        <w:trPr>
          <w:trHeight w:val="505"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3CEE9CDF">
            <w:pPr>
              <w:spacing w:line="396" w:lineRule="exact"/>
              <w:jc w:val="center"/>
              <w:rPr>
                <w:rFonts w:ascii="宋体"/>
                <w:color w:val="auto"/>
                <w:sz w:val="24"/>
                <w:szCs w:val="24"/>
                <w:highlight w:val="none"/>
              </w:rPr>
            </w:pPr>
            <w:r>
              <w:rPr>
                <w:rFonts w:hint="eastAsia" w:ascii="宋体" w:hAnsi="宋体"/>
                <w:color w:val="auto"/>
                <w:sz w:val="24"/>
                <w:szCs w:val="24"/>
                <w:highlight w:val="none"/>
              </w:rPr>
              <w:t>1.10.3</w:t>
            </w:r>
          </w:p>
        </w:tc>
        <w:tc>
          <w:tcPr>
            <w:tcW w:w="1980" w:type="dxa"/>
            <w:tcBorders>
              <w:top w:val="single" w:color="auto" w:sz="4" w:space="0"/>
              <w:left w:val="nil"/>
              <w:bottom w:val="single" w:color="auto" w:sz="4" w:space="0"/>
              <w:right w:val="single" w:color="auto" w:sz="4" w:space="0"/>
            </w:tcBorders>
            <w:vAlign w:val="center"/>
          </w:tcPr>
          <w:p w14:paraId="7634FA7B">
            <w:pPr>
              <w:spacing w:line="400" w:lineRule="exact"/>
              <w:jc w:val="center"/>
              <w:rPr>
                <w:rFonts w:ascii="宋体"/>
                <w:color w:val="auto"/>
                <w:highlight w:val="none"/>
              </w:rPr>
            </w:pPr>
            <w:r>
              <w:rPr>
                <w:rFonts w:hint="eastAsia" w:ascii="宋体" w:hAnsi="宋体"/>
                <w:color w:val="auto"/>
                <w:highlight w:val="none"/>
              </w:rPr>
              <w:t>采购人书面澄清的时间</w:t>
            </w:r>
          </w:p>
        </w:tc>
        <w:tc>
          <w:tcPr>
            <w:tcW w:w="6671" w:type="dxa"/>
            <w:tcBorders>
              <w:top w:val="single" w:color="auto" w:sz="4" w:space="0"/>
              <w:left w:val="nil"/>
              <w:bottom w:val="single" w:color="auto" w:sz="4" w:space="0"/>
              <w:right w:val="single" w:color="auto" w:sz="4" w:space="0"/>
            </w:tcBorders>
            <w:vAlign w:val="center"/>
          </w:tcPr>
          <w:p w14:paraId="780642B2">
            <w:pPr>
              <w:spacing w:line="420" w:lineRule="exact"/>
              <w:rPr>
                <w:rFonts w:ascii="宋体"/>
                <w:color w:val="auto"/>
                <w:highlight w:val="none"/>
              </w:rPr>
            </w:pPr>
            <w:r>
              <w:rPr>
                <w:rFonts w:hint="eastAsia" w:ascii="宋体" w:hAnsi="宋体"/>
                <w:color w:val="auto"/>
                <w:kern w:val="0"/>
                <w:highlight w:val="none"/>
              </w:rPr>
              <w:t>投标截止时间15日前</w:t>
            </w:r>
          </w:p>
        </w:tc>
      </w:tr>
      <w:tr w14:paraId="7B2818D7">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5269859A">
            <w:pPr>
              <w:spacing w:line="396" w:lineRule="exact"/>
              <w:jc w:val="center"/>
              <w:rPr>
                <w:rFonts w:ascii="宋体"/>
                <w:color w:val="auto"/>
                <w:sz w:val="24"/>
                <w:szCs w:val="24"/>
                <w:highlight w:val="none"/>
              </w:rPr>
            </w:pPr>
            <w:r>
              <w:rPr>
                <w:rFonts w:hint="eastAsia" w:ascii="宋体" w:hAnsi="宋体"/>
                <w:color w:val="auto"/>
                <w:sz w:val="24"/>
                <w:szCs w:val="24"/>
                <w:highlight w:val="none"/>
              </w:rPr>
              <w:t>1.11</w:t>
            </w:r>
          </w:p>
        </w:tc>
        <w:tc>
          <w:tcPr>
            <w:tcW w:w="1980" w:type="dxa"/>
            <w:tcBorders>
              <w:top w:val="single" w:color="auto" w:sz="4" w:space="0"/>
              <w:left w:val="nil"/>
              <w:bottom w:val="single" w:color="auto" w:sz="4" w:space="0"/>
              <w:right w:val="single" w:color="auto" w:sz="4" w:space="0"/>
            </w:tcBorders>
            <w:vAlign w:val="center"/>
          </w:tcPr>
          <w:p w14:paraId="424BE7A1">
            <w:pPr>
              <w:spacing w:line="400" w:lineRule="exact"/>
              <w:jc w:val="center"/>
              <w:rPr>
                <w:rFonts w:ascii="宋体"/>
                <w:color w:val="auto"/>
                <w:highlight w:val="none"/>
              </w:rPr>
            </w:pPr>
            <w:r>
              <w:rPr>
                <w:rFonts w:hint="eastAsia" w:ascii="宋体" w:hAnsi="宋体"/>
                <w:color w:val="auto"/>
                <w:highlight w:val="none"/>
              </w:rPr>
              <w:t>偏 离</w:t>
            </w:r>
          </w:p>
        </w:tc>
        <w:tc>
          <w:tcPr>
            <w:tcW w:w="6671" w:type="dxa"/>
            <w:tcBorders>
              <w:top w:val="single" w:color="auto" w:sz="4" w:space="0"/>
              <w:left w:val="nil"/>
              <w:bottom w:val="single" w:color="auto" w:sz="4" w:space="0"/>
              <w:right w:val="single" w:color="auto" w:sz="4" w:space="0"/>
            </w:tcBorders>
            <w:vAlign w:val="center"/>
          </w:tcPr>
          <w:p w14:paraId="0D441F25">
            <w:pPr>
              <w:spacing w:line="420" w:lineRule="exact"/>
              <w:jc w:val="left"/>
              <w:rPr>
                <w:rFonts w:ascii="宋体"/>
                <w:color w:val="auto"/>
                <w:kern w:val="0"/>
                <w:highlight w:val="none"/>
              </w:rPr>
            </w:pPr>
            <w:r>
              <w:rPr>
                <w:rFonts w:hint="eastAsia" w:ascii="宋体" w:hAnsi="宋体"/>
                <w:color w:val="auto"/>
                <w:kern w:val="0"/>
                <w:highlight w:val="none"/>
              </w:rPr>
              <w:t>不允许下列重大偏离：</w:t>
            </w:r>
          </w:p>
          <w:p w14:paraId="4AFE3333">
            <w:pPr>
              <w:spacing w:line="420" w:lineRule="exact"/>
              <w:jc w:val="left"/>
              <w:rPr>
                <w:rFonts w:ascii="宋体"/>
                <w:color w:val="auto"/>
                <w:kern w:val="0"/>
                <w:highlight w:val="none"/>
              </w:rPr>
            </w:pPr>
            <w:r>
              <w:rPr>
                <w:rFonts w:hint="eastAsia" w:ascii="宋体" w:hAnsi="宋体"/>
                <w:color w:val="auto"/>
                <w:kern w:val="0"/>
                <w:highlight w:val="none"/>
              </w:rPr>
              <w:t>经评标委员会审查后，投标文件有下列情形之一的，视为未能实质性响应招标文件，应认定为无效标（即废标）：</w:t>
            </w:r>
          </w:p>
          <w:p w14:paraId="427E35D5">
            <w:pPr>
              <w:spacing w:line="420" w:lineRule="exact"/>
              <w:jc w:val="left"/>
              <w:rPr>
                <w:rFonts w:ascii="宋体"/>
                <w:color w:val="auto"/>
                <w:kern w:val="0"/>
                <w:highlight w:val="none"/>
              </w:rPr>
            </w:pPr>
            <w:r>
              <w:rPr>
                <w:rFonts w:hint="eastAsia" w:ascii="宋体" w:hAnsi="宋体"/>
                <w:color w:val="auto"/>
                <w:kern w:val="0"/>
                <w:highlight w:val="none"/>
              </w:rPr>
              <w:t>1、投标文件没有按要求加盖供应商法定代表人或授权代表人个人电子签章或加盖企业电子签章的；</w:t>
            </w:r>
          </w:p>
          <w:p w14:paraId="5DE9C7E5">
            <w:pPr>
              <w:spacing w:line="420" w:lineRule="exact"/>
              <w:jc w:val="left"/>
              <w:rPr>
                <w:rFonts w:ascii="宋体"/>
                <w:color w:val="auto"/>
                <w:kern w:val="0"/>
                <w:highlight w:val="none"/>
              </w:rPr>
            </w:pPr>
            <w:r>
              <w:rPr>
                <w:rFonts w:hint="eastAsia" w:ascii="宋体" w:hAnsi="宋体"/>
                <w:color w:val="auto"/>
                <w:kern w:val="0"/>
                <w:highlight w:val="none"/>
              </w:rPr>
              <w:t>2、投标文件载明的</w:t>
            </w:r>
            <w:r>
              <w:rPr>
                <w:rFonts w:hint="eastAsia" w:ascii="宋体" w:hAnsi="宋体"/>
                <w:color w:val="auto"/>
                <w:kern w:val="0"/>
                <w:highlight w:val="none"/>
                <w:lang w:val="en-US" w:eastAsia="zh-CN"/>
              </w:rPr>
              <w:t>服务</w:t>
            </w:r>
            <w:r>
              <w:rPr>
                <w:rFonts w:hint="eastAsia" w:ascii="宋体" w:hAnsi="宋体"/>
                <w:color w:val="auto"/>
                <w:kern w:val="0"/>
                <w:highlight w:val="none"/>
              </w:rPr>
              <w:t>期限超过招标文件规定的期限；</w:t>
            </w:r>
          </w:p>
          <w:p w14:paraId="062A0B09">
            <w:pPr>
              <w:spacing w:line="420" w:lineRule="exact"/>
              <w:jc w:val="left"/>
              <w:rPr>
                <w:rFonts w:ascii="宋体"/>
                <w:color w:val="auto"/>
                <w:kern w:val="0"/>
                <w:highlight w:val="none"/>
              </w:rPr>
            </w:pPr>
            <w:r>
              <w:rPr>
                <w:rFonts w:hint="eastAsia" w:ascii="宋体" w:hAnsi="宋体"/>
                <w:color w:val="auto"/>
                <w:kern w:val="0"/>
                <w:highlight w:val="none"/>
              </w:rPr>
              <w:t>3、明显不符合技术规格、技术标准要求的，偏离使采购人不能接受的；</w:t>
            </w:r>
          </w:p>
          <w:p w14:paraId="4B714B0F">
            <w:pPr>
              <w:spacing w:line="420" w:lineRule="exact"/>
              <w:jc w:val="left"/>
              <w:rPr>
                <w:rFonts w:ascii="宋体"/>
                <w:color w:val="auto"/>
                <w:kern w:val="0"/>
                <w:highlight w:val="none"/>
              </w:rPr>
            </w:pPr>
            <w:r>
              <w:rPr>
                <w:rFonts w:hint="eastAsia" w:ascii="宋体" w:hAnsi="宋体"/>
                <w:color w:val="auto"/>
                <w:kern w:val="0"/>
                <w:highlight w:val="none"/>
              </w:rPr>
              <w:t>4、供应商拒绝按评标委员会要求对投标文件进行澄清、说明、补正或澄清、说明、补正不能合理说明情况的；</w:t>
            </w:r>
          </w:p>
          <w:p w14:paraId="010DE584">
            <w:pPr>
              <w:spacing w:line="420" w:lineRule="exact"/>
              <w:jc w:val="left"/>
              <w:rPr>
                <w:rFonts w:ascii="宋体"/>
                <w:color w:val="auto"/>
                <w:kern w:val="0"/>
                <w:highlight w:val="none"/>
              </w:rPr>
            </w:pPr>
            <w:r>
              <w:rPr>
                <w:rFonts w:hint="eastAsia" w:ascii="宋体" w:hAnsi="宋体"/>
                <w:color w:val="auto"/>
                <w:kern w:val="0"/>
                <w:highlight w:val="none"/>
              </w:rPr>
              <w:t>5、投标文件附加有采购人不能接受的条件的；</w:t>
            </w:r>
          </w:p>
          <w:p w14:paraId="4BBE0657">
            <w:pPr>
              <w:spacing w:line="420" w:lineRule="exact"/>
              <w:jc w:val="left"/>
              <w:rPr>
                <w:rFonts w:ascii="宋体"/>
                <w:color w:val="auto"/>
                <w:kern w:val="0"/>
                <w:highlight w:val="none"/>
              </w:rPr>
            </w:pPr>
            <w:r>
              <w:rPr>
                <w:rFonts w:hint="eastAsia" w:ascii="宋体" w:hAnsi="宋体"/>
                <w:color w:val="auto"/>
                <w:kern w:val="0"/>
                <w:highlight w:val="none"/>
              </w:rPr>
              <w:t>6、供应商递交两份或多份内容不同的投标文件，或在一份投标文件中报有两个或多个报价，但未声明哪一个有效的；</w:t>
            </w:r>
          </w:p>
          <w:p w14:paraId="704D3F3B">
            <w:pPr>
              <w:spacing w:line="420" w:lineRule="exact"/>
              <w:jc w:val="left"/>
              <w:rPr>
                <w:rFonts w:ascii="宋体"/>
                <w:color w:val="auto"/>
                <w:kern w:val="0"/>
                <w:highlight w:val="none"/>
              </w:rPr>
            </w:pPr>
            <w:r>
              <w:rPr>
                <w:rFonts w:hint="eastAsia" w:ascii="宋体" w:hAnsi="宋体"/>
                <w:color w:val="auto"/>
                <w:kern w:val="0"/>
                <w:highlight w:val="none"/>
              </w:rPr>
              <w:t>7、其他违反招投标法以及相关法律、法规和规定的。</w:t>
            </w:r>
          </w:p>
        </w:tc>
      </w:tr>
      <w:tr w14:paraId="23918C82">
        <w:tblPrEx>
          <w:tblCellMar>
            <w:top w:w="0" w:type="dxa"/>
            <w:left w:w="108" w:type="dxa"/>
            <w:bottom w:w="0" w:type="dxa"/>
            <w:right w:w="108" w:type="dxa"/>
          </w:tblCellMar>
        </w:tblPrEx>
        <w:trPr>
          <w:trHeight w:val="71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665E54FD">
            <w:pPr>
              <w:spacing w:line="420" w:lineRule="exact"/>
              <w:jc w:val="center"/>
              <w:rPr>
                <w:rFonts w:ascii="宋体"/>
                <w:color w:val="auto"/>
                <w:kern w:val="0"/>
                <w:sz w:val="24"/>
                <w:szCs w:val="24"/>
                <w:highlight w:val="none"/>
              </w:rPr>
            </w:pPr>
            <w:r>
              <w:rPr>
                <w:rFonts w:hint="eastAsia" w:ascii="宋体" w:hAnsi="宋体"/>
                <w:color w:val="auto"/>
                <w:kern w:val="0"/>
                <w:sz w:val="24"/>
                <w:szCs w:val="24"/>
                <w:highlight w:val="none"/>
              </w:rPr>
              <w:t>2.1</w:t>
            </w:r>
          </w:p>
        </w:tc>
        <w:tc>
          <w:tcPr>
            <w:tcW w:w="1980" w:type="dxa"/>
            <w:tcBorders>
              <w:top w:val="single" w:color="auto" w:sz="4" w:space="0"/>
              <w:left w:val="nil"/>
              <w:bottom w:val="single" w:color="auto" w:sz="4" w:space="0"/>
              <w:right w:val="single" w:color="auto" w:sz="4" w:space="0"/>
            </w:tcBorders>
            <w:vAlign w:val="center"/>
          </w:tcPr>
          <w:p w14:paraId="1622CC9B">
            <w:pPr>
              <w:spacing w:line="420" w:lineRule="exact"/>
              <w:jc w:val="center"/>
              <w:rPr>
                <w:rFonts w:ascii="宋体"/>
                <w:color w:val="auto"/>
                <w:kern w:val="0"/>
                <w:highlight w:val="none"/>
              </w:rPr>
            </w:pPr>
            <w:r>
              <w:rPr>
                <w:rFonts w:hint="eastAsia" w:ascii="宋体" w:hAnsi="宋体"/>
                <w:color w:val="auto"/>
                <w:kern w:val="0"/>
                <w:highlight w:val="none"/>
              </w:rPr>
              <w:t>构成招标文件的其他材料</w:t>
            </w:r>
          </w:p>
        </w:tc>
        <w:tc>
          <w:tcPr>
            <w:tcW w:w="6671" w:type="dxa"/>
            <w:tcBorders>
              <w:top w:val="single" w:color="auto" w:sz="4" w:space="0"/>
              <w:left w:val="nil"/>
              <w:bottom w:val="single" w:color="auto" w:sz="4" w:space="0"/>
              <w:right w:val="single" w:color="auto" w:sz="4" w:space="0"/>
            </w:tcBorders>
            <w:vAlign w:val="center"/>
          </w:tcPr>
          <w:p w14:paraId="75BF9EC8">
            <w:pPr>
              <w:spacing w:line="420" w:lineRule="exact"/>
              <w:jc w:val="left"/>
              <w:rPr>
                <w:rFonts w:ascii="宋体"/>
                <w:color w:val="auto"/>
                <w:kern w:val="0"/>
                <w:highlight w:val="none"/>
              </w:rPr>
            </w:pPr>
            <w:r>
              <w:rPr>
                <w:rFonts w:hint="eastAsia" w:ascii="宋体" w:hAnsi="宋体"/>
                <w:color w:val="auto"/>
                <w:kern w:val="0"/>
                <w:highlight w:val="none"/>
              </w:rPr>
              <w:t>澄清补正等相关文件</w:t>
            </w:r>
          </w:p>
        </w:tc>
      </w:tr>
      <w:tr w14:paraId="7A591BBE">
        <w:tblPrEx>
          <w:tblCellMar>
            <w:top w:w="0" w:type="dxa"/>
            <w:left w:w="108" w:type="dxa"/>
            <w:bottom w:w="0" w:type="dxa"/>
            <w:right w:w="108" w:type="dxa"/>
          </w:tblCellMar>
        </w:tblPrEx>
        <w:trPr>
          <w:trHeight w:val="9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45458E38">
            <w:pPr>
              <w:spacing w:line="396" w:lineRule="exact"/>
              <w:jc w:val="center"/>
              <w:rPr>
                <w:rFonts w:ascii="宋体"/>
                <w:color w:val="auto"/>
                <w:sz w:val="24"/>
                <w:szCs w:val="24"/>
                <w:highlight w:val="none"/>
              </w:rPr>
            </w:pPr>
            <w:r>
              <w:rPr>
                <w:rFonts w:hint="eastAsia" w:ascii="宋体" w:hAnsi="宋体"/>
                <w:color w:val="auto"/>
                <w:sz w:val="24"/>
                <w:szCs w:val="24"/>
                <w:highlight w:val="none"/>
              </w:rPr>
              <w:t>2.2.1</w:t>
            </w:r>
          </w:p>
        </w:tc>
        <w:tc>
          <w:tcPr>
            <w:tcW w:w="1980" w:type="dxa"/>
            <w:tcBorders>
              <w:top w:val="single" w:color="auto" w:sz="4" w:space="0"/>
              <w:left w:val="nil"/>
              <w:bottom w:val="single" w:color="auto" w:sz="4" w:space="0"/>
              <w:right w:val="single" w:color="auto" w:sz="4" w:space="0"/>
            </w:tcBorders>
            <w:vAlign w:val="center"/>
          </w:tcPr>
          <w:p w14:paraId="2C52F273">
            <w:pPr>
              <w:spacing w:line="396" w:lineRule="exact"/>
              <w:jc w:val="center"/>
              <w:rPr>
                <w:rFonts w:ascii="宋体"/>
                <w:color w:val="auto"/>
                <w:highlight w:val="none"/>
              </w:rPr>
            </w:pPr>
            <w:r>
              <w:rPr>
                <w:rFonts w:hint="eastAsia" w:ascii="宋体" w:hAnsi="宋体"/>
                <w:color w:val="auto"/>
                <w:highlight w:val="none"/>
              </w:rPr>
              <w:t>供应商确认收到招标文件澄清的时间</w:t>
            </w:r>
          </w:p>
        </w:tc>
        <w:tc>
          <w:tcPr>
            <w:tcW w:w="6671" w:type="dxa"/>
            <w:tcBorders>
              <w:top w:val="single" w:color="auto" w:sz="4" w:space="0"/>
              <w:left w:val="nil"/>
              <w:bottom w:val="single" w:color="auto" w:sz="4" w:space="0"/>
              <w:right w:val="single" w:color="auto" w:sz="4" w:space="0"/>
            </w:tcBorders>
            <w:vAlign w:val="center"/>
          </w:tcPr>
          <w:p w14:paraId="666D3F12">
            <w:pPr>
              <w:spacing w:line="396" w:lineRule="exact"/>
              <w:rPr>
                <w:rFonts w:ascii="宋体"/>
                <w:color w:val="auto"/>
                <w:highlight w:val="none"/>
              </w:rPr>
            </w:pPr>
            <w:r>
              <w:rPr>
                <w:rFonts w:hint="eastAsia" w:ascii="宋体" w:hAnsi="宋体" w:cs="宋体"/>
                <w:color w:val="auto"/>
                <w:kern w:val="0"/>
                <w:highlight w:val="none"/>
              </w:rPr>
              <w:t>自招标文件澄清在相关网站发布起，即视为收到。</w:t>
            </w:r>
          </w:p>
        </w:tc>
      </w:tr>
      <w:tr w14:paraId="2A02BB70">
        <w:tblPrEx>
          <w:tblCellMar>
            <w:top w:w="0" w:type="dxa"/>
            <w:left w:w="108" w:type="dxa"/>
            <w:bottom w:w="0" w:type="dxa"/>
            <w:right w:w="108" w:type="dxa"/>
          </w:tblCellMar>
        </w:tblPrEx>
        <w:trPr>
          <w:trHeight w:val="482"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584DAA7B">
            <w:pPr>
              <w:spacing w:line="396" w:lineRule="exact"/>
              <w:jc w:val="center"/>
              <w:rPr>
                <w:rFonts w:ascii="宋体"/>
                <w:color w:val="auto"/>
                <w:sz w:val="24"/>
                <w:szCs w:val="24"/>
                <w:highlight w:val="none"/>
              </w:rPr>
            </w:pPr>
            <w:r>
              <w:rPr>
                <w:rFonts w:hint="eastAsia" w:ascii="宋体" w:hAnsi="宋体"/>
                <w:color w:val="auto"/>
                <w:sz w:val="24"/>
                <w:szCs w:val="24"/>
                <w:highlight w:val="none"/>
              </w:rPr>
              <w:t>2.2.3</w:t>
            </w:r>
          </w:p>
        </w:tc>
        <w:tc>
          <w:tcPr>
            <w:tcW w:w="1980" w:type="dxa"/>
            <w:tcBorders>
              <w:top w:val="single" w:color="auto" w:sz="4" w:space="0"/>
              <w:left w:val="nil"/>
              <w:bottom w:val="single" w:color="auto" w:sz="4" w:space="0"/>
              <w:right w:val="single" w:color="auto" w:sz="4" w:space="0"/>
            </w:tcBorders>
            <w:vAlign w:val="center"/>
          </w:tcPr>
          <w:p w14:paraId="74DE3989">
            <w:pPr>
              <w:spacing w:line="396" w:lineRule="exact"/>
              <w:jc w:val="center"/>
              <w:rPr>
                <w:rFonts w:ascii="宋体"/>
                <w:color w:val="auto"/>
                <w:highlight w:val="none"/>
              </w:rPr>
            </w:pPr>
            <w:r>
              <w:rPr>
                <w:rFonts w:hint="eastAsia" w:ascii="宋体" w:hAnsi="宋体"/>
                <w:color w:val="auto"/>
                <w:highlight w:val="none"/>
              </w:rPr>
              <w:t>供应商确认收到招标文件修改的时间</w:t>
            </w:r>
          </w:p>
        </w:tc>
        <w:tc>
          <w:tcPr>
            <w:tcW w:w="6671" w:type="dxa"/>
            <w:tcBorders>
              <w:top w:val="single" w:color="auto" w:sz="4" w:space="0"/>
              <w:left w:val="nil"/>
              <w:bottom w:val="single" w:color="auto" w:sz="4" w:space="0"/>
              <w:right w:val="single" w:color="auto" w:sz="4" w:space="0"/>
            </w:tcBorders>
            <w:vAlign w:val="center"/>
          </w:tcPr>
          <w:p w14:paraId="4280B36B">
            <w:pPr>
              <w:spacing w:line="396" w:lineRule="exact"/>
              <w:rPr>
                <w:rFonts w:ascii="宋体"/>
                <w:color w:val="auto"/>
                <w:highlight w:val="none"/>
              </w:rPr>
            </w:pPr>
            <w:r>
              <w:rPr>
                <w:rFonts w:hint="eastAsia" w:ascii="宋体" w:hAnsi="宋体" w:cs="宋体"/>
                <w:color w:val="auto"/>
                <w:kern w:val="0"/>
                <w:highlight w:val="none"/>
              </w:rPr>
              <w:t>自招标文件修改在相关网站发布起，即视为收到。</w:t>
            </w:r>
          </w:p>
        </w:tc>
      </w:tr>
      <w:tr w14:paraId="2D82F64C">
        <w:tblPrEx>
          <w:tblCellMar>
            <w:top w:w="0" w:type="dxa"/>
            <w:left w:w="108" w:type="dxa"/>
            <w:bottom w:w="0" w:type="dxa"/>
            <w:right w:w="108" w:type="dxa"/>
          </w:tblCellMar>
        </w:tblPrEx>
        <w:trPr>
          <w:trHeight w:val="9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5CB81216">
            <w:pPr>
              <w:spacing w:line="396" w:lineRule="exact"/>
              <w:jc w:val="center"/>
              <w:rPr>
                <w:rFonts w:ascii="宋体"/>
                <w:color w:val="auto"/>
                <w:sz w:val="24"/>
                <w:szCs w:val="24"/>
                <w:highlight w:val="none"/>
              </w:rPr>
            </w:pPr>
            <w:r>
              <w:rPr>
                <w:rFonts w:hint="eastAsia" w:ascii="宋体" w:hAnsi="宋体"/>
                <w:color w:val="auto"/>
                <w:sz w:val="24"/>
                <w:szCs w:val="24"/>
                <w:highlight w:val="none"/>
              </w:rPr>
              <w:t>3.1.1</w:t>
            </w:r>
          </w:p>
        </w:tc>
        <w:tc>
          <w:tcPr>
            <w:tcW w:w="1980" w:type="dxa"/>
            <w:tcBorders>
              <w:top w:val="single" w:color="auto" w:sz="4" w:space="0"/>
              <w:left w:val="nil"/>
              <w:bottom w:val="single" w:color="auto" w:sz="4" w:space="0"/>
              <w:right w:val="single" w:color="auto" w:sz="4" w:space="0"/>
            </w:tcBorders>
            <w:vAlign w:val="center"/>
          </w:tcPr>
          <w:p w14:paraId="4047D874">
            <w:pPr>
              <w:spacing w:line="300" w:lineRule="exact"/>
              <w:jc w:val="center"/>
              <w:rPr>
                <w:rFonts w:ascii="宋体"/>
                <w:color w:val="auto"/>
                <w:highlight w:val="none"/>
              </w:rPr>
            </w:pPr>
            <w:r>
              <w:rPr>
                <w:rFonts w:hint="eastAsia" w:ascii="宋体" w:hAnsi="宋体"/>
                <w:color w:val="auto"/>
                <w:highlight w:val="none"/>
              </w:rPr>
              <w:t>构成投标文件的其他材料</w:t>
            </w:r>
          </w:p>
        </w:tc>
        <w:tc>
          <w:tcPr>
            <w:tcW w:w="6671" w:type="dxa"/>
            <w:tcBorders>
              <w:top w:val="single" w:color="auto" w:sz="4" w:space="0"/>
              <w:left w:val="nil"/>
              <w:bottom w:val="single" w:color="auto" w:sz="4" w:space="0"/>
              <w:right w:val="single" w:color="auto" w:sz="4" w:space="0"/>
            </w:tcBorders>
            <w:vAlign w:val="center"/>
          </w:tcPr>
          <w:p w14:paraId="5C3BACB9">
            <w:pPr>
              <w:spacing w:line="396" w:lineRule="exact"/>
              <w:rPr>
                <w:rFonts w:hint="eastAsia" w:ascii="宋体" w:hAnsi="宋体"/>
                <w:color w:val="auto"/>
                <w:highlight w:val="none"/>
              </w:rPr>
            </w:pPr>
            <w:r>
              <w:rPr>
                <w:rFonts w:hint="eastAsia" w:ascii="宋体" w:hAnsi="宋体"/>
                <w:color w:val="auto"/>
                <w:highlight w:val="none"/>
              </w:rPr>
              <w:t>招标文件补充文件、澄清、修改，发布形式：通过</w:t>
            </w:r>
            <w:r>
              <w:rPr>
                <w:rFonts w:hint="eastAsia"/>
                <w:color w:val="auto"/>
                <w:highlight w:val="none"/>
              </w:rPr>
              <w:t>《中国招标投标公共服务平台》</w:t>
            </w:r>
            <w:r>
              <w:rPr>
                <w:rFonts w:hint="eastAsia" w:ascii="宋体" w:hAnsi="宋体"/>
                <w:color w:val="auto"/>
                <w:highlight w:val="none"/>
              </w:rPr>
              <w:t>、《河南省政府采购网》、《开封市公共资源交易信息网》发布。</w:t>
            </w:r>
          </w:p>
          <w:p w14:paraId="5704BD02">
            <w:pPr>
              <w:spacing w:line="400" w:lineRule="exact"/>
              <w:rPr>
                <w:rFonts w:ascii="宋体"/>
                <w:color w:val="auto"/>
                <w:highlight w:val="none"/>
              </w:rPr>
            </w:pPr>
            <w:r>
              <w:rPr>
                <w:rFonts w:hint="eastAsia" w:ascii="宋体" w:hAnsi="宋体"/>
                <w:color w:val="auto"/>
                <w:highlight w:val="none"/>
              </w:rPr>
              <w:t>招标文件的澄清、修改或补充文件在解释顺序方面优先于该类文件之前的文件。当招标文件及其澄清、修改或补充文件对同一内容表述不一致时，以最后发布为准。</w:t>
            </w:r>
          </w:p>
        </w:tc>
      </w:tr>
      <w:tr w14:paraId="00A7B962">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38ED1B0A">
            <w:pPr>
              <w:spacing w:line="396" w:lineRule="exact"/>
              <w:jc w:val="center"/>
              <w:rPr>
                <w:rFonts w:ascii="宋体"/>
                <w:b/>
                <w:bCs/>
                <w:color w:val="auto"/>
                <w:sz w:val="24"/>
                <w:szCs w:val="24"/>
                <w:highlight w:val="none"/>
              </w:rPr>
            </w:pPr>
            <w:r>
              <w:rPr>
                <w:rFonts w:hint="eastAsia" w:ascii="宋体" w:hAnsi="宋体"/>
                <w:b/>
                <w:bCs/>
                <w:color w:val="auto"/>
                <w:sz w:val="24"/>
                <w:szCs w:val="24"/>
                <w:highlight w:val="none"/>
              </w:rPr>
              <w:t>3.2.1</w:t>
            </w:r>
          </w:p>
        </w:tc>
        <w:tc>
          <w:tcPr>
            <w:tcW w:w="1980" w:type="dxa"/>
            <w:tcBorders>
              <w:top w:val="single" w:color="auto" w:sz="4" w:space="0"/>
              <w:left w:val="nil"/>
              <w:bottom w:val="single" w:color="auto" w:sz="4" w:space="0"/>
              <w:right w:val="single" w:color="auto" w:sz="4" w:space="0"/>
            </w:tcBorders>
            <w:vAlign w:val="center"/>
          </w:tcPr>
          <w:p w14:paraId="31E6DF41">
            <w:pPr>
              <w:spacing w:line="440" w:lineRule="exact"/>
              <w:jc w:val="center"/>
              <w:rPr>
                <w:rFonts w:ascii="宋体"/>
                <w:b/>
                <w:bCs/>
                <w:color w:val="auto"/>
                <w:highlight w:val="none"/>
              </w:rPr>
            </w:pPr>
            <w:r>
              <w:rPr>
                <w:rFonts w:hint="eastAsia" w:ascii="宋体" w:hAnsi="宋体"/>
                <w:color w:val="auto"/>
                <w:highlight w:val="none"/>
              </w:rPr>
              <w:t>报价范围</w:t>
            </w:r>
          </w:p>
        </w:tc>
        <w:tc>
          <w:tcPr>
            <w:tcW w:w="6671" w:type="dxa"/>
            <w:tcBorders>
              <w:top w:val="single" w:color="auto" w:sz="4" w:space="0"/>
              <w:left w:val="nil"/>
              <w:bottom w:val="single" w:color="auto" w:sz="4" w:space="0"/>
              <w:right w:val="single" w:color="auto" w:sz="4" w:space="0"/>
            </w:tcBorders>
            <w:vAlign w:val="center"/>
          </w:tcPr>
          <w:p w14:paraId="3C9E0F33">
            <w:pPr>
              <w:spacing w:line="240" w:lineRule="auto"/>
              <w:rPr>
                <w:rFonts w:ascii="宋体"/>
                <w:b/>
                <w:bCs/>
                <w:color w:val="auto"/>
                <w:highlight w:val="none"/>
              </w:rPr>
            </w:pPr>
            <w:r>
              <w:rPr>
                <w:rFonts w:hint="eastAsia" w:ascii="宋体" w:hAnsi="宋体"/>
                <w:color w:val="auto"/>
                <w:highlight w:val="none"/>
              </w:rPr>
              <w:t>供应商应按招标采购项目要求，一次性报出不可更改的价格，所报的价格中包含本招标采购对象及与之相关的设计、制造、包装、运输、装卸、各项税费、保险费等验收合格前全部费用等。</w:t>
            </w:r>
          </w:p>
        </w:tc>
      </w:tr>
      <w:tr w14:paraId="0DE9303F">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44C8CEBE">
            <w:pPr>
              <w:spacing w:line="396" w:lineRule="exact"/>
              <w:jc w:val="center"/>
              <w:rPr>
                <w:rFonts w:ascii="宋体"/>
                <w:color w:val="auto"/>
                <w:sz w:val="24"/>
                <w:szCs w:val="24"/>
                <w:highlight w:val="none"/>
              </w:rPr>
            </w:pPr>
            <w:r>
              <w:rPr>
                <w:rFonts w:hint="eastAsia" w:ascii="宋体" w:hAnsi="宋体"/>
                <w:color w:val="auto"/>
                <w:sz w:val="24"/>
                <w:szCs w:val="24"/>
                <w:highlight w:val="none"/>
              </w:rPr>
              <w:t>3.2.3</w:t>
            </w:r>
          </w:p>
        </w:tc>
        <w:tc>
          <w:tcPr>
            <w:tcW w:w="1980" w:type="dxa"/>
            <w:tcBorders>
              <w:top w:val="single" w:color="auto" w:sz="4" w:space="0"/>
              <w:left w:val="nil"/>
              <w:bottom w:val="single" w:color="auto" w:sz="4" w:space="0"/>
              <w:right w:val="single" w:color="auto" w:sz="4" w:space="0"/>
            </w:tcBorders>
            <w:vAlign w:val="center"/>
          </w:tcPr>
          <w:p w14:paraId="63E2352C">
            <w:pPr>
              <w:spacing w:line="400" w:lineRule="exact"/>
              <w:jc w:val="center"/>
              <w:rPr>
                <w:rFonts w:ascii="宋体"/>
                <w:color w:val="auto"/>
                <w:sz w:val="21"/>
                <w:szCs w:val="21"/>
                <w:highlight w:val="none"/>
              </w:rPr>
            </w:pPr>
            <w:r>
              <w:rPr>
                <w:rFonts w:hint="eastAsia" w:hAnsi="宋体"/>
                <w:b/>
                <w:bCs/>
                <w:color w:val="auto"/>
                <w:sz w:val="21"/>
                <w:szCs w:val="21"/>
                <w:highlight w:val="none"/>
              </w:rPr>
              <w:t>最高限价</w:t>
            </w:r>
          </w:p>
        </w:tc>
        <w:tc>
          <w:tcPr>
            <w:tcW w:w="6671" w:type="dxa"/>
            <w:tcBorders>
              <w:top w:val="single" w:color="auto" w:sz="4" w:space="0"/>
              <w:left w:val="nil"/>
              <w:bottom w:val="single" w:color="auto" w:sz="4" w:space="0"/>
              <w:right w:val="single" w:color="auto" w:sz="4" w:space="0"/>
            </w:tcBorders>
            <w:vAlign w:val="center"/>
          </w:tcPr>
          <w:p w14:paraId="3FBE3778">
            <w:pPr>
              <w:spacing w:line="320" w:lineRule="exact"/>
              <w:rPr>
                <w:color w:val="auto"/>
                <w:sz w:val="21"/>
                <w:szCs w:val="21"/>
                <w:highlight w:val="none"/>
              </w:rPr>
            </w:pPr>
            <w:r>
              <w:rPr>
                <w:color w:val="auto"/>
                <w:sz w:val="21"/>
                <w:szCs w:val="21"/>
                <w:highlight w:val="none"/>
              </w:rPr>
              <w:t>□</w:t>
            </w:r>
            <w:r>
              <w:rPr>
                <w:rFonts w:hint="eastAsia"/>
                <w:color w:val="auto"/>
                <w:sz w:val="21"/>
                <w:szCs w:val="21"/>
                <w:highlight w:val="none"/>
              </w:rPr>
              <w:t>不设最高限价</w:t>
            </w:r>
          </w:p>
          <w:p w14:paraId="0BB69624">
            <w:pPr>
              <w:spacing w:line="320" w:lineRule="exact"/>
              <w:rPr>
                <w:color w:val="auto"/>
                <w:sz w:val="21"/>
                <w:szCs w:val="21"/>
                <w:highlight w:val="none"/>
              </w:rPr>
            </w:pPr>
            <w:r>
              <w:rPr>
                <w:color w:val="auto"/>
                <w:sz w:val="21"/>
                <w:szCs w:val="21"/>
                <w:highlight w:val="none"/>
              </w:rPr>
              <w:t>√</w:t>
            </w:r>
            <w:r>
              <w:rPr>
                <w:rFonts w:hint="eastAsia"/>
                <w:color w:val="auto"/>
                <w:sz w:val="21"/>
                <w:szCs w:val="21"/>
                <w:highlight w:val="none"/>
              </w:rPr>
              <w:t>设最高限价</w:t>
            </w:r>
          </w:p>
          <w:p w14:paraId="0917C28B">
            <w:pPr>
              <w:rPr>
                <w:rFonts w:hint="eastAsia"/>
                <w:b/>
                <w:bCs/>
                <w:color w:val="auto"/>
                <w:highlight w:val="none"/>
                <w:lang w:eastAsia="zh-CN"/>
              </w:rPr>
            </w:pPr>
            <w:r>
              <w:rPr>
                <w:rFonts w:hint="eastAsia"/>
                <w:b/>
                <w:bCs/>
                <w:color w:val="auto"/>
                <w:highlight w:val="none"/>
                <w:lang w:eastAsia="zh-CN"/>
              </w:rPr>
              <w:t>本</w:t>
            </w:r>
            <w:r>
              <w:rPr>
                <w:rFonts w:hint="eastAsia"/>
                <w:b/>
                <w:bCs/>
                <w:color w:val="auto"/>
                <w:highlight w:val="none"/>
                <w:lang w:val="en-US" w:eastAsia="zh-CN"/>
              </w:rPr>
              <w:t>项目</w:t>
            </w:r>
            <w:r>
              <w:rPr>
                <w:rFonts w:hint="eastAsia"/>
                <w:b/>
                <w:bCs/>
                <w:color w:val="auto"/>
                <w:highlight w:val="none"/>
                <w:lang w:eastAsia="zh-CN"/>
              </w:rPr>
              <w:t>采用费率报价方式，投标人</w:t>
            </w:r>
            <w:r>
              <w:rPr>
                <w:rFonts w:hint="eastAsia"/>
                <w:b/>
                <w:bCs/>
                <w:color w:val="auto"/>
                <w:highlight w:val="none"/>
                <w:lang w:val="en-US" w:eastAsia="zh-CN"/>
              </w:rPr>
              <w:t>最高限价为100%</w:t>
            </w:r>
            <w:r>
              <w:rPr>
                <w:rFonts w:hint="eastAsia"/>
                <w:b/>
                <w:bCs/>
                <w:color w:val="auto"/>
                <w:highlight w:val="none"/>
                <w:lang w:eastAsia="zh-CN"/>
              </w:rPr>
              <w:t>，下浮一定比例进行自主报价</w:t>
            </w:r>
            <w:r>
              <w:rPr>
                <w:rFonts w:hint="eastAsia"/>
                <w:b/>
                <w:bCs/>
                <w:color w:val="auto"/>
                <w:highlight w:val="none"/>
              </w:rPr>
              <w:t>，</w:t>
            </w:r>
            <w:r>
              <w:rPr>
                <w:rFonts w:hint="eastAsia"/>
                <w:b/>
                <w:bCs/>
                <w:color w:val="auto"/>
                <w:highlight w:val="none"/>
                <w:lang w:val="en-US" w:eastAsia="zh-CN"/>
              </w:rPr>
              <w:t>不按要求填写报价、高于最高限价的视为不响应招标文件，按废标处理</w:t>
            </w:r>
            <w:r>
              <w:rPr>
                <w:rFonts w:hint="eastAsia"/>
                <w:b/>
                <w:bCs/>
                <w:color w:val="auto"/>
                <w:highlight w:val="none"/>
                <w:lang w:eastAsia="zh-CN"/>
              </w:rPr>
              <w:t>。（</w:t>
            </w:r>
            <w:r>
              <w:rPr>
                <w:rFonts w:hint="eastAsia"/>
                <w:b/>
                <w:bCs/>
                <w:color w:val="auto"/>
                <w:highlight w:val="none"/>
                <w:lang w:val="en-US" w:eastAsia="zh-CN"/>
              </w:rPr>
              <w:t>例如：下浮5%，投标报价应为95%</w:t>
            </w:r>
            <w:r>
              <w:rPr>
                <w:rFonts w:hint="eastAsia"/>
                <w:b/>
                <w:bCs/>
                <w:color w:val="auto"/>
                <w:highlight w:val="none"/>
                <w:lang w:eastAsia="zh-CN"/>
              </w:rPr>
              <w:t>）</w:t>
            </w:r>
          </w:p>
          <w:p w14:paraId="5C29B8C2">
            <w:pPr>
              <w:rPr>
                <w:rFonts w:hint="eastAsia" w:eastAsia="宋体" w:cs="Times New Roman"/>
                <w:b/>
                <w:bCs/>
                <w:color w:val="auto"/>
                <w:highlight w:val="none"/>
                <w:lang w:val="en-US" w:eastAsia="zh-CN"/>
              </w:rPr>
            </w:pPr>
            <w:r>
              <w:rPr>
                <w:rFonts w:hint="eastAsia"/>
                <w:b/>
                <w:bCs/>
                <w:color w:val="auto"/>
                <w:highlight w:val="none"/>
                <w:lang w:val="en-US" w:eastAsia="zh-CN"/>
              </w:rPr>
              <w:t>注：1、本项目预算金额：1800000.00元为服务期1年内供货的大概估</w:t>
            </w:r>
            <w:r>
              <w:rPr>
                <w:rFonts w:hint="eastAsia" w:eastAsia="宋体" w:cs="Times New Roman"/>
                <w:b/>
                <w:bCs/>
                <w:color w:val="auto"/>
                <w:highlight w:val="none"/>
                <w:lang w:val="en-US" w:eastAsia="zh-CN"/>
              </w:rPr>
              <w:t>算价，仅供投标人参考， 最终根据实际供货量及中标价据实结算。</w:t>
            </w:r>
          </w:p>
          <w:p w14:paraId="050F8F98">
            <w:pPr>
              <w:numPr>
                <w:ilvl w:val="0"/>
                <w:numId w:val="0"/>
              </w:numPr>
              <w:rPr>
                <w:rFonts w:hint="eastAsia" w:eastAsia="宋体" w:cs="Times New Roman"/>
                <w:b/>
                <w:bCs/>
                <w:color w:val="auto"/>
                <w:highlight w:val="none"/>
                <w:lang w:val="en-US" w:eastAsia="zh-CN"/>
              </w:rPr>
            </w:pPr>
            <w:r>
              <w:rPr>
                <w:rFonts w:hint="eastAsia" w:ascii="Calibri" w:hAnsi="Calibri" w:eastAsia="宋体" w:cs="Times New Roman"/>
                <w:b/>
                <w:bCs/>
                <w:color w:val="auto"/>
                <w:kern w:val="2"/>
                <w:sz w:val="21"/>
                <w:szCs w:val="21"/>
                <w:highlight w:val="none"/>
                <w:lang w:val="en-US" w:eastAsia="zh-CN" w:bidi="ar-SA"/>
              </w:rPr>
              <w:t>2、</w:t>
            </w:r>
            <w:r>
              <w:rPr>
                <w:rFonts w:hint="eastAsia" w:eastAsia="宋体" w:cs="Times New Roman"/>
                <w:b/>
                <w:bCs/>
                <w:color w:val="auto"/>
                <w:highlight w:val="none"/>
                <w:lang w:val="en-US" w:eastAsia="zh-CN"/>
              </w:rPr>
              <w:t>最终结算价=应收费用*中标价（例如投标报价为95%，表示应收费用为100元人民币的结算价，投标人愿意以95元的价格结算。）</w:t>
            </w:r>
          </w:p>
          <w:p w14:paraId="766805E4">
            <w:pPr>
              <w:widowControl w:val="0"/>
              <w:numPr>
                <w:ilvl w:val="0"/>
                <w:numId w:val="0"/>
              </w:numPr>
              <w:jc w:val="both"/>
              <w:rPr>
                <w:rFonts w:hint="eastAsia" w:eastAsia="宋体" w:cs="Times New Roman"/>
                <w:b/>
                <w:bCs/>
                <w:color w:val="auto"/>
                <w:highlight w:val="none"/>
                <w:lang w:val="en-US" w:eastAsia="zh-CN"/>
              </w:rPr>
            </w:pPr>
            <w:r>
              <w:rPr>
                <w:rFonts w:hint="eastAsia" w:eastAsia="宋体" w:cs="Times New Roman"/>
                <w:b/>
                <w:bCs/>
                <w:color w:val="auto"/>
                <w:highlight w:val="none"/>
                <w:lang w:val="en-US" w:eastAsia="zh-CN"/>
              </w:rPr>
              <w:t>3、按照采购人规定时间、品类、数量及其它要求，及时配送到指定地点。</w:t>
            </w:r>
          </w:p>
          <w:p w14:paraId="6D9E1D7F">
            <w:pPr>
              <w:widowControl w:val="0"/>
              <w:numPr>
                <w:ilvl w:val="0"/>
                <w:numId w:val="0"/>
              </w:numPr>
              <w:jc w:val="both"/>
              <w:rPr>
                <w:rFonts w:hint="eastAsia" w:eastAsia="宋体" w:cs="Times New Roman"/>
                <w:b/>
                <w:bCs/>
                <w:color w:val="auto"/>
                <w:highlight w:val="none"/>
                <w:lang w:val="en-US" w:eastAsia="zh-CN"/>
              </w:rPr>
            </w:pPr>
            <w:r>
              <w:rPr>
                <w:rFonts w:hint="eastAsia" w:eastAsia="宋体" w:cs="Times New Roman"/>
                <w:b/>
                <w:bCs/>
                <w:color w:val="auto"/>
                <w:highlight w:val="none"/>
                <w:lang w:val="en-US" w:eastAsia="zh-CN"/>
              </w:rPr>
              <w:t>4、投标人所报单价须是采购人认可后的价格，必要时，采购人有权进行市场询价，若投标人所报价格高于采购人价格，则按照采购人提供的价格结算。投标人若不按照采购人要求执行，则采购人有权取消其中标资格或解除合同，并追究其相关责任。</w:t>
            </w:r>
          </w:p>
          <w:p w14:paraId="3649B98E">
            <w:pPr>
              <w:widowControl w:val="0"/>
              <w:numPr>
                <w:ilvl w:val="0"/>
                <w:numId w:val="0"/>
              </w:numPr>
              <w:jc w:val="both"/>
              <w:rPr>
                <w:rFonts w:hint="default" w:eastAsia="宋体" w:cs="Times New Roman"/>
                <w:b/>
                <w:bCs/>
                <w:color w:val="auto"/>
                <w:highlight w:val="none"/>
                <w:lang w:val="en-US" w:eastAsia="zh-CN"/>
              </w:rPr>
            </w:pPr>
            <w:r>
              <w:rPr>
                <w:rFonts w:hint="eastAsia" w:eastAsia="宋体" w:cs="Times New Roman"/>
                <w:b/>
                <w:bCs/>
                <w:color w:val="auto"/>
                <w:highlight w:val="none"/>
                <w:lang w:val="en-US" w:eastAsia="zh-CN"/>
              </w:rPr>
              <w:t>5、采购人询价参考开封市不少于3家以上大型商超或不少于2家以上开封市大型批发市场的单价。</w:t>
            </w:r>
          </w:p>
        </w:tc>
      </w:tr>
      <w:tr w14:paraId="795DFFB3">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36343160">
            <w:pPr>
              <w:spacing w:line="396" w:lineRule="exact"/>
              <w:jc w:val="center"/>
              <w:rPr>
                <w:rFonts w:ascii="宋体"/>
                <w:color w:val="auto"/>
                <w:sz w:val="24"/>
                <w:szCs w:val="24"/>
                <w:highlight w:val="none"/>
              </w:rPr>
            </w:pPr>
            <w:r>
              <w:rPr>
                <w:rFonts w:hint="eastAsia" w:ascii="宋体" w:hAnsi="宋体"/>
                <w:color w:val="auto"/>
                <w:sz w:val="24"/>
                <w:szCs w:val="24"/>
                <w:highlight w:val="none"/>
              </w:rPr>
              <w:t>3.2.4</w:t>
            </w:r>
          </w:p>
        </w:tc>
        <w:tc>
          <w:tcPr>
            <w:tcW w:w="1980" w:type="dxa"/>
            <w:tcBorders>
              <w:top w:val="single" w:color="auto" w:sz="4" w:space="0"/>
              <w:left w:val="nil"/>
              <w:bottom w:val="single" w:color="auto" w:sz="4" w:space="0"/>
              <w:right w:val="single" w:color="auto" w:sz="4" w:space="0"/>
            </w:tcBorders>
            <w:vAlign w:val="center"/>
          </w:tcPr>
          <w:p w14:paraId="700D46C3">
            <w:pPr>
              <w:spacing w:line="400" w:lineRule="exact"/>
              <w:jc w:val="center"/>
              <w:rPr>
                <w:rFonts w:ascii="宋体"/>
                <w:color w:val="auto"/>
                <w:highlight w:val="none"/>
              </w:rPr>
            </w:pPr>
            <w:r>
              <w:rPr>
                <w:rFonts w:hint="eastAsia" w:ascii="宋体" w:hAnsi="宋体"/>
                <w:color w:val="auto"/>
                <w:highlight w:val="none"/>
              </w:rPr>
              <w:t>报价币种</w:t>
            </w:r>
          </w:p>
        </w:tc>
        <w:tc>
          <w:tcPr>
            <w:tcW w:w="6671" w:type="dxa"/>
            <w:tcBorders>
              <w:top w:val="single" w:color="auto" w:sz="4" w:space="0"/>
              <w:left w:val="nil"/>
              <w:bottom w:val="single" w:color="auto" w:sz="4" w:space="0"/>
              <w:right w:val="single" w:color="auto" w:sz="4" w:space="0"/>
            </w:tcBorders>
            <w:vAlign w:val="center"/>
          </w:tcPr>
          <w:p w14:paraId="03173527">
            <w:pPr>
              <w:spacing w:line="320" w:lineRule="exact"/>
              <w:rPr>
                <w:rFonts w:ascii="宋体"/>
                <w:color w:val="auto"/>
                <w:highlight w:val="none"/>
              </w:rPr>
            </w:pPr>
            <w:r>
              <w:rPr>
                <w:rFonts w:hint="eastAsia" w:ascii="宋体" w:hAnsi="宋体"/>
                <w:color w:val="auto"/>
                <w:highlight w:val="none"/>
              </w:rPr>
              <w:t>全部报价均应以人民币为计量货币，并以人民币进行结算。</w:t>
            </w:r>
          </w:p>
        </w:tc>
      </w:tr>
      <w:tr w14:paraId="020EC160">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22CBEB77">
            <w:pPr>
              <w:spacing w:line="396" w:lineRule="exact"/>
              <w:jc w:val="center"/>
              <w:rPr>
                <w:rFonts w:ascii="宋体"/>
                <w:color w:val="auto"/>
                <w:sz w:val="24"/>
                <w:szCs w:val="24"/>
                <w:highlight w:val="none"/>
              </w:rPr>
            </w:pPr>
            <w:r>
              <w:rPr>
                <w:rFonts w:hint="eastAsia" w:ascii="宋体" w:hAnsi="宋体"/>
                <w:color w:val="auto"/>
                <w:sz w:val="24"/>
                <w:szCs w:val="24"/>
                <w:highlight w:val="none"/>
              </w:rPr>
              <w:t>3.3.1</w:t>
            </w:r>
          </w:p>
        </w:tc>
        <w:tc>
          <w:tcPr>
            <w:tcW w:w="1980" w:type="dxa"/>
            <w:tcBorders>
              <w:top w:val="single" w:color="auto" w:sz="4" w:space="0"/>
              <w:left w:val="nil"/>
              <w:bottom w:val="single" w:color="auto" w:sz="4" w:space="0"/>
              <w:right w:val="single" w:color="auto" w:sz="4" w:space="0"/>
            </w:tcBorders>
            <w:vAlign w:val="center"/>
          </w:tcPr>
          <w:p w14:paraId="0EF906F3">
            <w:pPr>
              <w:spacing w:line="400" w:lineRule="exact"/>
              <w:jc w:val="center"/>
              <w:rPr>
                <w:rFonts w:ascii="宋体"/>
                <w:color w:val="auto"/>
                <w:highlight w:val="none"/>
              </w:rPr>
            </w:pPr>
            <w:r>
              <w:rPr>
                <w:rFonts w:hint="eastAsia" w:ascii="宋体" w:hAnsi="宋体"/>
                <w:color w:val="auto"/>
                <w:highlight w:val="none"/>
              </w:rPr>
              <w:t>投标有效期</w:t>
            </w:r>
          </w:p>
        </w:tc>
        <w:tc>
          <w:tcPr>
            <w:tcW w:w="6671" w:type="dxa"/>
            <w:tcBorders>
              <w:top w:val="single" w:color="auto" w:sz="4" w:space="0"/>
              <w:left w:val="nil"/>
              <w:bottom w:val="single" w:color="auto" w:sz="4" w:space="0"/>
              <w:right w:val="single" w:color="auto" w:sz="4" w:space="0"/>
            </w:tcBorders>
            <w:vAlign w:val="center"/>
          </w:tcPr>
          <w:p w14:paraId="02853C40">
            <w:pPr>
              <w:spacing w:line="320" w:lineRule="exact"/>
              <w:rPr>
                <w:rFonts w:ascii="宋体"/>
                <w:color w:val="auto"/>
                <w:highlight w:val="none"/>
              </w:rPr>
            </w:pPr>
            <w:r>
              <w:rPr>
                <w:rFonts w:hint="eastAsia" w:ascii="宋体" w:hAnsi="宋体"/>
                <w:color w:val="auto"/>
                <w:highlight w:val="none"/>
              </w:rPr>
              <w:t>自投标截止日起</w:t>
            </w:r>
            <w:r>
              <w:rPr>
                <w:rFonts w:hint="eastAsia" w:ascii="宋体" w:hAnsi="宋体"/>
                <w:color w:val="auto"/>
                <w:highlight w:val="none"/>
                <w:u w:val="single"/>
              </w:rPr>
              <w:t xml:space="preserve"> 90 </w:t>
            </w:r>
            <w:r>
              <w:rPr>
                <w:rFonts w:hint="eastAsia" w:ascii="宋体" w:hAnsi="宋体"/>
                <w:color w:val="auto"/>
                <w:highlight w:val="none"/>
              </w:rPr>
              <w:t>日历天</w:t>
            </w:r>
          </w:p>
        </w:tc>
      </w:tr>
      <w:tr w14:paraId="2A8B6D93">
        <w:tblPrEx>
          <w:tblCellMar>
            <w:top w:w="0" w:type="dxa"/>
            <w:left w:w="108" w:type="dxa"/>
            <w:bottom w:w="0" w:type="dxa"/>
            <w:right w:w="108" w:type="dxa"/>
          </w:tblCellMar>
        </w:tblPrEx>
        <w:trPr>
          <w:trHeight w:val="9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3546C8DC">
            <w:pPr>
              <w:spacing w:line="396" w:lineRule="exact"/>
              <w:jc w:val="center"/>
              <w:rPr>
                <w:rFonts w:ascii="宋体"/>
                <w:color w:val="auto"/>
                <w:sz w:val="24"/>
                <w:szCs w:val="24"/>
                <w:highlight w:val="none"/>
              </w:rPr>
            </w:pPr>
            <w:r>
              <w:rPr>
                <w:rFonts w:hint="eastAsia" w:ascii="宋体" w:hAnsi="宋体"/>
                <w:color w:val="auto"/>
                <w:sz w:val="24"/>
                <w:szCs w:val="24"/>
                <w:highlight w:val="none"/>
              </w:rPr>
              <w:t>3.4</w:t>
            </w:r>
          </w:p>
        </w:tc>
        <w:tc>
          <w:tcPr>
            <w:tcW w:w="1980" w:type="dxa"/>
            <w:tcBorders>
              <w:top w:val="single" w:color="auto" w:sz="4" w:space="0"/>
              <w:left w:val="nil"/>
              <w:bottom w:val="single" w:color="auto" w:sz="4" w:space="0"/>
              <w:right w:val="single" w:color="auto" w:sz="4" w:space="0"/>
            </w:tcBorders>
            <w:vAlign w:val="center"/>
          </w:tcPr>
          <w:p w14:paraId="17F2503F">
            <w:pPr>
              <w:spacing w:line="400" w:lineRule="exact"/>
              <w:jc w:val="center"/>
              <w:rPr>
                <w:rFonts w:ascii="宋体"/>
                <w:color w:val="auto"/>
                <w:highlight w:val="none"/>
              </w:rPr>
            </w:pPr>
            <w:r>
              <w:rPr>
                <w:rFonts w:hint="eastAsia" w:ascii="宋体" w:hAnsi="宋体"/>
                <w:color w:val="auto"/>
                <w:highlight w:val="none"/>
              </w:rPr>
              <w:t>投标保证金</w:t>
            </w:r>
          </w:p>
        </w:tc>
        <w:tc>
          <w:tcPr>
            <w:tcW w:w="6671" w:type="dxa"/>
            <w:tcBorders>
              <w:top w:val="single" w:color="auto" w:sz="4" w:space="0"/>
              <w:left w:val="nil"/>
              <w:bottom w:val="single" w:color="auto" w:sz="4" w:space="0"/>
              <w:right w:val="single" w:color="auto" w:sz="4" w:space="0"/>
            </w:tcBorders>
            <w:vAlign w:val="center"/>
          </w:tcPr>
          <w:p w14:paraId="792D328F">
            <w:pPr>
              <w:spacing w:line="380" w:lineRule="exact"/>
              <w:rPr>
                <w:color w:val="auto"/>
                <w:highlight w:val="none"/>
              </w:rPr>
            </w:pPr>
            <w:r>
              <w:rPr>
                <w:rFonts w:hint="eastAsia"/>
                <w:color w:val="auto"/>
                <w:highlight w:val="none"/>
              </w:rPr>
              <w:t>不收取</w:t>
            </w:r>
          </w:p>
        </w:tc>
      </w:tr>
      <w:tr w14:paraId="73D06018">
        <w:tblPrEx>
          <w:tblCellMar>
            <w:top w:w="0" w:type="dxa"/>
            <w:left w:w="108" w:type="dxa"/>
            <w:bottom w:w="0" w:type="dxa"/>
            <w:right w:w="108" w:type="dxa"/>
          </w:tblCellMar>
        </w:tblPrEx>
        <w:trPr>
          <w:trHeight w:val="487"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17967FB0">
            <w:pPr>
              <w:spacing w:line="396" w:lineRule="exact"/>
              <w:jc w:val="center"/>
              <w:rPr>
                <w:rFonts w:ascii="宋体"/>
                <w:color w:val="auto"/>
                <w:sz w:val="24"/>
                <w:szCs w:val="24"/>
                <w:highlight w:val="none"/>
              </w:rPr>
            </w:pPr>
            <w:r>
              <w:rPr>
                <w:rFonts w:hint="eastAsia" w:ascii="宋体" w:hAnsi="宋体"/>
                <w:color w:val="auto"/>
                <w:sz w:val="24"/>
                <w:szCs w:val="24"/>
                <w:highlight w:val="none"/>
              </w:rPr>
              <w:t>3.6.3</w:t>
            </w:r>
          </w:p>
        </w:tc>
        <w:tc>
          <w:tcPr>
            <w:tcW w:w="1980" w:type="dxa"/>
            <w:tcBorders>
              <w:top w:val="single" w:color="auto" w:sz="4" w:space="0"/>
              <w:left w:val="nil"/>
              <w:bottom w:val="single" w:color="auto" w:sz="4" w:space="0"/>
              <w:right w:val="single" w:color="auto" w:sz="4" w:space="0"/>
            </w:tcBorders>
            <w:vAlign w:val="center"/>
          </w:tcPr>
          <w:p w14:paraId="4DEB074E">
            <w:pPr>
              <w:spacing w:line="396" w:lineRule="exact"/>
              <w:jc w:val="center"/>
              <w:rPr>
                <w:rFonts w:ascii="宋体"/>
                <w:color w:val="auto"/>
                <w:highlight w:val="none"/>
              </w:rPr>
            </w:pPr>
            <w:r>
              <w:rPr>
                <w:rFonts w:hint="eastAsia" w:ascii="宋体" w:hAnsi="宋体"/>
                <w:color w:val="auto"/>
                <w:highlight w:val="none"/>
              </w:rPr>
              <w:t>签字、盖章要求</w:t>
            </w:r>
          </w:p>
        </w:tc>
        <w:tc>
          <w:tcPr>
            <w:tcW w:w="6671" w:type="dxa"/>
            <w:tcBorders>
              <w:top w:val="single" w:color="auto" w:sz="4" w:space="0"/>
              <w:left w:val="nil"/>
              <w:bottom w:val="single" w:color="auto" w:sz="4" w:space="0"/>
              <w:right w:val="single" w:color="auto" w:sz="4" w:space="0"/>
            </w:tcBorders>
            <w:vAlign w:val="center"/>
          </w:tcPr>
          <w:p w14:paraId="084A3DDB">
            <w:pPr>
              <w:spacing w:line="396" w:lineRule="exact"/>
              <w:rPr>
                <w:color w:val="auto"/>
                <w:highlight w:val="none"/>
              </w:rPr>
            </w:pPr>
            <w:r>
              <w:rPr>
                <w:rFonts w:hint="eastAsia"/>
                <w:color w:val="auto"/>
                <w:highlight w:val="none"/>
              </w:rPr>
              <w:t>电子投标文件中投标函、法定代表人资格证明及授权委托书等按投标文件格式要求个人电子签章、企业电子签章。</w:t>
            </w:r>
          </w:p>
        </w:tc>
      </w:tr>
      <w:tr w14:paraId="1BED3AA9">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625752C0">
            <w:pPr>
              <w:spacing w:line="396" w:lineRule="exact"/>
              <w:jc w:val="center"/>
              <w:rPr>
                <w:rFonts w:hint="eastAsia" w:ascii="宋体" w:hAnsi="宋体"/>
                <w:color w:val="auto"/>
                <w:sz w:val="24"/>
                <w:szCs w:val="24"/>
                <w:highlight w:val="none"/>
              </w:rPr>
            </w:pPr>
            <w:r>
              <w:rPr>
                <w:rFonts w:hint="eastAsia" w:ascii="宋体" w:hAnsi="宋体"/>
                <w:color w:val="auto"/>
                <w:sz w:val="24"/>
                <w:szCs w:val="24"/>
                <w:highlight w:val="none"/>
              </w:rPr>
              <w:t>3.6.4</w:t>
            </w:r>
          </w:p>
        </w:tc>
        <w:tc>
          <w:tcPr>
            <w:tcW w:w="1980" w:type="dxa"/>
            <w:tcBorders>
              <w:top w:val="single" w:color="auto" w:sz="4" w:space="0"/>
              <w:left w:val="nil"/>
              <w:bottom w:val="single" w:color="auto" w:sz="4" w:space="0"/>
              <w:right w:val="single" w:color="auto" w:sz="4" w:space="0"/>
            </w:tcBorders>
            <w:vAlign w:val="center"/>
          </w:tcPr>
          <w:p w14:paraId="3D095347">
            <w:pPr>
              <w:spacing w:line="396" w:lineRule="exact"/>
              <w:jc w:val="center"/>
              <w:rPr>
                <w:rFonts w:hint="eastAsia" w:ascii="宋体" w:hAnsi="宋体"/>
                <w:color w:val="auto"/>
                <w:highlight w:val="none"/>
              </w:rPr>
            </w:pPr>
            <w:r>
              <w:rPr>
                <w:rFonts w:hint="eastAsia" w:ascii="宋体" w:hAnsi="宋体"/>
                <w:color w:val="auto"/>
                <w:highlight w:val="none"/>
              </w:rPr>
              <w:t>投标文件份数</w:t>
            </w:r>
          </w:p>
        </w:tc>
        <w:tc>
          <w:tcPr>
            <w:tcW w:w="6671" w:type="dxa"/>
            <w:tcBorders>
              <w:top w:val="single" w:color="auto" w:sz="4" w:space="0"/>
              <w:left w:val="nil"/>
              <w:bottom w:val="single" w:color="auto" w:sz="4" w:space="0"/>
              <w:right w:val="single" w:color="auto" w:sz="4" w:space="0"/>
            </w:tcBorders>
            <w:vAlign w:val="center"/>
          </w:tcPr>
          <w:p w14:paraId="276A55F3">
            <w:pPr>
              <w:spacing w:line="396" w:lineRule="exact"/>
              <w:jc w:val="left"/>
              <w:rPr>
                <w:rFonts w:hint="eastAsia" w:ascii="宋体" w:hAnsi="宋体"/>
                <w:color w:val="auto"/>
                <w:highlight w:val="none"/>
              </w:rPr>
            </w:pPr>
            <w:r>
              <w:rPr>
                <w:rFonts w:hint="eastAsia" w:ascii="宋体" w:hAnsi="宋体"/>
                <w:color w:val="auto"/>
                <w:highlight w:val="none"/>
              </w:rPr>
              <w:t>本项目不再递交纸质投标文件和电子版U盘。</w:t>
            </w:r>
          </w:p>
        </w:tc>
      </w:tr>
      <w:tr w14:paraId="6FC10E0D">
        <w:tblPrEx>
          <w:tblCellMar>
            <w:top w:w="0" w:type="dxa"/>
            <w:left w:w="108" w:type="dxa"/>
            <w:bottom w:w="0" w:type="dxa"/>
            <w:right w:w="108" w:type="dxa"/>
          </w:tblCellMar>
        </w:tblPrEx>
        <w:trPr>
          <w:trHeight w:val="1193"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2FBC586B">
            <w:pPr>
              <w:spacing w:line="396" w:lineRule="exact"/>
              <w:jc w:val="center"/>
              <w:rPr>
                <w:rFonts w:ascii="宋体"/>
                <w:color w:val="auto"/>
                <w:sz w:val="24"/>
                <w:szCs w:val="24"/>
                <w:highlight w:val="none"/>
              </w:rPr>
            </w:pPr>
            <w:r>
              <w:rPr>
                <w:rFonts w:hint="eastAsia" w:ascii="宋体" w:hAnsi="宋体"/>
                <w:color w:val="auto"/>
                <w:sz w:val="24"/>
                <w:szCs w:val="24"/>
                <w:highlight w:val="none"/>
              </w:rPr>
              <w:t>4.2.2</w:t>
            </w:r>
          </w:p>
        </w:tc>
        <w:tc>
          <w:tcPr>
            <w:tcW w:w="1980" w:type="dxa"/>
            <w:tcBorders>
              <w:top w:val="single" w:color="auto" w:sz="4" w:space="0"/>
              <w:left w:val="nil"/>
              <w:bottom w:val="single" w:color="auto" w:sz="4" w:space="0"/>
              <w:right w:val="single" w:color="auto" w:sz="4" w:space="0"/>
            </w:tcBorders>
            <w:vAlign w:val="center"/>
          </w:tcPr>
          <w:p w14:paraId="57E0369B">
            <w:pPr>
              <w:spacing w:line="396" w:lineRule="exact"/>
              <w:jc w:val="center"/>
              <w:rPr>
                <w:rFonts w:ascii="宋体"/>
                <w:color w:val="auto"/>
                <w:highlight w:val="none"/>
              </w:rPr>
            </w:pPr>
            <w:r>
              <w:rPr>
                <w:rFonts w:hint="eastAsia" w:ascii="宋体" w:hAnsi="宋体"/>
                <w:color w:val="auto"/>
                <w:highlight w:val="none"/>
              </w:rPr>
              <w:t>递交投标文件地点及投标文件递交截止时间</w:t>
            </w:r>
          </w:p>
        </w:tc>
        <w:tc>
          <w:tcPr>
            <w:tcW w:w="6671" w:type="dxa"/>
            <w:tcBorders>
              <w:top w:val="single" w:color="auto" w:sz="4" w:space="0"/>
              <w:left w:val="nil"/>
              <w:bottom w:val="single" w:color="auto" w:sz="4" w:space="0"/>
              <w:right w:val="single" w:color="auto" w:sz="4" w:space="0"/>
            </w:tcBorders>
            <w:vAlign w:val="center"/>
          </w:tcPr>
          <w:p w14:paraId="5BD6F104">
            <w:pPr>
              <w:spacing w:line="396" w:lineRule="exact"/>
              <w:rPr>
                <w:rFonts w:hint="eastAsia" w:ascii="宋体" w:hAnsi="宋体"/>
                <w:color w:val="auto"/>
                <w:highlight w:val="none"/>
              </w:rPr>
            </w:pPr>
            <w:r>
              <w:rPr>
                <w:rFonts w:hint="eastAsia" w:ascii="宋体" w:hAnsi="宋体"/>
                <w:color w:val="auto"/>
                <w:highlight w:val="none"/>
              </w:rPr>
              <w:t>电子投标文件提交地点: 通过开封市公共资源交易网递交电子投标文件(超时拒收)</w:t>
            </w:r>
          </w:p>
          <w:p w14:paraId="12755C1D">
            <w:pPr>
              <w:spacing w:line="396" w:lineRule="exact"/>
              <w:rPr>
                <w:rFonts w:ascii="宋体"/>
                <w:color w:val="auto"/>
                <w:highlight w:val="none"/>
              </w:rPr>
            </w:pPr>
            <w:r>
              <w:rPr>
                <w:rFonts w:hint="eastAsia" w:ascii="宋体" w:hAnsi="宋体"/>
                <w:color w:val="auto"/>
                <w:highlight w:val="none"/>
              </w:rPr>
              <w:t xml:space="preserve">截止时间: </w:t>
            </w:r>
            <w:r>
              <w:rPr>
                <w:rFonts w:ascii="宋体" w:hAnsi="宋体"/>
                <w:bCs/>
                <w:color w:val="auto"/>
                <w:highlight w:val="none"/>
              </w:rPr>
              <w:t>202</w:t>
            </w:r>
            <w:r>
              <w:rPr>
                <w:rFonts w:hint="eastAsia" w:ascii="宋体" w:hAnsi="宋体"/>
                <w:bCs/>
                <w:color w:val="auto"/>
                <w:highlight w:val="none"/>
              </w:rPr>
              <w:t>6</w:t>
            </w:r>
            <w:r>
              <w:rPr>
                <w:rFonts w:ascii="宋体" w:hAnsi="宋体"/>
                <w:bCs/>
                <w:color w:val="auto"/>
                <w:highlight w:val="none"/>
              </w:rPr>
              <w:t>年</w:t>
            </w:r>
            <w:r>
              <w:rPr>
                <w:rFonts w:hint="eastAsia" w:ascii="宋体" w:hAnsi="宋体"/>
                <w:bCs/>
                <w:color w:val="auto"/>
                <w:highlight w:val="none"/>
                <w:lang w:val="en-US" w:eastAsia="zh-CN"/>
              </w:rPr>
              <w:t>10</w:t>
            </w:r>
            <w:r>
              <w:rPr>
                <w:rFonts w:ascii="宋体" w:hAnsi="宋体"/>
                <w:bCs/>
                <w:color w:val="auto"/>
                <w:highlight w:val="none"/>
              </w:rPr>
              <w:t>月</w:t>
            </w:r>
            <w:r>
              <w:rPr>
                <w:rFonts w:hint="eastAsia" w:ascii="宋体" w:hAnsi="宋体"/>
                <w:bCs/>
                <w:color w:val="auto"/>
                <w:highlight w:val="none"/>
                <w:lang w:val="en-US" w:eastAsia="zh-CN"/>
              </w:rPr>
              <w:t>21</w:t>
            </w:r>
            <w:r>
              <w:rPr>
                <w:rFonts w:ascii="宋体" w:hAnsi="宋体"/>
                <w:bCs/>
                <w:color w:val="auto"/>
                <w:highlight w:val="none"/>
              </w:rPr>
              <w:t>日9时2</w:t>
            </w:r>
            <w:r>
              <w:rPr>
                <w:rFonts w:hint="eastAsia" w:ascii="宋体" w:hAnsi="宋体"/>
                <w:bCs/>
                <w:color w:val="auto"/>
                <w:highlight w:val="none"/>
              </w:rPr>
              <w:t>0</w:t>
            </w:r>
            <w:r>
              <w:rPr>
                <w:rFonts w:ascii="宋体" w:hAnsi="宋体"/>
                <w:bCs/>
                <w:color w:val="auto"/>
                <w:highlight w:val="none"/>
              </w:rPr>
              <w:t>分</w:t>
            </w:r>
          </w:p>
        </w:tc>
      </w:tr>
      <w:tr w14:paraId="1427FFEA">
        <w:tblPrEx>
          <w:tblCellMar>
            <w:top w:w="0" w:type="dxa"/>
            <w:left w:w="108" w:type="dxa"/>
            <w:bottom w:w="0" w:type="dxa"/>
            <w:right w:w="108" w:type="dxa"/>
          </w:tblCellMar>
        </w:tblPrEx>
        <w:trPr>
          <w:trHeight w:val="88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7B96CED0">
            <w:pPr>
              <w:spacing w:line="396" w:lineRule="exact"/>
              <w:jc w:val="center"/>
              <w:rPr>
                <w:rFonts w:ascii="宋体"/>
                <w:b/>
                <w:bCs/>
                <w:color w:val="auto"/>
                <w:sz w:val="32"/>
                <w:szCs w:val="32"/>
                <w:highlight w:val="none"/>
              </w:rPr>
            </w:pPr>
            <w:r>
              <w:rPr>
                <w:rFonts w:hint="eastAsia" w:ascii="宋体" w:hAnsi="宋体"/>
                <w:color w:val="auto"/>
                <w:sz w:val="24"/>
                <w:szCs w:val="24"/>
                <w:highlight w:val="none"/>
              </w:rPr>
              <w:t>5.1</w:t>
            </w:r>
          </w:p>
        </w:tc>
        <w:tc>
          <w:tcPr>
            <w:tcW w:w="1980" w:type="dxa"/>
            <w:tcBorders>
              <w:top w:val="single" w:color="auto" w:sz="4" w:space="0"/>
              <w:left w:val="nil"/>
              <w:bottom w:val="single" w:color="auto" w:sz="4" w:space="0"/>
              <w:right w:val="single" w:color="auto" w:sz="4" w:space="0"/>
            </w:tcBorders>
            <w:vAlign w:val="center"/>
          </w:tcPr>
          <w:p w14:paraId="3E86C4C7">
            <w:pPr>
              <w:spacing w:line="420" w:lineRule="exact"/>
              <w:rPr>
                <w:rFonts w:ascii="宋体"/>
                <w:b/>
                <w:bCs/>
                <w:color w:val="auto"/>
                <w:highlight w:val="none"/>
              </w:rPr>
            </w:pPr>
            <w:r>
              <w:rPr>
                <w:rFonts w:hint="eastAsia" w:ascii="宋体" w:hAnsi="宋体"/>
                <w:color w:val="auto"/>
                <w:highlight w:val="none"/>
              </w:rPr>
              <w:t>开标时间及地点</w:t>
            </w:r>
          </w:p>
        </w:tc>
        <w:tc>
          <w:tcPr>
            <w:tcW w:w="6671" w:type="dxa"/>
            <w:tcBorders>
              <w:top w:val="single" w:color="auto" w:sz="4" w:space="0"/>
              <w:left w:val="nil"/>
              <w:bottom w:val="single" w:color="auto" w:sz="4" w:space="0"/>
              <w:right w:val="single" w:color="auto" w:sz="4" w:space="0"/>
            </w:tcBorders>
            <w:vAlign w:val="center"/>
          </w:tcPr>
          <w:p w14:paraId="78B5F248">
            <w:pPr>
              <w:spacing w:line="360" w:lineRule="atLeast"/>
              <w:ind w:right="267" w:rightChars="127"/>
              <w:rPr>
                <w:color w:val="auto"/>
                <w:highlight w:val="none"/>
              </w:rPr>
            </w:pPr>
            <w:r>
              <w:rPr>
                <w:rFonts w:hint="eastAsia"/>
                <w:color w:val="auto"/>
                <w:highlight w:val="none"/>
              </w:rPr>
              <w:t>开标时间：</w:t>
            </w:r>
            <w:r>
              <w:rPr>
                <w:rFonts w:ascii="宋体" w:hAnsi="宋体"/>
                <w:bCs/>
                <w:color w:val="auto"/>
                <w:highlight w:val="none"/>
              </w:rPr>
              <w:t>202</w:t>
            </w:r>
            <w:r>
              <w:rPr>
                <w:rFonts w:hint="eastAsia" w:ascii="宋体" w:hAnsi="宋体"/>
                <w:bCs/>
                <w:color w:val="auto"/>
                <w:highlight w:val="none"/>
              </w:rPr>
              <w:t>6</w:t>
            </w:r>
            <w:r>
              <w:rPr>
                <w:rFonts w:ascii="宋体" w:hAnsi="宋体"/>
                <w:bCs/>
                <w:color w:val="auto"/>
                <w:highlight w:val="none"/>
              </w:rPr>
              <w:t>年</w:t>
            </w:r>
            <w:r>
              <w:rPr>
                <w:rFonts w:hint="eastAsia" w:ascii="宋体" w:hAnsi="宋体"/>
                <w:bCs/>
                <w:color w:val="auto"/>
                <w:highlight w:val="none"/>
                <w:lang w:val="en-US" w:eastAsia="zh-CN"/>
              </w:rPr>
              <w:t>10</w:t>
            </w:r>
            <w:r>
              <w:rPr>
                <w:rFonts w:ascii="宋体" w:hAnsi="宋体"/>
                <w:bCs/>
                <w:color w:val="auto"/>
                <w:highlight w:val="none"/>
              </w:rPr>
              <w:t>月</w:t>
            </w:r>
            <w:r>
              <w:rPr>
                <w:rFonts w:hint="eastAsia" w:ascii="宋体" w:hAnsi="宋体"/>
                <w:bCs/>
                <w:color w:val="auto"/>
                <w:highlight w:val="none"/>
              </w:rPr>
              <w:t xml:space="preserve"> </w:t>
            </w:r>
            <w:r>
              <w:rPr>
                <w:rFonts w:hint="eastAsia" w:ascii="宋体" w:hAnsi="宋体"/>
                <w:bCs/>
                <w:color w:val="auto"/>
                <w:highlight w:val="none"/>
                <w:lang w:val="en-US" w:eastAsia="zh-CN"/>
              </w:rPr>
              <w:t>21</w:t>
            </w:r>
            <w:r>
              <w:rPr>
                <w:rFonts w:ascii="宋体" w:hAnsi="宋体"/>
                <w:bCs/>
                <w:color w:val="auto"/>
                <w:highlight w:val="none"/>
              </w:rPr>
              <w:t>日9时2</w:t>
            </w:r>
            <w:r>
              <w:rPr>
                <w:rFonts w:hint="eastAsia" w:ascii="宋体" w:hAnsi="宋体"/>
                <w:bCs/>
                <w:color w:val="auto"/>
                <w:highlight w:val="none"/>
              </w:rPr>
              <w:t>0</w:t>
            </w:r>
            <w:r>
              <w:rPr>
                <w:rFonts w:ascii="宋体" w:hAnsi="宋体"/>
                <w:bCs/>
                <w:color w:val="auto"/>
                <w:highlight w:val="none"/>
              </w:rPr>
              <w:t>分</w:t>
            </w:r>
          </w:p>
          <w:p w14:paraId="6DABDD58">
            <w:pPr>
              <w:spacing w:line="420" w:lineRule="exact"/>
              <w:rPr>
                <w:rFonts w:ascii="宋体"/>
                <w:b/>
                <w:bCs/>
                <w:color w:val="auto"/>
                <w:highlight w:val="none"/>
              </w:rPr>
            </w:pPr>
            <w:r>
              <w:rPr>
                <w:rFonts w:hint="eastAsia"/>
                <w:color w:val="auto"/>
                <w:highlight w:val="none"/>
              </w:rPr>
              <w:t>地点：</w:t>
            </w:r>
            <w:r>
              <w:rPr>
                <w:rFonts w:hint="eastAsia" w:ascii="宋体" w:hAnsi="宋体"/>
                <w:color w:val="auto"/>
                <w:highlight w:val="none"/>
                <w:shd w:val="clear" w:color="auto" w:fill="FFFFFF"/>
              </w:rPr>
              <w:t xml:space="preserve">本项目采用“远程不见面”开标方式,供应商无需到现场提交原件资料、无需到开封市公共资源交易中心现场参加开标会议；供应商应当在投标截止时间前,登录远程开标大厅,在线准时参加开标活动并进行投标文件的解密、答疑澄清等。（系统解密时长默认为40分钟，错过解密时长者视为自动放弃本次投标。） </w:t>
            </w:r>
          </w:p>
        </w:tc>
      </w:tr>
      <w:tr w14:paraId="0617A39E">
        <w:tblPrEx>
          <w:tblCellMar>
            <w:top w:w="0" w:type="dxa"/>
            <w:left w:w="108" w:type="dxa"/>
            <w:bottom w:w="0" w:type="dxa"/>
            <w:right w:w="108" w:type="dxa"/>
          </w:tblCellMar>
        </w:tblPrEx>
        <w:trPr>
          <w:trHeight w:val="381"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7B6C97BF">
            <w:pPr>
              <w:spacing w:line="396" w:lineRule="exact"/>
              <w:jc w:val="center"/>
              <w:rPr>
                <w:rFonts w:ascii="宋体"/>
                <w:color w:val="auto"/>
                <w:sz w:val="32"/>
                <w:szCs w:val="32"/>
                <w:highlight w:val="none"/>
              </w:rPr>
            </w:pPr>
            <w:r>
              <w:rPr>
                <w:rFonts w:hint="eastAsia" w:ascii="宋体" w:hAnsi="宋体"/>
                <w:color w:val="auto"/>
                <w:sz w:val="24"/>
                <w:szCs w:val="24"/>
                <w:highlight w:val="none"/>
              </w:rPr>
              <w:t>5.2</w:t>
            </w:r>
          </w:p>
        </w:tc>
        <w:tc>
          <w:tcPr>
            <w:tcW w:w="1980" w:type="dxa"/>
            <w:tcBorders>
              <w:top w:val="single" w:color="auto" w:sz="4" w:space="0"/>
              <w:left w:val="nil"/>
              <w:bottom w:val="single" w:color="auto" w:sz="4" w:space="0"/>
              <w:right w:val="single" w:color="auto" w:sz="4" w:space="0"/>
            </w:tcBorders>
            <w:vAlign w:val="center"/>
          </w:tcPr>
          <w:p w14:paraId="37798EB9">
            <w:pPr>
              <w:spacing w:line="396" w:lineRule="exact"/>
              <w:jc w:val="center"/>
              <w:rPr>
                <w:rFonts w:ascii="宋体"/>
                <w:color w:val="auto"/>
                <w:highlight w:val="none"/>
              </w:rPr>
            </w:pPr>
            <w:r>
              <w:rPr>
                <w:rFonts w:hint="eastAsia" w:ascii="宋体" w:hAnsi="宋体"/>
                <w:color w:val="auto"/>
                <w:highlight w:val="none"/>
              </w:rPr>
              <w:t>开标程序</w:t>
            </w:r>
          </w:p>
        </w:tc>
        <w:tc>
          <w:tcPr>
            <w:tcW w:w="6671" w:type="dxa"/>
            <w:tcBorders>
              <w:top w:val="single" w:color="auto" w:sz="4" w:space="0"/>
              <w:left w:val="nil"/>
              <w:bottom w:val="single" w:color="auto" w:sz="4" w:space="0"/>
              <w:right w:val="single" w:color="auto" w:sz="4" w:space="0"/>
            </w:tcBorders>
            <w:vAlign w:val="center"/>
          </w:tcPr>
          <w:p w14:paraId="605B74C1">
            <w:pPr>
              <w:spacing w:line="420" w:lineRule="exact"/>
              <w:rPr>
                <w:rFonts w:hint="eastAsia" w:ascii="宋体" w:hAnsi="宋体"/>
                <w:color w:val="auto"/>
                <w:highlight w:val="none"/>
                <w:shd w:val="clear" w:color="auto" w:fill="FFFFFF"/>
              </w:rPr>
            </w:pPr>
            <w:r>
              <w:rPr>
                <w:rFonts w:hint="eastAsia" w:ascii="宋体" w:hAnsi="宋体"/>
                <w:color w:val="auto"/>
                <w:highlight w:val="none"/>
                <w:shd w:val="clear" w:color="auto" w:fill="FFFFFF"/>
              </w:rPr>
              <w:t>1、本项目采用“远程不见面” 开标方式,投标人无需到开封市公共资源交易中心现场参加开标会议。投标人应当在招标文件确定的投标截止时间前，登录远程开标大厅,在线准时参加开标活动并进行投标文件解密、 答疑澄清等 。</w:t>
            </w:r>
          </w:p>
          <w:p w14:paraId="3F30B00C">
            <w:pPr>
              <w:spacing w:line="420" w:lineRule="exact"/>
              <w:rPr>
                <w:rFonts w:hint="eastAsia" w:ascii="宋体" w:hAnsi="宋体"/>
                <w:color w:val="auto"/>
                <w:highlight w:val="none"/>
                <w:shd w:val="clear" w:color="auto" w:fill="FFFFFF"/>
              </w:rPr>
            </w:pPr>
            <w:r>
              <w:rPr>
                <w:rFonts w:hint="eastAsia" w:ascii="宋体" w:hAnsi="宋体"/>
                <w:color w:val="auto"/>
                <w:highlight w:val="none"/>
                <w:shd w:val="clear" w:color="auto" w:fill="FFFFFF"/>
              </w:rPr>
              <w:t>2、投标人代表不到开标现场，应在投标文件上传截止时间前使用CA密钥对其电子投标文件完成远程解密，否则，投标人自行承担其投标文件不能开标的责任。（系统解密时长默认为40分钟，错过解密时长者视为自动放弃本次投标。）</w:t>
            </w:r>
          </w:p>
          <w:p w14:paraId="7F69E9DD">
            <w:pPr>
              <w:spacing w:line="400" w:lineRule="exact"/>
              <w:rPr>
                <w:rFonts w:ascii="宋体"/>
                <w:color w:val="auto"/>
                <w:highlight w:val="none"/>
              </w:rPr>
            </w:pPr>
            <w:r>
              <w:rPr>
                <w:rFonts w:hint="eastAsia" w:ascii="宋体" w:hAnsi="宋体"/>
                <w:color w:val="auto"/>
                <w:highlight w:val="none"/>
                <w:shd w:val="clear" w:color="auto" w:fill="FFFFFF"/>
              </w:rPr>
              <w:t>3、因投标人原因造成投标文件未解密的，视为撤销其投标文件。部分投标人的投标文件未解密的，其他投标人的投标文件的开标会议可以继续进行。一个标段解密的投标文件不足三家时该标段不再继续进行。</w:t>
            </w:r>
            <w:r>
              <w:rPr>
                <w:rFonts w:hint="eastAsia" w:ascii="宋体" w:hAnsi="宋体"/>
                <w:color w:val="auto"/>
                <w:highlight w:val="none"/>
                <w:shd w:val="clear" w:color="auto" w:fill="FFFFFF"/>
              </w:rPr>
              <w:br w:type="textWrapping"/>
            </w:r>
            <w:r>
              <w:rPr>
                <w:rFonts w:hint="eastAsia" w:ascii="宋体" w:hAnsi="宋体"/>
                <w:color w:val="auto"/>
                <w:highlight w:val="none"/>
                <w:shd w:val="clear" w:color="auto" w:fill="FFFFFF"/>
              </w:rPr>
              <w:t>4、开标程序：</w:t>
            </w:r>
            <w:r>
              <w:rPr>
                <w:rFonts w:hint="eastAsia" w:ascii="宋体" w:hAnsi="宋体"/>
                <w:color w:val="auto"/>
                <w:highlight w:val="none"/>
                <w:shd w:val="clear" w:color="auto" w:fill="FFFFFF"/>
              </w:rPr>
              <w:br w:type="textWrapping"/>
            </w:r>
            <w:r>
              <w:rPr>
                <w:rFonts w:hint="eastAsia" w:ascii="宋体" w:hAnsi="宋体"/>
                <w:color w:val="auto"/>
                <w:highlight w:val="none"/>
                <w:shd w:val="clear" w:color="auto" w:fill="FFFFFF"/>
              </w:rPr>
              <w:t xml:space="preserve">  4.1、 主持人点击“开标” ， 解密开始倒计时。</w:t>
            </w:r>
            <w:r>
              <w:rPr>
                <w:rFonts w:hint="eastAsia" w:ascii="宋体" w:hAnsi="宋体"/>
                <w:color w:val="auto"/>
                <w:highlight w:val="none"/>
                <w:shd w:val="clear" w:color="auto" w:fill="FFFFFF"/>
              </w:rPr>
              <w:br w:type="textWrapping"/>
            </w:r>
            <w:r>
              <w:rPr>
                <w:rFonts w:hint="eastAsia" w:ascii="宋体" w:hAnsi="宋体"/>
                <w:color w:val="auto"/>
                <w:highlight w:val="none"/>
                <w:shd w:val="clear" w:color="auto" w:fill="FFFFFF"/>
              </w:rPr>
              <w:t xml:space="preserve">  4.2、 投标人对所上传加密的投标文件在规定时间内进行解密。</w:t>
            </w:r>
            <w:r>
              <w:rPr>
                <w:rFonts w:hint="eastAsia" w:ascii="宋体" w:hAnsi="宋体"/>
                <w:color w:val="auto"/>
                <w:highlight w:val="none"/>
                <w:shd w:val="clear" w:color="auto" w:fill="FFFFFF"/>
              </w:rPr>
              <w:br w:type="textWrapping"/>
            </w:r>
            <w:r>
              <w:rPr>
                <w:rFonts w:hint="eastAsia" w:ascii="宋体" w:hAnsi="宋体"/>
                <w:color w:val="auto"/>
                <w:highlight w:val="none"/>
                <w:shd w:val="clear" w:color="auto" w:fill="FFFFFF"/>
              </w:rPr>
              <w:t xml:space="preserve">  4.3、 解密时间结束后 5 分钟为质疑时间,投标人可对开标会议提出质疑，无投标人提出质疑视为对开标会议无异议，开标结束。由采购人或者采购代理机构应当依法对供应商的资格进行审查。</w:t>
            </w:r>
          </w:p>
        </w:tc>
      </w:tr>
      <w:tr w14:paraId="749A22C2">
        <w:tblPrEx>
          <w:tblCellMar>
            <w:top w:w="0" w:type="dxa"/>
            <w:left w:w="108" w:type="dxa"/>
            <w:bottom w:w="0" w:type="dxa"/>
            <w:right w:w="108" w:type="dxa"/>
          </w:tblCellMar>
        </w:tblPrEx>
        <w:trPr>
          <w:trHeight w:val="887"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1D22F6A5">
            <w:pPr>
              <w:spacing w:line="396" w:lineRule="exact"/>
              <w:jc w:val="center"/>
              <w:rPr>
                <w:rFonts w:ascii="宋体"/>
                <w:color w:val="auto"/>
                <w:sz w:val="24"/>
                <w:szCs w:val="24"/>
                <w:highlight w:val="none"/>
              </w:rPr>
            </w:pPr>
            <w:r>
              <w:rPr>
                <w:rFonts w:hint="eastAsia" w:ascii="宋体" w:hAnsi="宋体"/>
                <w:color w:val="auto"/>
                <w:sz w:val="24"/>
                <w:szCs w:val="24"/>
                <w:highlight w:val="none"/>
              </w:rPr>
              <w:t>6.1.1</w:t>
            </w:r>
          </w:p>
        </w:tc>
        <w:tc>
          <w:tcPr>
            <w:tcW w:w="1980" w:type="dxa"/>
            <w:tcBorders>
              <w:top w:val="single" w:color="auto" w:sz="4" w:space="0"/>
              <w:left w:val="nil"/>
              <w:bottom w:val="single" w:color="auto" w:sz="4" w:space="0"/>
              <w:right w:val="single" w:color="auto" w:sz="4" w:space="0"/>
            </w:tcBorders>
            <w:vAlign w:val="center"/>
          </w:tcPr>
          <w:p w14:paraId="06171BC9">
            <w:pPr>
              <w:spacing w:line="396" w:lineRule="exact"/>
              <w:jc w:val="center"/>
              <w:rPr>
                <w:rFonts w:ascii="宋体"/>
                <w:color w:val="auto"/>
                <w:highlight w:val="none"/>
              </w:rPr>
            </w:pPr>
            <w:r>
              <w:rPr>
                <w:rFonts w:hint="eastAsia" w:ascii="宋体" w:hAnsi="宋体"/>
                <w:color w:val="auto"/>
                <w:highlight w:val="none"/>
              </w:rPr>
              <w:t>评标委员会的</w:t>
            </w:r>
          </w:p>
          <w:p w14:paraId="695CBBD2">
            <w:pPr>
              <w:spacing w:line="396" w:lineRule="exact"/>
              <w:jc w:val="center"/>
              <w:rPr>
                <w:rFonts w:ascii="宋体"/>
                <w:color w:val="auto"/>
                <w:highlight w:val="none"/>
              </w:rPr>
            </w:pPr>
            <w:r>
              <w:rPr>
                <w:rFonts w:hint="eastAsia" w:ascii="宋体" w:hAnsi="宋体"/>
                <w:color w:val="auto"/>
                <w:highlight w:val="none"/>
              </w:rPr>
              <w:t>组建</w:t>
            </w:r>
          </w:p>
        </w:tc>
        <w:tc>
          <w:tcPr>
            <w:tcW w:w="6671" w:type="dxa"/>
            <w:tcBorders>
              <w:top w:val="single" w:color="auto" w:sz="4" w:space="0"/>
              <w:left w:val="nil"/>
              <w:bottom w:val="single" w:color="auto" w:sz="4" w:space="0"/>
              <w:right w:val="single" w:color="auto" w:sz="4" w:space="0"/>
            </w:tcBorders>
            <w:vAlign w:val="center"/>
          </w:tcPr>
          <w:p w14:paraId="0388A34C">
            <w:pPr>
              <w:spacing w:line="396" w:lineRule="exact"/>
              <w:rPr>
                <w:rFonts w:ascii="宋体"/>
                <w:color w:val="auto"/>
                <w:highlight w:val="none"/>
              </w:rPr>
            </w:pPr>
            <w:r>
              <w:rPr>
                <w:rFonts w:hint="eastAsia" w:ascii="宋体" w:hAnsi="宋体"/>
                <w:color w:val="auto"/>
                <w:highlight w:val="none"/>
              </w:rPr>
              <w:t>评标委员会构成:5人，其中采购人代表1人,经济、技术专家4人组成；</w:t>
            </w:r>
            <w:r>
              <w:rPr>
                <w:rFonts w:hint="eastAsia" w:ascii="宋体" w:hAnsi="宋体"/>
                <w:color w:val="auto"/>
                <w:kern w:val="0"/>
                <w:highlight w:val="none"/>
              </w:rPr>
              <w:t>评标专家确定方式：从省级相关专家库中随机抽取。</w:t>
            </w:r>
          </w:p>
        </w:tc>
      </w:tr>
      <w:tr w14:paraId="7E8E3917">
        <w:tblPrEx>
          <w:tblCellMar>
            <w:top w:w="0" w:type="dxa"/>
            <w:left w:w="108" w:type="dxa"/>
            <w:bottom w:w="0" w:type="dxa"/>
            <w:right w:w="108" w:type="dxa"/>
          </w:tblCellMar>
        </w:tblPrEx>
        <w:trPr>
          <w:trHeight w:val="2298"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188299EB">
            <w:pPr>
              <w:spacing w:line="396" w:lineRule="exact"/>
              <w:jc w:val="center"/>
              <w:rPr>
                <w:rFonts w:ascii="宋体"/>
                <w:color w:val="auto"/>
                <w:sz w:val="24"/>
                <w:szCs w:val="24"/>
                <w:highlight w:val="none"/>
              </w:rPr>
            </w:pPr>
            <w:r>
              <w:rPr>
                <w:rFonts w:hint="eastAsia" w:ascii="宋体" w:hAnsi="宋体"/>
                <w:color w:val="auto"/>
                <w:sz w:val="24"/>
                <w:szCs w:val="24"/>
                <w:highlight w:val="none"/>
              </w:rPr>
              <w:t>7.1</w:t>
            </w:r>
          </w:p>
        </w:tc>
        <w:tc>
          <w:tcPr>
            <w:tcW w:w="1980" w:type="dxa"/>
            <w:tcBorders>
              <w:top w:val="single" w:color="auto" w:sz="4" w:space="0"/>
              <w:left w:val="nil"/>
              <w:bottom w:val="single" w:color="auto" w:sz="4" w:space="0"/>
              <w:right w:val="single" w:color="auto" w:sz="4" w:space="0"/>
            </w:tcBorders>
            <w:vAlign w:val="center"/>
          </w:tcPr>
          <w:p w14:paraId="4CB8706A">
            <w:pPr>
              <w:spacing w:line="396" w:lineRule="exact"/>
              <w:jc w:val="center"/>
              <w:rPr>
                <w:rFonts w:ascii="宋体"/>
                <w:color w:val="auto"/>
                <w:highlight w:val="none"/>
              </w:rPr>
            </w:pPr>
            <w:r>
              <w:rPr>
                <w:rFonts w:hint="eastAsia" w:ascii="宋体" w:hAnsi="宋体"/>
                <w:color w:val="auto"/>
                <w:highlight w:val="none"/>
              </w:rPr>
              <w:t>是否授权评标委员会确定成交人</w:t>
            </w:r>
          </w:p>
        </w:tc>
        <w:tc>
          <w:tcPr>
            <w:tcW w:w="6671" w:type="dxa"/>
            <w:tcBorders>
              <w:top w:val="single" w:color="auto" w:sz="4" w:space="0"/>
              <w:left w:val="nil"/>
              <w:bottom w:val="single" w:color="auto" w:sz="4" w:space="0"/>
              <w:right w:val="single" w:color="auto" w:sz="4" w:space="0"/>
            </w:tcBorders>
            <w:vAlign w:val="center"/>
          </w:tcPr>
          <w:p w14:paraId="79799251">
            <w:pPr>
              <w:adjustRightInd w:val="0"/>
              <w:spacing w:line="396" w:lineRule="exact"/>
              <w:textAlignment w:val="baseline"/>
              <w:rPr>
                <w:color w:val="auto"/>
                <w:highlight w:val="none"/>
              </w:rPr>
            </w:pPr>
            <w:r>
              <w:rPr>
                <w:rFonts w:hint="eastAsia"/>
                <w:color w:val="auto"/>
                <w:highlight w:val="none"/>
              </w:rPr>
              <w:t>□是</w:t>
            </w:r>
          </w:p>
          <w:p w14:paraId="673BD970">
            <w:pPr>
              <w:spacing w:line="396" w:lineRule="exact"/>
              <w:rPr>
                <w:color w:val="auto"/>
                <w:highlight w:val="none"/>
              </w:rPr>
            </w:pPr>
            <w:r>
              <w:rPr>
                <w:rFonts w:hint="eastAsia"/>
                <w:color w:val="auto"/>
                <w:highlight w:val="none"/>
              </w:rPr>
              <w:sym w:font="Wingdings" w:char="00FE"/>
            </w:r>
            <w:r>
              <w:rPr>
                <w:rFonts w:hint="eastAsia"/>
                <w:color w:val="auto"/>
                <w:highlight w:val="none"/>
              </w:rPr>
              <w:t>否，推荐的成交候选人数：</w:t>
            </w:r>
            <w:r>
              <w:rPr>
                <w:color w:val="auto"/>
                <w:highlight w:val="none"/>
              </w:rPr>
              <w:t xml:space="preserve"> 3 </w:t>
            </w:r>
            <w:r>
              <w:rPr>
                <w:rFonts w:hint="eastAsia"/>
                <w:color w:val="auto"/>
                <w:highlight w:val="none"/>
              </w:rPr>
              <w:t>名</w:t>
            </w:r>
          </w:p>
          <w:p w14:paraId="099C5CA6">
            <w:pPr>
              <w:pStyle w:val="34"/>
              <w:rPr>
                <w:rFonts w:cs="Times New Roman"/>
                <w:color w:val="auto"/>
                <w:sz w:val="21"/>
                <w:szCs w:val="21"/>
                <w:highlight w:val="none"/>
              </w:rPr>
            </w:pPr>
            <w:r>
              <w:rPr>
                <w:rFonts w:hint="eastAsia" w:cs="Times New Roman"/>
                <w:color w:val="auto"/>
                <w:sz w:val="21"/>
                <w:szCs w:val="21"/>
                <w:highlight w:val="none"/>
              </w:rPr>
              <w:t>采购人应当确定排名第一的成交候选人为成交人。排名第一的成交候选人放弃中标、因不可抗力不能履行合同，或者被查实存在影响中标结果的违法行为等情形，不符合中标条件的，采购人可以按照评标委员会提出的成交候选人名单排序依次确定其他成交候选人为成交人。其他成交候选人被发现存在前款情形的，采购人应重新招标。</w:t>
            </w:r>
          </w:p>
        </w:tc>
      </w:tr>
      <w:tr w14:paraId="1B72F0D2">
        <w:tblPrEx>
          <w:tblCellMar>
            <w:top w:w="0" w:type="dxa"/>
            <w:left w:w="108" w:type="dxa"/>
            <w:bottom w:w="0" w:type="dxa"/>
            <w:right w:w="108" w:type="dxa"/>
          </w:tblCellMar>
        </w:tblPrEx>
        <w:trPr>
          <w:trHeight w:val="88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7A919E9C">
            <w:pPr>
              <w:spacing w:line="396" w:lineRule="exact"/>
              <w:jc w:val="center"/>
              <w:rPr>
                <w:rFonts w:ascii="宋体"/>
                <w:color w:val="auto"/>
                <w:sz w:val="24"/>
                <w:szCs w:val="24"/>
                <w:highlight w:val="none"/>
              </w:rPr>
            </w:pPr>
            <w:r>
              <w:rPr>
                <w:rFonts w:hint="eastAsia" w:ascii="宋体" w:hAnsi="宋体"/>
                <w:color w:val="auto"/>
                <w:sz w:val="24"/>
                <w:szCs w:val="24"/>
                <w:highlight w:val="none"/>
              </w:rPr>
              <w:t>7.2</w:t>
            </w:r>
          </w:p>
        </w:tc>
        <w:tc>
          <w:tcPr>
            <w:tcW w:w="1980" w:type="dxa"/>
            <w:tcBorders>
              <w:top w:val="single" w:color="auto" w:sz="4" w:space="0"/>
              <w:left w:val="single" w:color="auto" w:sz="4" w:space="0"/>
              <w:bottom w:val="single" w:color="auto" w:sz="4" w:space="0"/>
              <w:right w:val="single" w:color="auto" w:sz="4" w:space="0"/>
            </w:tcBorders>
            <w:vAlign w:val="center"/>
          </w:tcPr>
          <w:p w14:paraId="4E8C09FE">
            <w:pPr>
              <w:spacing w:line="396" w:lineRule="exact"/>
              <w:jc w:val="center"/>
              <w:rPr>
                <w:rFonts w:ascii="宋体"/>
                <w:color w:val="auto"/>
                <w:highlight w:val="none"/>
              </w:rPr>
            </w:pPr>
            <w:r>
              <w:rPr>
                <w:rFonts w:hint="eastAsia" w:ascii="宋体" w:hAnsi="宋体"/>
                <w:color w:val="auto"/>
                <w:highlight w:val="none"/>
                <w:lang w:val="en-US" w:eastAsia="zh-CN"/>
              </w:rPr>
              <w:t>中标</w:t>
            </w:r>
            <w:r>
              <w:rPr>
                <w:rFonts w:hint="eastAsia" w:ascii="宋体" w:hAnsi="宋体"/>
                <w:color w:val="auto"/>
                <w:highlight w:val="none"/>
              </w:rPr>
              <w:t>人公布媒介</w:t>
            </w:r>
          </w:p>
        </w:tc>
        <w:tc>
          <w:tcPr>
            <w:tcW w:w="6671" w:type="dxa"/>
            <w:tcBorders>
              <w:top w:val="single" w:color="auto" w:sz="4" w:space="0"/>
              <w:left w:val="single" w:color="auto" w:sz="4" w:space="0"/>
              <w:bottom w:val="single" w:color="auto" w:sz="4" w:space="0"/>
              <w:right w:val="single" w:color="auto" w:sz="4" w:space="0"/>
            </w:tcBorders>
            <w:vAlign w:val="center"/>
          </w:tcPr>
          <w:p w14:paraId="413B7FA0">
            <w:pPr>
              <w:rPr>
                <w:rFonts w:ascii="宋体"/>
                <w:color w:val="auto"/>
                <w:highlight w:val="none"/>
              </w:rPr>
            </w:pPr>
            <w:r>
              <w:rPr>
                <w:rFonts w:hint="eastAsia"/>
                <w:color w:val="auto"/>
                <w:highlight w:val="none"/>
              </w:rPr>
              <w:t>《中国招标投标公共服务平台》</w:t>
            </w:r>
            <w:r>
              <w:rPr>
                <w:rFonts w:hint="eastAsia" w:ascii="宋体" w:hAnsi="宋体"/>
                <w:bCs/>
                <w:color w:val="auto"/>
                <w:highlight w:val="none"/>
              </w:rPr>
              <w:t>、《河南省政府采购网》、《开封市公共资源交易信息网》</w:t>
            </w:r>
          </w:p>
        </w:tc>
      </w:tr>
      <w:tr w14:paraId="4E9B06C0">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2105F12F">
            <w:pPr>
              <w:spacing w:line="396" w:lineRule="exact"/>
              <w:jc w:val="center"/>
              <w:rPr>
                <w:rFonts w:ascii="宋体"/>
                <w:color w:val="auto"/>
                <w:sz w:val="24"/>
                <w:szCs w:val="24"/>
                <w:highlight w:val="none"/>
              </w:rPr>
            </w:pPr>
            <w:r>
              <w:rPr>
                <w:rFonts w:hint="eastAsia" w:ascii="宋体" w:hAnsi="宋体"/>
                <w:color w:val="auto"/>
                <w:sz w:val="24"/>
                <w:szCs w:val="24"/>
                <w:highlight w:val="none"/>
              </w:rPr>
              <w:t>7.5.1</w:t>
            </w:r>
          </w:p>
        </w:tc>
        <w:tc>
          <w:tcPr>
            <w:tcW w:w="1980" w:type="dxa"/>
            <w:tcBorders>
              <w:top w:val="single" w:color="auto" w:sz="4" w:space="0"/>
              <w:left w:val="nil"/>
              <w:bottom w:val="single" w:color="auto" w:sz="4" w:space="0"/>
              <w:right w:val="single" w:color="auto" w:sz="4" w:space="0"/>
            </w:tcBorders>
            <w:vAlign w:val="center"/>
          </w:tcPr>
          <w:p w14:paraId="00FA2488">
            <w:pPr>
              <w:spacing w:line="396" w:lineRule="exact"/>
              <w:jc w:val="center"/>
              <w:rPr>
                <w:rFonts w:ascii="宋体"/>
                <w:color w:val="auto"/>
                <w:highlight w:val="none"/>
              </w:rPr>
            </w:pPr>
            <w:r>
              <w:rPr>
                <w:rFonts w:hint="eastAsia" w:ascii="宋体" w:hAnsi="宋体"/>
                <w:color w:val="auto"/>
                <w:highlight w:val="none"/>
              </w:rPr>
              <w:t>签订合同</w:t>
            </w:r>
          </w:p>
        </w:tc>
        <w:tc>
          <w:tcPr>
            <w:tcW w:w="6671" w:type="dxa"/>
            <w:tcBorders>
              <w:top w:val="single" w:color="auto" w:sz="4" w:space="0"/>
              <w:left w:val="nil"/>
              <w:bottom w:val="single" w:color="auto" w:sz="4" w:space="0"/>
              <w:right w:val="single" w:color="auto" w:sz="4" w:space="0"/>
            </w:tcBorders>
            <w:vAlign w:val="center"/>
          </w:tcPr>
          <w:p w14:paraId="2ACA6B6D">
            <w:pPr>
              <w:rPr>
                <w:rFonts w:ascii="宋体"/>
                <w:color w:val="auto"/>
                <w:highlight w:val="none"/>
              </w:rPr>
            </w:pPr>
            <w:r>
              <w:rPr>
                <w:rFonts w:hint="eastAsia" w:ascii="宋体" w:hAnsi="宋体"/>
                <w:color w:val="auto"/>
                <w:highlight w:val="none"/>
                <w:lang w:val="en-US" w:eastAsia="zh-CN"/>
              </w:rPr>
              <w:t>中标</w:t>
            </w:r>
            <w:r>
              <w:rPr>
                <w:rFonts w:hint="eastAsia" w:ascii="宋体" w:hAnsi="宋体"/>
                <w:color w:val="auto"/>
                <w:highlight w:val="none"/>
              </w:rPr>
              <w:t>人在《</w:t>
            </w:r>
            <w:r>
              <w:rPr>
                <w:rFonts w:hint="eastAsia" w:ascii="宋体" w:hAnsi="宋体"/>
                <w:color w:val="auto"/>
                <w:highlight w:val="none"/>
                <w:lang w:val="en-US" w:eastAsia="zh-CN"/>
              </w:rPr>
              <w:t>中标</w:t>
            </w:r>
            <w:r>
              <w:rPr>
                <w:rFonts w:hint="eastAsia" w:ascii="宋体" w:hAnsi="宋体"/>
                <w:color w:val="auto"/>
                <w:highlight w:val="none"/>
              </w:rPr>
              <w:t>通知书》发出后7天内，根据招标文件和</w:t>
            </w:r>
            <w:r>
              <w:rPr>
                <w:rFonts w:hint="eastAsia" w:ascii="宋体" w:hAnsi="宋体"/>
                <w:color w:val="auto"/>
                <w:highlight w:val="none"/>
                <w:lang w:val="en-US" w:eastAsia="zh-CN"/>
              </w:rPr>
              <w:t>中标</w:t>
            </w:r>
            <w:r>
              <w:rPr>
                <w:rFonts w:hint="eastAsia" w:ascii="宋体" w:hAnsi="宋体"/>
                <w:color w:val="auto"/>
                <w:highlight w:val="none"/>
              </w:rPr>
              <w:t>人的投标文件与采购人签订合同。</w:t>
            </w:r>
          </w:p>
        </w:tc>
      </w:tr>
      <w:tr w14:paraId="4B67FA75">
        <w:tblPrEx>
          <w:tblCellMar>
            <w:top w:w="0" w:type="dxa"/>
            <w:left w:w="108" w:type="dxa"/>
            <w:bottom w:w="0" w:type="dxa"/>
            <w:right w:w="108" w:type="dxa"/>
          </w:tblCellMar>
        </w:tblPrEx>
        <w:trPr>
          <w:jc w:val="center"/>
        </w:trPr>
        <w:tc>
          <w:tcPr>
            <w:tcW w:w="9659" w:type="dxa"/>
            <w:gridSpan w:val="3"/>
            <w:tcBorders>
              <w:top w:val="single" w:color="auto" w:sz="4" w:space="0"/>
              <w:left w:val="single" w:color="auto" w:sz="4" w:space="0"/>
              <w:bottom w:val="single" w:color="auto" w:sz="4" w:space="0"/>
              <w:right w:val="single" w:color="auto" w:sz="4" w:space="0"/>
            </w:tcBorders>
            <w:vAlign w:val="center"/>
          </w:tcPr>
          <w:p w14:paraId="61BA7C54">
            <w:pPr>
              <w:spacing w:line="396" w:lineRule="exact"/>
              <w:jc w:val="center"/>
              <w:rPr>
                <w:rFonts w:ascii="宋体"/>
                <w:b/>
                <w:bCs/>
                <w:color w:val="auto"/>
                <w:highlight w:val="none"/>
              </w:rPr>
            </w:pPr>
            <w:r>
              <w:rPr>
                <w:rFonts w:hint="eastAsia" w:ascii="宋体" w:hAnsi="宋体"/>
                <w:b/>
                <w:bCs/>
                <w:color w:val="auto"/>
                <w:highlight w:val="none"/>
              </w:rPr>
              <w:t>需要补充的其他内容</w:t>
            </w:r>
          </w:p>
        </w:tc>
      </w:tr>
      <w:tr w14:paraId="09C8A8C0">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58A2EFB3">
            <w:pPr>
              <w:spacing w:line="396" w:lineRule="exact"/>
              <w:jc w:val="center"/>
              <w:rPr>
                <w:rFonts w:ascii="宋体"/>
                <w:b/>
                <w:bCs/>
                <w:color w:val="auto"/>
                <w:sz w:val="24"/>
                <w:szCs w:val="24"/>
                <w:highlight w:val="none"/>
              </w:rPr>
            </w:pPr>
            <w:r>
              <w:rPr>
                <w:rFonts w:hint="eastAsia" w:ascii="宋体" w:hAnsi="宋体"/>
                <w:b/>
                <w:bCs/>
                <w:color w:val="auto"/>
                <w:sz w:val="24"/>
                <w:szCs w:val="24"/>
                <w:highlight w:val="none"/>
              </w:rPr>
              <w:t>9.1</w:t>
            </w:r>
          </w:p>
        </w:tc>
        <w:tc>
          <w:tcPr>
            <w:tcW w:w="1980" w:type="dxa"/>
            <w:tcBorders>
              <w:top w:val="single" w:color="auto" w:sz="4" w:space="0"/>
              <w:left w:val="nil"/>
              <w:bottom w:val="single" w:color="auto" w:sz="4" w:space="0"/>
              <w:right w:val="single" w:color="auto" w:sz="4" w:space="0"/>
            </w:tcBorders>
            <w:vAlign w:val="center"/>
          </w:tcPr>
          <w:p w14:paraId="70B9B27C">
            <w:pPr>
              <w:spacing w:line="396" w:lineRule="exact"/>
              <w:jc w:val="center"/>
              <w:rPr>
                <w:rFonts w:ascii="宋体"/>
                <w:color w:val="auto"/>
                <w:highlight w:val="none"/>
              </w:rPr>
            </w:pPr>
            <w:r>
              <w:rPr>
                <w:rFonts w:hint="eastAsia" w:ascii="宋体"/>
                <w:color w:val="auto"/>
                <w:highlight w:val="none"/>
              </w:rPr>
              <w:t>投标文件要求</w:t>
            </w:r>
          </w:p>
        </w:tc>
        <w:tc>
          <w:tcPr>
            <w:tcW w:w="6671" w:type="dxa"/>
            <w:tcBorders>
              <w:top w:val="single" w:color="auto" w:sz="4" w:space="0"/>
              <w:left w:val="nil"/>
              <w:bottom w:val="single" w:color="auto" w:sz="4" w:space="0"/>
              <w:right w:val="single" w:color="auto" w:sz="4" w:space="0"/>
            </w:tcBorders>
            <w:vAlign w:val="center"/>
          </w:tcPr>
          <w:p w14:paraId="73E92A4B">
            <w:pPr>
              <w:spacing w:line="396" w:lineRule="exact"/>
              <w:rPr>
                <w:rFonts w:ascii="宋体"/>
                <w:color w:val="auto"/>
                <w:highlight w:val="none"/>
              </w:rPr>
            </w:pPr>
            <w:r>
              <w:rPr>
                <w:rFonts w:hint="eastAsia" w:ascii="宋体"/>
                <w:color w:val="auto"/>
                <w:highlight w:val="none"/>
              </w:rPr>
              <w:t>供应商应在递交截止时间之前通过开封市公共资源交易网递交电子投标文件；</w:t>
            </w:r>
          </w:p>
          <w:p w14:paraId="162163B6">
            <w:pPr>
              <w:spacing w:line="396" w:lineRule="exact"/>
              <w:rPr>
                <w:rFonts w:ascii="宋体"/>
                <w:color w:val="auto"/>
                <w:highlight w:val="none"/>
              </w:rPr>
            </w:pPr>
            <w:r>
              <w:rPr>
                <w:rFonts w:hint="eastAsia" w:ascii="宋体"/>
                <w:b/>
                <w:bCs/>
                <w:color w:val="auto"/>
                <w:highlight w:val="none"/>
              </w:rPr>
              <w:t>电子投标文件的递交：1.各供应商应在投标截止时间前上传加密的电子投标文件到会员系统的指定位置。请供应商在上传时认真检查上传投标文件是否完整、正确。2.供应商因交易中心投标系统问题无法上传电子投标文件时，在投标截止时间前请在工作时间与开封市公共资源交易中心联系，联系电话：0371-23859291。</w:t>
            </w:r>
          </w:p>
        </w:tc>
      </w:tr>
      <w:tr w14:paraId="01F8BDDD">
        <w:tblPrEx>
          <w:tblCellMar>
            <w:top w:w="0" w:type="dxa"/>
            <w:left w:w="108" w:type="dxa"/>
            <w:bottom w:w="0" w:type="dxa"/>
            <w:right w:w="108" w:type="dxa"/>
          </w:tblCellMar>
        </w:tblPrEx>
        <w:trPr>
          <w:trHeight w:val="361"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2F1ACE7F">
            <w:pPr>
              <w:spacing w:line="396" w:lineRule="exact"/>
              <w:jc w:val="center"/>
              <w:rPr>
                <w:rFonts w:hint="eastAsia" w:ascii="宋体" w:hAnsi="宋体"/>
                <w:b/>
                <w:bCs/>
                <w:color w:val="auto"/>
                <w:sz w:val="24"/>
                <w:szCs w:val="24"/>
                <w:highlight w:val="none"/>
              </w:rPr>
            </w:pPr>
            <w:r>
              <w:rPr>
                <w:rFonts w:hint="eastAsia" w:ascii="宋体" w:hAnsi="宋体"/>
                <w:b/>
                <w:bCs/>
                <w:color w:val="auto"/>
                <w:sz w:val="24"/>
                <w:szCs w:val="24"/>
                <w:highlight w:val="none"/>
              </w:rPr>
              <w:t>9.2</w:t>
            </w:r>
          </w:p>
        </w:tc>
        <w:tc>
          <w:tcPr>
            <w:tcW w:w="1980" w:type="dxa"/>
            <w:tcBorders>
              <w:top w:val="single" w:color="auto" w:sz="4" w:space="0"/>
              <w:left w:val="nil"/>
              <w:bottom w:val="single" w:color="auto" w:sz="4" w:space="0"/>
              <w:right w:val="single" w:color="auto" w:sz="4" w:space="0"/>
            </w:tcBorders>
            <w:vAlign w:val="center"/>
          </w:tcPr>
          <w:p w14:paraId="55456B64">
            <w:pPr>
              <w:spacing w:line="360" w:lineRule="auto"/>
              <w:jc w:val="center"/>
              <w:rPr>
                <w:rFonts w:ascii="宋体"/>
                <w:color w:val="auto"/>
                <w:highlight w:val="none"/>
              </w:rPr>
            </w:pPr>
            <w:r>
              <w:rPr>
                <w:rFonts w:hint="eastAsia" w:ascii="宋体" w:hAnsi="宋体"/>
                <w:color w:val="auto"/>
                <w:highlight w:val="none"/>
              </w:rPr>
              <w:t>付款方式</w:t>
            </w:r>
          </w:p>
        </w:tc>
        <w:tc>
          <w:tcPr>
            <w:tcW w:w="6671" w:type="dxa"/>
            <w:tcBorders>
              <w:top w:val="single" w:color="auto" w:sz="4" w:space="0"/>
              <w:left w:val="nil"/>
              <w:bottom w:val="single" w:color="auto" w:sz="4" w:space="0"/>
              <w:right w:val="single" w:color="auto" w:sz="4" w:space="0"/>
            </w:tcBorders>
            <w:vAlign w:val="center"/>
          </w:tcPr>
          <w:p w14:paraId="37E66DA4">
            <w:pPr>
              <w:spacing w:line="240" w:lineRule="auto"/>
              <w:rPr>
                <w:rFonts w:hint="eastAsia" w:eastAsia="宋体" w:cs="Times New Roman"/>
                <w:color w:val="auto"/>
                <w:highlight w:val="none"/>
                <w:lang w:eastAsia="zh-CN"/>
              </w:rPr>
            </w:pPr>
            <w:r>
              <w:rPr>
                <w:rFonts w:hint="eastAsia" w:eastAsia="宋体" w:cs="Times New Roman"/>
                <w:color w:val="auto"/>
                <w:highlight w:val="none"/>
              </w:rPr>
              <w:t>(1)货款采用按月核算</w:t>
            </w:r>
            <w:r>
              <w:rPr>
                <w:rFonts w:hint="eastAsia" w:eastAsia="宋体" w:cs="Times New Roman"/>
                <w:color w:val="auto"/>
                <w:highlight w:val="none"/>
                <w:lang w:eastAsia="zh-CN"/>
              </w:rPr>
              <w:t>；</w:t>
            </w:r>
          </w:p>
          <w:p w14:paraId="029E7BD3">
            <w:pPr>
              <w:spacing w:line="240" w:lineRule="auto"/>
              <w:rPr>
                <w:rFonts w:hint="eastAsia" w:eastAsia="宋体" w:cs="Times New Roman"/>
                <w:color w:val="auto"/>
                <w:highlight w:val="none"/>
                <w:lang w:eastAsia="zh-CN"/>
              </w:rPr>
            </w:pPr>
            <w:r>
              <w:rPr>
                <w:rFonts w:hint="eastAsia" w:eastAsia="宋体" w:cs="Times New Roman"/>
                <w:color w:val="auto"/>
                <w:highlight w:val="none"/>
              </w:rPr>
              <w:t>(2)对公转账</w:t>
            </w:r>
            <w:r>
              <w:rPr>
                <w:rFonts w:hint="eastAsia" w:eastAsia="宋体" w:cs="Times New Roman"/>
                <w:color w:val="auto"/>
                <w:highlight w:val="none"/>
                <w:lang w:eastAsia="zh-CN"/>
              </w:rPr>
              <w:t>；</w:t>
            </w:r>
          </w:p>
          <w:p w14:paraId="31297BE2">
            <w:pPr>
              <w:spacing w:line="240" w:lineRule="auto"/>
              <w:rPr>
                <w:rFonts w:hint="eastAsia" w:eastAsia="宋体" w:cs="Times New Roman"/>
                <w:color w:val="auto"/>
                <w:highlight w:val="none"/>
                <w:lang w:eastAsia="zh-CN"/>
              </w:rPr>
            </w:pPr>
            <w:r>
              <w:rPr>
                <w:rFonts w:hint="eastAsia" w:eastAsia="宋体" w:cs="Times New Roman"/>
                <w:color w:val="auto"/>
                <w:highlight w:val="none"/>
              </w:rPr>
              <w:t>(3)乙方凭借有效发票、配送清单、领取人员签字确认情况等有效凭证同采购人核算货款</w:t>
            </w:r>
            <w:r>
              <w:rPr>
                <w:rFonts w:hint="eastAsia" w:eastAsia="宋体" w:cs="Times New Roman"/>
                <w:color w:val="auto"/>
                <w:highlight w:val="none"/>
                <w:lang w:eastAsia="zh-CN"/>
              </w:rPr>
              <w:t>；</w:t>
            </w:r>
          </w:p>
          <w:p w14:paraId="778F362D">
            <w:pPr>
              <w:spacing w:line="240" w:lineRule="auto"/>
              <w:rPr>
                <w:color w:val="auto"/>
                <w:highlight w:val="none"/>
              </w:rPr>
            </w:pPr>
            <w:r>
              <w:rPr>
                <w:rFonts w:hint="eastAsia" w:eastAsia="宋体" w:cs="Times New Roman"/>
                <w:color w:val="auto"/>
                <w:highlight w:val="none"/>
              </w:rPr>
              <w:t>(4)如项目资金因财政年度结转或财政资金拨付延迟导致未按时付款或者乙方未及时开具发票导致甲方不能按期付款的，甲方免除逾期付款的违约责任。</w:t>
            </w:r>
          </w:p>
        </w:tc>
      </w:tr>
      <w:tr w14:paraId="1D125314">
        <w:tblPrEx>
          <w:tblCellMar>
            <w:top w:w="0" w:type="dxa"/>
            <w:left w:w="108" w:type="dxa"/>
            <w:bottom w:w="0" w:type="dxa"/>
            <w:right w:w="108" w:type="dxa"/>
          </w:tblCellMar>
        </w:tblPrEx>
        <w:trPr>
          <w:trHeight w:val="9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075B9A76">
            <w:pPr>
              <w:spacing w:line="396" w:lineRule="exact"/>
              <w:jc w:val="center"/>
              <w:rPr>
                <w:rFonts w:ascii="宋体"/>
                <w:color w:val="auto"/>
                <w:sz w:val="24"/>
                <w:szCs w:val="24"/>
                <w:highlight w:val="none"/>
              </w:rPr>
            </w:pPr>
            <w:r>
              <w:rPr>
                <w:rFonts w:hint="eastAsia" w:ascii="宋体" w:hAnsi="宋体"/>
                <w:color w:val="auto"/>
                <w:sz w:val="24"/>
                <w:szCs w:val="24"/>
                <w:highlight w:val="none"/>
              </w:rPr>
              <w:t>9.3</w:t>
            </w:r>
          </w:p>
        </w:tc>
        <w:tc>
          <w:tcPr>
            <w:tcW w:w="1980" w:type="dxa"/>
            <w:tcBorders>
              <w:top w:val="single" w:color="auto" w:sz="4" w:space="0"/>
              <w:left w:val="nil"/>
              <w:bottom w:val="single" w:color="auto" w:sz="4" w:space="0"/>
              <w:right w:val="single" w:color="auto" w:sz="4" w:space="0"/>
            </w:tcBorders>
            <w:vAlign w:val="center"/>
          </w:tcPr>
          <w:p w14:paraId="45B67891">
            <w:pPr>
              <w:spacing w:line="360" w:lineRule="auto"/>
              <w:ind w:firstLine="420" w:firstLineChars="200"/>
              <w:rPr>
                <w:rFonts w:hint="eastAsia" w:ascii="宋体" w:hAnsi="宋体"/>
                <w:color w:val="auto"/>
                <w:highlight w:val="none"/>
              </w:rPr>
            </w:pPr>
            <w:r>
              <w:rPr>
                <w:rFonts w:hint="eastAsia" w:ascii="宋体" w:hAnsi="宋体"/>
                <w:color w:val="auto"/>
                <w:highlight w:val="none"/>
              </w:rPr>
              <w:t>代理服务费</w:t>
            </w:r>
          </w:p>
        </w:tc>
        <w:tc>
          <w:tcPr>
            <w:tcW w:w="6671" w:type="dxa"/>
            <w:tcBorders>
              <w:top w:val="single" w:color="auto" w:sz="4" w:space="0"/>
              <w:left w:val="nil"/>
              <w:bottom w:val="single" w:color="auto" w:sz="4" w:space="0"/>
              <w:right w:val="single" w:color="auto" w:sz="4" w:space="0"/>
            </w:tcBorders>
            <w:vAlign w:val="center"/>
          </w:tcPr>
          <w:p w14:paraId="2FD093ED">
            <w:pPr>
              <w:spacing w:line="240" w:lineRule="auto"/>
              <w:rPr>
                <w:rFonts w:hint="eastAsia" w:ascii="宋体" w:hAnsi="宋体" w:cs="宋体"/>
                <w:color w:val="auto"/>
                <w:highlight w:val="none"/>
              </w:rPr>
            </w:pPr>
            <w:r>
              <w:rPr>
                <w:rFonts w:hint="eastAsia" w:ascii="宋体" w:hAnsi="宋体" w:cs="宋体"/>
                <w:color w:val="auto"/>
                <w:highlight w:val="none"/>
              </w:rPr>
              <w:drawing>
                <wp:anchor distT="0" distB="0" distL="114300" distR="114300" simplePos="0" relativeHeight="251659264" behindDoc="0" locked="0" layoutInCell="1" allowOverlap="1">
                  <wp:simplePos x="0" y="0"/>
                  <wp:positionH relativeFrom="column">
                    <wp:posOffset>-27940</wp:posOffset>
                  </wp:positionH>
                  <wp:positionV relativeFrom="paragraph">
                    <wp:posOffset>697865</wp:posOffset>
                  </wp:positionV>
                  <wp:extent cx="4097655" cy="1396365"/>
                  <wp:effectExtent l="0" t="0" r="17145" b="13335"/>
                  <wp:wrapSquare wrapText="bothSides"/>
                  <wp:docPr id="2" name="图片 2" descr="ee2683202477f19f042377d97b42e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e2683202477f19f042377d97b42eab"/>
                          <pic:cNvPicPr>
                            <a:picLocks noChangeAspect="1"/>
                          </pic:cNvPicPr>
                        </pic:nvPicPr>
                        <pic:blipFill>
                          <a:blip r:embed="rId7"/>
                          <a:stretch>
                            <a:fillRect/>
                          </a:stretch>
                        </pic:blipFill>
                        <pic:spPr>
                          <a:xfrm>
                            <a:off x="0" y="0"/>
                            <a:ext cx="4097655" cy="1396365"/>
                          </a:xfrm>
                          <a:prstGeom prst="rect">
                            <a:avLst/>
                          </a:prstGeom>
                        </pic:spPr>
                      </pic:pic>
                    </a:graphicData>
                  </a:graphic>
                </wp:anchor>
              </w:drawing>
            </w:r>
            <w:r>
              <w:rPr>
                <w:rFonts w:hint="eastAsia"/>
                <w:color w:val="auto"/>
                <w:highlight w:val="none"/>
              </w:rPr>
              <w:t>参照《河南省招标代理服务收费指导意见》豫招协【2023】002号收费标准执行，以</w:t>
            </w:r>
            <w:r>
              <w:rPr>
                <w:rFonts w:hint="eastAsia"/>
                <w:color w:val="auto"/>
                <w:highlight w:val="none"/>
                <w:lang w:val="en-US" w:eastAsia="zh-CN"/>
              </w:rPr>
              <w:t>预算</w:t>
            </w:r>
            <w:r>
              <w:rPr>
                <w:rFonts w:hint="eastAsia"/>
                <w:color w:val="auto"/>
                <w:highlight w:val="none"/>
              </w:rPr>
              <w:t>金额为基数计算按照差额定率累进法计算进行收取</w:t>
            </w:r>
            <w:r>
              <w:rPr>
                <w:rFonts w:hint="eastAsia" w:ascii="Times New Roman" w:hAnsi="Times New Roman"/>
                <w:color w:val="auto"/>
                <w:highlight w:val="none"/>
              </w:rPr>
              <w:t>，</w:t>
            </w:r>
            <w:r>
              <w:rPr>
                <w:rFonts w:hint="eastAsia" w:eastAsia="宋体" w:cs="Times New Roman"/>
                <w:color w:val="auto"/>
                <w:highlight w:val="none"/>
              </w:rPr>
              <w:t>26600.00元由中标单位一次性付给招标</w:t>
            </w:r>
            <w:r>
              <w:rPr>
                <w:rFonts w:hint="eastAsia" w:ascii="宋体" w:hAnsi="宋体" w:cs="宋体"/>
                <w:color w:val="auto"/>
                <w:highlight w:val="none"/>
              </w:rPr>
              <w:t>代理机构。</w:t>
            </w:r>
          </w:p>
        </w:tc>
      </w:tr>
      <w:tr w14:paraId="70743758">
        <w:tblPrEx>
          <w:tblCellMar>
            <w:top w:w="0" w:type="dxa"/>
            <w:left w:w="108" w:type="dxa"/>
            <w:bottom w:w="0" w:type="dxa"/>
            <w:right w:w="108" w:type="dxa"/>
          </w:tblCellMar>
        </w:tblPrEx>
        <w:trPr>
          <w:trHeight w:val="9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61EB6A34">
            <w:pPr>
              <w:spacing w:line="396" w:lineRule="exact"/>
              <w:jc w:val="center"/>
              <w:rPr>
                <w:rFonts w:ascii="宋体"/>
                <w:color w:val="auto"/>
                <w:sz w:val="24"/>
                <w:szCs w:val="24"/>
                <w:highlight w:val="none"/>
              </w:rPr>
            </w:pPr>
            <w:r>
              <w:rPr>
                <w:rFonts w:hint="eastAsia" w:ascii="宋体" w:hAnsi="宋体"/>
                <w:color w:val="auto"/>
                <w:sz w:val="24"/>
                <w:szCs w:val="24"/>
                <w:highlight w:val="none"/>
              </w:rPr>
              <w:t>9.4</w:t>
            </w:r>
          </w:p>
        </w:tc>
        <w:tc>
          <w:tcPr>
            <w:tcW w:w="1980" w:type="dxa"/>
            <w:tcBorders>
              <w:top w:val="single" w:color="auto" w:sz="4" w:space="0"/>
              <w:left w:val="nil"/>
              <w:bottom w:val="single" w:color="auto" w:sz="4" w:space="0"/>
              <w:right w:val="single" w:color="auto" w:sz="4" w:space="0"/>
            </w:tcBorders>
            <w:vAlign w:val="center"/>
          </w:tcPr>
          <w:p w14:paraId="1ADA8426">
            <w:pPr>
              <w:spacing w:line="360" w:lineRule="auto"/>
              <w:jc w:val="center"/>
              <w:rPr>
                <w:rFonts w:ascii="宋体"/>
                <w:color w:val="auto"/>
                <w:highlight w:val="none"/>
              </w:rPr>
            </w:pPr>
            <w:r>
              <w:rPr>
                <w:rFonts w:hint="eastAsia" w:ascii="宋体" w:hAnsi="宋体"/>
                <w:color w:val="auto"/>
                <w:highlight w:val="none"/>
              </w:rPr>
              <w:t>解释权</w:t>
            </w:r>
          </w:p>
        </w:tc>
        <w:tc>
          <w:tcPr>
            <w:tcW w:w="6671" w:type="dxa"/>
            <w:tcBorders>
              <w:top w:val="single" w:color="auto" w:sz="4" w:space="0"/>
              <w:left w:val="nil"/>
              <w:bottom w:val="single" w:color="auto" w:sz="4" w:space="0"/>
              <w:right w:val="single" w:color="auto" w:sz="4" w:space="0"/>
            </w:tcBorders>
            <w:vAlign w:val="center"/>
          </w:tcPr>
          <w:p w14:paraId="2522BDB3">
            <w:pPr>
              <w:spacing w:line="360" w:lineRule="auto"/>
              <w:rPr>
                <w:rFonts w:ascii="宋体"/>
                <w:color w:val="auto"/>
                <w:highlight w:val="none"/>
              </w:rPr>
            </w:pPr>
            <w:r>
              <w:rPr>
                <w:rFonts w:hint="eastAsia" w:ascii="宋体" w:hAnsi="宋体"/>
                <w:color w:val="auto"/>
                <w:highlight w:val="none"/>
              </w:rPr>
              <w:t>构成本招标文件的各个组成文件应互为解释、互为说明，如有不明确或不一致，构成合同文件组成内容的，以合同文件约定内容为准；除招标文件中有特别规定外，在招标投标和评标阶段的优先解释顺序如下：按招标公告、供应商须知、评标办法、招标内容及商务技术要求、投标文件格式的先后顺序解释；同一组成部分中就同一事项的规定或约定不一致的，以编排顺序在前者为准；同一组成部分不同版本之间有不一致的，以形成时间在后者为准。按本款前述规定仍不能形成结论的，由采购人负责解释。</w:t>
            </w:r>
          </w:p>
        </w:tc>
      </w:tr>
      <w:tr w14:paraId="19FAF247">
        <w:tblPrEx>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14:paraId="696AB902">
            <w:pPr>
              <w:spacing w:line="396" w:lineRule="exact"/>
              <w:jc w:val="center"/>
              <w:rPr>
                <w:rFonts w:ascii="宋体"/>
                <w:color w:val="auto"/>
                <w:sz w:val="24"/>
                <w:szCs w:val="24"/>
                <w:highlight w:val="none"/>
              </w:rPr>
            </w:pPr>
            <w:r>
              <w:rPr>
                <w:rFonts w:hint="eastAsia" w:ascii="宋体" w:hAnsi="宋体"/>
                <w:color w:val="auto"/>
                <w:sz w:val="24"/>
                <w:szCs w:val="24"/>
                <w:highlight w:val="none"/>
              </w:rPr>
              <w:t>9.5</w:t>
            </w:r>
          </w:p>
        </w:tc>
        <w:tc>
          <w:tcPr>
            <w:tcW w:w="1980" w:type="dxa"/>
            <w:tcBorders>
              <w:top w:val="single" w:color="auto" w:sz="4" w:space="0"/>
              <w:left w:val="nil"/>
              <w:bottom w:val="single" w:color="auto" w:sz="4" w:space="0"/>
              <w:right w:val="single" w:color="auto" w:sz="4" w:space="0"/>
            </w:tcBorders>
            <w:vAlign w:val="center"/>
          </w:tcPr>
          <w:p w14:paraId="12EA2AAD">
            <w:pPr>
              <w:spacing w:line="360" w:lineRule="auto"/>
              <w:jc w:val="center"/>
              <w:rPr>
                <w:rFonts w:ascii="宋体"/>
                <w:color w:val="auto"/>
                <w:highlight w:val="none"/>
              </w:rPr>
            </w:pPr>
            <w:r>
              <w:rPr>
                <w:rFonts w:hint="eastAsia"/>
                <w:color w:val="auto"/>
                <w:highlight w:val="none"/>
              </w:rPr>
              <w:t>同义词语</w:t>
            </w:r>
          </w:p>
        </w:tc>
        <w:tc>
          <w:tcPr>
            <w:tcW w:w="6671" w:type="dxa"/>
            <w:tcBorders>
              <w:top w:val="single" w:color="auto" w:sz="4" w:space="0"/>
              <w:left w:val="nil"/>
              <w:bottom w:val="single" w:color="auto" w:sz="4" w:space="0"/>
              <w:right w:val="single" w:color="auto" w:sz="4" w:space="0"/>
            </w:tcBorders>
            <w:vAlign w:val="center"/>
          </w:tcPr>
          <w:p w14:paraId="49F3CCA8">
            <w:pPr>
              <w:spacing w:line="360" w:lineRule="auto"/>
              <w:rPr>
                <w:color w:val="auto"/>
                <w:highlight w:val="none"/>
              </w:rPr>
            </w:pPr>
            <w:r>
              <w:rPr>
                <w:rFonts w:hint="eastAsia"/>
                <w:color w:val="auto"/>
                <w:highlight w:val="none"/>
              </w:rPr>
              <w:t>招标文件中出现的措辞理解：“采购人”与“招标人”含意相同；“投标人”与“供应商”含意相同；“招标代理机构”与“采购代理机构”或“代理机构”含意相同。</w:t>
            </w:r>
          </w:p>
        </w:tc>
      </w:tr>
      <w:tr w14:paraId="2CD1555C">
        <w:tblPrEx>
          <w:tblCellMar>
            <w:top w:w="0" w:type="dxa"/>
            <w:left w:w="108" w:type="dxa"/>
            <w:bottom w:w="0" w:type="dxa"/>
            <w:right w:w="108" w:type="dxa"/>
          </w:tblCellMar>
        </w:tblPrEx>
        <w:trPr>
          <w:trHeight w:val="408"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159CFC3E">
            <w:pPr>
              <w:spacing w:line="396" w:lineRule="exact"/>
              <w:ind w:firstLine="210" w:firstLineChars="100"/>
              <w:rPr>
                <w:rFonts w:hint="eastAsia" w:ascii="宋体" w:hAnsi="宋体"/>
                <w:color w:val="auto"/>
                <w:highlight w:val="none"/>
              </w:rPr>
            </w:pPr>
            <w:r>
              <w:rPr>
                <w:rFonts w:hint="eastAsia" w:ascii="宋体" w:hAnsi="宋体"/>
                <w:color w:val="auto"/>
                <w:highlight w:val="none"/>
              </w:rPr>
              <w:t xml:space="preserve"> 9.6</w:t>
            </w:r>
          </w:p>
        </w:tc>
        <w:tc>
          <w:tcPr>
            <w:tcW w:w="1980" w:type="dxa"/>
            <w:tcBorders>
              <w:top w:val="single" w:color="auto" w:sz="4" w:space="0"/>
              <w:left w:val="nil"/>
              <w:bottom w:val="single" w:color="auto" w:sz="4" w:space="0"/>
              <w:right w:val="single" w:color="auto" w:sz="4" w:space="0"/>
            </w:tcBorders>
            <w:vAlign w:val="center"/>
          </w:tcPr>
          <w:p w14:paraId="7FBE3628">
            <w:pPr>
              <w:spacing w:line="396" w:lineRule="exact"/>
              <w:jc w:val="center"/>
              <w:rPr>
                <w:rFonts w:hint="eastAsia" w:ascii="宋体" w:hAnsi="宋体"/>
                <w:color w:val="auto"/>
                <w:highlight w:val="none"/>
              </w:rPr>
            </w:pPr>
            <w:r>
              <w:rPr>
                <w:rFonts w:hint="eastAsia" w:ascii="宋体" w:hAnsi="宋体"/>
                <w:color w:val="auto"/>
                <w:highlight w:val="none"/>
              </w:rPr>
              <w:t>监督单位</w:t>
            </w:r>
          </w:p>
        </w:tc>
        <w:tc>
          <w:tcPr>
            <w:tcW w:w="6671" w:type="dxa"/>
            <w:tcBorders>
              <w:top w:val="single" w:color="auto" w:sz="4" w:space="0"/>
              <w:left w:val="nil"/>
              <w:bottom w:val="single" w:color="auto" w:sz="4" w:space="0"/>
              <w:right w:val="single" w:color="auto" w:sz="4" w:space="0"/>
            </w:tcBorders>
            <w:vAlign w:val="center"/>
          </w:tcPr>
          <w:p w14:paraId="67EBAEAD">
            <w:pPr>
              <w:spacing w:line="396" w:lineRule="exact"/>
              <w:jc w:val="left"/>
              <w:rPr>
                <w:rFonts w:hint="eastAsia" w:ascii="宋体" w:hAnsi="宋体"/>
                <w:color w:val="auto"/>
                <w:highlight w:val="none"/>
              </w:rPr>
            </w:pPr>
            <w:r>
              <w:rPr>
                <w:rFonts w:hint="eastAsia"/>
                <w:color w:val="auto"/>
                <w:kern w:val="2"/>
                <w:sz w:val="21"/>
                <w:szCs w:val="21"/>
                <w:highlight w:val="none"/>
              </w:rPr>
              <w:t>开封市鼓楼区财政局政府采购办公室</w:t>
            </w:r>
          </w:p>
        </w:tc>
      </w:tr>
      <w:tr w14:paraId="0AED4C40">
        <w:tblPrEx>
          <w:tblCellMar>
            <w:top w:w="0" w:type="dxa"/>
            <w:left w:w="108" w:type="dxa"/>
            <w:bottom w:w="0" w:type="dxa"/>
            <w:right w:w="108" w:type="dxa"/>
          </w:tblCellMar>
        </w:tblPrEx>
        <w:trPr>
          <w:trHeight w:val="50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2EB5A62F">
            <w:pPr>
              <w:spacing w:line="396" w:lineRule="exact"/>
              <w:jc w:val="center"/>
              <w:rPr>
                <w:rFonts w:ascii="宋体"/>
                <w:color w:val="auto"/>
                <w:sz w:val="24"/>
                <w:szCs w:val="24"/>
                <w:highlight w:val="none"/>
              </w:rPr>
            </w:pPr>
            <w:r>
              <w:rPr>
                <w:rFonts w:hint="eastAsia" w:ascii="宋体"/>
                <w:color w:val="auto"/>
                <w:sz w:val="24"/>
                <w:szCs w:val="24"/>
                <w:highlight w:val="none"/>
              </w:rPr>
              <w:t>9.7</w:t>
            </w:r>
          </w:p>
        </w:tc>
        <w:tc>
          <w:tcPr>
            <w:tcW w:w="1980" w:type="dxa"/>
            <w:tcBorders>
              <w:top w:val="single" w:color="auto" w:sz="4" w:space="0"/>
              <w:left w:val="nil"/>
              <w:bottom w:val="single" w:color="auto" w:sz="4" w:space="0"/>
              <w:right w:val="single" w:color="auto" w:sz="4" w:space="0"/>
            </w:tcBorders>
            <w:vAlign w:val="center"/>
          </w:tcPr>
          <w:p w14:paraId="7BC914FA">
            <w:pPr>
              <w:adjustRightInd w:val="0"/>
              <w:snapToGrid w:val="0"/>
              <w:spacing w:line="360" w:lineRule="auto"/>
              <w:jc w:val="center"/>
              <w:rPr>
                <w:rFonts w:hint="eastAsia" w:ascii="宋体" w:hAnsi="宋体"/>
                <w:color w:val="auto"/>
                <w:highlight w:val="none"/>
              </w:rPr>
            </w:pPr>
            <w:r>
              <w:rPr>
                <w:rFonts w:hint="eastAsia" w:ascii="宋体" w:hAnsi="宋体"/>
                <w:color w:val="auto"/>
                <w:highlight w:val="none"/>
              </w:rPr>
              <w:t>履约保证金</w:t>
            </w:r>
          </w:p>
        </w:tc>
        <w:tc>
          <w:tcPr>
            <w:tcW w:w="6671" w:type="dxa"/>
            <w:tcBorders>
              <w:top w:val="single" w:color="auto" w:sz="4" w:space="0"/>
              <w:left w:val="nil"/>
              <w:bottom w:val="single" w:color="auto" w:sz="4" w:space="0"/>
              <w:right w:val="single" w:color="auto" w:sz="4" w:space="0"/>
            </w:tcBorders>
            <w:vAlign w:val="center"/>
          </w:tcPr>
          <w:p w14:paraId="304B5701">
            <w:pPr>
              <w:autoSpaceDE w:val="0"/>
              <w:autoSpaceDN w:val="0"/>
              <w:adjustRightInd w:val="0"/>
              <w:spacing w:line="360" w:lineRule="auto"/>
              <w:ind w:right="-20"/>
              <w:jc w:val="left"/>
              <w:rPr>
                <w:rFonts w:hint="eastAsia" w:ascii="宋体" w:hAnsi="宋体" w:eastAsia="宋体" w:cs="Times New Roman"/>
                <w:color w:val="auto"/>
                <w:highlight w:val="none"/>
              </w:rPr>
            </w:pPr>
            <w:r>
              <w:rPr>
                <w:rFonts w:hint="eastAsia" w:ascii="宋体" w:hAnsi="宋体" w:eastAsia="宋体" w:cs="Times New Roman"/>
                <w:color w:val="auto"/>
                <w:highlight w:val="none"/>
              </w:rPr>
              <w:t>要求成交人提交履约保证金：</w:t>
            </w:r>
          </w:p>
          <w:p w14:paraId="21C298EB">
            <w:pPr>
              <w:autoSpaceDE w:val="0"/>
              <w:autoSpaceDN w:val="0"/>
              <w:adjustRightInd w:val="0"/>
              <w:spacing w:line="360" w:lineRule="auto"/>
              <w:ind w:right="-20"/>
              <w:jc w:val="left"/>
              <w:rPr>
                <w:rFonts w:hint="eastAsia" w:ascii="宋体" w:hAnsi="宋体" w:eastAsia="宋体" w:cs="Times New Roman"/>
                <w:color w:val="auto"/>
                <w:highlight w:val="none"/>
                <w:lang w:eastAsia="zh-CN"/>
              </w:rPr>
            </w:pPr>
            <w:r>
              <w:rPr>
                <w:rFonts w:hint="eastAsia" w:ascii="宋体" w:hAnsi="宋体" w:eastAsia="宋体" w:cs="Times New Roman"/>
                <w:color w:val="auto"/>
                <w:highlight w:val="none"/>
                <w:lang w:val="en-US" w:eastAsia="zh-CN"/>
              </w:rPr>
              <w:t>1</w:t>
            </w:r>
            <w:r>
              <w:rPr>
                <w:rFonts w:hint="eastAsia" w:ascii="宋体" w:hAnsi="宋体" w:eastAsia="宋体" w:cs="Times New Roman"/>
                <w:color w:val="auto"/>
                <w:highlight w:val="none"/>
                <w:lang w:eastAsia="zh-CN"/>
              </w:rPr>
              <w:t>）</w:t>
            </w:r>
            <w:r>
              <w:rPr>
                <w:rFonts w:hint="eastAsia" w:ascii="宋体" w:hAnsi="宋体" w:eastAsia="宋体" w:cs="Times New Roman"/>
                <w:color w:val="auto"/>
                <w:highlight w:val="none"/>
              </w:rPr>
              <w:t>履约保证金</w:t>
            </w:r>
            <w:r>
              <w:rPr>
                <w:rFonts w:hint="eastAsia" w:ascii="宋体" w:hAnsi="宋体" w:eastAsia="宋体" w:cs="Times New Roman"/>
                <w:color w:val="auto"/>
                <w:highlight w:val="none"/>
                <w:lang w:val="en-US" w:eastAsia="zh-CN"/>
              </w:rPr>
              <w:t>金额：</w:t>
            </w:r>
            <w:r>
              <w:rPr>
                <w:rFonts w:hint="eastAsia" w:ascii="宋体" w:hAnsi="宋体" w:eastAsia="宋体" w:cs="Times New Roman"/>
                <w:color w:val="auto"/>
                <w:highlight w:val="none"/>
              </w:rPr>
              <w:t>乙方支付甲方</w:t>
            </w:r>
            <w:r>
              <w:rPr>
                <w:rFonts w:hint="eastAsia" w:ascii="宋体" w:hAnsi="宋体" w:eastAsia="宋体" w:cs="Times New Roman"/>
                <w:color w:val="auto"/>
                <w:highlight w:val="none"/>
                <w:lang w:val="en-US" w:eastAsia="zh-CN"/>
              </w:rPr>
              <w:t>合同价5%</w:t>
            </w:r>
            <w:r>
              <w:rPr>
                <w:rFonts w:hint="eastAsia" w:ascii="宋体" w:hAnsi="宋体" w:eastAsia="宋体" w:cs="Times New Roman"/>
                <w:color w:val="auto"/>
                <w:highlight w:val="none"/>
              </w:rPr>
              <w:t>的履约保证金，保证金为保函形式</w:t>
            </w:r>
            <w:r>
              <w:rPr>
                <w:rFonts w:hint="eastAsia" w:ascii="宋体" w:hAnsi="宋体" w:eastAsia="宋体" w:cs="Times New Roman"/>
                <w:color w:val="auto"/>
                <w:highlight w:val="none"/>
                <w:lang w:eastAsia="zh-CN"/>
              </w:rPr>
              <w:t>。出具方式：由</w:t>
            </w:r>
            <w:r>
              <w:rPr>
                <w:rFonts w:hint="eastAsia" w:ascii="宋体" w:hAnsi="宋体" w:eastAsia="宋体" w:cs="Times New Roman"/>
                <w:color w:val="auto"/>
                <w:highlight w:val="none"/>
                <w:lang w:val="en-US" w:eastAsia="zh-CN"/>
              </w:rPr>
              <w:t>中标</w:t>
            </w:r>
            <w:r>
              <w:rPr>
                <w:rFonts w:hint="eastAsia" w:ascii="宋体" w:hAnsi="宋体" w:eastAsia="宋体" w:cs="Times New Roman"/>
                <w:color w:val="auto"/>
                <w:highlight w:val="none"/>
                <w:lang w:eastAsia="zh-CN"/>
              </w:rPr>
              <w:t>人的基本户所在银行、</w:t>
            </w:r>
            <w:r>
              <w:rPr>
                <w:rFonts w:hint="eastAsia" w:ascii="宋体" w:hAnsi="宋体" w:eastAsia="宋体" w:cs="Times New Roman"/>
                <w:color w:val="auto"/>
                <w:highlight w:val="none"/>
                <w:lang w:val="en-US" w:eastAsia="zh-CN"/>
              </w:rPr>
              <w:t>保险公司</w:t>
            </w:r>
            <w:r>
              <w:rPr>
                <w:rFonts w:hint="eastAsia" w:ascii="宋体" w:hAnsi="宋体" w:eastAsia="宋体" w:cs="Times New Roman"/>
                <w:color w:val="auto"/>
                <w:highlight w:val="none"/>
                <w:lang w:eastAsia="zh-CN"/>
              </w:rPr>
              <w:t>开具。</w:t>
            </w:r>
          </w:p>
          <w:p w14:paraId="54AE4D37">
            <w:pPr>
              <w:autoSpaceDE w:val="0"/>
              <w:autoSpaceDN w:val="0"/>
              <w:adjustRightInd w:val="0"/>
              <w:spacing w:line="360" w:lineRule="auto"/>
              <w:ind w:right="-20"/>
              <w:jc w:val="left"/>
              <w:rPr>
                <w:rFonts w:hint="eastAsia" w:ascii="宋体" w:hAnsi="宋体" w:eastAsia="宋体" w:cs="Times New Roman"/>
                <w:color w:val="auto"/>
                <w:highlight w:val="none"/>
                <w:lang w:val="en-US" w:eastAsia="zh-CN"/>
              </w:rPr>
            </w:pPr>
            <w:r>
              <w:rPr>
                <w:rFonts w:hint="eastAsia" w:ascii="宋体" w:hAnsi="宋体" w:eastAsia="宋体" w:cs="Times New Roman"/>
                <w:color w:val="auto"/>
                <w:highlight w:val="none"/>
                <w:lang w:val="en-US" w:eastAsia="zh-CN"/>
              </w:rPr>
              <w:t>2)履约保证金的期限：</w:t>
            </w:r>
            <w:r>
              <w:rPr>
                <w:rFonts w:hint="eastAsia" w:ascii="宋体" w:hAnsi="宋体" w:eastAsia="宋体" w:cs="Times New Roman"/>
                <w:color w:val="auto"/>
                <w:highlight w:val="none"/>
              </w:rPr>
              <w:t>有效期</w:t>
            </w:r>
            <w:r>
              <w:rPr>
                <w:rFonts w:hint="eastAsia" w:ascii="宋体" w:hAnsi="宋体" w:eastAsia="宋体" w:cs="Times New Roman"/>
                <w:color w:val="auto"/>
                <w:highlight w:val="none"/>
                <w:lang w:val="en-US" w:eastAsia="zh-CN"/>
              </w:rPr>
              <w:t>1</w:t>
            </w:r>
            <w:r>
              <w:rPr>
                <w:rFonts w:hint="eastAsia" w:ascii="宋体" w:hAnsi="宋体" w:eastAsia="宋体" w:cs="Times New Roman"/>
                <w:color w:val="auto"/>
                <w:highlight w:val="none"/>
              </w:rPr>
              <w:t>年（</w:t>
            </w:r>
            <w:r>
              <w:rPr>
                <w:rFonts w:hint="eastAsia" w:ascii="宋体" w:hAnsi="宋体" w:eastAsia="宋体" w:cs="Times New Roman"/>
                <w:color w:val="auto"/>
                <w:highlight w:val="none"/>
                <w:lang w:eastAsia="zh-CN"/>
              </w:rPr>
              <w:t>特殊情况除外</w:t>
            </w:r>
            <w:r>
              <w:rPr>
                <w:rFonts w:hint="eastAsia" w:ascii="宋体" w:hAnsi="宋体" w:eastAsia="宋体" w:cs="Times New Roman"/>
                <w:color w:val="auto"/>
                <w:highlight w:val="none"/>
              </w:rPr>
              <w:t>）</w:t>
            </w:r>
            <w:r>
              <w:rPr>
                <w:rFonts w:hint="eastAsia" w:ascii="宋体" w:hAnsi="宋体" w:eastAsia="宋体" w:cs="Times New Roman"/>
                <w:color w:val="auto"/>
                <w:highlight w:val="none"/>
                <w:lang w:val="en-US" w:eastAsia="zh-CN"/>
              </w:rPr>
              <w:t>，但服务到期后仍存在协议争议且未能解决，则履约保证金的有效期应延长到上述争议最终解决且理赔完毕后。</w:t>
            </w:r>
          </w:p>
          <w:p w14:paraId="3742314E">
            <w:pPr>
              <w:autoSpaceDE w:val="0"/>
              <w:autoSpaceDN w:val="0"/>
              <w:adjustRightInd w:val="0"/>
              <w:spacing w:line="360" w:lineRule="auto"/>
              <w:ind w:right="-20"/>
              <w:jc w:val="left"/>
              <w:rPr>
                <w:rFonts w:hint="eastAsia" w:ascii="宋体" w:hAnsi="宋体" w:eastAsia="宋体" w:cs="Times New Roman"/>
                <w:color w:val="auto"/>
                <w:highlight w:val="none"/>
              </w:rPr>
            </w:pPr>
            <w:r>
              <w:rPr>
                <w:rFonts w:hint="eastAsia" w:ascii="宋体" w:hAnsi="宋体" w:eastAsia="宋体" w:cs="Times New Roman"/>
                <w:color w:val="auto"/>
                <w:highlight w:val="none"/>
                <w:lang w:val="en-US" w:eastAsia="zh-CN"/>
              </w:rPr>
              <w:t xml:space="preserve">3)履约保证金退还：合同期满后，中标人按照采购人要求完成并达到采购人要求，且中标人没有违反任何合同及其附件有关约定的情况下，由采购人认可后，在扣除违约金、赔偿款（如有）后将剩余的履约保证金无息退还。 </w:t>
            </w:r>
          </w:p>
          <w:p w14:paraId="0D8A6CD8">
            <w:pPr>
              <w:autoSpaceDE w:val="0"/>
              <w:autoSpaceDN w:val="0"/>
              <w:adjustRightInd w:val="0"/>
              <w:spacing w:line="360" w:lineRule="auto"/>
              <w:ind w:right="-20"/>
              <w:jc w:val="left"/>
              <w:rPr>
                <w:color w:val="auto"/>
                <w:highlight w:val="none"/>
              </w:rPr>
            </w:pPr>
            <w:r>
              <w:rPr>
                <w:rFonts w:hint="eastAsia" w:ascii="宋体" w:hAnsi="宋体" w:eastAsia="宋体" w:cs="Times New Roman"/>
                <w:color w:val="auto"/>
                <w:highlight w:val="none"/>
                <w:lang w:val="en-US" w:eastAsia="zh-CN"/>
              </w:rPr>
              <w:t>4)缴纳期限：中标人</w:t>
            </w:r>
            <w:r>
              <w:rPr>
                <w:rFonts w:hint="eastAsia" w:ascii="宋体" w:hAnsi="宋体" w:eastAsia="宋体" w:cs="Times New Roman"/>
                <w:color w:val="auto"/>
                <w:highlight w:val="none"/>
              </w:rPr>
              <w:t>自合同签订之日起一个月内</w:t>
            </w:r>
            <w:r>
              <w:rPr>
                <w:rFonts w:hint="eastAsia" w:ascii="宋体" w:hAnsi="宋体" w:eastAsia="宋体" w:cs="Times New Roman"/>
                <w:color w:val="auto"/>
                <w:highlight w:val="none"/>
                <w:lang w:val="en-US" w:eastAsia="zh-CN"/>
              </w:rPr>
              <w:t>，提交履约保证金。并在收到中标通知书</w:t>
            </w:r>
            <w:r>
              <w:rPr>
                <w:rFonts w:hint="eastAsia" w:ascii="宋体" w:hAnsi="宋体" w:cs="Times New Roman"/>
                <w:color w:val="auto"/>
                <w:highlight w:val="none"/>
                <w:lang w:val="en-US" w:eastAsia="zh-CN"/>
              </w:rPr>
              <w:t>7</w:t>
            </w:r>
            <w:r>
              <w:rPr>
                <w:rFonts w:hint="eastAsia" w:ascii="宋体" w:hAnsi="宋体" w:eastAsia="宋体" w:cs="Times New Roman"/>
                <w:color w:val="auto"/>
                <w:highlight w:val="none"/>
                <w:lang w:val="en-US" w:eastAsia="zh-CN"/>
              </w:rPr>
              <w:t>日内，配合采购人完成合同签订工作，不能按要求提交履约保证金和配合采购人完成合同签订工作的，视为放弃中标资格，其履约保证金不予退还，给采购人造成的损失超过保证金数额的，中标人还应当对超过部分予以赔偿。</w:t>
            </w:r>
          </w:p>
        </w:tc>
      </w:tr>
      <w:tr w14:paraId="0F8EB691">
        <w:tblPrEx>
          <w:tblCellMar>
            <w:top w:w="0" w:type="dxa"/>
            <w:left w:w="108" w:type="dxa"/>
            <w:bottom w:w="0" w:type="dxa"/>
            <w:right w:w="108" w:type="dxa"/>
          </w:tblCellMar>
        </w:tblPrEx>
        <w:trPr>
          <w:trHeight w:val="408"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2F30785F">
            <w:pPr>
              <w:spacing w:line="396" w:lineRule="exact"/>
              <w:ind w:firstLine="240" w:firstLineChars="100"/>
              <w:rPr>
                <w:rFonts w:ascii="宋体"/>
                <w:color w:val="auto"/>
                <w:sz w:val="24"/>
                <w:szCs w:val="24"/>
                <w:highlight w:val="none"/>
              </w:rPr>
            </w:pPr>
            <w:r>
              <w:rPr>
                <w:rFonts w:hint="eastAsia" w:ascii="宋体"/>
                <w:color w:val="auto"/>
                <w:sz w:val="24"/>
                <w:szCs w:val="24"/>
                <w:highlight w:val="none"/>
              </w:rPr>
              <w:t>9.8</w:t>
            </w:r>
          </w:p>
        </w:tc>
        <w:tc>
          <w:tcPr>
            <w:tcW w:w="8651" w:type="dxa"/>
            <w:gridSpan w:val="2"/>
            <w:tcBorders>
              <w:top w:val="single" w:color="auto" w:sz="4" w:space="0"/>
              <w:left w:val="nil"/>
              <w:bottom w:val="single" w:color="auto" w:sz="4" w:space="0"/>
              <w:right w:val="single" w:color="auto" w:sz="4" w:space="0"/>
            </w:tcBorders>
            <w:vAlign w:val="center"/>
          </w:tcPr>
          <w:p w14:paraId="57F81991">
            <w:pPr>
              <w:tabs>
                <w:tab w:val="left" w:pos="0"/>
              </w:tabs>
              <w:spacing w:line="360" w:lineRule="auto"/>
              <w:rPr>
                <w:rFonts w:hint="eastAsia" w:ascii="宋体" w:hAnsi="宋体"/>
                <w:color w:val="auto"/>
                <w:highlight w:val="none"/>
              </w:rPr>
            </w:pPr>
            <w:r>
              <w:rPr>
                <w:rFonts w:hint="eastAsia" w:ascii="宋体" w:hAnsi="宋体"/>
                <w:color w:val="auto"/>
                <w:highlight w:val="none"/>
              </w:rPr>
              <w:t>质疑或异议的递交：</w:t>
            </w:r>
          </w:p>
          <w:p w14:paraId="0DBA60DB">
            <w:pPr>
              <w:tabs>
                <w:tab w:val="left" w:pos="0"/>
              </w:tabs>
              <w:spacing w:line="360" w:lineRule="auto"/>
              <w:rPr>
                <w:rFonts w:hint="eastAsia" w:ascii="宋体" w:hAnsi="宋体"/>
                <w:color w:val="auto"/>
                <w:highlight w:val="none"/>
              </w:rPr>
            </w:pPr>
            <w:r>
              <w:rPr>
                <w:rFonts w:ascii="宋体" w:hAnsi="宋体"/>
                <w:color w:val="auto"/>
                <w:highlight w:val="none"/>
              </w:rPr>
              <w:t>根据“汴公管办[2020]13 号”文件，供应商向采购人、招标代理机构提出质疑（异议）的方式为线上提起，</w:t>
            </w:r>
            <w:r>
              <w:rPr>
                <w:rFonts w:hint="eastAsia" w:ascii="宋体" w:hAnsi="宋体"/>
                <w:color w:val="auto"/>
                <w:highlight w:val="none"/>
              </w:rPr>
              <w:t>线上质疑（异议）、投诉通过登录开封市公共资源交易系统（网址：http://www.kfsggzyjyw.cn）按要求填写质疑（异议）、投诉信息并上传相关材料。</w:t>
            </w:r>
            <w:r>
              <w:rPr>
                <w:rFonts w:ascii="宋体" w:hAnsi="宋体"/>
                <w:color w:val="auto"/>
                <w:highlight w:val="none"/>
              </w:rPr>
              <w:t>招标代理机构或采购人在规定时间内进行回复，各供应商应时刻关注电子交易系统中的项目进度和状态。</w:t>
            </w:r>
          </w:p>
        </w:tc>
      </w:tr>
      <w:tr w14:paraId="417B20A6">
        <w:tblPrEx>
          <w:tblCellMar>
            <w:top w:w="0" w:type="dxa"/>
            <w:left w:w="108" w:type="dxa"/>
            <w:bottom w:w="0" w:type="dxa"/>
            <w:right w:w="108" w:type="dxa"/>
          </w:tblCellMar>
        </w:tblPrEx>
        <w:trPr>
          <w:trHeight w:val="408"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649EA420">
            <w:pPr>
              <w:spacing w:line="396" w:lineRule="exact"/>
              <w:ind w:firstLine="240" w:firstLineChars="100"/>
              <w:rPr>
                <w:rFonts w:ascii="宋体"/>
                <w:color w:val="auto"/>
                <w:sz w:val="24"/>
                <w:szCs w:val="24"/>
                <w:highlight w:val="none"/>
              </w:rPr>
            </w:pPr>
            <w:r>
              <w:rPr>
                <w:rFonts w:hint="eastAsia" w:ascii="宋体"/>
                <w:color w:val="auto"/>
                <w:sz w:val="24"/>
                <w:szCs w:val="24"/>
                <w:highlight w:val="none"/>
              </w:rPr>
              <w:t>9.9</w:t>
            </w:r>
          </w:p>
        </w:tc>
        <w:tc>
          <w:tcPr>
            <w:tcW w:w="8651" w:type="dxa"/>
            <w:gridSpan w:val="2"/>
            <w:tcBorders>
              <w:top w:val="single" w:color="auto" w:sz="4" w:space="0"/>
              <w:left w:val="nil"/>
              <w:bottom w:val="single" w:color="auto" w:sz="4" w:space="0"/>
              <w:right w:val="single" w:color="auto" w:sz="4" w:space="0"/>
            </w:tcBorders>
            <w:vAlign w:val="center"/>
          </w:tcPr>
          <w:p w14:paraId="4619D327">
            <w:pPr>
              <w:numPr>
                <w:ilvl w:val="0"/>
                <w:numId w:val="1"/>
              </w:numPr>
              <w:spacing w:line="360" w:lineRule="auto"/>
              <w:rPr>
                <w:rFonts w:hint="eastAsia" w:ascii="宋体" w:hAnsi="宋体"/>
                <w:color w:val="auto"/>
                <w:highlight w:val="none"/>
              </w:rPr>
            </w:pPr>
            <w:r>
              <w:rPr>
                <w:rFonts w:hint="eastAsia" w:ascii="宋体" w:hAnsi="宋体"/>
                <w:color w:val="auto"/>
                <w:highlight w:val="none"/>
              </w:rPr>
              <w:t>供应商必须承诺独立制作、修改和上传投标文件，因“硬件特征码一致”所造成的不良后果由供应商自行承担。</w:t>
            </w:r>
          </w:p>
          <w:p w14:paraId="33DB4A96">
            <w:pPr>
              <w:numPr>
                <w:ilvl w:val="0"/>
                <w:numId w:val="1"/>
              </w:numPr>
              <w:spacing w:line="360" w:lineRule="auto"/>
              <w:rPr>
                <w:rFonts w:hint="eastAsia" w:ascii="宋体" w:hAnsi="宋体"/>
                <w:color w:val="auto"/>
                <w:highlight w:val="none"/>
              </w:rPr>
            </w:pPr>
            <w:r>
              <w:rPr>
                <w:rFonts w:hint="eastAsia" w:ascii="宋体" w:hAnsi="宋体"/>
                <w:color w:val="auto"/>
                <w:highlight w:val="none"/>
              </w:rPr>
              <w:t>招标文件规定其他内容涉及的“相关原件”不再要求供应商单独递交，供应商需根据招标文件及投标文件格式要求将原件扫描件附在投标文件中即可，其内容清晰可辨，如因此造成的后果由供应商自行承担。</w:t>
            </w:r>
          </w:p>
          <w:p w14:paraId="5B5EB73E">
            <w:pPr>
              <w:numPr>
                <w:ilvl w:val="0"/>
                <w:numId w:val="1"/>
              </w:numPr>
              <w:spacing w:line="360" w:lineRule="auto"/>
              <w:rPr>
                <w:color w:val="auto"/>
                <w:highlight w:val="none"/>
              </w:rPr>
            </w:pPr>
            <w:r>
              <w:rPr>
                <w:rFonts w:hint="eastAsia" w:ascii="宋体" w:hAnsi="宋体"/>
                <w:color w:val="auto"/>
                <w:highlight w:val="none"/>
              </w:rPr>
              <w:t>各供应商从参与项目交易开始至项目交易活动结束止，应时刻关注电子交易系统中的项目进度和状态，特别是项目评审期间。由于自身原因错过变更通知、文件澄清、报价响应（自系统发起30分钟内做出）等重要信息的，后果由供应商自行承担。</w:t>
            </w:r>
          </w:p>
        </w:tc>
      </w:tr>
      <w:tr w14:paraId="62CC063D">
        <w:tblPrEx>
          <w:tblCellMar>
            <w:top w:w="0" w:type="dxa"/>
            <w:left w:w="108" w:type="dxa"/>
            <w:bottom w:w="0" w:type="dxa"/>
            <w:right w:w="108" w:type="dxa"/>
          </w:tblCellMar>
        </w:tblPrEx>
        <w:trPr>
          <w:trHeight w:val="180"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28918DDD">
            <w:pPr>
              <w:spacing w:line="396" w:lineRule="exact"/>
              <w:ind w:firstLine="240" w:firstLineChars="100"/>
              <w:rPr>
                <w:rFonts w:ascii="宋体"/>
                <w:color w:val="auto"/>
                <w:sz w:val="24"/>
                <w:szCs w:val="24"/>
                <w:highlight w:val="none"/>
              </w:rPr>
            </w:pPr>
            <w:r>
              <w:rPr>
                <w:rFonts w:hint="eastAsia" w:ascii="宋体"/>
                <w:color w:val="auto"/>
                <w:sz w:val="24"/>
                <w:szCs w:val="24"/>
                <w:highlight w:val="none"/>
              </w:rPr>
              <w:t>9.10</w:t>
            </w:r>
          </w:p>
        </w:tc>
        <w:tc>
          <w:tcPr>
            <w:tcW w:w="8651" w:type="dxa"/>
            <w:gridSpan w:val="2"/>
            <w:tcBorders>
              <w:top w:val="single" w:color="auto" w:sz="4" w:space="0"/>
              <w:left w:val="nil"/>
              <w:bottom w:val="single" w:color="auto" w:sz="4" w:space="0"/>
              <w:right w:val="single" w:color="auto" w:sz="4" w:space="0"/>
            </w:tcBorders>
            <w:vAlign w:val="center"/>
          </w:tcPr>
          <w:p w14:paraId="3A11DF09">
            <w:pPr>
              <w:spacing w:line="360" w:lineRule="auto"/>
              <w:rPr>
                <w:rFonts w:hint="eastAsia" w:ascii="宋体" w:hAnsi="宋体"/>
                <w:color w:val="auto"/>
                <w:highlight w:val="none"/>
              </w:rPr>
            </w:pPr>
            <w:r>
              <w:rPr>
                <w:rFonts w:hint="eastAsia" w:ascii="宋体" w:hAnsi="宋体"/>
                <w:color w:val="auto"/>
                <w:highlight w:val="none"/>
              </w:rPr>
              <w:t xml:space="preserve">1、涉及节能产品的，将按根据《财政部发展改革委 生态环境部 市场监管总局关于调整优化 </w:t>
            </w:r>
          </w:p>
          <w:p w14:paraId="092630B5">
            <w:pPr>
              <w:spacing w:line="360" w:lineRule="auto"/>
              <w:rPr>
                <w:rFonts w:hint="eastAsia" w:ascii="宋体" w:hAnsi="宋体"/>
                <w:color w:val="auto"/>
                <w:highlight w:val="none"/>
              </w:rPr>
            </w:pPr>
            <w:r>
              <w:rPr>
                <w:rFonts w:hint="eastAsia" w:ascii="宋体" w:hAnsi="宋体"/>
                <w:color w:val="auto"/>
                <w:highlight w:val="none"/>
              </w:rPr>
              <w:t xml:space="preserve">节能产品 环境标志产品政府采购执行机制的通知》（财库〔2019〕9 号），的规定执行。 </w:t>
            </w:r>
          </w:p>
          <w:p w14:paraId="06E067DE">
            <w:pPr>
              <w:spacing w:line="360" w:lineRule="auto"/>
              <w:rPr>
                <w:rFonts w:hint="eastAsia" w:ascii="宋体" w:hAnsi="宋体"/>
                <w:color w:val="auto"/>
                <w:highlight w:val="none"/>
              </w:rPr>
            </w:pPr>
            <w:r>
              <w:rPr>
                <w:rFonts w:hint="eastAsia" w:ascii="宋体" w:hAnsi="宋体"/>
                <w:color w:val="auto"/>
                <w:highlight w:val="none"/>
              </w:rPr>
              <w:t xml:space="preserve">采购人拟采购的产品如属于品目清单范围的，采购人及其委托的采购代理机构应当根据国家确定的认证机构出具的、处于有效期之内的节能产品、环境标志产品认证证书，对获得证书的产品实施政府优先采购或强制采购。 </w:t>
            </w:r>
          </w:p>
          <w:p w14:paraId="7A518E63">
            <w:pPr>
              <w:spacing w:line="360" w:lineRule="auto"/>
              <w:rPr>
                <w:rFonts w:hint="eastAsia" w:ascii="宋体" w:hAnsi="宋体"/>
                <w:color w:val="auto"/>
                <w:highlight w:val="none"/>
              </w:rPr>
            </w:pPr>
            <w:r>
              <w:rPr>
                <w:rFonts w:hint="eastAsia" w:ascii="宋体" w:hAnsi="宋体"/>
                <w:color w:val="auto"/>
                <w:highlight w:val="none"/>
              </w:rPr>
              <w:t xml:space="preserve">2、 根据财政部、国家环保总局联合印发《关于环境标志产品政府采购实施的意见》（财库 </w:t>
            </w:r>
          </w:p>
          <w:p w14:paraId="2DBC5554">
            <w:pPr>
              <w:spacing w:line="360" w:lineRule="auto"/>
              <w:rPr>
                <w:rFonts w:hint="eastAsia" w:ascii="宋体" w:hAnsi="宋体"/>
                <w:color w:val="auto"/>
                <w:highlight w:val="none"/>
              </w:rPr>
            </w:pPr>
            <w:r>
              <w:rPr>
                <w:rFonts w:hint="eastAsia" w:ascii="宋体" w:hAnsi="宋体"/>
                <w:color w:val="auto"/>
                <w:highlight w:val="none"/>
              </w:rPr>
              <w:t>[2006]90 号），如供应商所提供产品属于被列入最新一期环境标志产品政府采购清单产品，将给以优先采购。</w:t>
            </w:r>
          </w:p>
          <w:p w14:paraId="38475066">
            <w:pPr>
              <w:spacing w:line="360" w:lineRule="auto"/>
              <w:rPr>
                <w:rFonts w:hint="eastAsia" w:ascii="宋体" w:hAnsi="宋体"/>
                <w:color w:val="auto"/>
                <w:highlight w:val="none"/>
              </w:rPr>
            </w:pPr>
            <w:r>
              <w:rPr>
                <w:rFonts w:hint="eastAsia" w:ascii="宋体" w:hAnsi="宋体"/>
                <w:color w:val="auto"/>
                <w:highlight w:val="none"/>
              </w:rPr>
              <w:t>注：清单可从：中华人民共和国财政部网站（http://www.mof.gov.cn）或中国政府采购网（http://www.ccgp.gov.cn/）或国家发展改革委网站（http://hzs.ndrc.gov.cn/）或中国质量认证中心网站（</w:t>
            </w:r>
            <w:r>
              <w:rPr>
                <w:rFonts w:hint="eastAsia"/>
                <w:color w:val="auto"/>
                <w:highlight w:val="none"/>
              </w:rPr>
              <w:fldChar w:fldCharType="begin"/>
            </w:r>
            <w:r>
              <w:rPr>
                <w:color w:val="auto"/>
                <w:highlight w:val="none"/>
              </w:rPr>
              <w:instrText xml:space="preserve"> HYPERLINK "http://www.cqc.com.cn/" </w:instrText>
            </w:r>
            <w:r>
              <w:rPr>
                <w:rFonts w:hint="eastAsia"/>
                <w:color w:val="auto"/>
                <w:highlight w:val="none"/>
              </w:rPr>
              <w:fldChar w:fldCharType="separate"/>
            </w:r>
            <w:r>
              <w:rPr>
                <w:rFonts w:hint="eastAsia" w:ascii="宋体" w:hAnsi="宋体"/>
                <w:color w:val="auto"/>
                <w:highlight w:val="none"/>
              </w:rPr>
              <w:t>http://www.cqc.com.cn/</w:t>
            </w:r>
            <w:r>
              <w:rPr>
                <w:rFonts w:hint="eastAsia" w:ascii="宋体" w:hAnsi="宋体"/>
                <w:color w:val="auto"/>
                <w:highlight w:val="none"/>
              </w:rPr>
              <w:fldChar w:fldCharType="end"/>
            </w:r>
            <w:r>
              <w:rPr>
                <w:rFonts w:hint="eastAsia" w:ascii="宋体" w:hAnsi="宋体"/>
                <w:color w:val="auto"/>
                <w:highlight w:val="none"/>
              </w:rPr>
              <w:t>）等网站下载。</w:t>
            </w:r>
          </w:p>
          <w:p w14:paraId="4F868360">
            <w:pPr>
              <w:spacing w:line="360" w:lineRule="auto"/>
              <w:rPr>
                <w:rFonts w:hint="eastAsia" w:ascii="宋体" w:hAnsi="宋体"/>
                <w:color w:val="auto"/>
                <w:highlight w:val="none"/>
              </w:rPr>
            </w:pPr>
            <w:r>
              <w:rPr>
                <w:rFonts w:hint="eastAsia" w:ascii="宋体" w:hAnsi="宋体"/>
                <w:color w:val="auto"/>
                <w:highlight w:val="none"/>
                <w:lang w:val="en-US" w:eastAsia="zh-CN"/>
              </w:rPr>
              <w:t>3、</w:t>
            </w:r>
            <w:r>
              <w:rPr>
                <w:rFonts w:hint="eastAsia" w:ascii="宋体" w:hAnsi="宋体"/>
                <w:color w:val="auto"/>
                <w:highlight w:val="none"/>
              </w:rPr>
              <w:t>按照《关于印发中小企业划型标准规定的通知》工信部联企业〔2011〕300号）文，本次招标行业划分：</w:t>
            </w:r>
            <w:r>
              <w:rPr>
                <w:rFonts w:hint="eastAsia" w:ascii="宋体" w:hAnsi="宋体"/>
                <w:b/>
                <w:bCs/>
                <w:color w:val="auto"/>
                <w:highlight w:val="none"/>
                <w:lang w:val="en-US" w:eastAsia="zh-CN"/>
              </w:rPr>
              <w:t>批发</w:t>
            </w:r>
            <w:r>
              <w:rPr>
                <w:rFonts w:hint="eastAsia" w:ascii="宋体" w:hAnsi="宋体"/>
                <w:b/>
                <w:bCs/>
                <w:color w:val="auto"/>
                <w:highlight w:val="none"/>
              </w:rPr>
              <w:t>业</w:t>
            </w:r>
          </w:p>
        </w:tc>
      </w:tr>
      <w:tr w14:paraId="36F66B1B">
        <w:tblPrEx>
          <w:tblCellMar>
            <w:top w:w="0" w:type="dxa"/>
            <w:left w:w="108" w:type="dxa"/>
            <w:bottom w:w="0" w:type="dxa"/>
            <w:right w:w="108" w:type="dxa"/>
          </w:tblCellMar>
        </w:tblPrEx>
        <w:trPr>
          <w:trHeight w:val="422" w:hRule="atLeast"/>
          <w:jc w:val="center"/>
        </w:trPr>
        <w:tc>
          <w:tcPr>
            <w:tcW w:w="9659" w:type="dxa"/>
            <w:gridSpan w:val="3"/>
            <w:tcBorders>
              <w:top w:val="single" w:color="auto" w:sz="4" w:space="0"/>
              <w:left w:val="single" w:color="auto" w:sz="4" w:space="0"/>
              <w:bottom w:val="single" w:color="auto" w:sz="4" w:space="0"/>
              <w:right w:val="single" w:color="auto" w:sz="4" w:space="0"/>
            </w:tcBorders>
            <w:vAlign w:val="center"/>
          </w:tcPr>
          <w:p w14:paraId="35280387">
            <w:pPr>
              <w:rPr>
                <w:rFonts w:hint="eastAsia" w:ascii="宋体" w:hAnsi="宋体"/>
                <w:color w:val="auto"/>
                <w:highlight w:val="none"/>
              </w:rPr>
            </w:pPr>
            <w:r>
              <w:rPr>
                <w:rFonts w:hint="eastAsia" w:ascii="宋体" w:hAnsi="宋体" w:cs="宋体"/>
                <w:color w:val="auto"/>
                <w:highlight w:val="none"/>
              </w:rPr>
              <w:t>其他未尽事宜，按国家相关法律法规执行。</w:t>
            </w:r>
          </w:p>
        </w:tc>
      </w:tr>
    </w:tbl>
    <w:p w14:paraId="7DDBB8D9">
      <w:pPr>
        <w:rPr>
          <w:color w:val="auto"/>
          <w:highlight w:val="none"/>
        </w:rPr>
      </w:pPr>
      <w:bookmarkStart w:id="45" w:name="_Toc152042305"/>
      <w:bookmarkEnd w:id="45"/>
      <w:bookmarkStart w:id="46" w:name="_Toc144974497"/>
      <w:bookmarkEnd w:id="46"/>
      <w:bookmarkStart w:id="47" w:name="_Toc338840442"/>
      <w:bookmarkEnd w:id="47"/>
      <w:bookmarkStart w:id="48" w:name="_Toc152045529"/>
      <w:bookmarkEnd w:id="48"/>
      <w:bookmarkStart w:id="49" w:name="_Toc246996918"/>
      <w:bookmarkEnd w:id="49"/>
      <w:bookmarkStart w:id="50" w:name="_Toc15867"/>
      <w:bookmarkEnd w:id="50"/>
      <w:bookmarkStart w:id="51" w:name="_Toc179632546"/>
      <w:bookmarkEnd w:id="51"/>
      <w:bookmarkStart w:id="52" w:name="_Toc23553"/>
      <w:bookmarkEnd w:id="52"/>
      <w:bookmarkStart w:id="53" w:name="_Toc338840481"/>
      <w:bookmarkEnd w:id="53"/>
      <w:bookmarkStart w:id="54" w:name="_Toc338840187"/>
      <w:bookmarkEnd w:id="54"/>
      <w:bookmarkStart w:id="55" w:name="_Toc21821"/>
      <w:bookmarkEnd w:id="55"/>
      <w:bookmarkStart w:id="56" w:name="_Toc246996175"/>
      <w:bookmarkEnd w:id="56"/>
      <w:bookmarkStart w:id="57" w:name="_Toc31902"/>
      <w:bookmarkEnd w:id="57"/>
      <w:bookmarkStart w:id="58" w:name="_Toc346523402"/>
      <w:bookmarkEnd w:id="58"/>
      <w:bookmarkStart w:id="59" w:name="_Toc247085689"/>
      <w:bookmarkEnd w:id="59"/>
      <w:bookmarkStart w:id="60" w:name="_Toc18155"/>
      <w:bookmarkEnd w:id="60"/>
      <w:bookmarkStart w:id="61" w:name="_Toc5987"/>
      <w:bookmarkEnd w:id="61"/>
      <w:bookmarkStart w:id="62" w:name="_Toc16644"/>
      <w:bookmarkEnd w:id="62"/>
      <w:bookmarkStart w:id="63" w:name="_Toc15094"/>
      <w:bookmarkEnd w:id="63"/>
    </w:p>
    <w:p w14:paraId="086864D6">
      <w:pPr>
        <w:spacing w:line="360" w:lineRule="auto"/>
        <w:rPr>
          <w:color w:val="auto"/>
          <w:highlight w:val="none"/>
        </w:rPr>
      </w:pPr>
      <w:r>
        <w:rPr>
          <w:b/>
          <w:bCs/>
          <w:color w:val="auto"/>
          <w:highlight w:val="none"/>
        </w:rPr>
        <w:t>1</w:t>
      </w:r>
      <w:r>
        <w:rPr>
          <w:rFonts w:hint="eastAsia" w:ascii="宋体" w:hAnsi="宋体"/>
          <w:b/>
          <w:bCs/>
          <w:color w:val="auto"/>
          <w:highlight w:val="none"/>
        </w:rPr>
        <w:t>、总则</w:t>
      </w:r>
    </w:p>
    <w:p w14:paraId="6E889818">
      <w:pPr>
        <w:pStyle w:val="4"/>
        <w:spacing w:before="0" w:after="0" w:line="360" w:lineRule="auto"/>
        <w:rPr>
          <w:rFonts w:ascii="宋体"/>
          <w:color w:val="auto"/>
          <w:sz w:val="21"/>
          <w:szCs w:val="21"/>
          <w:highlight w:val="none"/>
        </w:rPr>
      </w:pPr>
      <w:bookmarkStart w:id="64" w:name="_Toc179632547"/>
      <w:bookmarkEnd w:id="64"/>
      <w:bookmarkStart w:id="65" w:name="_Toc26495"/>
      <w:bookmarkEnd w:id="65"/>
      <w:bookmarkStart w:id="66" w:name="_Toc246996176"/>
      <w:bookmarkEnd w:id="66"/>
      <w:bookmarkStart w:id="67" w:name="_Toc1483"/>
      <w:bookmarkEnd w:id="67"/>
      <w:bookmarkStart w:id="68" w:name="_Toc11626"/>
      <w:bookmarkEnd w:id="68"/>
      <w:bookmarkStart w:id="69" w:name="_Toc18787"/>
      <w:bookmarkEnd w:id="69"/>
      <w:bookmarkStart w:id="70" w:name="_Toc144974498"/>
      <w:bookmarkEnd w:id="70"/>
      <w:bookmarkStart w:id="71" w:name="_Toc246996919"/>
      <w:bookmarkEnd w:id="71"/>
      <w:bookmarkStart w:id="72" w:name="_Toc247085690"/>
      <w:bookmarkEnd w:id="72"/>
      <w:bookmarkStart w:id="73" w:name="_Toc16750"/>
      <w:bookmarkEnd w:id="73"/>
      <w:bookmarkStart w:id="74" w:name="_Toc152042306"/>
      <w:bookmarkEnd w:id="74"/>
      <w:bookmarkStart w:id="75" w:name="_Toc3215"/>
      <w:bookmarkEnd w:id="75"/>
      <w:bookmarkStart w:id="76" w:name="_Toc152045530"/>
      <w:bookmarkEnd w:id="76"/>
      <w:bookmarkStart w:id="77" w:name="_Toc338840188"/>
      <w:bookmarkEnd w:id="77"/>
      <w:bookmarkStart w:id="78" w:name="_Toc13937"/>
      <w:bookmarkEnd w:id="78"/>
      <w:bookmarkStart w:id="79" w:name="_Toc8337"/>
      <w:bookmarkEnd w:id="79"/>
      <w:bookmarkStart w:id="80" w:name="_Toc15988"/>
      <w:r>
        <w:rPr>
          <w:rFonts w:hint="eastAsia" w:ascii="宋体" w:hAnsi="宋体"/>
          <w:color w:val="auto"/>
          <w:sz w:val="21"/>
          <w:szCs w:val="21"/>
          <w:highlight w:val="none"/>
        </w:rPr>
        <w:t xml:space="preserve">1.1 </w:t>
      </w:r>
      <w:bookmarkEnd w:id="80"/>
      <w:r>
        <w:rPr>
          <w:rFonts w:hint="eastAsia" w:ascii="宋体" w:hAnsi="宋体"/>
          <w:color w:val="auto"/>
          <w:sz w:val="21"/>
          <w:szCs w:val="21"/>
          <w:highlight w:val="none"/>
        </w:rPr>
        <w:t>项目概况</w:t>
      </w:r>
    </w:p>
    <w:p w14:paraId="4E30752F">
      <w:pPr>
        <w:spacing w:line="360" w:lineRule="auto"/>
        <w:ind w:firstLine="420" w:firstLineChars="200"/>
        <w:rPr>
          <w:color w:val="auto"/>
          <w:highlight w:val="none"/>
        </w:rPr>
      </w:pPr>
      <w:r>
        <w:rPr>
          <w:color w:val="auto"/>
          <w:highlight w:val="none"/>
        </w:rPr>
        <w:t>1.1.1</w:t>
      </w:r>
      <w:r>
        <w:rPr>
          <w:rFonts w:hint="eastAsia" w:ascii="宋体" w:hAnsi="宋体"/>
          <w:color w:val="auto"/>
          <w:highlight w:val="none"/>
        </w:rPr>
        <w:t>根据《中华人民共和国政府采购法》等有关法律、法规和规章的规定，本招标项目已具备招标条件，现对本项目进行招标。</w:t>
      </w:r>
    </w:p>
    <w:p w14:paraId="2EA79CA5">
      <w:pPr>
        <w:spacing w:line="360" w:lineRule="auto"/>
        <w:ind w:firstLine="420" w:firstLineChars="200"/>
        <w:rPr>
          <w:color w:val="auto"/>
          <w:highlight w:val="none"/>
        </w:rPr>
      </w:pPr>
      <w:r>
        <w:rPr>
          <w:color w:val="auto"/>
          <w:highlight w:val="none"/>
        </w:rPr>
        <w:t xml:space="preserve">1.1.2 </w:t>
      </w:r>
      <w:r>
        <w:rPr>
          <w:rFonts w:hint="eastAsia" w:ascii="宋体" w:hAnsi="宋体"/>
          <w:color w:val="auto"/>
          <w:highlight w:val="none"/>
        </w:rPr>
        <w:t>本招标项目采购人：见供应商须知前附表。</w:t>
      </w:r>
    </w:p>
    <w:p w14:paraId="309F644D">
      <w:pPr>
        <w:spacing w:line="360" w:lineRule="auto"/>
        <w:ind w:firstLine="420" w:firstLineChars="200"/>
        <w:rPr>
          <w:color w:val="auto"/>
          <w:highlight w:val="none"/>
        </w:rPr>
      </w:pPr>
      <w:r>
        <w:rPr>
          <w:color w:val="auto"/>
          <w:highlight w:val="none"/>
        </w:rPr>
        <w:t xml:space="preserve">1.1.3 </w:t>
      </w:r>
      <w:r>
        <w:rPr>
          <w:rFonts w:hint="eastAsia" w:ascii="宋体" w:hAnsi="宋体"/>
          <w:color w:val="auto"/>
          <w:highlight w:val="none"/>
        </w:rPr>
        <w:t>本招标项目采购代理机构：见供应商须知前附表。</w:t>
      </w:r>
    </w:p>
    <w:p w14:paraId="1A4391A7">
      <w:pPr>
        <w:spacing w:line="360" w:lineRule="auto"/>
        <w:ind w:firstLine="420" w:firstLineChars="200"/>
        <w:rPr>
          <w:color w:val="auto"/>
          <w:highlight w:val="none"/>
        </w:rPr>
      </w:pPr>
      <w:r>
        <w:rPr>
          <w:color w:val="auto"/>
          <w:highlight w:val="none"/>
        </w:rPr>
        <w:t xml:space="preserve">1.1.4 </w:t>
      </w:r>
      <w:r>
        <w:rPr>
          <w:rFonts w:hint="eastAsia" w:ascii="宋体" w:hAnsi="宋体"/>
          <w:color w:val="auto"/>
          <w:highlight w:val="none"/>
        </w:rPr>
        <w:t>本招标采购项目名称：见供应商须知前附表。</w:t>
      </w:r>
    </w:p>
    <w:p w14:paraId="05687680">
      <w:pPr>
        <w:spacing w:line="360" w:lineRule="auto"/>
        <w:ind w:firstLine="420" w:firstLineChars="200"/>
        <w:rPr>
          <w:color w:val="auto"/>
          <w:highlight w:val="none"/>
        </w:rPr>
      </w:pPr>
      <w:r>
        <w:rPr>
          <w:color w:val="auto"/>
          <w:highlight w:val="none"/>
        </w:rPr>
        <w:t xml:space="preserve">1.1.5 </w:t>
      </w:r>
      <w:r>
        <w:rPr>
          <w:rFonts w:hint="eastAsia" w:ascii="宋体" w:hAnsi="宋体"/>
          <w:color w:val="auto"/>
          <w:highlight w:val="none"/>
        </w:rPr>
        <w:t>本招标项目</w:t>
      </w:r>
      <w:r>
        <w:rPr>
          <w:rFonts w:hint="eastAsia" w:ascii="宋体" w:hAnsi="宋体"/>
          <w:color w:val="auto"/>
          <w:highlight w:val="none"/>
          <w:lang w:val="en-US" w:eastAsia="zh-CN"/>
        </w:rPr>
        <w:t>服务</w:t>
      </w:r>
      <w:r>
        <w:rPr>
          <w:rFonts w:hint="eastAsia" w:ascii="宋体" w:hAnsi="宋体"/>
          <w:color w:val="auto"/>
          <w:highlight w:val="none"/>
        </w:rPr>
        <w:t>地点：见供应商须知前附表。</w:t>
      </w:r>
    </w:p>
    <w:p w14:paraId="4E72F524">
      <w:pPr>
        <w:pStyle w:val="4"/>
        <w:spacing w:before="0" w:after="0" w:line="360" w:lineRule="auto"/>
        <w:rPr>
          <w:color w:val="auto"/>
          <w:sz w:val="21"/>
          <w:szCs w:val="21"/>
          <w:highlight w:val="none"/>
        </w:rPr>
      </w:pPr>
      <w:bookmarkStart w:id="81" w:name="_Toc144974499"/>
      <w:bookmarkEnd w:id="81"/>
      <w:bookmarkStart w:id="82" w:name="_Toc246996177"/>
      <w:bookmarkEnd w:id="82"/>
      <w:bookmarkStart w:id="83" w:name="_Toc1204"/>
      <w:bookmarkEnd w:id="83"/>
      <w:bookmarkStart w:id="84" w:name="_Toc29809"/>
      <w:bookmarkEnd w:id="84"/>
      <w:bookmarkStart w:id="85" w:name="_Toc19632"/>
      <w:bookmarkEnd w:id="85"/>
      <w:bookmarkStart w:id="86" w:name="_Toc17671"/>
      <w:bookmarkEnd w:id="86"/>
      <w:bookmarkStart w:id="87" w:name="_Toc338840189"/>
      <w:bookmarkEnd w:id="87"/>
      <w:bookmarkStart w:id="88" w:name="_Toc1945"/>
      <w:bookmarkEnd w:id="88"/>
      <w:bookmarkStart w:id="89" w:name="_Toc247085691"/>
      <w:bookmarkEnd w:id="89"/>
      <w:bookmarkStart w:id="90" w:name="_Toc23763"/>
      <w:bookmarkEnd w:id="90"/>
      <w:bookmarkStart w:id="91" w:name="_Toc246996920"/>
      <w:bookmarkEnd w:id="91"/>
      <w:bookmarkStart w:id="92" w:name="_Toc22570"/>
      <w:bookmarkEnd w:id="92"/>
      <w:bookmarkStart w:id="93" w:name="_Toc152042307"/>
      <w:bookmarkEnd w:id="93"/>
      <w:bookmarkStart w:id="94" w:name="_Toc179632548"/>
      <w:bookmarkEnd w:id="94"/>
      <w:bookmarkStart w:id="95" w:name="_Toc23072"/>
      <w:bookmarkEnd w:id="95"/>
      <w:bookmarkStart w:id="96" w:name="_Toc152045531"/>
      <w:bookmarkEnd w:id="96"/>
      <w:bookmarkStart w:id="97" w:name="_Toc8648"/>
      <w:r>
        <w:rPr>
          <w:color w:val="auto"/>
          <w:sz w:val="21"/>
          <w:szCs w:val="21"/>
          <w:highlight w:val="none"/>
        </w:rPr>
        <w:t xml:space="preserve">1.2 </w:t>
      </w:r>
      <w:bookmarkEnd w:id="97"/>
      <w:r>
        <w:rPr>
          <w:rFonts w:hint="eastAsia" w:ascii="宋体" w:hAnsi="宋体"/>
          <w:color w:val="auto"/>
          <w:sz w:val="21"/>
          <w:szCs w:val="21"/>
          <w:highlight w:val="none"/>
        </w:rPr>
        <w:t>资金来源和落实情况</w:t>
      </w:r>
    </w:p>
    <w:p w14:paraId="5EFE1B47">
      <w:pPr>
        <w:spacing w:line="360" w:lineRule="auto"/>
        <w:ind w:firstLine="420" w:firstLineChars="200"/>
        <w:rPr>
          <w:color w:val="auto"/>
          <w:highlight w:val="none"/>
        </w:rPr>
      </w:pPr>
      <w:r>
        <w:rPr>
          <w:color w:val="auto"/>
          <w:highlight w:val="none"/>
        </w:rPr>
        <w:t xml:space="preserve">1.2.1 </w:t>
      </w:r>
      <w:r>
        <w:rPr>
          <w:rFonts w:hint="eastAsia" w:ascii="宋体" w:hAnsi="宋体"/>
          <w:color w:val="auto"/>
          <w:highlight w:val="none"/>
        </w:rPr>
        <w:t>本招标项目的资金来源及出资比例：见供应商须知前附表。</w:t>
      </w:r>
    </w:p>
    <w:p w14:paraId="1816E2F8">
      <w:pPr>
        <w:spacing w:line="360" w:lineRule="auto"/>
        <w:ind w:firstLine="420" w:firstLineChars="200"/>
        <w:rPr>
          <w:color w:val="auto"/>
          <w:highlight w:val="none"/>
        </w:rPr>
      </w:pPr>
      <w:r>
        <w:rPr>
          <w:color w:val="auto"/>
          <w:highlight w:val="none"/>
        </w:rPr>
        <w:t xml:space="preserve">1.2.2 </w:t>
      </w:r>
      <w:r>
        <w:rPr>
          <w:rFonts w:hint="eastAsia" w:ascii="宋体" w:hAnsi="宋体"/>
          <w:color w:val="auto"/>
          <w:highlight w:val="none"/>
        </w:rPr>
        <w:t>本招标项目的资金落实情况：见供应商须知前附表。</w:t>
      </w:r>
    </w:p>
    <w:p w14:paraId="26E67137">
      <w:pPr>
        <w:pStyle w:val="4"/>
        <w:spacing w:before="0" w:after="0" w:line="360" w:lineRule="auto"/>
        <w:rPr>
          <w:color w:val="auto"/>
          <w:sz w:val="21"/>
          <w:szCs w:val="21"/>
          <w:highlight w:val="none"/>
        </w:rPr>
      </w:pPr>
      <w:bookmarkStart w:id="98" w:name="_Toc23953"/>
      <w:bookmarkEnd w:id="98"/>
      <w:bookmarkStart w:id="99" w:name="_Toc144974500"/>
      <w:bookmarkEnd w:id="99"/>
      <w:bookmarkStart w:id="100" w:name="_Toc152042308"/>
      <w:bookmarkEnd w:id="100"/>
      <w:bookmarkStart w:id="101" w:name="_Toc246996921"/>
      <w:bookmarkEnd w:id="101"/>
      <w:bookmarkStart w:id="102" w:name="_Toc152045532"/>
      <w:bookmarkEnd w:id="102"/>
      <w:bookmarkStart w:id="103" w:name="_Toc247085692"/>
      <w:bookmarkEnd w:id="103"/>
      <w:bookmarkStart w:id="104" w:name="_Toc7016"/>
      <w:bookmarkEnd w:id="104"/>
      <w:bookmarkStart w:id="105" w:name="_Toc246996178"/>
      <w:bookmarkEnd w:id="105"/>
      <w:bookmarkStart w:id="106" w:name="_Toc11417"/>
      <w:bookmarkEnd w:id="106"/>
      <w:bookmarkStart w:id="107" w:name="_Toc1345"/>
      <w:bookmarkEnd w:id="107"/>
      <w:bookmarkStart w:id="108" w:name="_Toc4549"/>
      <w:bookmarkEnd w:id="108"/>
      <w:bookmarkStart w:id="109" w:name="_Toc1103"/>
      <w:bookmarkEnd w:id="109"/>
      <w:bookmarkStart w:id="110" w:name="_Toc179632549"/>
      <w:bookmarkEnd w:id="110"/>
      <w:bookmarkStart w:id="111" w:name="_Toc22144"/>
      <w:bookmarkEnd w:id="111"/>
      <w:bookmarkStart w:id="112" w:name="_Toc338840190"/>
      <w:bookmarkEnd w:id="112"/>
      <w:bookmarkStart w:id="113" w:name="_Toc27891"/>
      <w:bookmarkEnd w:id="113"/>
      <w:bookmarkStart w:id="114" w:name="_Toc17055"/>
      <w:r>
        <w:rPr>
          <w:color w:val="auto"/>
          <w:sz w:val="21"/>
          <w:szCs w:val="21"/>
          <w:highlight w:val="none"/>
        </w:rPr>
        <w:t>1.3</w:t>
      </w:r>
      <w:bookmarkEnd w:id="114"/>
      <w:r>
        <w:rPr>
          <w:rFonts w:hint="eastAsia"/>
          <w:color w:val="auto"/>
          <w:sz w:val="21"/>
          <w:szCs w:val="21"/>
          <w:highlight w:val="none"/>
          <w:lang w:val="en-US" w:eastAsia="zh-CN"/>
        </w:rPr>
        <w:t>服务</w:t>
      </w:r>
      <w:r>
        <w:rPr>
          <w:rFonts w:hint="eastAsia" w:ascii="宋体" w:hAnsi="宋体"/>
          <w:color w:val="auto"/>
          <w:sz w:val="21"/>
          <w:szCs w:val="21"/>
          <w:highlight w:val="none"/>
        </w:rPr>
        <w:t>内容、</w:t>
      </w:r>
      <w:r>
        <w:rPr>
          <w:rFonts w:hint="eastAsia" w:ascii="宋体" w:hAnsi="宋体"/>
          <w:color w:val="auto"/>
          <w:sz w:val="21"/>
          <w:szCs w:val="21"/>
          <w:highlight w:val="none"/>
          <w:lang w:val="en-US" w:eastAsia="zh-CN"/>
        </w:rPr>
        <w:t>服务</w:t>
      </w:r>
      <w:r>
        <w:rPr>
          <w:rFonts w:hint="eastAsia" w:ascii="宋体" w:hAnsi="宋体"/>
          <w:color w:val="auto"/>
          <w:sz w:val="21"/>
          <w:szCs w:val="21"/>
          <w:highlight w:val="none"/>
        </w:rPr>
        <w:t>期限、质量要求等</w:t>
      </w:r>
    </w:p>
    <w:p w14:paraId="627DF545">
      <w:pPr>
        <w:spacing w:line="360" w:lineRule="auto"/>
        <w:ind w:firstLine="420" w:firstLineChars="200"/>
        <w:rPr>
          <w:color w:val="auto"/>
          <w:highlight w:val="none"/>
        </w:rPr>
      </w:pPr>
      <w:r>
        <w:rPr>
          <w:color w:val="auto"/>
          <w:highlight w:val="none"/>
        </w:rPr>
        <w:t xml:space="preserve">1.3.1 </w:t>
      </w:r>
      <w:r>
        <w:rPr>
          <w:rFonts w:hint="eastAsia" w:ascii="宋体" w:hAnsi="宋体"/>
          <w:color w:val="auto"/>
          <w:highlight w:val="none"/>
        </w:rPr>
        <w:t>本次</w:t>
      </w:r>
      <w:r>
        <w:rPr>
          <w:rFonts w:hint="eastAsia" w:ascii="宋体" w:hAnsi="宋体"/>
          <w:color w:val="auto"/>
          <w:highlight w:val="none"/>
          <w:lang w:val="en-US" w:eastAsia="zh-CN"/>
        </w:rPr>
        <w:t>服务</w:t>
      </w:r>
      <w:r>
        <w:rPr>
          <w:rFonts w:hint="eastAsia" w:ascii="宋体" w:hAnsi="宋体"/>
          <w:color w:val="auto"/>
          <w:highlight w:val="none"/>
        </w:rPr>
        <w:t>内容：见供应商须知前附表。</w:t>
      </w:r>
    </w:p>
    <w:p w14:paraId="566CB047">
      <w:pPr>
        <w:spacing w:line="360" w:lineRule="auto"/>
        <w:ind w:firstLine="420" w:firstLineChars="200"/>
        <w:rPr>
          <w:color w:val="auto"/>
          <w:highlight w:val="none"/>
        </w:rPr>
      </w:pPr>
      <w:r>
        <w:rPr>
          <w:color w:val="auto"/>
          <w:highlight w:val="none"/>
        </w:rPr>
        <w:t xml:space="preserve">1.3.2 </w:t>
      </w:r>
      <w:r>
        <w:rPr>
          <w:rFonts w:hint="eastAsia" w:ascii="宋体" w:hAnsi="宋体"/>
          <w:color w:val="auto"/>
          <w:highlight w:val="none"/>
        </w:rPr>
        <w:t>本招标项目的</w:t>
      </w:r>
      <w:r>
        <w:rPr>
          <w:rFonts w:hint="eastAsia" w:ascii="宋体" w:hAnsi="宋体"/>
          <w:color w:val="auto"/>
          <w:highlight w:val="none"/>
          <w:lang w:val="en-US" w:eastAsia="zh-CN"/>
        </w:rPr>
        <w:t>服务</w:t>
      </w:r>
      <w:r>
        <w:rPr>
          <w:rFonts w:hint="eastAsia" w:ascii="宋体" w:hAnsi="宋体"/>
          <w:color w:val="auto"/>
          <w:highlight w:val="none"/>
        </w:rPr>
        <w:t>期限：见供应商须知前附表。</w:t>
      </w:r>
    </w:p>
    <w:p w14:paraId="4ACFB04A">
      <w:pPr>
        <w:spacing w:line="360" w:lineRule="auto"/>
        <w:ind w:firstLine="420" w:firstLineChars="200"/>
        <w:rPr>
          <w:color w:val="auto"/>
          <w:highlight w:val="none"/>
        </w:rPr>
      </w:pPr>
      <w:r>
        <w:rPr>
          <w:color w:val="auto"/>
          <w:highlight w:val="none"/>
        </w:rPr>
        <w:t xml:space="preserve">1.3.3 </w:t>
      </w:r>
      <w:r>
        <w:rPr>
          <w:rFonts w:hint="eastAsia" w:ascii="宋体" w:hAnsi="宋体"/>
          <w:color w:val="auto"/>
          <w:highlight w:val="none"/>
        </w:rPr>
        <w:t>本招标项目的质量要求：见供应商须知前附表。</w:t>
      </w:r>
    </w:p>
    <w:p w14:paraId="051431F2">
      <w:pPr>
        <w:spacing w:line="360" w:lineRule="auto"/>
        <w:ind w:firstLine="420" w:firstLineChars="200"/>
        <w:rPr>
          <w:color w:val="auto"/>
          <w:highlight w:val="none"/>
        </w:rPr>
      </w:pPr>
      <w:r>
        <w:rPr>
          <w:color w:val="auto"/>
          <w:highlight w:val="none"/>
        </w:rPr>
        <w:t>1.3.4</w:t>
      </w:r>
      <w:r>
        <w:rPr>
          <w:rFonts w:hint="eastAsia" w:ascii="宋体" w:hAnsi="宋体"/>
          <w:color w:val="auto"/>
          <w:highlight w:val="none"/>
        </w:rPr>
        <w:t>本招标项目的</w:t>
      </w:r>
      <w:r>
        <w:rPr>
          <w:rFonts w:hint="eastAsia" w:ascii="宋体" w:hAnsi="宋体"/>
          <w:color w:val="auto"/>
          <w:highlight w:val="none"/>
          <w:lang w:val="en-US" w:eastAsia="zh-CN"/>
        </w:rPr>
        <w:t>服务</w:t>
      </w:r>
      <w:r>
        <w:rPr>
          <w:rFonts w:hint="eastAsia" w:ascii="宋体" w:hAnsi="宋体"/>
          <w:color w:val="auto"/>
          <w:highlight w:val="none"/>
        </w:rPr>
        <w:t>地点：见供应商须知前附表。</w:t>
      </w:r>
    </w:p>
    <w:p w14:paraId="59175FC5">
      <w:pPr>
        <w:pStyle w:val="4"/>
        <w:spacing w:before="0" w:after="0" w:line="360" w:lineRule="auto"/>
        <w:rPr>
          <w:color w:val="auto"/>
          <w:sz w:val="21"/>
          <w:szCs w:val="21"/>
          <w:highlight w:val="none"/>
        </w:rPr>
      </w:pPr>
      <w:bookmarkStart w:id="115" w:name="_Toc246996922"/>
      <w:bookmarkEnd w:id="115"/>
      <w:bookmarkStart w:id="116" w:name="_Toc24677"/>
      <w:bookmarkEnd w:id="116"/>
      <w:bookmarkStart w:id="117" w:name="_Toc246996179"/>
      <w:bookmarkEnd w:id="117"/>
      <w:bookmarkStart w:id="118" w:name="_Toc247085693"/>
      <w:bookmarkEnd w:id="118"/>
      <w:bookmarkStart w:id="119" w:name="_Toc28046"/>
      <w:bookmarkEnd w:id="119"/>
      <w:bookmarkStart w:id="120" w:name="_Toc144974502"/>
      <w:bookmarkEnd w:id="120"/>
      <w:bookmarkStart w:id="121" w:name="_Toc9022"/>
      <w:bookmarkEnd w:id="121"/>
      <w:bookmarkStart w:id="122" w:name="_Toc338840191"/>
      <w:bookmarkEnd w:id="122"/>
      <w:bookmarkStart w:id="123" w:name="_Toc13675"/>
      <w:bookmarkEnd w:id="123"/>
      <w:bookmarkStart w:id="124" w:name="_Toc179632551"/>
      <w:bookmarkEnd w:id="124"/>
      <w:bookmarkStart w:id="125" w:name="_Toc3934"/>
      <w:bookmarkEnd w:id="125"/>
      <w:bookmarkStart w:id="126" w:name="_Toc152042310"/>
      <w:bookmarkEnd w:id="126"/>
      <w:bookmarkStart w:id="127" w:name="_Toc152045534"/>
      <w:bookmarkEnd w:id="127"/>
      <w:bookmarkStart w:id="128" w:name="_Toc31419"/>
      <w:bookmarkEnd w:id="128"/>
      <w:bookmarkStart w:id="129" w:name="_Toc31463"/>
      <w:bookmarkEnd w:id="129"/>
      <w:bookmarkStart w:id="130" w:name="_Toc18909"/>
      <w:bookmarkEnd w:id="130"/>
      <w:bookmarkStart w:id="131" w:name="_Toc15966"/>
      <w:r>
        <w:rPr>
          <w:color w:val="auto"/>
          <w:sz w:val="21"/>
          <w:szCs w:val="21"/>
          <w:highlight w:val="none"/>
        </w:rPr>
        <w:t xml:space="preserve">1.4 </w:t>
      </w:r>
      <w:bookmarkEnd w:id="131"/>
      <w:r>
        <w:rPr>
          <w:rFonts w:hint="eastAsia" w:ascii="宋体" w:hAnsi="宋体"/>
          <w:color w:val="auto"/>
          <w:sz w:val="21"/>
          <w:szCs w:val="21"/>
          <w:highlight w:val="none"/>
        </w:rPr>
        <w:t>供应商资格要求</w:t>
      </w:r>
    </w:p>
    <w:p w14:paraId="07F85139">
      <w:pPr>
        <w:pStyle w:val="4"/>
        <w:spacing w:before="0" w:after="0" w:line="360" w:lineRule="auto"/>
        <w:ind w:firstLine="420" w:firstLineChars="200"/>
        <w:rPr>
          <w:b w:val="0"/>
          <w:bCs w:val="0"/>
          <w:color w:val="auto"/>
          <w:sz w:val="21"/>
          <w:szCs w:val="21"/>
          <w:highlight w:val="none"/>
        </w:rPr>
      </w:pPr>
      <w:bookmarkStart w:id="132" w:name="_Toc21833"/>
      <w:bookmarkEnd w:id="132"/>
      <w:bookmarkStart w:id="133" w:name="_Toc26083"/>
      <w:r>
        <w:rPr>
          <w:b w:val="0"/>
          <w:bCs w:val="0"/>
          <w:color w:val="auto"/>
          <w:sz w:val="21"/>
          <w:szCs w:val="21"/>
          <w:highlight w:val="none"/>
        </w:rPr>
        <w:t xml:space="preserve">1.4.1 </w:t>
      </w:r>
      <w:bookmarkEnd w:id="133"/>
      <w:r>
        <w:rPr>
          <w:rFonts w:hint="eastAsia" w:ascii="宋体" w:hAnsi="宋体"/>
          <w:b w:val="0"/>
          <w:bCs w:val="0"/>
          <w:color w:val="auto"/>
          <w:sz w:val="21"/>
          <w:szCs w:val="21"/>
          <w:highlight w:val="none"/>
        </w:rPr>
        <w:t>供应商应具备承担本项目的资格条件。见供应商须知前附表；</w:t>
      </w:r>
    </w:p>
    <w:p w14:paraId="40290720">
      <w:pPr>
        <w:spacing w:line="360" w:lineRule="auto"/>
        <w:ind w:firstLine="420" w:firstLineChars="200"/>
        <w:rPr>
          <w:color w:val="auto"/>
          <w:highlight w:val="none"/>
        </w:rPr>
      </w:pPr>
      <w:r>
        <w:rPr>
          <w:color w:val="auto"/>
          <w:highlight w:val="none"/>
        </w:rPr>
        <w:t xml:space="preserve">1.4.2 </w:t>
      </w:r>
      <w:r>
        <w:rPr>
          <w:rFonts w:hint="eastAsia" w:ascii="宋体" w:hAnsi="宋体"/>
          <w:color w:val="auto"/>
          <w:highlight w:val="none"/>
        </w:rPr>
        <w:t>供应商</w:t>
      </w:r>
      <w:r>
        <w:rPr>
          <w:rFonts w:ascii="宋体" w:hAnsi="宋体"/>
          <w:color w:val="auto"/>
          <w:highlight w:val="none"/>
        </w:rPr>
        <w:t>须知前附表规定</w:t>
      </w:r>
      <w:r>
        <w:rPr>
          <w:rFonts w:hint="eastAsia" w:ascii="宋体" w:hAnsi="宋体"/>
          <w:color w:val="auto"/>
          <w:highlight w:val="none"/>
        </w:rPr>
        <w:t>不</w:t>
      </w:r>
      <w:r>
        <w:rPr>
          <w:rFonts w:ascii="宋体" w:hAnsi="宋体"/>
          <w:color w:val="auto"/>
          <w:highlight w:val="none"/>
        </w:rPr>
        <w:t>接受联合体投标</w:t>
      </w:r>
      <w:r>
        <w:rPr>
          <w:rFonts w:hint="eastAsia" w:ascii="宋体" w:hAnsi="宋体"/>
          <w:color w:val="auto"/>
          <w:highlight w:val="none"/>
        </w:rPr>
        <w:t>。</w:t>
      </w:r>
    </w:p>
    <w:p w14:paraId="654E6BB0">
      <w:pPr>
        <w:pStyle w:val="10"/>
        <w:spacing w:before="0" w:beforeAutospacing="0" w:after="0"/>
        <w:ind w:firstLine="420" w:firstLineChars="200"/>
        <w:jc w:val="left"/>
        <w:rPr>
          <w:color w:val="auto"/>
          <w:highlight w:val="none"/>
        </w:rPr>
      </w:pPr>
      <w:r>
        <w:rPr>
          <w:rFonts w:ascii="Times New Roman" w:hAnsi="Times New Roman"/>
          <w:color w:val="auto"/>
          <w:highlight w:val="none"/>
        </w:rPr>
        <w:t>1.4.3</w:t>
      </w:r>
      <w:r>
        <w:rPr>
          <w:rFonts w:hint="eastAsia" w:ascii="宋体" w:hAnsi="宋体"/>
          <w:color w:val="auto"/>
          <w:spacing w:val="-2"/>
          <w:highlight w:val="none"/>
        </w:rPr>
        <w:t>供应商</w:t>
      </w:r>
      <w:r>
        <w:rPr>
          <w:rFonts w:ascii="宋体" w:hAnsi="宋体"/>
          <w:color w:val="auto"/>
          <w:spacing w:val="-2"/>
          <w:highlight w:val="none"/>
        </w:rPr>
        <w:t>不得存在下列情形之一：</w:t>
      </w:r>
    </w:p>
    <w:p w14:paraId="783974B9">
      <w:pPr>
        <w:pStyle w:val="10"/>
        <w:spacing w:before="0" w:beforeAutospacing="0" w:after="0" w:line="360" w:lineRule="auto"/>
        <w:ind w:firstLine="412" w:firstLineChars="200"/>
        <w:jc w:val="left"/>
        <w:rPr>
          <w:color w:val="auto"/>
          <w:highlight w:val="none"/>
        </w:rPr>
      </w:pPr>
      <w:r>
        <w:rPr>
          <w:rFonts w:ascii="宋体" w:hAnsi="宋体"/>
          <w:color w:val="auto"/>
          <w:spacing w:val="-2"/>
          <w:highlight w:val="none"/>
        </w:rPr>
        <w:t>（</w:t>
      </w:r>
      <w:r>
        <w:rPr>
          <w:rFonts w:ascii="Times New Roman" w:hAnsi="Times New Roman"/>
          <w:color w:val="auto"/>
          <w:spacing w:val="-2"/>
          <w:highlight w:val="none"/>
        </w:rPr>
        <w:t>1</w:t>
      </w:r>
      <w:r>
        <w:rPr>
          <w:rFonts w:ascii="宋体" w:hAnsi="宋体"/>
          <w:color w:val="auto"/>
          <w:spacing w:val="-2"/>
          <w:highlight w:val="none"/>
        </w:rPr>
        <w:t>）与</w:t>
      </w:r>
      <w:r>
        <w:rPr>
          <w:rFonts w:hint="eastAsia" w:ascii="宋体" w:hAnsi="宋体"/>
          <w:color w:val="auto"/>
          <w:spacing w:val="-2"/>
          <w:highlight w:val="none"/>
        </w:rPr>
        <w:t>采购人</w:t>
      </w:r>
      <w:r>
        <w:rPr>
          <w:rFonts w:ascii="宋体" w:hAnsi="宋体"/>
          <w:color w:val="auto"/>
          <w:spacing w:val="-2"/>
          <w:highlight w:val="none"/>
        </w:rPr>
        <w:t>存在利害关系且可能影响招标公正性；</w:t>
      </w:r>
    </w:p>
    <w:p w14:paraId="2A8BF7BF">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（2）与本招标项目的其他</w:t>
      </w:r>
      <w:r>
        <w:rPr>
          <w:rFonts w:hint="eastAsia" w:ascii="宋体" w:hAnsi="宋体"/>
          <w:color w:val="auto"/>
          <w:spacing w:val="-2"/>
          <w:highlight w:val="none"/>
        </w:rPr>
        <w:t>供应商</w:t>
      </w:r>
      <w:r>
        <w:rPr>
          <w:rFonts w:ascii="宋体" w:hAnsi="宋体"/>
          <w:color w:val="auto"/>
          <w:spacing w:val="-2"/>
          <w:highlight w:val="none"/>
        </w:rPr>
        <w:t>为同一个单位负责人；</w:t>
      </w:r>
    </w:p>
    <w:p w14:paraId="31C9430D">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（3）与本招标项目的其他</w:t>
      </w:r>
      <w:r>
        <w:rPr>
          <w:rFonts w:hint="eastAsia" w:ascii="宋体" w:hAnsi="宋体"/>
          <w:color w:val="auto"/>
          <w:spacing w:val="-2"/>
          <w:highlight w:val="none"/>
        </w:rPr>
        <w:t>供应商</w:t>
      </w:r>
      <w:r>
        <w:rPr>
          <w:rFonts w:ascii="宋体" w:hAnsi="宋体"/>
          <w:color w:val="auto"/>
          <w:spacing w:val="-2"/>
          <w:highlight w:val="none"/>
        </w:rPr>
        <w:t>存在控股、管理关系；</w:t>
      </w:r>
    </w:p>
    <w:p w14:paraId="6BEB2991">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（4）与本招标项目其他</w:t>
      </w:r>
      <w:r>
        <w:rPr>
          <w:rFonts w:hint="eastAsia" w:ascii="宋体" w:hAnsi="宋体"/>
          <w:color w:val="auto"/>
          <w:spacing w:val="-2"/>
          <w:highlight w:val="none"/>
        </w:rPr>
        <w:t>供应商</w:t>
      </w:r>
      <w:r>
        <w:rPr>
          <w:rFonts w:ascii="宋体" w:hAnsi="宋体"/>
          <w:color w:val="auto"/>
          <w:spacing w:val="-2"/>
          <w:highlight w:val="none"/>
        </w:rPr>
        <w:t>代理同一个制造商同一品牌同一型号的设备投标；</w:t>
      </w:r>
    </w:p>
    <w:p w14:paraId="0DC35289">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（5）为本招标项目提供过设计、编制技术规范和其他文件的咨询服务；</w:t>
      </w:r>
    </w:p>
    <w:p w14:paraId="6DC9811F">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（6）为本工程项目的相关监理人，或者与本工程项目的相关监理人存在隶属关系或者其他利害关系；</w:t>
      </w:r>
    </w:p>
    <w:p w14:paraId="1F91F116">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（7）为本招标项目的代建人；</w:t>
      </w:r>
    </w:p>
    <w:p w14:paraId="3284DAA9">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（8）为本招标项目的</w:t>
      </w:r>
      <w:r>
        <w:rPr>
          <w:rFonts w:hint="eastAsia" w:ascii="宋体" w:hAnsi="宋体"/>
          <w:color w:val="auto"/>
          <w:spacing w:val="-2"/>
          <w:highlight w:val="none"/>
        </w:rPr>
        <w:t>采购代理机构</w:t>
      </w:r>
      <w:r>
        <w:rPr>
          <w:rFonts w:ascii="宋体" w:hAnsi="宋体"/>
          <w:color w:val="auto"/>
          <w:spacing w:val="-2"/>
          <w:highlight w:val="none"/>
        </w:rPr>
        <w:t>；</w:t>
      </w:r>
    </w:p>
    <w:p w14:paraId="0139D745">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（9）与本招标项目的监理人或代建人或</w:t>
      </w:r>
      <w:r>
        <w:rPr>
          <w:rFonts w:hint="eastAsia" w:ascii="宋体" w:hAnsi="宋体"/>
          <w:color w:val="auto"/>
          <w:spacing w:val="-2"/>
          <w:highlight w:val="none"/>
        </w:rPr>
        <w:t>采购代理机构</w:t>
      </w:r>
      <w:r>
        <w:rPr>
          <w:rFonts w:ascii="宋体" w:hAnsi="宋体"/>
          <w:color w:val="auto"/>
          <w:spacing w:val="-2"/>
          <w:highlight w:val="none"/>
        </w:rPr>
        <w:t>同为一个法定代表人；</w:t>
      </w:r>
    </w:p>
    <w:p w14:paraId="348F1B8A">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（10）与本招标项目的监理人或代建人或</w:t>
      </w:r>
      <w:r>
        <w:rPr>
          <w:rFonts w:hint="eastAsia" w:ascii="宋体" w:hAnsi="宋体"/>
          <w:color w:val="auto"/>
          <w:spacing w:val="-2"/>
          <w:highlight w:val="none"/>
        </w:rPr>
        <w:t>采购代理机构</w:t>
      </w:r>
      <w:r>
        <w:rPr>
          <w:rFonts w:ascii="宋体" w:hAnsi="宋体"/>
          <w:color w:val="auto"/>
          <w:spacing w:val="-2"/>
          <w:highlight w:val="none"/>
        </w:rPr>
        <w:t>存在控股或参股关系；</w:t>
      </w:r>
    </w:p>
    <w:p w14:paraId="6A944E75">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（11）被依法暂停或者取消投标资格；</w:t>
      </w:r>
    </w:p>
    <w:p w14:paraId="198FAC52">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（12）被责令停产停业、暂扣或者吊销许可证、暂扣或者吊销执照；</w:t>
      </w:r>
    </w:p>
    <w:p w14:paraId="76DDE4A5">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（13）进入清算程序，或被宣告破产，或其他丧失履约能力的情形；</w:t>
      </w:r>
    </w:p>
    <w:p w14:paraId="2018E4BD">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（14）在最近三年内发生重大产品质量问题（以相关行业主管部门的行政处罚决定或司法 机关出具的有关法律文书为准）；</w:t>
      </w:r>
    </w:p>
    <w:p w14:paraId="7E13AAD5">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（15）被工商行政管理机关在全国企业信用信息公示系统中列入严重违法失信企业名单；</w:t>
      </w:r>
    </w:p>
    <w:p w14:paraId="0280AE1A">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（16）被最高人民法院在“信用中国”网站（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ascii="宋体" w:hAnsi="宋体"/>
          <w:color w:val="auto"/>
          <w:spacing w:val="-2"/>
          <w:highlight w:val="none"/>
        </w:rPr>
        <w:t>www.creditchina.gov.cn</w:t>
      </w:r>
      <w:r>
        <w:rPr>
          <w:rFonts w:ascii="宋体" w:hAnsi="宋体"/>
          <w:color w:val="auto"/>
          <w:spacing w:val="-2"/>
          <w:highlight w:val="none"/>
        </w:rPr>
        <w:fldChar w:fldCharType="end"/>
      </w:r>
      <w:r>
        <w:rPr>
          <w:rFonts w:ascii="宋体" w:hAnsi="宋体"/>
          <w:color w:val="auto"/>
          <w:spacing w:val="-2"/>
          <w:highlight w:val="none"/>
        </w:rPr>
        <w:t>）或各级信用信息共享平台中列入失信被执行人名单；</w:t>
      </w:r>
    </w:p>
    <w:p w14:paraId="4CFC12EE">
      <w:pPr>
        <w:pStyle w:val="10"/>
        <w:spacing w:before="0" w:beforeAutospacing="0" w:after="0" w:line="360" w:lineRule="auto"/>
        <w:ind w:firstLine="412" w:firstLineChars="200"/>
        <w:jc w:val="left"/>
        <w:rPr>
          <w:rFonts w:hint="eastAsia" w:ascii="宋体" w:hAnsi="宋体"/>
          <w:color w:val="auto"/>
          <w:spacing w:val="-2"/>
          <w:highlight w:val="none"/>
        </w:rPr>
      </w:pPr>
      <w:r>
        <w:rPr>
          <w:rFonts w:ascii="宋体" w:hAnsi="宋体"/>
          <w:color w:val="auto"/>
          <w:spacing w:val="-2"/>
          <w:highlight w:val="none"/>
        </w:rPr>
        <w:t>（17）法律法规或</w:t>
      </w:r>
      <w:r>
        <w:rPr>
          <w:rFonts w:hint="eastAsia" w:ascii="宋体" w:hAnsi="宋体"/>
          <w:color w:val="auto"/>
          <w:spacing w:val="-2"/>
          <w:highlight w:val="none"/>
        </w:rPr>
        <w:t>供应商</w:t>
      </w:r>
      <w:r>
        <w:rPr>
          <w:rFonts w:ascii="宋体" w:hAnsi="宋体"/>
          <w:color w:val="auto"/>
          <w:spacing w:val="-2"/>
          <w:highlight w:val="none"/>
        </w:rPr>
        <w:t>须知前附表规定的其他情</w:t>
      </w:r>
      <w:r>
        <w:rPr>
          <w:rFonts w:hint="eastAsia" w:ascii="宋体" w:hAnsi="宋体"/>
          <w:color w:val="auto"/>
          <w:spacing w:val="-2"/>
          <w:highlight w:val="none"/>
        </w:rPr>
        <w:t>形。</w:t>
      </w:r>
      <w:bookmarkStart w:id="134" w:name="_Toc14068"/>
      <w:bookmarkEnd w:id="134"/>
      <w:bookmarkStart w:id="135" w:name="_Toc152042311"/>
      <w:bookmarkEnd w:id="135"/>
      <w:bookmarkStart w:id="136" w:name="_Toc247085694"/>
      <w:bookmarkEnd w:id="136"/>
      <w:bookmarkStart w:id="137" w:name="_Toc246996180"/>
      <w:bookmarkEnd w:id="137"/>
      <w:bookmarkStart w:id="138" w:name="_Toc144974503"/>
      <w:bookmarkEnd w:id="138"/>
      <w:bookmarkStart w:id="139" w:name="_Toc13438"/>
      <w:bookmarkEnd w:id="139"/>
      <w:bookmarkStart w:id="140" w:name="_Toc3129"/>
      <w:bookmarkEnd w:id="140"/>
      <w:bookmarkStart w:id="141" w:name="_Toc22797"/>
      <w:bookmarkEnd w:id="141"/>
      <w:bookmarkStart w:id="142" w:name="_Toc246996923"/>
      <w:bookmarkEnd w:id="142"/>
      <w:bookmarkStart w:id="143" w:name="_Toc5605"/>
      <w:bookmarkEnd w:id="143"/>
      <w:bookmarkStart w:id="144" w:name="_Toc152045535"/>
      <w:bookmarkEnd w:id="144"/>
      <w:bookmarkStart w:id="145" w:name="_Toc29833"/>
      <w:bookmarkEnd w:id="145"/>
      <w:bookmarkStart w:id="146" w:name="_Toc10352"/>
      <w:bookmarkEnd w:id="146"/>
      <w:bookmarkStart w:id="147" w:name="_Toc30813"/>
      <w:bookmarkEnd w:id="147"/>
      <w:bookmarkStart w:id="148" w:name="_Toc338840192"/>
      <w:bookmarkEnd w:id="148"/>
      <w:bookmarkStart w:id="149" w:name="_Toc25498"/>
      <w:bookmarkEnd w:id="149"/>
      <w:bookmarkStart w:id="150" w:name="_Toc179632552"/>
    </w:p>
    <w:p w14:paraId="06693363">
      <w:pPr>
        <w:adjustRightInd w:val="0"/>
        <w:snapToGrid w:val="0"/>
        <w:spacing w:line="360" w:lineRule="auto"/>
        <w:ind w:firstLine="42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 xml:space="preserve">1.4.4 参与同一个标段(包)的供应商存在下列情形之一的，其投标（响应）文件无效： </w:t>
      </w:r>
    </w:p>
    <w:p w14:paraId="556A5E12">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(一)不同供应商的电子投标(响应)文件上传计算机的网卡MAC地址、CPU序列号和硬盘序列号等硬件信息相同的；</w:t>
      </w:r>
    </w:p>
    <w:p w14:paraId="687C2117">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(二)不同供应商的投标(响应)文件由同一电子设备编制、打印加密或者上传；</w:t>
      </w:r>
    </w:p>
    <w:p w14:paraId="6AAC7343">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(三)不同供应商的投标(响应)文件由同一电子设备打印、复印；</w:t>
      </w:r>
    </w:p>
    <w:p w14:paraId="602686D1">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(四)不同供应商的投标(响应)文件由同一人送达或者分发，或者不同供应商联系人为同一人或不同联系人的联系电话一致的；</w:t>
      </w:r>
    </w:p>
    <w:p w14:paraId="1704CA61">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(五)不同供应商的投标(响应)文件的内容存在两处以上细节错误一致；</w:t>
      </w:r>
    </w:p>
    <w:p w14:paraId="4C4C87F1">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（六）不同供应商的法定代表人、委托代理人、项目经理、项目负责人等由同一个单位缴纳社会保险或者领取报酬的；</w:t>
      </w:r>
    </w:p>
    <w:p w14:paraId="2F1F8572">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(七)不同供应商投标(响应)文件中法定代表人或者负责人签字出自同一人之手；</w:t>
      </w:r>
    </w:p>
    <w:p w14:paraId="37249E11">
      <w:pPr>
        <w:adjustRightInd w:val="0"/>
        <w:snapToGrid w:val="0"/>
        <w:spacing w:line="360" w:lineRule="auto"/>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(八)其它涉嫌串通的情形。</w:t>
      </w:r>
    </w:p>
    <w:p w14:paraId="018F893C">
      <w:pPr>
        <w:pStyle w:val="4"/>
        <w:spacing w:before="0" w:after="0" w:line="240" w:lineRule="auto"/>
        <w:rPr>
          <w:color w:val="auto"/>
          <w:sz w:val="21"/>
          <w:szCs w:val="21"/>
          <w:highlight w:val="none"/>
        </w:rPr>
      </w:pPr>
      <w:r>
        <w:rPr>
          <w:color w:val="auto"/>
          <w:sz w:val="21"/>
          <w:szCs w:val="21"/>
          <w:highlight w:val="none"/>
        </w:rPr>
        <w:t xml:space="preserve">1.5 </w:t>
      </w:r>
      <w:bookmarkEnd w:id="150"/>
      <w:r>
        <w:rPr>
          <w:rFonts w:hint="eastAsia"/>
          <w:color w:val="auto"/>
          <w:sz w:val="21"/>
          <w:szCs w:val="21"/>
          <w:highlight w:val="none"/>
        </w:rPr>
        <w:t>费用承担</w:t>
      </w:r>
    </w:p>
    <w:p w14:paraId="5D410D30">
      <w:pPr>
        <w:pStyle w:val="10"/>
        <w:spacing w:before="0" w:beforeAutospacing="0" w:after="0"/>
        <w:ind w:firstLine="412" w:firstLineChars="200"/>
        <w:jc w:val="left"/>
        <w:rPr>
          <w:color w:val="auto"/>
          <w:spacing w:val="-2"/>
          <w:highlight w:val="none"/>
        </w:rPr>
      </w:pPr>
      <w:r>
        <w:rPr>
          <w:rFonts w:hint="eastAsia" w:ascii="宋体" w:hAnsi="宋体"/>
          <w:color w:val="auto"/>
          <w:spacing w:val="-2"/>
          <w:highlight w:val="none"/>
        </w:rPr>
        <w:t>供应商准备和参加投标活动发生的费用自理。</w:t>
      </w:r>
    </w:p>
    <w:p w14:paraId="38B29643">
      <w:pPr>
        <w:pStyle w:val="4"/>
        <w:spacing w:before="0" w:after="0" w:line="240" w:lineRule="auto"/>
        <w:rPr>
          <w:color w:val="auto"/>
          <w:sz w:val="21"/>
          <w:szCs w:val="21"/>
          <w:highlight w:val="none"/>
        </w:rPr>
      </w:pPr>
      <w:bookmarkStart w:id="151" w:name="_Toc246996924"/>
      <w:bookmarkEnd w:id="151"/>
      <w:bookmarkStart w:id="152" w:name="_Toc28861"/>
      <w:bookmarkEnd w:id="152"/>
      <w:bookmarkStart w:id="153" w:name="_Toc152045536"/>
      <w:bookmarkEnd w:id="153"/>
      <w:bookmarkStart w:id="154" w:name="_Toc179632553"/>
      <w:bookmarkEnd w:id="154"/>
      <w:bookmarkStart w:id="155" w:name="_Toc31532"/>
      <w:bookmarkEnd w:id="155"/>
      <w:bookmarkStart w:id="156" w:name="_Toc144974504"/>
      <w:bookmarkEnd w:id="156"/>
      <w:bookmarkStart w:id="157" w:name="_Toc338840193"/>
      <w:bookmarkEnd w:id="157"/>
      <w:bookmarkStart w:id="158" w:name="_Toc246996181"/>
      <w:bookmarkEnd w:id="158"/>
      <w:bookmarkStart w:id="159" w:name="_Toc24444"/>
      <w:bookmarkEnd w:id="159"/>
      <w:bookmarkStart w:id="160" w:name="_Toc247085695"/>
      <w:bookmarkEnd w:id="160"/>
      <w:bookmarkStart w:id="161" w:name="_Toc17035"/>
      <w:bookmarkEnd w:id="161"/>
      <w:bookmarkStart w:id="162" w:name="_Toc16992"/>
      <w:bookmarkEnd w:id="162"/>
      <w:bookmarkStart w:id="163" w:name="_Toc31198"/>
      <w:bookmarkEnd w:id="163"/>
      <w:bookmarkStart w:id="164" w:name="_Toc152042312"/>
      <w:bookmarkEnd w:id="164"/>
      <w:bookmarkStart w:id="165" w:name="_Toc29322"/>
      <w:bookmarkEnd w:id="165"/>
      <w:bookmarkStart w:id="166" w:name="_Toc476"/>
      <w:bookmarkEnd w:id="166"/>
      <w:bookmarkStart w:id="167" w:name="_Toc20184"/>
      <w:r>
        <w:rPr>
          <w:color w:val="auto"/>
          <w:sz w:val="21"/>
          <w:szCs w:val="21"/>
          <w:highlight w:val="none"/>
        </w:rPr>
        <w:t xml:space="preserve">1.6 </w:t>
      </w:r>
      <w:bookmarkEnd w:id="167"/>
      <w:r>
        <w:rPr>
          <w:rFonts w:hint="eastAsia" w:ascii="宋体" w:hAnsi="宋体"/>
          <w:color w:val="auto"/>
          <w:sz w:val="21"/>
          <w:szCs w:val="21"/>
          <w:highlight w:val="none"/>
        </w:rPr>
        <w:t>保密</w:t>
      </w:r>
    </w:p>
    <w:p w14:paraId="11A70A5A">
      <w:pPr>
        <w:ind w:firstLine="420" w:firstLineChars="200"/>
        <w:rPr>
          <w:color w:val="auto"/>
          <w:highlight w:val="none"/>
        </w:rPr>
      </w:pPr>
      <w:r>
        <w:rPr>
          <w:rFonts w:hint="eastAsia" w:ascii="宋体" w:hAnsi="宋体"/>
          <w:color w:val="auto"/>
          <w:highlight w:val="none"/>
        </w:rPr>
        <w:t>参与招标投标活动的各方应对招标文件和投标文件中的商业和技术等秘密保密，违者应对由此造成的后果承担法律责任。</w:t>
      </w:r>
    </w:p>
    <w:p w14:paraId="52ABBA67">
      <w:pPr>
        <w:pStyle w:val="4"/>
        <w:spacing w:before="0" w:after="0" w:line="500" w:lineRule="exact"/>
        <w:rPr>
          <w:color w:val="auto"/>
          <w:sz w:val="21"/>
          <w:szCs w:val="21"/>
          <w:highlight w:val="none"/>
        </w:rPr>
      </w:pPr>
      <w:bookmarkStart w:id="168" w:name="_Toc338840194"/>
      <w:bookmarkEnd w:id="168"/>
      <w:bookmarkStart w:id="169" w:name="_Toc30567"/>
      <w:bookmarkEnd w:id="169"/>
      <w:bookmarkStart w:id="170" w:name="_Toc15354"/>
      <w:bookmarkEnd w:id="170"/>
      <w:bookmarkStart w:id="171" w:name="_Toc26403"/>
      <w:bookmarkEnd w:id="171"/>
      <w:bookmarkStart w:id="172" w:name="_Toc246996182"/>
      <w:bookmarkEnd w:id="172"/>
      <w:bookmarkStart w:id="173" w:name="_Toc152042313"/>
      <w:bookmarkEnd w:id="173"/>
      <w:bookmarkStart w:id="174" w:name="_Toc179632554"/>
      <w:bookmarkEnd w:id="174"/>
      <w:bookmarkStart w:id="175" w:name="_Toc14045"/>
      <w:bookmarkEnd w:id="175"/>
      <w:bookmarkStart w:id="176" w:name="_Toc22936"/>
      <w:bookmarkEnd w:id="176"/>
      <w:bookmarkStart w:id="177" w:name="_Toc18736"/>
      <w:bookmarkEnd w:id="177"/>
      <w:bookmarkStart w:id="178" w:name="_Toc18859"/>
      <w:bookmarkEnd w:id="178"/>
      <w:bookmarkStart w:id="179" w:name="_Toc247085696"/>
      <w:bookmarkEnd w:id="179"/>
      <w:bookmarkStart w:id="180" w:name="_Toc144974505"/>
      <w:bookmarkEnd w:id="180"/>
      <w:bookmarkStart w:id="181" w:name="_Toc152045537"/>
      <w:bookmarkEnd w:id="181"/>
      <w:bookmarkStart w:id="182" w:name="_Toc23825"/>
      <w:bookmarkEnd w:id="182"/>
      <w:bookmarkStart w:id="183" w:name="_Toc17966"/>
      <w:bookmarkEnd w:id="183"/>
      <w:bookmarkStart w:id="184" w:name="_Toc246996925"/>
      <w:r>
        <w:rPr>
          <w:color w:val="auto"/>
          <w:sz w:val="21"/>
          <w:szCs w:val="21"/>
          <w:highlight w:val="none"/>
        </w:rPr>
        <w:t xml:space="preserve">1.7 </w:t>
      </w:r>
      <w:bookmarkEnd w:id="184"/>
      <w:r>
        <w:rPr>
          <w:rFonts w:hint="eastAsia" w:ascii="宋体" w:hAnsi="宋体"/>
          <w:color w:val="auto"/>
          <w:sz w:val="21"/>
          <w:szCs w:val="21"/>
          <w:highlight w:val="none"/>
        </w:rPr>
        <w:t>语言文字</w:t>
      </w:r>
    </w:p>
    <w:p w14:paraId="55637E2B">
      <w:pPr>
        <w:spacing w:line="500" w:lineRule="exact"/>
        <w:ind w:firstLine="420" w:firstLineChars="200"/>
        <w:rPr>
          <w:color w:val="auto"/>
          <w:highlight w:val="none"/>
        </w:rPr>
      </w:pPr>
      <w:bookmarkStart w:id="185" w:name="_Toc246996183"/>
      <w:bookmarkEnd w:id="185"/>
      <w:bookmarkStart w:id="186" w:name="_Toc152042314"/>
      <w:bookmarkEnd w:id="186"/>
      <w:bookmarkStart w:id="187" w:name="_Toc246996926"/>
      <w:bookmarkEnd w:id="187"/>
      <w:bookmarkStart w:id="188" w:name="_Toc152045538"/>
      <w:bookmarkEnd w:id="188"/>
      <w:bookmarkStart w:id="189" w:name="_Toc144974506"/>
      <w:bookmarkEnd w:id="189"/>
      <w:bookmarkStart w:id="190" w:name="_Toc247085697"/>
      <w:bookmarkEnd w:id="190"/>
      <w:bookmarkStart w:id="191" w:name="_Toc179632555"/>
      <w:r>
        <w:rPr>
          <w:rFonts w:hint="eastAsia" w:ascii="宋体" w:hAnsi="宋体"/>
          <w:color w:val="auto"/>
          <w:highlight w:val="none"/>
        </w:rPr>
        <w:t>招标投标文件使用的语言文字为中文。专用术语使用外文的，应附有中文注释。证书证件应使用中文版本，无中文版本的应附相应的中文注释。</w:t>
      </w:r>
      <w:bookmarkEnd w:id="191"/>
    </w:p>
    <w:p w14:paraId="074CE6DF">
      <w:pPr>
        <w:pStyle w:val="4"/>
        <w:spacing w:before="0" w:after="0" w:line="500" w:lineRule="exact"/>
        <w:rPr>
          <w:color w:val="auto"/>
          <w:sz w:val="21"/>
          <w:szCs w:val="21"/>
          <w:highlight w:val="none"/>
        </w:rPr>
      </w:pPr>
      <w:bookmarkStart w:id="192" w:name="_Toc12075"/>
      <w:bookmarkEnd w:id="192"/>
      <w:bookmarkStart w:id="193" w:name="_Toc17458"/>
      <w:bookmarkEnd w:id="193"/>
      <w:bookmarkStart w:id="194" w:name="_Toc6255"/>
      <w:bookmarkEnd w:id="194"/>
      <w:bookmarkStart w:id="195" w:name="_Toc338840195"/>
      <w:bookmarkEnd w:id="195"/>
      <w:bookmarkStart w:id="196" w:name="_Toc24275"/>
      <w:bookmarkEnd w:id="196"/>
      <w:bookmarkStart w:id="197" w:name="_Toc18500"/>
      <w:bookmarkEnd w:id="197"/>
      <w:bookmarkStart w:id="198" w:name="_Toc8899"/>
      <w:bookmarkEnd w:id="198"/>
      <w:bookmarkStart w:id="199" w:name="_Toc4119"/>
      <w:bookmarkEnd w:id="199"/>
      <w:bookmarkStart w:id="200" w:name="_Toc14251"/>
      <w:bookmarkEnd w:id="200"/>
      <w:bookmarkStart w:id="201" w:name="_Toc21334"/>
      <w:r>
        <w:rPr>
          <w:color w:val="auto"/>
          <w:sz w:val="21"/>
          <w:szCs w:val="21"/>
          <w:highlight w:val="none"/>
        </w:rPr>
        <w:t xml:space="preserve">1.8 </w:t>
      </w:r>
      <w:bookmarkEnd w:id="201"/>
      <w:r>
        <w:rPr>
          <w:rFonts w:hint="eastAsia" w:ascii="宋体" w:hAnsi="宋体"/>
          <w:color w:val="auto"/>
          <w:sz w:val="21"/>
          <w:szCs w:val="21"/>
          <w:highlight w:val="none"/>
        </w:rPr>
        <w:t>计量单位</w:t>
      </w:r>
    </w:p>
    <w:p w14:paraId="55FB9F62">
      <w:pPr>
        <w:spacing w:line="500" w:lineRule="exact"/>
        <w:ind w:firstLine="420" w:firstLineChars="200"/>
        <w:rPr>
          <w:color w:val="auto"/>
          <w:highlight w:val="none"/>
        </w:rPr>
      </w:pPr>
      <w:r>
        <w:rPr>
          <w:rFonts w:hint="eastAsia" w:ascii="宋体" w:hAnsi="宋体"/>
          <w:color w:val="auto"/>
          <w:highlight w:val="none"/>
        </w:rPr>
        <w:t>所有计量均采用中华人民共和国法定计量单位。</w:t>
      </w:r>
    </w:p>
    <w:p w14:paraId="44A16BE4">
      <w:pPr>
        <w:pStyle w:val="4"/>
        <w:spacing w:before="0" w:after="0" w:line="500" w:lineRule="exact"/>
        <w:rPr>
          <w:color w:val="auto"/>
          <w:sz w:val="21"/>
          <w:szCs w:val="21"/>
          <w:highlight w:val="none"/>
        </w:rPr>
      </w:pPr>
      <w:bookmarkStart w:id="202" w:name="_Toc6310"/>
      <w:bookmarkEnd w:id="202"/>
      <w:bookmarkStart w:id="203" w:name="_Toc152042315"/>
      <w:bookmarkEnd w:id="203"/>
      <w:bookmarkStart w:id="204" w:name="_Toc247592876"/>
      <w:bookmarkEnd w:id="204"/>
      <w:bookmarkStart w:id="205" w:name="_Toc17037"/>
      <w:bookmarkEnd w:id="205"/>
      <w:bookmarkStart w:id="206" w:name="_Toc144974507"/>
      <w:bookmarkEnd w:id="206"/>
      <w:bookmarkStart w:id="207" w:name="_Toc247513962"/>
      <w:bookmarkEnd w:id="207"/>
      <w:bookmarkStart w:id="208" w:name="_Toc23504"/>
      <w:bookmarkEnd w:id="208"/>
      <w:bookmarkStart w:id="209" w:name="_Toc19212"/>
      <w:bookmarkEnd w:id="209"/>
      <w:bookmarkStart w:id="210" w:name="_Toc338840196"/>
      <w:bookmarkEnd w:id="210"/>
      <w:bookmarkStart w:id="211" w:name="_Toc152045539"/>
      <w:bookmarkEnd w:id="211"/>
      <w:bookmarkStart w:id="212" w:name="_Toc27478"/>
      <w:bookmarkEnd w:id="212"/>
      <w:bookmarkStart w:id="213" w:name="_Toc1657"/>
      <w:bookmarkEnd w:id="213"/>
      <w:bookmarkStart w:id="214" w:name="_Toc19428"/>
      <w:bookmarkEnd w:id="214"/>
      <w:bookmarkStart w:id="215" w:name="_Toc25004"/>
      <w:bookmarkEnd w:id="215"/>
      <w:bookmarkStart w:id="216" w:name="_Toc247527563"/>
      <w:bookmarkEnd w:id="216"/>
      <w:bookmarkStart w:id="217" w:name="_Toc22825"/>
      <w:r>
        <w:rPr>
          <w:color w:val="auto"/>
          <w:sz w:val="21"/>
          <w:szCs w:val="21"/>
          <w:highlight w:val="none"/>
        </w:rPr>
        <w:t xml:space="preserve">1.9 </w:t>
      </w:r>
      <w:bookmarkEnd w:id="217"/>
      <w:r>
        <w:rPr>
          <w:rFonts w:hint="eastAsia" w:ascii="宋体" w:hAnsi="宋体"/>
          <w:color w:val="auto"/>
          <w:sz w:val="21"/>
          <w:szCs w:val="21"/>
          <w:highlight w:val="none"/>
        </w:rPr>
        <w:t>踏勘现场</w:t>
      </w:r>
    </w:p>
    <w:p w14:paraId="493DBFCA">
      <w:pPr>
        <w:spacing w:line="500" w:lineRule="exact"/>
        <w:ind w:firstLine="420" w:firstLineChars="200"/>
        <w:rPr>
          <w:color w:val="auto"/>
          <w:highlight w:val="none"/>
        </w:rPr>
      </w:pPr>
      <w:r>
        <w:rPr>
          <w:color w:val="auto"/>
          <w:highlight w:val="none"/>
        </w:rPr>
        <w:t xml:space="preserve">1.9.1 </w:t>
      </w:r>
      <w:r>
        <w:rPr>
          <w:rFonts w:hint="eastAsia" w:ascii="宋体" w:hAnsi="宋体"/>
          <w:color w:val="auto"/>
          <w:highlight w:val="none"/>
        </w:rPr>
        <w:t>供应商须知前附表规定组织踏勘现场的，采购人按供应商须知前附表规定的时间、地点组织供应商踏勘项目现场。</w:t>
      </w:r>
    </w:p>
    <w:p w14:paraId="6B912DE9">
      <w:pPr>
        <w:spacing w:line="500" w:lineRule="exact"/>
        <w:ind w:firstLine="420" w:firstLineChars="200"/>
        <w:rPr>
          <w:color w:val="auto"/>
          <w:highlight w:val="none"/>
        </w:rPr>
      </w:pPr>
      <w:r>
        <w:rPr>
          <w:color w:val="auto"/>
          <w:highlight w:val="none"/>
        </w:rPr>
        <w:t xml:space="preserve">1.9.2 </w:t>
      </w:r>
      <w:r>
        <w:rPr>
          <w:rFonts w:hint="eastAsia" w:ascii="宋体" w:hAnsi="宋体"/>
          <w:color w:val="auto"/>
          <w:highlight w:val="none"/>
        </w:rPr>
        <w:t>供应商踏勘现场发生的费用自理。</w:t>
      </w:r>
    </w:p>
    <w:p w14:paraId="3260F4C0">
      <w:pPr>
        <w:spacing w:line="500" w:lineRule="exact"/>
        <w:ind w:firstLine="420" w:firstLineChars="200"/>
        <w:rPr>
          <w:color w:val="auto"/>
          <w:highlight w:val="none"/>
        </w:rPr>
      </w:pPr>
      <w:r>
        <w:rPr>
          <w:color w:val="auto"/>
          <w:highlight w:val="none"/>
        </w:rPr>
        <w:t xml:space="preserve">1.9.3 </w:t>
      </w:r>
      <w:r>
        <w:rPr>
          <w:rFonts w:hint="eastAsia" w:ascii="宋体" w:hAnsi="宋体"/>
          <w:color w:val="auto"/>
          <w:highlight w:val="none"/>
        </w:rPr>
        <w:t>除采购人的原因外，供应商自行负责在踏勘现场中所发生的人员伤亡和财产损失。</w:t>
      </w:r>
    </w:p>
    <w:p w14:paraId="73043F28">
      <w:pPr>
        <w:spacing w:line="500" w:lineRule="exact"/>
        <w:ind w:firstLine="420" w:firstLineChars="200"/>
        <w:rPr>
          <w:color w:val="auto"/>
          <w:highlight w:val="none"/>
        </w:rPr>
      </w:pPr>
      <w:r>
        <w:rPr>
          <w:color w:val="auto"/>
          <w:highlight w:val="none"/>
        </w:rPr>
        <w:t xml:space="preserve">1.9.4 </w:t>
      </w:r>
      <w:r>
        <w:rPr>
          <w:rFonts w:hint="eastAsia" w:ascii="宋体" w:hAnsi="宋体"/>
          <w:color w:val="auto"/>
          <w:highlight w:val="none"/>
        </w:rPr>
        <w:t>采购人在踏勘现场中介绍的有关情况和相关的周边环境情况，供供应商在编制投标文件时参考，采购人不对供应商据此作出的判断和决策负责。</w:t>
      </w:r>
    </w:p>
    <w:p w14:paraId="5071F939">
      <w:pPr>
        <w:pStyle w:val="4"/>
        <w:spacing w:before="0" w:after="0" w:line="500" w:lineRule="exact"/>
        <w:rPr>
          <w:color w:val="auto"/>
          <w:sz w:val="21"/>
          <w:szCs w:val="21"/>
          <w:highlight w:val="none"/>
        </w:rPr>
      </w:pPr>
      <w:bookmarkStart w:id="218" w:name="_Toc247527564"/>
      <w:bookmarkEnd w:id="218"/>
      <w:bookmarkStart w:id="219" w:name="_Toc247513963"/>
      <w:bookmarkEnd w:id="219"/>
      <w:bookmarkStart w:id="220" w:name="_Toc152045540"/>
      <w:bookmarkEnd w:id="220"/>
      <w:bookmarkStart w:id="221" w:name="_Toc17384"/>
      <w:bookmarkEnd w:id="221"/>
      <w:bookmarkStart w:id="222" w:name="_Toc31800"/>
      <w:bookmarkEnd w:id="222"/>
      <w:bookmarkStart w:id="223" w:name="_Toc15399"/>
      <w:bookmarkEnd w:id="223"/>
      <w:bookmarkStart w:id="224" w:name="_Toc144974508"/>
      <w:bookmarkEnd w:id="224"/>
      <w:bookmarkStart w:id="225" w:name="_Toc6818"/>
      <w:bookmarkEnd w:id="225"/>
      <w:bookmarkStart w:id="226" w:name="_Toc247592877"/>
      <w:bookmarkEnd w:id="226"/>
      <w:bookmarkStart w:id="227" w:name="_Toc338840197"/>
      <w:bookmarkEnd w:id="227"/>
      <w:bookmarkStart w:id="228" w:name="_Toc19372"/>
      <w:bookmarkEnd w:id="228"/>
      <w:bookmarkStart w:id="229" w:name="_Toc152042316"/>
      <w:bookmarkEnd w:id="229"/>
      <w:bookmarkStart w:id="230" w:name="_Toc24480"/>
      <w:bookmarkEnd w:id="230"/>
      <w:bookmarkStart w:id="231" w:name="_Toc18456"/>
      <w:bookmarkEnd w:id="231"/>
      <w:bookmarkStart w:id="232" w:name="_Toc28338"/>
      <w:bookmarkEnd w:id="232"/>
      <w:bookmarkStart w:id="233" w:name="_Toc28536"/>
      <w:r>
        <w:rPr>
          <w:color w:val="auto"/>
          <w:sz w:val="21"/>
          <w:szCs w:val="21"/>
          <w:highlight w:val="none"/>
        </w:rPr>
        <w:t xml:space="preserve">1.10 </w:t>
      </w:r>
      <w:bookmarkEnd w:id="233"/>
      <w:r>
        <w:rPr>
          <w:rFonts w:hint="eastAsia" w:ascii="宋体" w:hAnsi="宋体"/>
          <w:color w:val="auto"/>
          <w:sz w:val="21"/>
          <w:szCs w:val="21"/>
          <w:highlight w:val="none"/>
        </w:rPr>
        <w:t>投标预备会</w:t>
      </w:r>
    </w:p>
    <w:p w14:paraId="6587BF4A">
      <w:pPr>
        <w:spacing w:line="500" w:lineRule="exact"/>
        <w:ind w:firstLine="420" w:firstLineChars="200"/>
        <w:rPr>
          <w:color w:val="auto"/>
          <w:highlight w:val="none"/>
        </w:rPr>
      </w:pPr>
      <w:r>
        <w:rPr>
          <w:color w:val="auto"/>
          <w:highlight w:val="none"/>
        </w:rPr>
        <w:t xml:space="preserve">1.10.1 </w:t>
      </w:r>
      <w:r>
        <w:rPr>
          <w:rFonts w:hint="eastAsia" w:ascii="宋体" w:hAnsi="宋体"/>
          <w:color w:val="auto"/>
          <w:highlight w:val="none"/>
        </w:rPr>
        <w:t>供应商须知前附表规定召开投标预备会的，采购人按供应商须知前附表规定的时间和地点召开投标预备会，澄清供应商提出的问题。</w:t>
      </w:r>
    </w:p>
    <w:p w14:paraId="37E70C58">
      <w:pPr>
        <w:spacing w:line="500" w:lineRule="exact"/>
        <w:ind w:firstLine="420" w:firstLineChars="200"/>
        <w:rPr>
          <w:color w:val="auto"/>
          <w:highlight w:val="none"/>
        </w:rPr>
      </w:pPr>
      <w:r>
        <w:rPr>
          <w:color w:val="auto"/>
          <w:highlight w:val="none"/>
        </w:rPr>
        <w:t xml:space="preserve">1.10.2 </w:t>
      </w:r>
      <w:r>
        <w:rPr>
          <w:rFonts w:hint="eastAsia" w:ascii="宋体" w:hAnsi="宋体"/>
          <w:color w:val="auto"/>
          <w:highlight w:val="none"/>
        </w:rPr>
        <w:t>供应商应在供应商须知前附表规定的时间前，以书面形式将提出的问题送达采购人，以便采购人在会议期间澄清。</w:t>
      </w:r>
    </w:p>
    <w:p w14:paraId="20DEADC8">
      <w:pPr>
        <w:spacing w:line="500" w:lineRule="exact"/>
        <w:ind w:firstLine="420" w:firstLineChars="200"/>
        <w:rPr>
          <w:color w:val="auto"/>
          <w:highlight w:val="none"/>
        </w:rPr>
      </w:pPr>
      <w:r>
        <w:rPr>
          <w:color w:val="auto"/>
          <w:highlight w:val="none"/>
        </w:rPr>
        <w:t xml:space="preserve">1.10.3 </w:t>
      </w:r>
      <w:r>
        <w:rPr>
          <w:rFonts w:hint="eastAsia" w:ascii="宋体" w:hAnsi="宋体"/>
          <w:color w:val="auto"/>
          <w:highlight w:val="none"/>
        </w:rPr>
        <w:t>投标预备会后，采购人在供应商须知前附表规定的时间内，将对供应商所提问题的澄清，以书面形式通知所有购买招标文件的供应商。该澄清内容为招标文件的组成部分。</w:t>
      </w:r>
    </w:p>
    <w:p w14:paraId="73C1170D">
      <w:pPr>
        <w:pStyle w:val="4"/>
        <w:spacing w:before="0" w:after="0" w:line="500" w:lineRule="exact"/>
        <w:rPr>
          <w:color w:val="auto"/>
          <w:sz w:val="21"/>
          <w:szCs w:val="21"/>
          <w:highlight w:val="none"/>
        </w:rPr>
      </w:pPr>
      <w:bookmarkStart w:id="234" w:name="_Toc338840198"/>
      <w:bookmarkEnd w:id="234"/>
      <w:bookmarkStart w:id="235" w:name="_Toc7220"/>
      <w:bookmarkEnd w:id="235"/>
      <w:bookmarkStart w:id="236" w:name="_Toc23865"/>
      <w:bookmarkEnd w:id="236"/>
      <w:bookmarkStart w:id="237" w:name="_Toc17209"/>
      <w:bookmarkEnd w:id="237"/>
      <w:bookmarkStart w:id="238" w:name="_Toc7287"/>
      <w:bookmarkEnd w:id="238"/>
      <w:bookmarkStart w:id="239" w:name="_Toc14950"/>
      <w:bookmarkEnd w:id="239"/>
      <w:bookmarkStart w:id="240" w:name="_Toc18100"/>
      <w:bookmarkEnd w:id="240"/>
      <w:bookmarkStart w:id="241" w:name="_Toc30319"/>
      <w:bookmarkEnd w:id="241"/>
      <w:bookmarkStart w:id="242" w:name="_Toc14455"/>
      <w:bookmarkEnd w:id="242"/>
      <w:bookmarkStart w:id="243" w:name="_Toc4504"/>
      <w:r>
        <w:rPr>
          <w:color w:val="auto"/>
          <w:sz w:val="21"/>
          <w:szCs w:val="21"/>
          <w:highlight w:val="none"/>
        </w:rPr>
        <w:t xml:space="preserve">1.11 </w:t>
      </w:r>
      <w:bookmarkEnd w:id="243"/>
      <w:r>
        <w:rPr>
          <w:rFonts w:hint="eastAsia" w:ascii="宋体" w:hAnsi="宋体"/>
          <w:color w:val="auto"/>
          <w:sz w:val="21"/>
          <w:szCs w:val="21"/>
          <w:highlight w:val="none"/>
        </w:rPr>
        <w:t>偏离</w:t>
      </w:r>
    </w:p>
    <w:p w14:paraId="33EB6A29">
      <w:pPr>
        <w:spacing w:line="500" w:lineRule="exact"/>
        <w:ind w:firstLine="420" w:firstLineChars="200"/>
        <w:rPr>
          <w:rFonts w:hint="eastAsia" w:ascii="宋体" w:hAnsi="宋体"/>
          <w:color w:val="auto"/>
          <w:highlight w:val="none"/>
        </w:rPr>
      </w:pPr>
      <w:r>
        <w:rPr>
          <w:rFonts w:hint="eastAsia" w:ascii="宋体" w:hAnsi="宋体"/>
          <w:color w:val="auto"/>
          <w:highlight w:val="none"/>
        </w:rPr>
        <w:t>供应商须知前附表允许投标文件偏离招标文件某些要求的，偏离应当符合招标文件规定的偏离范围和幅度，不允许偏离的内容偏离了视为不响应招标文件。</w:t>
      </w:r>
      <w:bookmarkStart w:id="244" w:name="_Toc152045542"/>
      <w:bookmarkEnd w:id="244"/>
      <w:bookmarkStart w:id="245" w:name="_Toc7654"/>
      <w:bookmarkEnd w:id="245"/>
      <w:bookmarkStart w:id="246" w:name="_Toc144974510"/>
      <w:bookmarkEnd w:id="246"/>
      <w:bookmarkStart w:id="247" w:name="_Toc346523403"/>
      <w:bookmarkEnd w:id="247"/>
      <w:bookmarkStart w:id="248" w:name="_Toc338840482"/>
      <w:bookmarkEnd w:id="248"/>
      <w:bookmarkStart w:id="249" w:name="_Toc152042318"/>
      <w:bookmarkEnd w:id="249"/>
      <w:bookmarkStart w:id="250" w:name="_Toc26426"/>
      <w:bookmarkEnd w:id="250"/>
      <w:bookmarkStart w:id="251" w:name="_Toc15733"/>
      <w:bookmarkEnd w:id="251"/>
      <w:bookmarkStart w:id="252" w:name="_Toc246996930"/>
      <w:bookmarkEnd w:id="252"/>
      <w:bookmarkStart w:id="253" w:name="_Toc338840443"/>
      <w:bookmarkEnd w:id="253"/>
      <w:bookmarkStart w:id="254" w:name="_Toc3105"/>
      <w:bookmarkEnd w:id="254"/>
      <w:bookmarkStart w:id="255" w:name="_Toc4060"/>
      <w:bookmarkEnd w:id="255"/>
      <w:bookmarkStart w:id="256" w:name="_Toc22803"/>
      <w:bookmarkEnd w:id="256"/>
      <w:bookmarkStart w:id="257" w:name="_Toc338840199"/>
      <w:bookmarkEnd w:id="257"/>
      <w:bookmarkStart w:id="258" w:name="_Toc19687"/>
      <w:bookmarkEnd w:id="258"/>
      <w:bookmarkStart w:id="259" w:name="_Toc246996187"/>
      <w:bookmarkEnd w:id="259"/>
      <w:bookmarkStart w:id="260" w:name="_Toc32241"/>
      <w:bookmarkEnd w:id="260"/>
      <w:bookmarkStart w:id="261" w:name="_Toc247085701"/>
      <w:bookmarkEnd w:id="261"/>
      <w:bookmarkStart w:id="262" w:name="_Toc11004"/>
      <w:bookmarkEnd w:id="262"/>
      <w:bookmarkStart w:id="263" w:name="_Toc179632560"/>
      <w:bookmarkEnd w:id="263"/>
      <w:bookmarkStart w:id="264" w:name="_Toc8563"/>
    </w:p>
    <w:p w14:paraId="0F108EEB">
      <w:pPr>
        <w:spacing w:line="500" w:lineRule="exact"/>
        <w:ind w:firstLine="420" w:firstLineChars="200"/>
        <w:rPr>
          <w:color w:val="auto"/>
          <w:highlight w:val="none"/>
        </w:rPr>
      </w:pPr>
      <w:r>
        <w:rPr>
          <w:color w:val="auto"/>
          <w:highlight w:val="none"/>
        </w:rPr>
        <w:t>2</w:t>
      </w:r>
      <w:bookmarkEnd w:id="264"/>
      <w:r>
        <w:rPr>
          <w:rFonts w:hint="eastAsia" w:ascii="宋体" w:hAnsi="宋体"/>
          <w:color w:val="auto"/>
          <w:highlight w:val="none"/>
        </w:rPr>
        <w:t>、招标文件</w:t>
      </w:r>
    </w:p>
    <w:p w14:paraId="36FC5F46">
      <w:pPr>
        <w:pStyle w:val="4"/>
        <w:spacing w:before="0" w:after="0" w:line="500" w:lineRule="exact"/>
        <w:rPr>
          <w:color w:val="auto"/>
          <w:sz w:val="21"/>
          <w:szCs w:val="21"/>
          <w:highlight w:val="none"/>
        </w:rPr>
      </w:pPr>
      <w:bookmarkStart w:id="265" w:name="_Toc247085702"/>
      <w:bookmarkEnd w:id="265"/>
      <w:bookmarkStart w:id="266" w:name="_Toc144974511"/>
      <w:bookmarkEnd w:id="266"/>
      <w:bookmarkStart w:id="267" w:name="_Toc152042319"/>
      <w:bookmarkEnd w:id="267"/>
      <w:bookmarkStart w:id="268" w:name="_Toc152045543"/>
      <w:bookmarkEnd w:id="268"/>
      <w:bookmarkStart w:id="269" w:name="_Toc246996931"/>
      <w:bookmarkEnd w:id="269"/>
      <w:bookmarkStart w:id="270" w:name="_Toc338840200"/>
      <w:bookmarkEnd w:id="270"/>
      <w:bookmarkStart w:id="271" w:name="_Toc246996188"/>
      <w:bookmarkEnd w:id="271"/>
      <w:bookmarkStart w:id="272" w:name="_Toc21741"/>
      <w:bookmarkEnd w:id="272"/>
      <w:bookmarkStart w:id="273" w:name="_Toc24104"/>
      <w:bookmarkEnd w:id="273"/>
      <w:bookmarkStart w:id="274" w:name="_Toc7572"/>
      <w:bookmarkEnd w:id="274"/>
      <w:bookmarkStart w:id="275" w:name="_Toc179632561"/>
      <w:bookmarkEnd w:id="275"/>
      <w:bookmarkStart w:id="276" w:name="_Toc3131"/>
      <w:bookmarkEnd w:id="276"/>
      <w:bookmarkStart w:id="277" w:name="_Toc16921"/>
      <w:bookmarkEnd w:id="277"/>
      <w:bookmarkStart w:id="278" w:name="_Toc10062"/>
      <w:bookmarkEnd w:id="278"/>
      <w:bookmarkStart w:id="279" w:name="_Toc12376"/>
      <w:bookmarkEnd w:id="279"/>
      <w:bookmarkStart w:id="280" w:name="_Toc21151"/>
      <w:bookmarkEnd w:id="280"/>
      <w:bookmarkStart w:id="281" w:name="_Toc21818"/>
      <w:r>
        <w:rPr>
          <w:color w:val="auto"/>
          <w:sz w:val="21"/>
          <w:szCs w:val="21"/>
          <w:highlight w:val="none"/>
        </w:rPr>
        <w:t xml:space="preserve">2.1 </w:t>
      </w:r>
      <w:bookmarkEnd w:id="281"/>
      <w:r>
        <w:rPr>
          <w:rFonts w:hint="eastAsia" w:ascii="宋体" w:hAnsi="宋体"/>
          <w:color w:val="auto"/>
          <w:sz w:val="21"/>
          <w:szCs w:val="21"/>
          <w:highlight w:val="none"/>
        </w:rPr>
        <w:t>招标文件的组成</w:t>
      </w:r>
    </w:p>
    <w:p w14:paraId="76E53041">
      <w:pPr>
        <w:spacing w:line="500" w:lineRule="exact"/>
        <w:rPr>
          <w:color w:val="auto"/>
          <w:highlight w:val="none"/>
        </w:rPr>
      </w:pPr>
      <w:r>
        <w:rPr>
          <w:color w:val="auto"/>
          <w:highlight w:val="none"/>
        </w:rPr>
        <w:t xml:space="preserve">2.1.1 </w:t>
      </w:r>
      <w:r>
        <w:rPr>
          <w:rFonts w:hint="eastAsia" w:ascii="宋体" w:hAnsi="宋体"/>
          <w:color w:val="auto"/>
          <w:highlight w:val="none"/>
        </w:rPr>
        <w:t>本招标文件包括：</w:t>
      </w:r>
    </w:p>
    <w:p w14:paraId="653E283A">
      <w:pPr>
        <w:spacing w:line="400" w:lineRule="exact"/>
        <w:ind w:firstLine="359" w:firstLineChars="171"/>
        <w:rPr>
          <w:color w:val="auto"/>
          <w:highlight w:val="none"/>
        </w:rPr>
      </w:pPr>
      <w:r>
        <w:rPr>
          <w:rFonts w:hint="eastAsia" w:ascii="宋体" w:hAnsi="宋体"/>
          <w:color w:val="auto"/>
          <w:highlight w:val="none"/>
        </w:rPr>
        <w:t>（</w:t>
      </w:r>
      <w:r>
        <w:rPr>
          <w:color w:val="auto"/>
          <w:highlight w:val="none"/>
        </w:rPr>
        <w:t>1</w:t>
      </w:r>
      <w:r>
        <w:rPr>
          <w:rFonts w:hint="eastAsia" w:ascii="宋体" w:hAnsi="宋体"/>
          <w:color w:val="auto"/>
          <w:highlight w:val="none"/>
        </w:rPr>
        <w:t>）招标公告；</w:t>
      </w:r>
    </w:p>
    <w:p w14:paraId="19ECBC80">
      <w:pPr>
        <w:spacing w:line="400" w:lineRule="exact"/>
        <w:ind w:firstLine="359" w:firstLineChars="171"/>
        <w:rPr>
          <w:color w:val="auto"/>
          <w:highlight w:val="none"/>
        </w:rPr>
      </w:pPr>
      <w:r>
        <w:rPr>
          <w:rFonts w:hint="eastAsia" w:ascii="宋体" w:hAnsi="宋体"/>
          <w:color w:val="auto"/>
          <w:highlight w:val="none"/>
        </w:rPr>
        <w:t>（</w:t>
      </w:r>
      <w:r>
        <w:rPr>
          <w:color w:val="auto"/>
          <w:highlight w:val="none"/>
        </w:rPr>
        <w:t>2</w:t>
      </w:r>
      <w:r>
        <w:rPr>
          <w:rFonts w:hint="eastAsia" w:ascii="宋体" w:hAnsi="宋体"/>
          <w:color w:val="auto"/>
          <w:highlight w:val="none"/>
        </w:rPr>
        <w:t>）投标须知；</w:t>
      </w:r>
    </w:p>
    <w:p w14:paraId="19EC466D">
      <w:pPr>
        <w:spacing w:line="400" w:lineRule="exact"/>
        <w:ind w:firstLine="359" w:firstLineChars="171"/>
        <w:rPr>
          <w:color w:val="auto"/>
          <w:highlight w:val="none"/>
        </w:rPr>
      </w:pPr>
      <w:r>
        <w:rPr>
          <w:rFonts w:hint="eastAsia" w:ascii="宋体" w:hAnsi="宋体"/>
          <w:color w:val="auto"/>
          <w:highlight w:val="none"/>
        </w:rPr>
        <w:t>（</w:t>
      </w:r>
      <w:r>
        <w:rPr>
          <w:color w:val="auto"/>
          <w:highlight w:val="none"/>
        </w:rPr>
        <w:t>3</w:t>
      </w:r>
      <w:r>
        <w:rPr>
          <w:rFonts w:hint="eastAsia" w:ascii="宋体" w:hAnsi="宋体"/>
          <w:color w:val="auto"/>
          <w:highlight w:val="none"/>
        </w:rPr>
        <w:t>）评标办法；</w:t>
      </w:r>
    </w:p>
    <w:p w14:paraId="1D4B24BE">
      <w:pPr>
        <w:spacing w:line="400" w:lineRule="exact"/>
        <w:ind w:firstLine="359" w:firstLineChars="171"/>
        <w:rPr>
          <w:color w:val="auto"/>
          <w:highlight w:val="none"/>
        </w:rPr>
      </w:pPr>
      <w:r>
        <w:rPr>
          <w:rFonts w:hint="eastAsia" w:ascii="宋体" w:hAnsi="宋体"/>
          <w:color w:val="auto"/>
          <w:highlight w:val="none"/>
        </w:rPr>
        <w:t>（</w:t>
      </w:r>
      <w:r>
        <w:rPr>
          <w:color w:val="auto"/>
          <w:highlight w:val="none"/>
        </w:rPr>
        <w:t>4</w:t>
      </w:r>
      <w:r>
        <w:rPr>
          <w:rFonts w:hint="eastAsia" w:ascii="宋体" w:hAnsi="宋体"/>
          <w:color w:val="auto"/>
          <w:highlight w:val="none"/>
        </w:rPr>
        <w:t>）招标任务书；</w:t>
      </w:r>
    </w:p>
    <w:p w14:paraId="3786B410">
      <w:pPr>
        <w:spacing w:line="400" w:lineRule="exact"/>
        <w:ind w:firstLine="359" w:firstLineChars="171"/>
        <w:rPr>
          <w:color w:val="auto"/>
          <w:highlight w:val="none"/>
        </w:rPr>
      </w:pPr>
      <w:r>
        <w:rPr>
          <w:rFonts w:hint="eastAsia" w:ascii="宋体" w:hAnsi="宋体"/>
          <w:color w:val="auto"/>
          <w:highlight w:val="none"/>
        </w:rPr>
        <w:t>（</w:t>
      </w:r>
      <w:r>
        <w:rPr>
          <w:color w:val="auto"/>
          <w:highlight w:val="none"/>
        </w:rPr>
        <w:t>5</w:t>
      </w:r>
      <w:r>
        <w:rPr>
          <w:rFonts w:hint="eastAsia" w:ascii="宋体" w:hAnsi="宋体"/>
          <w:color w:val="auto"/>
          <w:highlight w:val="none"/>
        </w:rPr>
        <w:t>）合同条款及格式；</w:t>
      </w:r>
    </w:p>
    <w:p w14:paraId="5CDB3B70">
      <w:pPr>
        <w:spacing w:line="400" w:lineRule="exact"/>
        <w:ind w:firstLine="359" w:firstLineChars="171"/>
        <w:rPr>
          <w:color w:val="auto"/>
          <w:highlight w:val="none"/>
        </w:rPr>
      </w:pPr>
      <w:r>
        <w:rPr>
          <w:rFonts w:hint="eastAsia" w:ascii="宋体" w:hAnsi="宋体"/>
          <w:color w:val="auto"/>
          <w:highlight w:val="none"/>
        </w:rPr>
        <w:t>（</w:t>
      </w:r>
      <w:r>
        <w:rPr>
          <w:color w:val="auto"/>
          <w:highlight w:val="none"/>
        </w:rPr>
        <w:t>6</w:t>
      </w:r>
      <w:r>
        <w:rPr>
          <w:rFonts w:hint="eastAsia" w:ascii="宋体" w:hAnsi="宋体"/>
          <w:color w:val="auto"/>
          <w:highlight w:val="none"/>
        </w:rPr>
        <w:t>）投标文件格式；</w:t>
      </w:r>
    </w:p>
    <w:p w14:paraId="3CEAE7C4">
      <w:pPr>
        <w:spacing w:line="400" w:lineRule="exact"/>
        <w:ind w:firstLine="420" w:firstLineChars="200"/>
        <w:rPr>
          <w:color w:val="auto"/>
          <w:highlight w:val="none"/>
        </w:rPr>
      </w:pPr>
      <w:r>
        <w:rPr>
          <w:color w:val="auto"/>
          <w:highlight w:val="none"/>
        </w:rPr>
        <w:t xml:space="preserve">2.1.2 </w:t>
      </w:r>
      <w:r>
        <w:rPr>
          <w:rFonts w:hint="eastAsia" w:ascii="宋体" w:hAnsi="宋体"/>
          <w:color w:val="auto"/>
          <w:highlight w:val="none"/>
        </w:rPr>
        <w:t>根据本章第</w:t>
      </w:r>
      <w:r>
        <w:rPr>
          <w:rFonts w:hint="eastAsia"/>
          <w:color w:val="auto"/>
          <w:highlight w:val="none"/>
        </w:rPr>
        <w:t>2.2.1</w:t>
      </w:r>
      <w:r>
        <w:rPr>
          <w:rFonts w:hint="eastAsia" w:ascii="宋体" w:hAnsi="宋体"/>
          <w:color w:val="auto"/>
          <w:highlight w:val="none"/>
        </w:rPr>
        <w:t>款、第</w:t>
      </w:r>
      <w:r>
        <w:rPr>
          <w:color w:val="auto"/>
          <w:highlight w:val="none"/>
        </w:rPr>
        <w:t>2.2</w:t>
      </w:r>
      <w:r>
        <w:rPr>
          <w:rFonts w:hint="eastAsia"/>
          <w:color w:val="auto"/>
          <w:highlight w:val="none"/>
        </w:rPr>
        <w:t>.3</w:t>
      </w:r>
      <w:r>
        <w:rPr>
          <w:rFonts w:hint="eastAsia" w:ascii="宋体" w:hAnsi="宋体"/>
          <w:color w:val="auto"/>
          <w:highlight w:val="none"/>
        </w:rPr>
        <w:t>款和第</w:t>
      </w:r>
      <w:r>
        <w:rPr>
          <w:rFonts w:hint="eastAsia"/>
          <w:color w:val="auto"/>
          <w:highlight w:val="none"/>
        </w:rPr>
        <w:t>3.1.1</w:t>
      </w:r>
      <w:r>
        <w:rPr>
          <w:rFonts w:hint="eastAsia" w:ascii="宋体" w:hAnsi="宋体"/>
          <w:color w:val="auto"/>
          <w:highlight w:val="none"/>
        </w:rPr>
        <w:t>款对招标文件所作的澄清、修改，构成招标文件的组成部分。</w:t>
      </w:r>
    </w:p>
    <w:p w14:paraId="270F4406">
      <w:pPr>
        <w:pStyle w:val="4"/>
        <w:spacing w:before="0" w:after="0" w:line="240" w:lineRule="auto"/>
        <w:rPr>
          <w:color w:val="auto"/>
          <w:sz w:val="21"/>
          <w:szCs w:val="21"/>
          <w:highlight w:val="none"/>
        </w:rPr>
      </w:pPr>
      <w:bookmarkStart w:id="282" w:name="_Toc1440"/>
      <w:bookmarkEnd w:id="282"/>
      <w:bookmarkStart w:id="283" w:name="_Toc152042320"/>
      <w:bookmarkEnd w:id="283"/>
      <w:bookmarkStart w:id="284" w:name="_Toc152045544"/>
      <w:bookmarkEnd w:id="284"/>
      <w:bookmarkStart w:id="285" w:name="_Toc247085703"/>
      <w:bookmarkEnd w:id="285"/>
      <w:bookmarkStart w:id="286" w:name="_Toc338840201"/>
      <w:bookmarkEnd w:id="286"/>
      <w:bookmarkStart w:id="287" w:name="_Toc3994"/>
      <w:bookmarkEnd w:id="287"/>
      <w:bookmarkStart w:id="288" w:name="_Toc5391"/>
      <w:bookmarkEnd w:id="288"/>
      <w:bookmarkStart w:id="289" w:name="_Toc246996932"/>
      <w:bookmarkEnd w:id="289"/>
      <w:bookmarkStart w:id="290" w:name="_Toc246996189"/>
      <w:bookmarkEnd w:id="290"/>
      <w:bookmarkStart w:id="291" w:name="_Toc2869"/>
      <w:bookmarkEnd w:id="291"/>
      <w:bookmarkStart w:id="292" w:name="_Toc6569"/>
      <w:bookmarkEnd w:id="292"/>
      <w:bookmarkStart w:id="293" w:name="_Toc179632562"/>
      <w:bookmarkEnd w:id="293"/>
      <w:bookmarkStart w:id="294" w:name="_Toc5622"/>
      <w:bookmarkEnd w:id="294"/>
      <w:bookmarkStart w:id="295" w:name="_Toc266"/>
      <w:bookmarkEnd w:id="295"/>
      <w:bookmarkStart w:id="296" w:name="_Toc144974512"/>
      <w:bookmarkEnd w:id="296"/>
      <w:bookmarkStart w:id="297" w:name="_Toc27879"/>
      <w:bookmarkEnd w:id="297"/>
      <w:bookmarkStart w:id="298" w:name="_Toc13381"/>
      <w:r>
        <w:rPr>
          <w:color w:val="auto"/>
          <w:sz w:val="21"/>
          <w:szCs w:val="21"/>
          <w:highlight w:val="none"/>
        </w:rPr>
        <w:t xml:space="preserve">2.2 </w:t>
      </w:r>
      <w:bookmarkEnd w:id="298"/>
      <w:r>
        <w:rPr>
          <w:rFonts w:hint="eastAsia" w:ascii="宋体" w:hAnsi="宋体"/>
          <w:color w:val="auto"/>
          <w:sz w:val="21"/>
          <w:szCs w:val="21"/>
          <w:highlight w:val="none"/>
        </w:rPr>
        <w:t>招标文件的澄清</w:t>
      </w:r>
    </w:p>
    <w:p w14:paraId="03593725">
      <w:pPr>
        <w:spacing w:line="400" w:lineRule="exact"/>
        <w:ind w:firstLine="420" w:firstLineChars="200"/>
        <w:rPr>
          <w:color w:val="auto"/>
          <w:highlight w:val="none"/>
        </w:rPr>
      </w:pPr>
      <w:r>
        <w:rPr>
          <w:color w:val="auto"/>
          <w:highlight w:val="none"/>
        </w:rPr>
        <w:t xml:space="preserve">2.2.1 </w:t>
      </w:r>
      <w:r>
        <w:rPr>
          <w:rFonts w:hint="eastAsia" w:ascii="宋体" w:hAnsi="宋体"/>
          <w:color w:val="auto"/>
          <w:highlight w:val="none"/>
        </w:rPr>
        <w:t>供应商应仔细阅读和检查招标文件的全部内容。如发现缺页或附件不全，应及时向采购人提出，以便补齐。如有疑问，应在供应商须知前附表规定的时间前以线上电子形式（包括信函、电报、传真等可以有形地表现所载内容的形式，下同），要求采购人对招标文件予以澄清。</w:t>
      </w:r>
    </w:p>
    <w:p w14:paraId="3BA09C8A">
      <w:pPr>
        <w:spacing w:line="400" w:lineRule="exact"/>
        <w:ind w:firstLine="420" w:firstLineChars="200"/>
        <w:rPr>
          <w:rFonts w:hint="eastAsia" w:ascii="仿宋_GB2312" w:hAnsi="仿宋_GB2312"/>
          <w:color w:val="auto"/>
          <w:highlight w:val="none"/>
        </w:rPr>
      </w:pPr>
      <w:r>
        <w:rPr>
          <w:color w:val="auto"/>
          <w:highlight w:val="none"/>
        </w:rPr>
        <w:t xml:space="preserve">2.2.2 </w:t>
      </w:r>
      <w:r>
        <w:rPr>
          <w:rFonts w:hint="eastAsia" w:ascii="宋体" w:hAnsi="宋体"/>
          <w:color w:val="auto"/>
          <w:highlight w:val="none"/>
        </w:rPr>
        <w:t>招标文件的澄清将以线上电子形式发给所有购买招标文件的供应商，但不指明澄清问题的来源。如果澄清发出的时间距供应商须知前附表规定的投标截止时间不足</w:t>
      </w:r>
      <w:r>
        <w:rPr>
          <w:color w:val="auto"/>
          <w:highlight w:val="none"/>
        </w:rPr>
        <w:t>15</w:t>
      </w:r>
      <w:r>
        <w:rPr>
          <w:rFonts w:hint="eastAsia" w:ascii="宋体" w:hAnsi="宋体"/>
          <w:color w:val="auto"/>
          <w:highlight w:val="none"/>
        </w:rPr>
        <w:t>天，并且澄清内容影响投标文件编制的，将相应延长投标截止时间。</w:t>
      </w:r>
    </w:p>
    <w:p w14:paraId="373D3D7E">
      <w:pPr>
        <w:spacing w:line="400" w:lineRule="exact"/>
        <w:ind w:firstLine="420" w:firstLineChars="200"/>
        <w:rPr>
          <w:color w:val="auto"/>
          <w:highlight w:val="none"/>
        </w:rPr>
      </w:pPr>
      <w:r>
        <w:rPr>
          <w:color w:val="auto"/>
          <w:highlight w:val="none"/>
        </w:rPr>
        <w:t xml:space="preserve">2.2.3 </w:t>
      </w:r>
      <w:r>
        <w:rPr>
          <w:rFonts w:hint="eastAsia" w:ascii="宋体" w:hAnsi="宋体" w:cs="宋体"/>
          <w:color w:val="auto"/>
          <w:kern w:val="0"/>
          <w:highlight w:val="none"/>
        </w:rPr>
        <w:t>自招标文件澄清在相关网站发布起，即视为收到</w:t>
      </w:r>
      <w:r>
        <w:rPr>
          <w:rFonts w:hint="eastAsia" w:ascii="宋体" w:hAnsi="宋体"/>
          <w:color w:val="auto"/>
          <w:highlight w:val="none"/>
        </w:rPr>
        <w:t>。</w:t>
      </w:r>
    </w:p>
    <w:p w14:paraId="46C1AC24">
      <w:pPr>
        <w:pStyle w:val="4"/>
        <w:spacing w:before="0" w:after="0" w:line="240" w:lineRule="auto"/>
        <w:rPr>
          <w:color w:val="auto"/>
          <w:sz w:val="21"/>
          <w:szCs w:val="21"/>
          <w:highlight w:val="none"/>
        </w:rPr>
      </w:pPr>
      <w:bookmarkStart w:id="299" w:name="_Toc179632563"/>
      <w:bookmarkEnd w:id="299"/>
      <w:bookmarkStart w:id="300" w:name="_Toc24467"/>
      <w:bookmarkEnd w:id="300"/>
      <w:bookmarkStart w:id="301" w:name="_Toc144974513"/>
      <w:bookmarkEnd w:id="301"/>
      <w:bookmarkStart w:id="302" w:name="_Toc247085704"/>
      <w:bookmarkEnd w:id="302"/>
      <w:bookmarkStart w:id="303" w:name="_Toc246996933"/>
      <w:bookmarkEnd w:id="303"/>
      <w:bookmarkStart w:id="304" w:name="_Toc18334"/>
      <w:bookmarkEnd w:id="304"/>
      <w:bookmarkStart w:id="305" w:name="_Toc152042321"/>
      <w:bookmarkEnd w:id="305"/>
      <w:bookmarkStart w:id="306" w:name="_Toc4704"/>
      <w:bookmarkEnd w:id="306"/>
      <w:bookmarkStart w:id="307" w:name="_Toc11679"/>
      <w:bookmarkEnd w:id="307"/>
      <w:bookmarkStart w:id="308" w:name="_Toc14335"/>
      <w:bookmarkEnd w:id="308"/>
      <w:bookmarkStart w:id="309" w:name="_Toc16781"/>
      <w:bookmarkEnd w:id="309"/>
      <w:bookmarkStart w:id="310" w:name="_Toc338840202"/>
      <w:bookmarkEnd w:id="310"/>
      <w:bookmarkStart w:id="311" w:name="_Toc2549"/>
      <w:bookmarkEnd w:id="311"/>
      <w:bookmarkStart w:id="312" w:name="_Toc2507"/>
      <w:bookmarkEnd w:id="312"/>
      <w:bookmarkStart w:id="313" w:name="_Toc246996190"/>
      <w:bookmarkEnd w:id="313"/>
      <w:bookmarkStart w:id="314" w:name="_Toc15679"/>
      <w:bookmarkEnd w:id="314"/>
      <w:bookmarkStart w:id="315" w:name="_Toc152045545"/>
      <w:r>
        <w:rPr>
          <w:color w:val="auto"/>
          <w:sz w:val="21"/>
          <w:szCs w:val="21"/>
          <w:highlight w:val="none"/>
        </w:rPr>
        <w:t xml:space="preserve">2.3 </w:t>
      </w:r>
      <w:bookmarkEnd w:id="315"/>
      <w:r>
        <w:rPr>
          <w:rFonts w:hint="eastAsia" w:ascii="宋体" w:hAnsi="宋体"/>
          <w:color w:val="auto"/>
          <w:sz w:val="21"/>
          <w:szCs w:val="21"/>
          <w:highlight w:val="none"/>
        </w:rPr>
        <w:t>招标文件的修改</w:t>
      </w:r>
    </w:p>
    <w:p w14:paraId="746E521E">
      <w:pPr>
        <w:spacing w:line="400" w:lineRule="exact"/>
        <w:ind w:firstLine="420" w:firstLineChars="200"/>
        <w:rPr>
          <w:color w:val="auto"/>
          <w:highlight w:val="none"/>
        </w:rPr>
      </w:pPr>
      <w:r>
        <w:rPr>
          <w:color w:val="auto"/>
          <w:highlight w:val="none"/>
        </w:rPr>
        <w:t>2.3.1</w:t>
      </w:r>
      <w:r>
        <w:rPr>
          <w:rFonts w:hint="eastAsia" w:ascii="宋体" w:hAnsi="宋体"/>
          <w:color w:val="auto"/>
          <w:highlight w:val="none"/>
        </w:rPr>
        <w:t>采购人可以线上电子形式修改招标文件，并通知所有已购买招标文件的供应商。但如果修改招标文件的时间距投标截止时间不足</w:t>
      </w:r>
      <w:r>
        <w:rPr>
          <w:color w:val="auto"/>
          <w:highlight w:val="none"/>
        </w:rPr>
        <w:t>15</w:t>
      </w:r>
      <w:r>
        <w:rPr>
          <w:rFonts w:hint="eastAsia" w:ascii="宋体" w:hAnsi="宋体"/>
          <w:color w:val="auto"/>
          <w:highlight w:val="none"/>
        </w:rPr>
        <w:t>天，并且修改内容影响投标文件编制的，</w:t>
      </w:r>
      <w:r>
        <w:rPr>
          <w:rFonts w:hint="eastAsia"/>
          <w:color w:val="auto"/>
          <w:highlight w:val="none"/>
        </w:rPr>
        <w:t>将相应延长投标截止时间。</w:t>
      </w:r>
    </w:p>
    <w:p w14:paraId="424E3076">
      <w:pPr>
        <w:spacing w:line="400" w:lineRule="exact"/>
        <w:ind w:firstLine="420" w:firstLineChars="200"/>
        <w:rPr>
          <w:color w:val="auto"/>
          <w:highlight w:val="none"/>
        </w:rPr>
      </w:pPr>
      <w:r>
        <w:rPr>
          <w:color w:val="auto"/>
          <w:highlight w:val="none"/>
        </w:rPr>
        <w:t xml:space="preserve">2.3.2 </w:t>
      </w:r>
      <w:r>
        <w:rPr>
          <w:rFonts w:hint="eastAsia"/>
          <w:color w:val="auto"/>
          <w:highlight w:val="none"/>
        </w:rPr>
        <w:t>自</w:t>
      </w:r>
      <w:r>
        <w:rPr>
          <w:rFonts w:hint="eastAsia" w:ascii="宋体" w:hAnsi="宋体" w:cs="宋体"/>
          <w:color w:val="auto"/>
          <w:kern w:val="0"/>
          <w:highlight w:val="none"/>
        </w:rPr>
        <w:t>招标文件修改在相关网站发布起，即视为收到。</w:t>
      </w:r>
      <w:bookmarkStart w:id="316" w:name="_Toc152045546"/>
      <w:bookmarkEnd w:id="316"/>
      <w:bookmarkStart w:id="317" w:name="_Toc338840203"/>
      <w:bookmarkEnd w:id="317"/>
      <w:bookmarkStart w:id="318" w:name="_Toc20144"/>
      <w:bookmarkEnd w:id="318"/>
      <w:bookmarkStart w:id="319" w:name="_Toc144974514"/>
      <w:bookmarkEnd w:id="319"/>
      <w:bookmarkStart w:id="320" w:name="_Toc246996191"/>
      <w:bookmarkEnd w:id="320"/>
      <w:bookmarkStart w:id="321" w:name="_Toc13377"/>
      <w:bookmarkEnd w:id="321"/>
      <w:bookmarkStart w:id="322" w:name="_Toc338840483"/>
      <w:bookmarkEnd w:id="322"/>
      <w:bookmarkStart w:id="323" w:name="_Toc19627"/>
      <w:bookmarkEnd w:id="323"/>
      <w:bookmarkStart w:id="324" w:name="_Toc346523404"/>
      <w:bookmarkEnd w:id="324"/>
      <w:bookmarkStart w:id="325" w:name="_Toc13978"/>
      <w:bookmarkEnd w:id="325"/>
      <w:bookmarkStart w:id="326" w:name="_Toc18858"/>
      <w:bookmarkEnd w:id="326"/>
      <w:bookmarkStart w:id="327" w:name="_Toc246996934"/>
      <w:bookmarkEnd w:id="327"/>
      <w:bookmarkStart w:id="328" w:name="_Toc11397"/>
      <w:bookmarkEnd w:id="328"/>
      <w:bookmarkStart w:id="329" w:name="_Toc27342"/>
      <w:bookmarkEnd w:id="329"/>
      <w:bookmarkStart w:id="330" w:name="_Toc338840444"/>
      <w:bookmarkEnd w:id="330"/>
      <w:bookmarkStart w:id="331" w:name="_Toc247085705"/>
      <w:bookmarkEnd w:id="331"/>
      <w:bookmarkStart w:id="332" w:name="_Toc28611"/>
      <w:bookmarkEnd w:id="332"/>
      <w:bookmarkStart w:id="333" w:name="_Toc179632564"/>
      <w:bookmarkEnd w:id="333"/>
      <w:bookmarkStart w:id="334" w:name="_Toc142"/>
      <w:bookmarkEnd w:id="334"/>
      <w:bookmarkStart w:id="335" w:name="_Toc4956"/>
      <w:bookmarkEnd w:id="335"/>
      <w:bookmarkStart w:id="336" w:name="_Toc152042322"/>
    </w:p>
    <w:p w14:paraId="4B1445EC">
      <w:pPr>
        <w:pStyle w:val="3"/>
        <w:spacing w:before="0" w:beforeAutospacing="0" w:after="0" w:afterAutospacing="0" w:line="240" w:lineRule="auto"/>
        <w:ind w:left="0" w:firstLine="0"/>
        <w:rPr>
          <w:color w:val="auto"/>
          <w:sz w:val="21"/>
          <w:szCs w:val="21"/>
          <w:highlight w:val="none"/>
        </w:rPr>
      </w:pPr>
      <w:r>
        <w:rPr>
          <w:color w:val="auto"/>
          <w:sz w:val="21"/>
          <w:szCs w:val="21"/>
          <w:highlight w:val="none"/>
        </w:rPr>
        <w:t>3</w:t>
      </w:r>
      <w:bookmarkEnd w:id="336"/>
      <w:r>
        <w:rPr>
          <w:rFonts w:hint="eastAsia" w:ascii="宋体" w:hAnsi="宋体"/>
          <w:color w:val="auto"/>
          <w:sz w:val="21"/>
          <w:szCs w:val="21"/>
          <w:highlight w:val="none"/>
        </w:rPr>
        <w:t>、投标文件</w:t>
      </w:r>
    </w:p>
    <w:p w14:paraId="3266AAA1">
      <w:pPr>
        <w:ind w:firstLine="211" w:firstLineChars="100"/>
        <w:rPr>
          <w:b/>
          <w:bCs/>
          <w:color w:val="auto"/>
          <w:highlight w:val="none"/>
        </w:rPr>
      </w:pPr>
      <w:bookmarkStart w:id="337" w:name="_Toc28586"/>
      <w:bookmarkEnd w:id="337"/>
      <w:bookmarkStart w:id="338" w:name="_Toc246996192"/>
      <w:bookmarkEnd w:id="338"/>
      <w:bookmarkStart w:id="339" w:name="_Toc3481"/>
      <w:bookmarkEnd w:id="339"/>
      <w:bookmarkStart w:id="340" w:name="_Toc21750"/>
      <w:bookmarkEnd w:id="340"/>
      <w:bookmarkStart w:id="341" w:name="_Toc20694"/>
      <w:bookmarkEnd w:id="341"/>
      <w:bookmarkStart w:id="342" w:name="_Toc152045547"/>
      <w:bookmarkEnd w:id="342"/>
      <w:bookmarkStart w:id="343" w:name="_Toc27472"/>
      <w:bookmarkEnd w:id="343"/>
      <w:bookmarkStart w:id="344" w:name="_Toc11943"/>
      <w:bookmarkEnd w:id="344"/>
      <w:bookmarkStart w:id="345" w:name="_Toc179632565"/>
      <w:bookmarkEnd w:id="345"/>
      <w:bookmarkStart w:id="346" w:name="_Toc31703"/>
      <w:bookmarkEnd w:id="346"/>
      <w:bookmarkStart w:id="347" w:name="_Toc2521"/>
      <w:bookmarkEnd w:id="347"/>
      <w:bookmarkStart w:id="348" w:name="_Toc152042323"/>
      <w:bookmarkEnd w:id="348"/>
      <w:bookmarkStart w:id="349" w:name="_Toc338840204"/>
      <w:bookmarkEnd w:id="349"/>
      <w:bookmarkStart w:id="350" w:name="_Toc246996935"/>
      <w:bookmarkEnd w:id="350"/>
      <w:bookmarkStart w:id="351" w:name="_Toc247085706"/>
      <w:bookmarkEnd w:id="351"/>
      <w:bookmarkStart w:id="352" w:name="_Toc21445"/>
      <w:bookmarkEnd w:id="352"/>
      <w:bookmarkStart w:id="353" w:name="_Toc144974515"/>
      <w:r>
        <w:rPr>
          <w:b/>
          <w:bCs/>
          <w:color w:val="auto"/>
          <w:highlight w:val="none"/>
        </w:rPr>
        <w:t xml:space="preserve">3.1 </w:t>
      </w:r>
      <w:bookmarkEnd w:id="353"/>
      <w:r>
        <w:rPr>
          <w:rFonts w:hint="eastAsia"/>
          <w:b/>
          <w:bCs/>
          <w:color w:val="auto"/>
          <w:highlight w:val="none"/>
        </w:rPr>
        <w:t>投标文件的组成</w:t>
      </w:r>
    </w:p>
    <w:p w14:paraId="3EE33601">
      <w:pPr>
        <w:ind w:firstLine="422" w:firstLineChars="200"/>
        <w:rPr>
          <w:rFonts w:hint="default" w:eastAsia="宋体"/>
          <w:b/>
          <w:bCs/>
          <w:color w:val="auto"/>
          <w:highlight w:val="none"/>
          <w:lang w:val="en-US" w:eastAsia="zh-CN"/>
        </w:rPr>
      </w:pPr>
      <w:r>
        <w:rPr>
          <w:rFonts w:hint="eastAsia"/>
          <w:b/>
          <w:bCs/>
          <w:color w:val="auto"/>
          <w:highlight w:val="none"/>
        </w:rPr>
        <w:t>投标文件应包括但不限于下列内容：</w:t>
      </w:r>
      <w:bookmarkStart w:id="354" w:name="_Toc246996193"/>
      <w:bookmarkEnd w:id="354"/>
      <w:bookmarkStart w:id="355" w:name="_Toc5212"/>
      <w:bookmarkEnd w:id="355"/>
      <w:bookmarkStart w:id="356" w:name="_Toc15656"/>
      <w:bookmarkEnd w:id="356"/>
      <w:bookmarkStart w:id="357" w:name="_Toc4097"/>
      <w:bookmarkEnd w:id="357"/>
      <w:bookmarkStart w:id="358" w:name="_Toc144974516"/>
      <w:bookmarkEnd w:id="358"/>
      <w:bookmarkStart w:id="359" w:name="_Toc246996936"/>
      <w:bookmarkEnd w:id="359"/>
      <w:bookmarkStart w:id="360" w:name="_Toc32059"/>
      <w:bookmarkEnd w:id="360"/>
      <w:bookmarkStart w:id="361" w:name="_Toc338840205"/>
      <w:bookmarkEnd w:id="361"/>
      <w:bookmarkStart w:id="362" w:name="_Toc179632566"/>
      <w:bookmarkEnd w:id="362"/>
      <w:bookmarkStart w:id="363" w:name="_Toc6423"/>
      <w:bookmarkEnd w:id="363"/>
      <w:bookmarkStart w:id="364" w:name="_Toc12040"/>
      <w:bookmarkEnd w:id="364"/>
      <w:bookmarkStart w:id="365" w:name="_Toc152042324"/>
      <w:bookmarkEnd w:id="365"/>
      <w:bookmarkStart w:id="366" w:name="_Toc247085707"/>
      <w:bookmarkEnd w:id="366"/>
      <w:bookmarkStart w:id="367" w:name="_Toc29693"/>
      <w:bookmarkEnd w:id="367"/>
      <w:bookmarkStart w:id="368" w:name="_Toc10304"/>
      <w:bookmarkEnd w:id="368"/>
      <w:bookmarkStart w:id="369" w:name="_Toc4985"/>
      <w:r>
        <w:rPr>
          <w:rFonts w:hint="eastAsia"/>
          <w:b/>
          <w:bCs/>
          <w:color w:val="auto"/>
          <w:highlight w:val="none"/>
          <w:lang w:val="en-US" w:eastAsia="zh-CN"/>
        </w:rPr>
        <w:t>具体详见投标文件格式</w:t>
      </w:r>
    </w:p>
    <w:p w14:paraId="3BEF8250">
      <w:pPr>
        <w:pStyle w:val="4"/>
        <w:spacing w:before="0" w:after="0" w:line="240" w:lineRule="auto"/>
        <w:rPr>
          <w:rFonts w:ascii="宋体"/>
          <w:color w:val="auto"/>
          <w:sz w:val="21"/>
          <w:szCs w:val="21"/>
          <w:highlight w:val="none"/>
        </w:rPr>
      </w:pPr>
      <w:r>
        <w:rPr>
          <w:color w:val="auto"/>
          <w:sz w:val="21"/>
          <w:szCs w:val="21"/>
          <w:highlight w:val="none"/>
        </w:rPr>
        <w:t xml:space="preserve">3.2 </w:t>
      </w:r>
      <w:bookmarkEnd w:id="369"/>
      <w:r>
        <w:rPr>
          <w:rFonts w:hint="eastAsia" w:ascii="宋体" w:hAnsi="宋体"/>
          <w:color w:val="auto"/>
          <w:sz w:val="21"/>
          <w:szCs w:val="21"/>
          <w:highlight w:val="none"/>
        </w:rPr>
        <w:t>投标报价</w:t>
      </w:r>
    </w:p>
    <w:p w14:paraId="12A835DD">
      <w:pPr>
        <w:ind w:firstLine="420" w:firstLineChars="200"/>
        <w:rPr>
          <w:rFonts w:ascii="宋体"/>
          <w:color w:val="auto"/>
          <w:highlight w:val="none"/>
        </w:rPr>
      </w:pPr>
      <w:r>
        <w:rPr>
          <w:rFonts w:hint="eastAsia" w:ascii="宋体" w:hAnsi="宋体"/>
          <w:color w:val="auto"/>
          <w:highlight w:val="none"/>
        </w:rPr>
        <w:t>3.2.1 报价范围：见供应商须知前附表。招标方不再支付投标报价外任何费用，超过预算金额的投标将按无效投标处理。</w:t>
      </w:r>
    </w:p>
    <w:p w14:paraId="6592FC26">
      <w:pPr>
        <w:spacing w:line="400" w:lineRule="exact"/>
        <w:ind w:firstLine="420" w:firstLineChars="200"/>
        <w:rPr>
          <w:rFonts w:hint="eastAsia" w:ascii="宋体" w:hAnsi="宋体"/>
          <w:color w:val="auto"/>
          <w:kern w:val="0"/>
          <w:highlight w:val="none"/>
        </w:rPr>
      </w:pPr>
      <w:r>
        <w:rPr>
          <w:rFonts w:hint="eastAsia" w:ascii="宋体" w:hAnsi="宋体"/>
          <w:color w:val="auto"/>
          <w:highlight w:val="none"/>
        </w:rPr>
        <w:t>3.2.2报价应具有唯一性，即只能有一个有效报价（要求只进行分类分项报价的项目除外）。本项目</w:t>
      </w:r>
      <w:r>
        <w:rPr>
          <w:rFonts w:hint="eastAsia" w:ascii="宋体" w:hAnsi="宋体"/>
          <w:color w:val="auto"/>
          <w:kern w:val="0"/>
          <w:highlight w:val="none"/>
        </w:rPr>
        <w:t>不接受任何有选择性的报价</w:t>
      </w:r>
      <w:bookmarkStart w:id="370" w:name="_Toc179632567"/>
      <w:bookmarkEnd w:id="370"/>
      <w:bookmarkStart w:id="371" w:name="_Toc152042325"/>
      <w:bookmarkEnd w:id="371"/>
      <w:bookmarkStart w:id="372" w:name="_Toc144974517"/>
      <w:bookmarkEnd w:id="372"/>
      <w:bookmarkStart w:id="373" w:name="_Toc152045549"/>
      <w:r>
        <w:rPr>
          <w:rFonts w:hint="eastAsia" w:ascii="宋体" w:hAnsi="宋体"/>
          <w:color w:val="auto"/>
          <w:kern w:val="0"/>
          <w:highlight w:val="none"/>
        </w:rPr>
        <w:t>。</w:t>
      </w:r>
      <w:bookmarkEnd w:id="373"/>
    </w:p>
    <w:p w14:paraId="4445C8A8">
      <w:pPr>
        <w:spacing w:line="400" w:lineRule="exact"/>
        <w:ind w:firstLine="420" w:firstLineChars="200"/>
        <w:rPr>
          <w:rFonts w:ascii="宋体"/>
          <w:color w:val="auto"/>
          <w:highlight w:val="none"/>
        </w:rPr>
      </w:pPr>
      <w:r>
        <w:rPr>
          <w:rFonts w:hint="eastAsia" w:ascii="宋体" w:hAnsi="宋体"/>
          <w:color w:val="auto"/>
          <w:highlight w:val="none"/>
        </w:rPr>
        <w:t>3.2.3采购人设有最高限价的，最高限价在供应商须知前附表中载明。</w:t>
      </w:r>
    </w:p>
    <w:p w14:paraId="135F5CE9">
      <w:pPr>
        <w:spacing w:line="400" w:lineRule="exact"/>
        <w:ind w:firstLine="420" w:firstLineChars="200"/>
        <w:rPr>
          <w:rFonts w:ascii="宋体"/>
          <w:color w:val="auto"/>
          <w:highlight w:val="none"/>
        </w:rPr>
      </w:pPr>
      <w:r>
        <w:rPr>
          <w:rFonts w:hint="eastAsia" w:ascii="宋体" w:hAnsi="宋体"/>
          <w:color w:val="auto"/>
          <w:highlight w:val="none"/>
        </w:rPr>
        <w:t>3.2.4报价币种：见供应商须知前附表。</w:t>
      </w:r>
    </w:p>
    <w:p w14:paraId="13195945">
      <w:pPr>
        <w:pStyle w:val="4"/>
        <w:spacing w:before="0" w:after="0" w:line="240" w:lineRule="auto"/>
        <w:rPr>
          <w:color w:val="auto"/>
          <w:sz w:val="21"/>
          <w:szCs w:val="21"/>
          <w:highlight w:val="none"/>
        </w:rPr>
      </w:pPr>
      <w:bookmarkStart w:id="374" w:name="_Toc6681"/>
      <w:bookmarkEnd w:id="374"/>
      <w:bookmarkStart w:id="375" w:name="_Toc30349"/>
      <w:bookmarkEnd w:id="375"/>
      <w:bookmarkStart w:id="376" w:name="_Toc247085708"/>
      <w:bookmarkEnd w:id="376"/>
      <w:bookmarkStart w:id="377" w:name="_Toc2778"/>
      <w:bookmarkEnd w:id="377"/>
      <w:bookmarkStart w:id="378" w:name="_Toc246996194"/>
      <w:bookmarkEnd w:id="378"/>
      <w:bookmarkStart w:id="379" w:name="_Toc19413"/>
      <w:bookmarkEnd w:id="379"/>
      <w:bookmarkStart w:id="380" w:name="_Toc12778"/>
      <w:bookmarkEnd w:id="380"/>
      <w:bookmarkStart w:id="381" w:name="_Toc246996937"/>
      <w:bookmarkEnd w:id="381"/>
      <w:bookmarkStart w:id="382" w:name="_Toc338840206"/>
      <w:bookmarkEnd w:id="382"/>
      <w:bookmarkStart w:id="383" w:name="_Toc12935"/>
      <w:bookmarkEnd w:id="383"/>
      <w:bookmarkStart w:id="384" w:name="_Toc9204"/>
      <w:bookmarkEnd w:id="384"/>
      <w:bookmarkStart w:id="385" w:name="_Toc23914"/>
      <w:bookmarkEnd w:id="385"/>
      <w:bookmarkStart w:id="386" w:name="_Toc26718"/>
      <w:r>
        <w:rPr>
          <w:color w:val="auto"/>
          <w:sz w:val="21"/>
          <w:szCs w:val="21"/>
          <w:highlight w:val="none"/>
        </w:rPr>
        <w:t xml:space="preserve">3.3 </w:t>
      </w:r>
      <w:bookmarkEnd w:id="386"/>
      <w:r>
        <w:rPr>
          <w:rFonts w:hint="eastAsia" w:ascii="宋体" w:hAnsi="宋体"/>
          <w:color w:val="auto"/>
          <w:sz w:val="21"/>
          <w:szCs w:val="21"/>
          <w:highlight w:val="none"/>
        </w:rPr>
        <w:t>投标有效期</w:t>
      </w:r>
    </w:p>
    <w:p w14:paraId="38677ED0">
      <w:pPr>
        <w:spacing w:line="400" w:lineRule="exact"/>
        <w:ind w:firstLine="420" w:firstLineChars="200"/>
        <w:rPr>
          <w:color w:val="auto"/>
          <w:highlight w:val="none"/>
        </w:rPr>
      </w:pPr>
      <w:r>
        <w:rPr>
          <w:color w:val="auto"/>
          <w:highlight w:val="none"/>
        </w:rPr>
        <w:t xml:space="preserve">3.3.1 </w:t>
      </w:r>
      <w:r>
        <w:rPr>
          <w:rFonts w:hint="eastAsia" w:ascii="宋体" w:hAnsi="宋体"/>
          <w:color w:val="auto"/>
          <w:highlight w:val="none"/>
        </w:rPr>
        <w:t>除供应商须知前附表另有规定外，投标有效期为自投标截止日起 90 日历天。</w:t>
      </w:r>
    </w:p>
    <w:p w14:paraId="60238333">
      <w:pPr>
        <w:spacing w:line="400" w:lineRule="exact"/>
        <w:ind w:firstLine="420" w:firstLineChars="200"/>
        <w:rPr>
          <w:color w:val="auto"/>
          <w:highlight w:val="none"/>
        </w:rPr>
      </w:pPr>
      <w:r>
        <w:rPr>
          <w:color w:val="auto"/>
          <w:highlight w:val="none"/>
        </w:rPr>
        <w:t>3.3.2</w:t>
      </w:r>
      <w:r>
        <w:rPr>
          <w:rFonts w:hint="eastAsia" w:ascii="宋体" w:hAnsi="宋体"/>
          <w:color w:val="auto"/>
          <w:highlight w:val="none"/>
        </w:rPr>
        <w:t>在投标有效期内，供应商撤销或修改其投标文件的，应承担招标文件和法律规定的责任。</w:t>
      </w:r>
    </w:p>
    <w:p w14:paraId="34C19F99">
      <w:pPr>
        <w:spacing w:line="400" w:lineRule="exact"/>
        <w:ind w:firstLine="420" w:firstLineChars="200"/>
        <w:rPr>
          <w:rFonts w:hint="eastAsia" w:ascii="楷体_GB2312" w:hAnsi="宋体"/>
          <w:color w:val="auto"/>
          <w:highlight w:val="none"/>
        </w:rPr>
      </w:pPr>
      <w:r>
        <w:rPr>
          <w:color w:val="auto"/>
          <w:highlight w:val="none"/>
        </w:rPr>
        <w:t>3.3.3</w:t>
      </w:r>
      <w:r>
        <w:rPr>
          <w:rFonts w:hint="eastAsia" w:ascii="宋体" w:hAnsi="宋体"/>
          <w:color w:val="auto"/>
          <w:highlight w:val="none"/>
        </w:rPr>
        <w:t>出现特殊情况需要延长投标有效期的，采购人以书面形式通知所有供应商延长投标有效期。供应商同意延长的，但不得要求或被允许修改或撤销其投标文件；供应商拒绝延长的，其投标失效。</w:t>
      </w:r>
    </w:p>
    <w:p w14:paraId="753DBB38">
      <w:pPr>
        <w:pStyle w:val="4"/>
        <w:spacing w:before="0" w:after="0" w:line="240" w:lineRule="auto"/>
        <w:rPr>
          <w:color w:val="auto"/>
          <w:sz w:val="21"/>
          <w:szCs w:val="21"/>
          <w:highlight w:val="none"/>
        </w:rPr>
      </w:pPr>
      <w:bookmarkStart w:id="387" w:name="_Toc179632568"/>
      <w:bookmarkEnd w:id="387"/>
      <w:bookmarkStart w:id="388" w:name="_Toc152045550"/>
      <w:bookmarkEnd w:id="388"/>
      <w:bookmarkStart w:id="389" w:name="_Toc22898"/>
      <w:bookmarkEnd w:id="389"/>
      <w:bookmarkStart w:id="390" w:name="_Toc7017"/>
      <w:bookmarkEnd w:id="390"/>
      <w:bookmarkStart w:id="391" w:name="_Toc338840207"/>
      <w:bookmarkEnd w:id="391"/>
      <w:bookmarkStart w:id="392" w:name="_Toc3885"/>
      <w:bookmarkEnd w:id="392"/>
      <w:bookmarkStart w:id="393" w:name="_Toc9920"/>
      <w:bookmarkEnd w:id="393"/>
      <w:bookmarkStart w:id="394" w:name="_Toc246996195"/>
      <w:bookmarkEnd w:id="394"/>
      <w:bookmarkStart w:id="395" w:name="_Toc246996938"/>
      <w:bookmarkEnd w:id="395"/>
      <w:bookmarkStart w:id="396" w:name="_Toc144974518"/>
      <w:bookmarkEnd w:id="396"/>
      <w:bookmarkStart w:id="397" w:name="_Toc247085709"/>
      <w:bookmarkEnd w:id="397"/>
      <w:bookmarkStart w:id="398" w:name="_Toc152042326"/>
      <w:bookmarkEnd w:id="398"/>
      <w:bookmarkStart w:id="399" w:name="_Toc26959"/>
      <w:bookmarkEnd w:id="399"/>
      <w:bookmarkStart w:id="400" w:name="_Toc5014"/>
      <w:bookmarkEnd w:id="400"/>
      <w:bookmarkStart w:id="401" w:name="_Toc24702"/>
      <w:bookmarkEnd w:id="401"/>
      <w:bookmarkStart w:id="402" w:name="_Toc20257"/>
      <w:bookmarkEnd w:id="402"/>
      <w:bookmarkStart w:id="403" w:name="_Toc7989"/>
      <w:r>
        <w:rPr>
          <w:color w:val="auto"/>
          <w:sz w:val="21"/>
          <w:szCs w:val="21"/>
          <w:highlight w:val="none"/>
        </w:rPr>
        <w:t xml:space="preserve">3.4 </w:t>
      </w:r>
      <w:bookmarkEnd w:id="403"/>
      <w:r>
        <w:rPr>
          <w:rFonts w:hint="eastAsia" w:ascii="宋体" w:hAnsi="宋体"/>
          <w:color w:val="auto"/>
          <w:sz w:val="21"/>
          <w:szCs w:val="21"/>
          <w:highlight w:val="none"/>
        </w:rPr>
        <w:t>投标保证金（不收取）</w:t>
      </w:r>
    </w:p>
    <w:p w14:paraId="453680AC">
      <w:pPr>
        <w:pStyle w:val="4"/>
        <w:spacing w:before="0" w:after="0" w:line="240" w:lineRule="auto"/>
        <w:rPr>
          <w:color w:val="auto"/>
          <w:sz w:val="21"/>
          <w:szCs w:val="21"/>
          <w:highlight w:val="none"/>
        </w:rPr>
      </w:pPr>
      <w:bookmarkStart w:id="404" w:name="_Toc23386"/>
      <w:bookmarkEnd w:id="404"/>
      <w:bookmarkStart w:id="405" w:name="_Toc152042328"/>
      <w:bookmarkEnd w:id="405"/>
      <w:bookmarkStart w:id="406" w:name="_Toc12051"/>
      <w:bookmarkEnd w:id="406"/>
      <w:bookmarkStart w:id="407" w:name="_Toc246996939"/>
      <w:bookmarkEnd w:id="407"/>
      <w:bookmarkStart w:id="408" w:name="_Toc3739"/>
      <w:bookmarkEnd w:id="408"/>
      <w:bookmarkStart w:id="409" w:name="_Toc179632570"/>
      <w:bookmarkEnd w:id="409"/>
      <w:bookmarkStart w:id="410" w:name="_Toc152045552"/>
      <w:bookmarkEnd w:id="410"/>
      <w:bookmarkStart w:id="411" w:name="_Toc144974520"/>
      <w:bookmarkEnd w:id="411"/>
      <w:bookmarkStart w:id="412" w:name="_Toc246996196"/>
      <w:bookmarkEnd w:id="412"/>
      <w:bookmarkStart w:id="413" w:name="_Toc30621"/>
      <w:bookmarkEnd w:id="413"/>
      <w:bookmarkStart w:id="414" w:name="_Toc30374"/>
      <w:bookmarkEnd w:id="414"/>
      <w:bookmarkStart w:id="415" w:name="_Toc338840208"/>
      <w:bookmarkEnd w:id="415"/>
      <w:bookmarkStart w:id="416" w:name="_Toc247085710"/>
      <w:bookmarkEnd w:id="416"/>
      <w:bookmarkStart w:id="417" w:name="_Toc14451"/>
      <w:bookmarkEnd w:id="417"/>
      <w:bookmarkStart w:id="418" w:name="_Toc17620"/>
      <w:bookmarkEnd w:id="418"/>
      <w:bookmarkStart w:id="419" w:name="_Toc10277"/>
      <w:bookmarkEnd w:id="419"/>
      <w:bookmarkStart w:id="420" w:name="_Toc31527"/>
      <w:r>
        <w:rPr>
          <w:color w:val="auto"/>
          <w:sz w:val="21"/>
          <w:szCs w:val="21"/>
          <w:highlight w:val="none"/>
        </w:rPr>
        <w:t xml:space="preserve">3.5 </w:t>
      </w:r>
      <w:bookmarkEnd w:id="420"/>
      <w:r>
        <w:rPr>
          <w:rFonts w:hint="eastAsia" w:ascii="宋体" w:hAnsi="宋体"/>
          <w:color w:val="auto"/>
          <w:sz w:val="21"/>
          <w:szCs w:val="21"/>
          <w:highlight w:val="none"/>
        </w:rPr>
        <w:t>资格审查资料</w:t>
      </w:r>
    </w:p>
    <w:p w14:paraId="06486EE8">
      <w:pPr>
        <w:spacing w:line="400" w:lineRule="exact"/>
        <w:ind w:firstLine="420" w:firstLineChars="200"/>
        <w:rPr>
          <w:b/>
          <w:bCs/>
          <w:color w:val="auto"/>
          <w:highlight w:val="none"/>
        </w:rPr>
      </w:pPr>
      <w:r>
        <w:rPr>
          <w:color w:val="auto"/>
          <w:highlight w:val="none"/>
        </w:rPr>
        <w:t xml:space="preserve">3.5.1 </w:t>
      </w:r>
      <w:r>
        <w:rPr>
          <w:rFonts w:hint="eastAsia" w:ascii="宋体" w:hAnsi="宋体"/>
          <w:color w:val="auto"/>
          <w:highlight w:val="none"/>
        </w:rPr>
        <w:t>资格要求：见供应商须知前附表</w:t>
      </w:r>
      <w:r>
        <w:rPr>
          <w:rFonts w:hint="eastAsia" w:ascii="宋体" w:hAnsi="宋体"/>
          <w:b/>
          <w:bCs/>
          <w:color w:val="auto"/>
          <w:highlight w:val="none"/>
        </w:rPr>
        <w:t>。</w:t>
      </w:r>
    </w:p>
    <w:p w14:paraId="7CC2F9CF">
      <w:pPr>
        <w:spacing w:line="400" w:lineRule="exact"/>
        <w:ind w:firstLine="420" w:firstLineChars="200"/>
        <w:rPr>
          <w:color w:val="auto"/>
          <w:highlight w:val="none"/>
        </w:rPr>
      </w:pPr>
      <w:r>
        <w:rPr>
          <w:rFonts w:hint="eastAsia" w:ascii="宋体" w:hAnsi="宋体"/>
          <w:color w:val="auto"/>
          <w:highlight w:val="none"/>
        </w:rPr>
        <w:t>供应商须知前附表中要求的供应商资格审查材料应将扫描件或复印件附到投标文件中并加</w:t>
      </w:r>
      <w:r>
        <w:rPr>
          <w:rFonts w:hint="eastAsia"/>
          <w:color w:val="auto"/>
          <w:highlight w:val="none"/>
        </w:rPr>
        <w:t>企业电子签章</w:t>
      </w:r>
      <w:r>
        <w:rPr>
          <w:rFonts w:hint="eastAsia" w:ascii="宋体" w:hAnsi="宋体"/>
          <w:color w:val="auto"/>
          <w:highlight w:val="none"/>
        </w:rPr>
        <w:t>，不符合项目资格条件的供应商的投标将被拒绝。</w:t>
      </w:r>
    </w:p>
    <w:p w14:paraId="08ECD4FA">
      <w:pPr>
        <w:pStyle w:val="4"/>
        <w:spacing w:before="0" w:after="0" w:line="240" w:lineRule="auto"/>
        <w:rPr>
          <w:color w:val="auto"/>
          <w:sz w:val="21"/>
          <w:szCs w:val="21"/>
          <w:highlight w:val="none"/>
        </w:rPr>
      </w:pPr>
      <w:bookmarkStart w:id="421" w:name="_Toc6258"/>
      <w:bookmarkEnd w:id="421"/>
      <w:bookmarkStart w:id="422" w:name="_Toc179632571"/>
      <w:bookmarkEnd w:id="422"/>
      <w:bookmarkStart w:id="423" w:name="_Toc15115"/>
      <w:bookmarkEnd w:id="423"/>
      <w:bookmarkStart w:id="424" w:name="_Toc18175"/>
      <w:bookmarkEnd w:id="424"/>
      <w:bookmarkStart w:id="425" w:name="_Toc246996197"/>
      <w:bookmarkEnd w:id="425"/>
      <w:bookmarkStart w:id="426" w:name="_Toc29782"/>
      <w:bookmarkEnd w:id="426"/>
      <w:bookmarkStart w:id="427" w:name="_Toc144974521"/>
      <w:bookmarkEnd w:id="427"/>
      <w:bookmarkStart w:id="428" w:name="_Toc26090"/>
      <w:bookmarkEnd w:id="428"/>
      <w:bookmarkStart w:id="429" w:name="_Toc25507"/>
      <w:bookmarkEnd w:id="429"/>
      <w:bookmarkStart w:id="430" w:name="_Toc246996940"/>
      <w:bookmarkEnd w:id="430"/>
      <w:bookmarkStart w:id="431" w:name="_Toc15543"/>
      <w:bookmarkEnd w:id="431"/>
      <w:bookmarkStart w:id="432" w:name="_Toc26801"/>
      <w:bookmarkEnd w:id="432"/>
      <w:bookmarkStart w:id="433" w:name="_Toc152042329"/>
      <w:bookmarkEnd w:id="433"/>
      <w:bookmarkStart w:id="434" w:name="_Toc152045553"/>
      <w:bookmarkEnd w:id="434"/>
      <w:bookmarkStart w:id="435" w:name="_Toc338840209"/>
      <w:bookmarkEnd w:id="435"/>
      <w:bookmarkStart w:id="436" w:name="_Toc20455"/>
      <w:bookmarkEnd w:id="436"/>
      <w:bookmarkStart w:id="437" w:name="_Toc247085711"/>
      <w:r>
        <w:rPr>
          <w:color w:val="auto"/>
          <w:sz w:val="21"/>
          <w:szCs w:val="21"/>
          <w:highlight w:val="none"/>
        </w:rPr>
        <w:t>3.6</w:t>
      </w:r>
      <w:bookmarkEnd w:id="437"/>
      <w:r>
        <w:rPr>
          <w:rFonts w:hint="eastAsia" w:ascii="宋体" w:hAnsi="宋体"/>
          <w:color w:val="auto"/>
          <w:sz w:val="21"/>
          <w:szCs w:val="21"/>
          <w:highlight w:val="none"/>
        </w:rPr>
        <w:t>投标文件的编制</w:t>
      </w:r>
    </w:p>
    <w:p w14:paraId="2FB13FCF">
      <w:pPr>
        <w:spacing w:line="400" w:lineRule="exact"/>
        <w:ind w:firstLine="420" w:firstLineChars="200"/>
        <w:rPr>
          <w:color w:val="auto"/>
          <w:highlight w:val="none"/>
        </w:rPr>
      </w:pPr>
      <w:r>
        <w:rPr>
          <w:color w:val="auto"/>
          <w:highlight w:val="none"/>
        </w:rPr>
        <w:t>3.6.1</w:t>
      </w:r>
      <w:r>
        <w:rPr>
          <w:rFonts w:hint="eastAsia" w:ascii="宋体" w:hAnsi="宋体"/>
          <w:color w:val="auto"/>
          <w:highlight w:val="none"/>
        </w:rPr>
        <w:t>投标文件应按</w:t>
      </w:r>
      <w:r>
        <w:rPr>
          <w:rFonts w:hint="eastAsia"/>
          <w:color w:val="auto"/>
          <w:highlight w:val="none"/>
        </w:rPr>
        <w:t>“投标文件格式”进行编写，如有必要，可以增加附页，作为投标文件的组成部分。在满足招标文件实质性要求的基础上，可以提出比招标文件要求更有利于采购人的服务。</w:t>
      </w:r>
    </w:p>
    <w:p w14:paraId="39951846">
      <w:pPr>
        <w:spacing w:line="400" w:lineRule="exact"/>
        <w:ind w:firstLine="420" w:firstLineChars="200"/>
        <w:rPr>
          <w:rFonts w:hint="eastAsia" w:ascii="宋体" w:hAnsi="宋体"/>
          <w:color w:val="auto"/>
          <w:highlight w:val="none"/>
        </w:rPr>
      </w:pPr>
      <w:r>
        <w:rPr>
          <w:rFonts w:hint="eastAsia" w:ascii="宋体" w:hAnsi="宋体"/>
          <w:color w:val="auto"/>
          <w:highlight w:val="none"/>
        </w:rPr>
        <w:t>3.6.2 投标文件应当对招标文件有关供应商资格要求、符合性审查要求等实质性内容作出响应。</w:t>
      </w:r>
    </w:p>
    <w:p w14:paraId="353A63F5">
      <w:pPr>
        <w:spacing w:line="400" w:lineRule="exact"/>
        <w:ind w:firstLine="420" w:firstLineChars="200"/>
        <w:rPr>
          <w:color w:val="auto"/>
          <w:highlight w:val="none"/>
        </w:rPr>
      </w:pPr>
      <w:r>
        <w:rPr>
          <w:rFonts w:hint="eastAsia" w:ascii="宋体" w:hAnsi="宋体"/>
          <w:color w:val="auto"/>
          <w:highlight w:val="none"/>
        </w:rPr>
        <w:t>3.6.3投标文件应由供应商的法定代表人或其委托代理人个人电子签章或企业电子签章。委托代理人个人电子签章的，投标文件应附法定代表人签署的授权委托书。投标文件应尽量避免涂改、行间插字或删除。如果出现上述情况，改动之处应加企业电子签章或由供应商的法定代表人（或其授权的代理人）个人电子签章确认。</w:t>
      </w:r>
    </w:p>
    <w:p w14:paraId="308A2B2F">
      <w:pPr>
        <w:pStyle w:val="3"/>
        <w:spacing w:before="0" w:beforeAutospacing="0" w:after="0" w:afterAutospacing="0" w:line="240" w:lineRule="auto"/>
        <w:ind w:left="0" w:firstLine="0"/>
        <w:rPr>
          <w:color w:val="auto"/>
          <w:sz w:val="21"/>
          <w:szCs w:val="21"/>
          <w:highlight w:val="none"/>
        </w:rPr>
      </w:pPr>
      <w:bookmarkStart w:id="438" w:name="_Toc25005"/>
      <w:bookmarkEnd w:id="438"/>
      <w:bookmarkStart w:id="439" w:name="_Toc14478"/>
      <w:bookmarkEnd w:id="439"/>
      <w:bookmarkStart w:id="440" w:name="_Toc338840484"/>
      <w:bookmarkEnd w:id="440"/>
      <w:bookmarkStart w:id="441" w:name="_Toc31926"/>
      <w:bookmarkEnd w:id="441"/>
      <w:bookmarkStart w:id="442" w:name="_Toc346523405"/>
      <w:bookmarkEnd w:id="442"/>
      <w:bookmarkStart w:id="443" w:name="_Toc22161"/>
      <w:bookmarkEnd w:id="443"/>
      <w:bookmarkStart w:id="444" w:name="_Toc338840210"/>
      <w:bookmarkEnd w:id="444"/>
      <w:bookmarkStart w:id="445" w:name="_Toc5189"/>
      <w:bookmarkEnd w:id="445"/>
      <w:bookmarkStart w:id="446" w:name="_Toc2896"/>
      <w:bookmarkEnd w:id="446"/>
      <w:bookmarkStart w:id="447" w:name="_Toc338840445"/>
      <w:bookmarkEnd w:id="447"/>
      <w:bookmarkStart w:id="448" w:name="_Toc11446"/>
      <w:bookmarkEnd w:id="448"/>
      <w:bookmarkStart w:id="449" w:name="_Toc32647"/>
      <w:bookmarkEnd w:id="449"/>
      <w:bookmarkStart w:id="450" w:name="_Toc15395"/>
      <w:bookmarkEnd w:id="450"/>
      <w:bookmarkStart w:id="451" w:name="_Toc5618"/>
      <w:r>
        <w:rPr>
          <w:color w:val="auto"/>
          <w:sz w:val="21"/>
          <w:szCs w:val="21"/>
          <w:highlight w:val="none"/>
        </w:rPr>
        <w:t>4</w:t>
      </w:r>
      <w:bookmarkEnd w:id="451"/>
      <w:r>
        <w:rPr>
          <w:rFonts w:hint="eastAsia" w:ascii="宋体" w:hAnsi="宋体"/>
          <w:color w:val="auto"/>
          <w:sz w:val="21"/>
          <w:szCs w:val="21"/>
          <w:highlight w:val="none"/>
        </w:rPr>
        <w:t>、投标</w:t>
      </w:r>
    </w:p>
    <w:p w14:paraId="2068E52C">
      <w:pPr>
        <w:pStyle w:val="4"/>
        <w:spacing w:before="0" w:after="0" w:line="240" w:lineRule="auto"/>
        <w:rPr>
          <w:color w:val="auto"/>
          <w:sz w:val="21"/>
          <w:szCs w:val="21"/>
          <w:highlight w:val="none"/>
        </w:rPr>
      </w:pPr>
      <w:bookmarkStart w:id="452" w:name="_Toc338840211"/>
      <w:bookmarkEnd w:id="452"/>
      <w:bookmarkStart w:id="453" w:name="_Toc32411"/>
      <w:bookmarkEnd w:id="453"/>
      <w:bookmarkStart w:id="454" w:name="_Toc144974524"/>
      <w:bookmarkEnd w:id="454"/>
      <w:bookmarkStart w:id="455" w:name="_Toc17574"/>
      <w:bookmarkEnd w:id="455"/>
      <w:bookmarkStart w:id="456" w:name="_Toc12487"/>
      <w:bookmarkEnd w:id="456"/>
      <w:bookmarkStart w:id="457" w:name="_Toc179632574"/>
      <w:bookmarkEnd w:id="457"/>
      <w:bookmarkStart w:id="458" w:name="_Toc247085714"/>
      <w:bookmarkEnd w:id="458"/>
      <w:bookmarkStart w:id="459" w:name="_Toc17216"/>
      <w:bookmarkEnd w:id="459"/>
      <w:bookmarkStart w:id="460" w:name="_Toc13130"/>
      <w:bookmarkEnd w:id="460"/>
      <w:bookmarkStart w:id="461" w:name="_Toc246996943"/>
      <w:bookmarkEnd w:id="461"/>
      <w:bookmarkStart w:id="462" w:name="_Toc23639"/>
      <w:bookmarkEnd w:id="462"/>
      <w:bookmarkStart w:id="463" w:name="_Toc152045556"/>
      <w:bookmarkEnd w:id="463"/>
      <w:bookmarkStart w:id="464" w:name="_Toc246996200"/>
      <w:bookmarkEnd w:id="464"/>
      <w:bookmarkStart w:id="465" w:name="_Toc13359"/>
      <w:bookmarkEnd w:id="465"/>
      <w:bookmarkStart w:id="466" w:name="_Toc20695"/>
      <w:bookmarkEnd w:id="466"/>
      <w:bookmarkStart w:id="467" w:name="_Toc11271"/>
      <w:bookmarkEnd w:id="467"/>
      <w:bookmarkStart w:id="468" w:name="_Toc342"/>
      <w:bookmarkEnd w:id="468"/>
      <w:bookmarkStart w:id="469" w:name="_Toc20836"/>
      <w:bookmarkEnd w:id="469"/>
      <w:bookmarkStart w:id="470" w:name="_Toc22225"/>
      <w:bookmarkEnd w:id="470"/>
      <w:bookmarkStart w:id="471" w:name="_Toc11078"/>
      <w:bookmarkEnd w:id="471"/>
      <w:bookmarkStart w:id="472" w:name="_Toc152042332"/>
      <w:bookmarkEnd w:id="472"/>
      <w:bookmarkStart w:id="473" w:name="_Toc30950"/>
      <w:bookmarkEnd w:id="473"/>
      <w:bookmarkStart w:id="474" w:name="_Toc338840212"/>
      <w:bookmarkEnd w:id="474"/>
      <w:bookmarkStart w:id="475" w:name="_Toc9399"/>
      <w:bookmarkEnd w:id="475"/>
      <w:bookmarkStart w:id="476" w:name="_Toc15938"/>
      <w:bookmarkEnd w:id="476"/>
      <w:bookmarkStart w:id="477" w:name="_Toc15173"/>
      <w:r>
        <w:rPr>
          <w:color w:val="auto"/>
          <w:sz w:val="21"/>
          <w:szCs w:val="21"/>
          <w:highlight w:val="none"/>
        </w:rPr>
        <w:t>4.</w:t>
      </w:r>
      <w:r>
        <w:rPr>
          <w:rFonts w:hint="eastAsia"/>
          <w:color w:val="auto"/>
          <w:sz w:val="21"/>
          <w:szCs w:val="21"/>
          <w:highlight w:val="none"/>
        </w:rPr>
        <w:t>1</w:t>
      </w:r>
      <w:bookmarkEnd w:id="477"/>
      <w:r>
        <w:rPr>
          <w:rFonts w:hint="eastAsia" w:ascii="宋体" w:hAnsi="宋体"/>
          <w:color w:val="auto"/>
          <w:sz w:val="21"/>
          <w:szCs w:val="21"/>
          <w:highlight w:val="none"/>
        </w:rPr>
        <w:t>投标文件的递交</w:t>
      </w:r>
    </w:p>
    <w:p w14:paraId="0E07469B">
      <w:pPr>
        <w:spacing w:line="400" w:lineRule="exact"/>
        <w:ind w:firstLine="420" w:firstLineChars="200"/>
        <w:rPr>
          <w:color w:val="auto"/>
          <w:highlight w:val="none"/>
        </w:rPr>
      </w:pPr>
      <w:r>
        <w:rPr>
          <w:color w:val="auto"/>
          <w:highlight w:val="none"/>
        </w:rPr>
        <w:t>4.</w:t>
      </w:r>
      <w:r>
        <w:rPr>
          <w:rFonts w:hint="eastAsia"/>
          <w:color w:val="auto"/>
          <w:highlight w:val="none"/>
        </w:rPr>
        <w:t>1</w:t>
      </w:r>
      <w:r>
        <w:rPr>
          <w:color w:val="auto"/>
          <w:highlight w:val="none"/>
        </w:rPr>
        <w:t xml:space="preserve">.1 </w:t>
      </w:r>
      <w:r>
        <w:rPr>
          <w:rFonts w:hint="eastAsia" w:ascii="宋体" w:hAnsi="宋体"/>
          <w:color w:val="auto"/>
          <w:highlight w:val="none"/>
        </w:rPr>
        <w:t>供应商应在投标截止及开标时间前递交投标文件。</w:t>
      </w:r>
    </w:p>
    <w:p w14:paraId="5AA638D4">
      <w:pPr>
        <w:spacing w:line="400" w:lineRule="exact"/>
        <w:ind w:firstLine="420" w:firstLineChars="200"/>
        <w:rPr>
          <w:color w:val="auto"/>
          <w:highlight w:val="none"/>
        </w:rPr>
      </w:pPr>
      <w:r>
        <w:rPr>
          <w:color w:val="auto"/>
          <w:highlight w:val="none"/>
        </w:rPr>
        <w:t>4.</w:t>
      </w:r>
      <w:r>
        <w:rPr>
          <w:rFonts w:hint="eastAsia"/>
          <w:color w:val="auto"/>
          <w:highlight w:val="none"/>
        </w:rPr>
        <w:t>1</w:t>
      </w:r>
      <w:r>
        <w:rPr>
          <w:color w:val="auto"/>
          <w:highlight w:val="none"/>
        </w:rPr>
        <w:t xml:space="preserve">.2 </w:t>
      </w:r>
      <w:r>
        <w:rPr>
          <w:rFonts w:hint="eastAsia" w:ascii="宋体" w:hAnsi="宋体"/>
          <w:color w:val="auto"/>
          <w:highlight w:val="none"/>
        </w:rPr>
        <w:t>供应商递交投标文件的地点：见供应商须知前附表。</w:t>
      </w:r>
    </w:p>
    <w:p w14:paraId="75678E99">
      <w:pPr>
        <w:spacing w:line="400" w:lineRule="exact"/>
        <w:ind w:firstLine="420" w:firstLineChars="200"/>
        <w:rPr>
          <w:color w:val="auto"/>
          <w:highlight w:val="none"/>
        </w:rPr>
      </w:pPr>
      <w:r>
        <w:rPr>
          <w:color w:val="auto"/>
          <w:highlight w:val="none"/>
        </w:rPr>
        <w:t>4.</w:t>
      </w:r>
      <w:r>
        <w:rPr>
          <w:rFonts w:hint="eastAsia"/>
          <w:color w:val="auto"/>
          <w:highlight w:val="none"/>
        </w:rPr>
        <w:t>1</w:t>
      </w:r>
      <w:r>
        <w:rPr>
          <w:color w:val="auto"/>
          <w:highlight w:val="none"/>
        </w:rPr>
        <w:t xml:space="preserve">.3 </w:t>
      </w:r>
      <w:r>
        <w:rPr>
          <w:rFonts w:hint="eastAsia" w:ascii="宋体" w:hAnsi="宋体"/>
          <w:color w:val="auto"/>
          <w:highlight w:val="none"/>
        </w:rPr>
        <w:t>逾期送达的或者未按时送达指定地点的投标文件，采购人不予受理。</w:t>
      </w:r>
    </w:p>
    <w:p w14:paraId="35F2718B">
      <w:pPr>
        <w:pStyle w:val="4"/>
        <w:spacing w:before="0" w:after="0" w:line="240" w:lineRule="auto"/>
        <w:rPr>
          <w:color w:val="auto"/>
          <w:sz w:val="21"/>
          <w:szCs w:val="21"/>
          <w:highlight w:val="none"/>
        </w:rPr>
      </w:pPr>
      <w:bookmarkStart w:id="478" w:name="_Toc32405"/>
      <w:bookmarkEnd w:id="478"/>
      <w:bookmarkStart w:id="479" w:name="_Toc17563"/>
      <w:bookmarkEnd w:id="479"/>
      <w:bookmarkStart w:id="480" w:name="_Toc338840446"/>
      <w:bookmarkEnd w:id="480"/>
      <w:bookmarkStart w:id="481" w:name="_Toc2971"/>
      <w:bookmarkEnd w:id="481"/>
      <w:bookmarkStart w:id="482" w:name="_Toc21631"/>
      <w:bookmarkEnd w:id="482"/>
      <w:bookmarkStart w:id="483" w:name="_Toc152042335"/>
      <w:bookmarkEnd w:id="483"/>
      <w:bookmarkStart w:id="484" w:name="_Toc246996202"/>
      <w:bookmarkEnd w:id="484"/>
      <w:bookmarkStart w:id="485" w:name="_Toc179632576"/>
      <w:bookmarkEnd w:id="485"/>
      <w:bookmarkStart w:id="486" w:name="_Toc27998"/>
      <w:bookmarkEnd w:id="486"/>
      <w:bookmarkStart w:id="487" w:name="_Toc247085717"/>
      <w:bookmarkEnd w:id="487"/>
      <w:bookmarkStart w:id="488" w:name="_Toc9008"/>
      <w:bookmarkEnd w:id="488"/>
      <w:bookmarkStart w:id="489" w:name="_Toc13338"/>
      <w:bookmarkEnd w:id="489"/>
      <w:bookmarkStart w:id="490" w:name="_Toc338840213"/>
      <w:bookmarkEnd w:id="490"/>
      <w:bookmarkStart w:id="491" w:name="_Toc179632577"/>
      <w:bookmarkEnd w:id="491"/>
      <w:bookmarkStart w:id="492" w:name="_Toc11119"/>
      <w:bookmarkEnd w:id="492"/>
      <w:bookmarkStart w:id="493" w:name="_Toc1991"/>
      <w:bookmarkEnd w:id="493"/>
      <w:bookmarkStart w:id="494" w:name="_Toc338840214"/>
      <w:bookmarkEnd w:id="494"/>
      <w:bookmarkStart w:id="495" w:name="_Toc144974526"/>
      <w:bookmarkEnd w:id="495"/>
      <w:bookmarkStart w:id="496" w:name="_Toc697"/>
      <w:bookmarkEnd w:id="496"/>
      <w:bookmarkStart w:id="497" w:name="_Toc152042334"/>
      <w:bookmarkEnd w:id="497"/>
      <w:bookmarkStart w:id="498" w:name="_Toc10906"/>
      <w:bookmarkEnd w:id="498"/>
      <w:bookmarkStart w:id="499" w:name="_Toc4201"/>
      <w:bookmarkEnd w:id="499"/>
      <w:bookmarkStart w:id="500" w:name="_Toc152045558"/>
      <w:bookmarkEnd w:id="500"/>
      <w:bookmarkStart w:id="501" w:name="_Toc152045559"/>
      <w:bookmarkEnd w:id="501"/>
      <w:bookmarkStart w:id="502" w:name="_Toc29287"/>
      <w:bookmarkEnd w:id="502"/>
      <w:bookmarkStart w:id="503" w:name="_Toc338840485"/>
      <w:bookmarkEnd w:id="503"/>
      <w:bookmarkStart w:id="504" w:name="_Toc346523406"/>
      <w:bookmarkEnd w:id="504"/>
      <w:bookmarkStart w:id="505" w:name="_Toc13208"/>
      <w:bookmarkEnd w:id="505"/>
      <w:bookmarkStart w:id="506" w:name="_Toc15986"/>
      <w:bookmarkEnd w:id="506"/>
      <w:bookmarkStart w:id="507" w:name="_Toc246996946"/>
      <w:bookmarkEnd w:id="507"/>
      <w:bookmarkStart w:id="508" w:name="_Toc246996945"/>
      <w:bookmarkEnd w:id="508"/>
      <w:bookmarkStart w:id="509" w:name="_Toc247085716"/>
      <w:bookmarkEnd w:id="509"/>
      <w:bookmarkStart w:id="510" w:name="_Toc246996203"/>
      <w:bookmarkEnd w:id="510"/>
      <w:bookmarkStart w:id="511" w:name="_Toc144974527"/>
      <w:bookmarkEnd w:id="511"/>
      <w:bookmarkStart w:id="512" w:name="_Toc12944"/>
      <w:bookmarkEnd w:id="512"/>
      <w:bookmarkStart w:id="513" w:name="_Toc1452"/>
      <w:bookmarkEnd w:id="513"/>
      <w:bookmarkStart w:id="514" w:name="_Toc22674"/>
      <w:r>
        <w:rPr>
          <w:color w:val="auto"/>
          <w:sz w:val="21"/>
          <w:szCs w:val="21"/>
          <w:highlight w:val="none"/>
        </w:rPr>
        <w:t>5</w:t>
      </w:r>
      <w:bookmarkEnd w:id="514"/>
      <w:r>
        <w:rPr>
          <w:rFonts w:hint="eastAsia" w:ascii="宋体" w:hAnsi="宋体"/>
          <w:color w:val="auto"/>
          <w:sz w:val="21"/>
          <w:szCs w:val="21"/>
          <w:highlight w:val="none"/>
        </w:rPr>
        <w:t>、开标</w:t>
      </w:r>
    </w:p>
    <w:p w14:paraId="39E478AF">
      <w:pPr>
        <w:pStyle w:val="4"/>
        <w:spacing w:before="0" w:after="156" w:afterLines="50" w:line="360" w:lineRule="auto"/>
        <w:rPr>
          <w:color w:val="auto"/>
          <w:sz w:val="21"/>
          <w:szCs w:val="21"/>
          <w:highlight w:val="none"/>
        </w:rPr>
      </w:pPr>
      <w:bookmarkStart w:id="515" w:name="_Toc152045560"/>
      <w:bookmarkEnd w:id="515"/>
      <w:bookmarkStart w:id="516" w:name="_Toc18459"/>
      <w:bookmarkEnd w:id="516"/>
      <w:bookmarkStart w:id="517" w:name="_Toc21370"/>
      <w:bookmarkEnd w:id="517"/>
      <w:bookmarkStart w:id="518" w:name="_Toc144974528"/>
      <w:bookmarkEnd w:id="518"/>
      <w:bookmarkStart w:id="519" w:name="_Toc28764"/>
      <w:bookmarkEnd w:id="519"/>
      <w:bookmarkStart w:id="520" w:name="_Toc11232"/>
      <w:bookmarkEnd w:id="520"/>
      <w:bookmarkStart w:id="521" w:name="_Toc179632578"/>
      <w:bookmarkEnd w:id="521"/>
      <w:bookmarkStart w:id="522" w:name="_Toc246996204"/>
      <w:bookmarkEnd w:id="522"/>
      <w:bookmarkStart w:id="523" w:name="_Toc246996947"/>
      <w:bookmarkEnd w:id="523"/>
      <w:bookmarkStart w:id="524" w:name="_Toc11330"/>
      <w:bookmarkEnd w:id="524"/>
      <w:bookmarkStart w:id="525" w:name="_Toc22654"/>
      <w:bookmarkEnd w:id="525"/>
      <w:bookmarkStart w:id="526" w:name="_Toc14876"/>
      <w:bookmarkEnd w:id="526"/>
      <w:bookmarkStart w:id="527" w:name="_Toc10481"/>
      <w:bookmarkEnd w:id="527"/>
      <w:bookmarkStart w:id="528" w:name="_Toc338840215"/>
      <w:bookmarkEnd w:id="528"/>
      <w:bookmarkStart w:id="529" w:name="_Toc20748"/>
      <w:bookmarkEnd w:id="529"/>
      <w:bookmarkStart w:id="530" w:name="_Toc152042336"/>
      <w:bookmarkEnd w:id="530"/>
      <w:bookmarkStart w:id="531" w:name="_Toc247085718"/>
      <w:r>
        <w:rPr>
          <w:color w:val="auto"/>
          <w:sz w:val="21"/>
          <w:szCs w:val="21"/>
          <w:highlight w:val="none"/>
        </w:rPr>
        <w:t xml:space="preserve">5.1 </w:t>
      </w:r>
      <w:bookmarkEnd w:id="531"/>
      <w:r>
        <w:rPr>
          <w:rFonts w:hint="eastAsia" w:ascii="宋体" w:hAnsi="宋体"/>
          <w:color w:val="auto"/>
          <w:sz w:val="21"/>
          <w:szCs w:val="21"/>
          <w:highlight w:val="none"/>
        </w:rPr>
        <w:t>开标时间和地点</w:t>
      </w:r>
    </w:p>
    <w:p w14:paraId="14BCB9A4">
      <w:pPr>
        <w:ind w:firstLine="420" w:firstLineChars="200"/>
        <w:rPr>
          <w:color w:val="auto"/>
          <w:highlight w:val="none"/>
        </w:rPr>
      </w:pPr>
      <w:r>
        <w:rPr>
          <w:rFonts w:hint="eastAsia" w:ascii="宋体" w:hAnsi="宋体"/>
          <w:color w:val="auto"/>
          <w:highlight w:val="none"/>
        </w:rPr>
        <w:t>采购人在供应商须知前附表规定的投标截止及开标时间和地点进行开标，</w:t>
      </w:r>
      <w:r>
        <w:rPr>
          <w:rFonts w:hint="eastAsia" w:ascii="宋体" w:hAnsi="宋体"/>
          <w:color w:val="auto"/>
          <w:highlight w:val="none"/>
          <w:shd w:val="clear" w:color="auto" w:fill="FFFFFF"/>
        </w:rPr>
        <w:t>并邀请所有供应商的法定代表人或委托代理人远程在线准时参加。</w:t>
      </w:r>
    </w:p>
    <w:p w14:paraId="33C0894E">
      <w:pPr>
        <w:pStyle w:val="4"/>
        <w:spacing w:before="0" w:after="156" w:afterLines="50" w:line="360" w:lineRule="auto"/>
        <w:rPr>
          <w:color w:val="auto"/>
          <w:sz w:val="21"/>
          <w:szCs w:val="21"/>
          <w:highlight w:val="none"/>
        </w:rPr>
      </w:pPr>
      <w:bookmarkStart w:id="532" w:name="_Toc21804"/>
      <w:bookmarkEnd w:id="532"/>
      <w:bookmarkStart w:id="533" w:name="_Toc14342"/>
      <w:bookmarkEnd w:id="533"/>
      <w:bookmarkStart w:id="534" w:name="_Toc247085719"/>
      <w:bookmarkEnd w:id="534"/>
      <w:bookmarkStart w:id="535" w:name="_Toc11345"/>
      <w:bookmarkEnd w:id="535"/>
      <w:bookmarkStart w:id="536" w:name="_Toc31739"/>
      <w:bookmarkEnd w:id="536"/>
      <w:bookmarkStart w:id="537" w:name="_Toc144974529"/>
      <w:bookmarkEnd w:id="537"/>
      <w:bookmarkStart w:id="538" w:name="_Toc32186"/>
      <w:bookmarkEnd w:id="538"/>
      <w:bookmarkStart w:id="539" w:name="_Toc23717"/>
      <w:bookmarkEnd w:id="539"/>
      <w:bookmarkStart w:id="540" w:name="_Toc179632579"/>
      <w:bookmarkEnd w:id="540"/>
      <w:bookmarkStart w:id="541" w:name="_Toc338840216"/>
      <w:bookmarkEnd w:id="541"/>
      <w:bookmarkStart w:id="542" w:name="_Toc12031"/>
      <w:bookmarkEnd w:id="542"/>
      <w:bookmarkStart w:id="543" w:name="_Toc152042337"/>
      <w:bookmarkEnd w:id="543"/>
      <w:bookmarkStart w:id="544" w:name="_Toc152045561"/>
      <w:bookmarkEnd w:id="544"/>
      <w:bookmarkStart w:id="545" w:name="_Toc246996205"/>
      <w:bookmarkEnd w:id="545"/>
      <w:bookmarkStart w:id="546" w:name="_Toc26577"/>
      <w:bookmarkEnd w:id="546"/>
      <w:bookmarkStart w:id="547" w:name="_Toc246996948"/>
      <w:bookmarkEnd w:id="547"/>
      <w:bookmarkStart w:id="548" w:name="_Toc17159"/>
      <w:r>
        <w:rPr>
          <w:color w:val="auto"/>
          <w:sz w:val="21"/>
          <w:szCs w:val="21"/>
          <w:highlight w:val="none"/>
        </w:rPr>
        <w:t xml:space="preserve">5.2 </w:t>
      </w:r>
      <w:bookmarkEnd w:id="548"/>
      <w:r>
        <w:rPr>
          <w:rFonts w:hint="eastAsia" w:ascii="宋体" w:hAnsi="宋体"/>
          <w:color w:val="auto"/>
          <w:sz w:val="21"/>
          <w:szCs w:val="21"/>
          <w:highlight w:val="none"/>
        </w:rPr>
        <w:t>开标程序</w:t>
      </w:r>
    </w:p>
    <w:p w14:paraId="11AFE371">
      <w:pPr>
        <w:spacing w:line="400" w:lineRule="exact"/>
        <w:ind w:firstLine="420" w:firstLineChars="200"/>
        <w:rPr>
          <w:rFonts w:hint="eastAsia" w:ascii="宋体" w:hAnsi="宋体"/>
          <w:color w:val="auto"/>
          <w:highlight w:val="none"/>
        </w:rPr>
      </w:pPr>
      <w:r>
        <w:rPr>
          <w:rFonts w:hint="eastAsia" w:ascii="宋体" w:hAnsi="宋体"/>
          <w:color w:val="auto"/>
          <w:highlight w:val="none"/>
        </w:rPr>
        <w:t>主持人按下列程序进行开标：</w:t>
      </w:r>
      <w:bookmarkStart w:id="549" w:name="_Toc12866"/>
      <w:bookmarkEnd w:id="549"/>
      <w:bookmarkStart w:id="550" w:name="_Toc27171"/>
      <w:bookmarkEnd w:id="550"/>
      <w:bookmarkStart w:id="551" w:name="_Toc13622"/>
      <w:bookmarkEnd w:id="551"/>
      <w:bookmarkStart w:id="552" w:name="_Toc338840217"/>
      <w:bookmarkEnd w:id="552"/>
      <w:bookmarkStart w:id="553" w:name="_Toc6799"/>
      <w:bookmarkEnd w:id="553"/>
      <w:bookmarkStart w:id="554" w:name="_Toc32704"/>
      <w:bookmarkEnd w:id="554"/>
      <w:bookmarkStart w:id="555" w:name="_Toc29139"/>
      <w:bookmarkEnd w:id="555"/>
      <w:bookmarkStart w:id="556" w:name="_Toc32528"/>
      <w:bookmarkEnd w:id="556"/>
      <w:bookmarkStart w:id="557" w:name="_Toc21976"/>
      <w:bookmarkEnd w:id="557"/>
      <w:bookmarkStart w:id="558" w:name="_Toc21923"/>
    </w:p>
    <w:p w14:paraId="279D9B7B">
      <w:pPr>
        <w:numPr>
          <w:ilvl w:val="0"/>
          <w:numId w:val="0"/>
        </w:numPr>
        <w:spacing w:line="400" w:lineRule="exact"/>
        <w:ind w:firstLine="420" w:firstLineChars="200"/>
        <w:rPr>
          <w:color w:val="auto"/>
          <w:highlight w:val="none"/>
        </w:rPr>
      </w:pPr>
      <w:r>
        <w:rPr>
          <w:rFonts w:ascii="Calibri" w:hAnsi="Calibri" w:eastAsia="宋体" w:cs="Times New Roman"/>
          <w:color w:val="auto"/>
          <w:kern w:val="2"/>
          <w:sz w:val="21"/>
          <w:szCs w:val="21"/>
          <w:highlight w:val="none"/>
          <w:lang w:val="en-US" w:eastAsia="zh-CN" w:bidi="ar-SA"/>
        </w:rPr>
        <w:t>1、</w:t>
      </w:r>
      <w:r>
        <w:rPr>
          <w:rFonts w:hint="eastAsia"/>
          <w:color w:val="auto"/>
          <w:highlight w:val="none"/>
        </w:rPr>
        <w:t>本项目采用“远程不见面” 开标方式,投标人无需到开封市公共资源交易中心现场参加开标会议。投标人应当在招标文件确定的投标截止时间前，登录远程开标大厅,在线准时参加开标活动并进行投标文件解密、 答疑澄清等 。</w:t>
      </w:r>
    </w:p>
    <w:p w14:paraId="6BE9E483">
      <w:pPr>
        <w:numPr>
          <w:ilvl w:val="0"/>
          <w:numId w:val="0"/>
        </w:numPr>
        <w:spacing w:line="400" w:lineRule="exact"/>
        <w:ind w:firstLine="420" w:firstLineChars="200"/>
        <w:rPr>
          <w:color w:val="auto"/>
          <w:highlight w:val="none"/>
        </w:rPr>
      </w:pPr>
      <w:r>
        <w:rPr>
          <w:rFonts w:ascii="Calibri" w:hAnsi="Calibri" w:eastAsia="宋体" w:cs="Times New Roman"/>
          <w:color w:val="auto"/>
          <w:kern w:val="2"/>
          <w:sz w:val="21"/>
          <w:szCs w:val="21"/>
          <w:highlight w:val="none"/>
          <w:lang w:val="en-US" w:eastAsia="zh-CN" w:bidi="ar-SA"/>
        </w:rPr>
        <w:t>2、</w:t>
      </w:r>
      <w:r>
        <w:rPr>
          <w:rFonts w:hint="eastAsia"/>
          <w:color w:val="auto"/>
          <w:highlight w:val="none"/>
        </w:rPr>
        <w:t>投标人代表不到开标现场，应在投标文件上传截止时间前使用CA密钥对其电子投标文件完成远程解密，否则，投标人自行承担其投标文件不能开标的责任。（系统解密时长默认为40分钟，错过解密时长者视为自动放弃本次投标。）</w:t>
      </w:r>
    </w:p>
    <w:p w14:paraId="46EA79C1">
      <w:pPr>
        <w:spacing w:line="400" w:lineRule="exact"/>
        <w:ind w:left="420" w:leftChars="200"/>
        <w:rPr>
          <w:color w:val="auto"/>
          <w:highlight w:val="none"/>
        </w:rPr>
      </w:pPr>
      <w:r>
        <w:rPr>
          <w:rFonts w:hint="eastAsia"/>
          <w:color w:val="auto"/>
          <w:highlight w:val="none"/>
        </w:rPr>
        <w:t>3、因投标人原因造成投标文件未解密的，视为撤销其投标文件。部分投标人的投标文件未解密的，其他投标人的投标文件的开标会议可以继续进行。一个标段解密的投标文件不足三家时该标段不再继续进行。</w:t>
      </w:r>
      <w:r>
        <w:rPr>
          <w:rFonts w:hint="eastAsia"/>
          <w:color w:val="auto"/>
          <w:highlight w:val="none"/>
        </w:rPr>
        <w:br w:type="textWrapping"/>
      </w:r>
      <w:r>
        <w:rPr>
          <w:rFonts w:hint="eastAsia"/>
          <w:color w:val="auto"/>
          <w:highlight w:val="none"/>
        </w:rPr>
        <w:t>4、开标程序：</w:t>
      </w:r>
      <w:r>
        <w:rPr>
          <w:rFonts w:hint="eastAsia"/>
          <w:color w:val="auto"/>
          <w:highlight w:val="none"/>
        </w:rPr>
        <w:br w:type="textWrapping"/>
      </w:r>
      <w:r>
        <w:rPr>
          <w:rFonts w:hint="eastAsia"/>
          <w:color w:val="auto"/>
          <w:highlight w:val="none"/>
        </w:rPr>
        <w:t xml:space="preserve">      4.1、 主持人点击“开标” ， 解密开始倒计时。</w:t>
      </w:r>
      <w:r>
        <w:rPr>
          <w:rFonts w:hint="eastAsia"/>
          <w:color w:val="auto"/>
          <w:highlight w:val="none"/>
        </w:rPr>
        <w:br w:type="textWrapping"/>
      </w:r>
      <w:r>
        <w:rPr>
          <w:rFonts w:hint="eastAsia"/>
          <w:color w:val="auto"/>
          <w:highlight w:val="none"/>
        </w:rPr>
        <w:t xml:space="preserve">      4.2、 投标人对所上传加密的投标文件在规定时间内进行解密。</w:t>
      </w:r>
      <w:r>
        <w:rPr>
          <w:rFonts w:hint="eastAsia"/>
          <w:color w:val="auto"/>
          <w:highlight w:val="none"/>
        </w:rPr>
        <w:br w:type="textWrapping"/>
      </w:r>
      <w:r>
        <w:rPr>
          <w:rFonts w:hint="eastAsia"/>
          <w:color w:val="auto"/>
          <w:highlight w:val="none"/>
        </w:rPr>
        <w:t xml:space="preserve">      4.3、 解密时间结束后 5 分钟为质疑时间,投标人可对开标会议提出质疑，无投标人提出质疑视为对开标会议无异议，开标结束。由采购人或者采购代理机构应当依法对供应商的资格进行审查。</w:t>
      </w:r>
    </w:p>
    <w:p w14:paraId="4D1AEE1E">
      <w:pPr>
        <w:pStyle w:val="4"/>
        <w:spacing w:before="0" w:after="156" w:afterLines="50" w:line="360" w:lineRule="auto"/>
        <w:rPr>
          <w:color w:val="auto"/>
          <w:sz w:val="21"/>
          <w:szCs w:val="21"/>
          <w:highlight w:val="none"/>
        </w:rPr>
      </w:pPr>
      <w:r>
        <w:rPr>
          <w:color w:val="auto"/>
          <w:sz w:val="21"/>
          <w:szCs w:val="21"/>
          <w:highlight w:val="none"/>
        </w:rPr>
        <w:t xml:space="preserve">5.3 </w:t>
      </w:r>
      <w:bookmarkEnd w:id="558"/>
      <w:r>
        <w:rPr>
          <w:rFonts w:hint="eastAsia" w:ascii="宋体" w:hAnsi="宋体"/>
          <w:color w:val="auto"/>
          <w:sz w:val="21"/>
          <w:szCs w:val="21"/>
          <w:highlight w:val="none"/>
        </w:rPr>
        <w:t>开标异议</w:t>
      </w:r>
    </w:p>
    <w:p w14:paraId="42B2D8B9">
      <w:pPr>
        <w:ind w:firstLine="420" w:firstLineChars="200"/>
        <w:rPr>
          <w:color w:val="auto"/>
          <w:highlight w:val="none"/>
        </w:rPr>
      </w:pPr>
      <w:r>
        <w:rPr>
          <w:rFonts w:hint="eastAsia" w:ascii="宋体" w:hAnsi="宋体"/>
          <w:color w:val="auto"/>
          <w:highlight w:val="none"/>
        </w:rPr>
        <w:t>供应商对开标有异议的，应当在开标现场提出，采购人当场作出答复，并记录。</w:t>
      </w:r>
    </w:p>
    <w:p w14:paraId="1DA00727">
      <w:pPr>
        <w:pStyle w:val="3"/>
        <w:spacing w:before="0" w:beforeAutospacing="0" w:after="0" w:afterAutospacing="0" w:line="240" w:lineRule="auto"/>
        <w:ind w:left="0" w:firstLine="0"/>
        <w:rPr>
          <w:color w:val="auto"/>
          <w:sz w:val="21"/>
          <w:szCs w:val="21"/>
          <w:highlight w:val="none"/>
        </w:rPr>
      </w:pPr>
      <w:bookmarkStart w:id="559" w:name="_Toc10734"/>
      <w:bookmarkEnd w:id="559"/>
      <w:bookmarkStart w:id="560" w:name="_Toc246996949"/>
      <w:bookmarkEnd w:id="560"/>
      <w:bookmarkStart w:id="561" w:name="_Toc247085720"/>
      <w:bookmarkEnd w:id="561"/>
      <w:bookmarkStart w:id="562" w:name="_Toc144974530"/>
      <w:bookmarkEnd w:id="562"/>
      <w:bookmarkStart w:id="563" w:name="_Toc152045562"/>
      <w:bookmarkEnd w:id="563"/>
      <w:bookmarkStart w:id="564" w:name="_Toc16770"/>
      <w:bookmarkEnd w:id="564"/>
      <w:bookmarkStart w:id="565" w:name="_Toc6526"/>
      <w:bookmarkEnd w:id="565"/>
      <w:bookmarkStart w:id="566" w:name="_Toc747"/>
      <w:bookmarkEnd w:id="566"/>
      <w:bookmarkStart w:id="567" w:name="_Toc338840486"/>
      <w:bookmarkEnd w:id="567"/>
      <w:bookmarkStart w:id="568" w:name="_Toc5479"/>
      <w:bookmarkEnd w:id="568"/>
      <w:bookmarkStart w:id="569" w:name="_Toc430"/>
      <w:bookmarkEnd w:id="569"/>
      <w:bookmarkStart w:id="570" w:name="_Toc8127"/>
      <w:bookmarkEnd w:id="570"/>
      <w:bookmarkStart w:id="571" w:name="_Toc338840447"/>
      <w:bookmarkEnd w:id="571"/>
      <w:bookmarkStart w:id="572" w:name="_Toc338840218"/>
      <w:bookmarkEnd w:id="572"/>
      <w:bookmarkStart w:id="573" w:name="_Toc346523407"/>
      <w:bookmarkEnd w:id="573"/>
      <w:bookmarkStart w:id="574" w:name="_Toc152042338"/>
      <w:bookmarkEnd w:id="574"/>
      <w:bookmarkStart w:id="575" w:name="_Toc438"/>
      <w:bookmarkEnd w:id="575"/>
      <w:bookmarkStart w:id="576" w:name="_Toc179632580"/>
      <w:bookmarkEnd w:id="576"/>
      <w:bookmarkStart w:id="577" w:name="_Toc246996206"/>
      <w:bookmarkEnd w:id="577"/>
      <w:bookmarkStart w:id="578" w:name="_Toc8492"/>
      <w:bookmarkEnd w:id="578"/>
      <w:bookmarkStart w:id="579" w:name="_Toc1326"/>
      <w:r>
        <w:rPr>
          <w:color w:val="auto"/>
          <w:sz w:val="21"/>
          <w:szCs w:val="21"/>
          <w:highlight w:val="none"/>
        </w:rPr>
        <w:t>6</w:t>
      </w:r>
      <w:bookmarkEnd w:id="579"/>
      <w:r>
        <w:rPr>
          <w:rFonts w:hint="eastAsia" w:ascii="宋体" w:hAnsi="宋体"/>
          <w:color w:val="auto"/>
          <w:sz w:val="21"/>
          <w:szCs w:val="21"/>
          <w:highlight w:val="none"/>
        </w:rPr>
        <w:t>、评标</w:t>
      </w:r>
    </w:p>
    <w:p w14:paraId="24BC30A5">
      <w:pPr>
        <w:pStyle w:val="4"/>
        <w:spacing w:before="0" w:after="0" w:line="240" w:lineRule="auto"/>
        <w:rPr>
          <w:color w:val="auto"/>
          <w:sz w:val="21"/>
          <w:szCs w:val="21"/>
          <w:highlight w:val="none"/>
        </w:rPr>
      </w:pPr>
      <w:bookmarkStart w:id="580" w:name="_Toc179632581"/>
      <w:bookmarkEnd w:id="580"/>
      <w:bookmarkStart w:id="581" w:name="_Toc152045563"/>
      <w:bookmarkEnd w:id="581"/>
      <w:bookmarkStart w:id="582" w:name="_Toc17616"/>
      <w:bookmarkEnd w:id="582"/>
      <w:bookmarkStart w:id="583" w:name="_Toc1628"/>
      <w:bookmarkEnd w:id="583"/>
      <w:bookmarkStart w:id="584" w:name="_Toc152042339"/>
      <w:bookmarkEnd w:id="584"/>
      <w:bookmarkStart w:id="585" w:name="_Toc2787"/>
      <w:bookmarkEnd w:id="585"/>
      <w:bookmarkStart w:id="586" w:name="_Toc247085721"/>
      <w:bookmarkEnd w:id="586"/>
      <w:bookmarkStart w:id="587" w:name="_Toc11856"/>
      <w:bookmarkEnd w:id="587"/>
      <w:bookmarkStart w:id="588" w:name="_Toc22186"/>
      <w:bookmarkEnd w:id="588"/>
      <w:bookmarkStart w:id="589" w:name="_Toc3814"/>
      <w:bookmarkEnd w:id="589"/>
      <w:bookmarkStart w:id="590" w:name="_Toc25025"/>
      <w:bookmarkEnd w:id="590"/>
      <w:bookmarkStart w:id="591" w:name="_Toc338840219"/>
      <w:bookmarkEnd w:id="591"/>
      <w:bookmarkStart w:id="592" w:name="_Toc246996950"/>
      <w:bookmarkEnd w:id="592"/>
      <w:bookmarkStart w:id="593" w:name="_Toc144974531"/>
      <w:bookmarkEnd w:id="593"/>
      <w:bookmarkStart w:id="594" w:name="_Toc246996207"/>
      <w:bookmarkEnd w:id="594"/>
      <w:bookmarkStart w:id="595" w:name="_Toc15441"/>
      <w:bookmarkEnd w:id="595"/>
      <w:bookmarkStart w:id="596" w:name="_Toc3496"/>
      <w:r>
        <w:rPr>
          <w:color w:val="auto"/>
          <w:sz w:val="21"/>
          <w:szCs w:val="21"/>
          <w:highlight w:val="none"/>
        </w:rPr>
        <w:t xml:space="preserve">6.1 </w:t>
      </w:r>
      <w:bookmarkEnd w:id="596"/>
      <w:r>
        <w:rPr>
          <w:rFonts w:hint="eastAsia" w:ascii="宋体" w:hAnsi="宋体"/>
          <w:color w:val="auto"/>
          <w:sz w:val="21"/>
          <w:szCs w:val="21"/>
          <w:highlight w:val="none"/>
        </w:rPr>
        <w:t>评标委员会</w:t>
      </w:r>
    </w:p>
    <w:p w14:paraId="278795BF">
      <w:pPr>
        <w:spacing w:line="400" w:lineRule="exact"/>
        <w:ind w:firstLine="420" w:firstLineChars="200"/>
        <w:rPr>
          <w:color w:val="auto"/>
          <w:highlight w:val="none"/>
        </w:rPr>
      </w:pPr>
      <w:r>
        <w:rPr>
          <w:color w:val="auto"/>
          <w:highlight w:val="none"/>
        </w:rPr>
        <w:t xml:space="preserve">6.1.1 </w:t>
      </w:r>
      <w:r>
        <w:rPr>
          <w:rFonts w:hint="eastAsia" w:ascii="宋体" w:hAnsi="宋体"/>
          <w:color w:val="auto"/>
          <w:highlight w:val="none"/>
        </w:rPr>
        <w:t>评标由采购人依法组建的评标委员会负责。评标委员会由采购人熟悉相关业务的代表，以及有关技术、经济等方面的专家组成。评标委员会成员人数以及技术、经济等方面专家的确定方式见供应商须知前附表。</w:t>
      </w:r>
    </w:p>
    <w:p w14:paraId="36B9C491">
      <w:pPr>
        <w:spacing w:line="400" w:lineRule="exact"/>
        <w:ind w:firstLine="420" w:firstLineChars="200"/>
        <w:rPr>
          <w:color w:val="auto"/>
          <w:highlight w:val="none"/>
        </w:rPr>
      </w:pPr>
      <w:r>
        <w:rPr>
          <w:color w:val="auto"/>
          <w:highlight w:val="none"/>
        </w:rPr>
        <w:t xml:space="preserve">6.1.2 </w:t>
      </w:r>
      <w:r>
        <w:rPr>
          <w:rFonts w:hint="eastAsia" w:ascii="宋体" w:hAnsi="宋体"/>
          <w:color w:val="auto"/>
          <w:highlight w:val="none"/>
        </w:rPr>
        <w:t>评标委员会成员有下列情形之一的，应当回避：</w:t>
      </w:r>
    </w:p>
    <w:p w14:paraId="16E7F22A">
      <w:pPr>
        <w:spacing w:line="400" w:lineRule="exact"/>
        <w:ind w:firstLine="359" w:firstLineChars="171"/>
        <w:rPr>
          <w:color w:val="auto"/>
          <w:highlight w:val="none"/>
        </w:rPr>
      </w:pPr>
      <w:r>
        <w:rPr>
          <w:rFonts w:hint="eastAsia" w:ascii="宋体" w:hAnsi="宋体"/>
          <w:color w:val="auto"/>
          <w:highlight w:val="none"/>
        </w:rPr>
        <w:t>（</w:t>
      </w:r>
      <w:r>
        <w:rPr>
          <w:color w:val="auto"/>
          <w:highlight w:val="none"/>
        </w:rPr>
        <w:t>1</w:t>
      </w:r>
      <w:r>
        <w:rPr>
          <w:rFonts w:hint="eastAsia" w:ascii="宋体" w:hAnsi="宋体"/>
          <w:color w:val="auto"/>
          <w:highlight w:val="none"/>
        </w:rPr>
        <w:t>）供应商或供应商主要负责人的近亲属；</w:t>
      </w:r>
    </w:p>
    <w:p w14:paraId="2ACBBAD1">
      <w:pPr>
        <w:spacing w:line="400" w:lineRule="exact"/>
        <w:ind w:firstLine="359" w:firstLineChars="171"/>
        <w:rPr>
          <w:color w:val="auto"/>
          <w:highlight w:val="none"/>
        </w:rPr>
      </w:pPr>
      <w:r>
        <w:rPr>
          <w:rFonts w:hint="eastAsia" w:ascii="宋体" w:hAnsi="宋体"/>
          <w:color w:val="auto"/>
          <w:highlight w:val="none"/>
        </w:rPr>
        <w:t>（</w:t>
      </w:r>
      <w:r>
        <w:rPr>
          <w:color w:val="auto"/>
          <w:highlight w:val="none"/>
        </w:rPr>
        <w:t>2</w:t>
      </w:r>
      <w:r>
        <w:rPr>
          <w:rFonts w:hint="eastAsia" w:ascii="宋体" w:hAnsi="宋体"/>
          <w:color w:val="auto"/>
          <w:highlight w:val="none"/>
        </w:rPr>
        <w:t>）与供应商有经济利益关系；</w:t>
      </w:r>
    </w:p>
    <w:p w14:paraId="789C20A2">
      <w:pPr>
        <w:spacing w:line="400" w:lineRule="exact"/>
        <w:ind w:firstLine="359" w:firstLineChars="171"/>
        <w:rPr>
          <w:color w:val="auto"/>
          <w:highlight w:val="none"/>
        </w:rPr>
      </w:pPr>
      <w:r>
        <w:rPr>
          <w:rFonts w:hint="eastAsia" w:ascii="宋体" w:hAnsi="宋体"/>
          <w:color w:val="auto"/>
          <w:highlight w:val="none"/>
        </w:rPr>
        <w:t>（</w:t>
      </w:r>
      <w:r>
        <w:rPr>
          <w:color w:val="auto"/>
          <w:highlight w:val="none"/>
        </w:rPr>
        <w:t>3</w:t>
      </w:r>
      <w:r>
        <w:rPr>
          <w:rFonts w:hint="eastAsia" w:ascii="宋体" w:hAnsi="宋体"/>
          <w:color w:val="auto"/>
          <w:highlight w:val="none"/>
        </w:rPr>
        <w:t>）与供应商有其他利害关系。</w:t>
      </w:r>
    </w:p>
    <w:p w14:paraId="38E6ED00">
      <w:pPr>
        <w:pStyle w:val="4"/>
        <w:spacing w:before="0" w:after="0" w:line="240" w:lineRule="auto"/>
        <w:rPr>
          <w:color w:val="auto"/>
          <w:sz w:val="21"/>
          <w:szCs w:val="21"/>
          <w:highlight w:val="none"/>
        </w:rPr>
      </w:pPr>
      <w:bookmarkStart w:id="597" w:name="_Toc7164"/>
      <w:bookmarkEnd w:id="597"/>
      <w:bookmarkStart w:id="598" w:name="_Toc16548"/>
      <w:bookmarkEnd w:id="598"/>
      <w:bookmarkStart w:id="599" w:name="_Toc31866"/>
      <w:bookmarkEnd w:id="599"/>
      <w:bookmarkStart w:id="600" w:name="_Toc3920"/>
      <w:bookmarkEnd w:id="600"/>
      <w:bookmarkStart w:id="601" w:name="_Toc247085722"/>
      <w:bookmarkEnd w:id="601"/>
      <w:bookmarkStart w:id="602" w:name="_Toc152045564"/>
      <w:bookmarkEnd w:id="602"/>
      <w:bookmarkStart w:id="603" w:name="_Toc179632582"/>
      <w:bookmarkEnd w:id="603"/>
      <w:bookmarkStart w:id="604" w:name="_Toc152042340"/>
      <w:bookmarkEnd w:id="604"/>
      <w:bookmarkStart w:id="605" w:name="_Toc246996208"/>
      <w:bookmarkEnd w:id="605"/>
      <w:bookmarkStart w:id="606" w:name="_Toc246996951"/>
      <w:bookmarkEnd w:id="606"/>
      <w:bookmarkStart w:id="607" w:name="_Toc27628"/>
      <w:bookmarkEnd w:id="607"/>
      <w:bookmarkStart w:id="608" w:name="_Toc29536"/>
      <w:bookmarkEnd w:id="608"/>
      <w:bookmarkStart w:id="609" w:name="_Toc14848"/>
      <w:bookmarkEnd w:id="609"/>
      <w:bookmarkStart w:id="610" w:name="_Toc338840220"/>
      <w:bookmarkEnd w:id="610"/>
      <w:bookmarkStart w:id="611" w:name="_Toc1417"/>
      <w:bookmarkEnd w:id="611"/>
      <w:bookmarkStart w:id="612" w:name="_Toc18789"/>
      <w:bookmarkEnd w:id="612"/>
      <w:bookmarkStart w:id="613" w:name="_Toc144974532"/>
      <w:r>
        <w:rPr>
          <w:color w:val="auto"/>
          <w:sz w:val="21"/>
          <w:szCs w:val="21"/>
          <w:highlight w:val="none"/>
        </w:rPr>
        <w:t xml:space="preserve">6.2 </w:t>
      </w:r>
      <w:bookmarkEnd w:id="613"/>
      <w:r>
        <w:rPr>
          <w:rFonts w:hint="eastAsia" w:ascii="宋体" w:hAnsi="宋体"/>
          <w:color w:val="auto"/>
          <w:sz w:val="21"/>
          <w:szCs w:val="21"/>
          <w:highlight w:val="none"/>
        </w:rPr>
        <w:t>评标原则</w:t>
      </w:r>
    </w:p>
    <w:p w14:paraId="79FD5A4C">
      <w:pPr>
        <w:ind w:firstLine="420" w:firstLineChars="200"/>
        <w:rPr>
          <w:color w:val="auto"/>
          <w:highlight w:val="none"/>
        </w:rPr>
      </w:pPr>
      <w:r>
        <w:rPr>
          <w:rFonts w:hint="eastAsia" w:ascii="宋体" w:hAnsi="宋体"/>
          <w:color w:val="auto"/>
          <w:highlight w:val="none"/>
        </w:rPr>
        <w:t>评标活动遵循公平、公正、科学和择优的原则。</w:t>
      </w:r>
    </w:p>
    <w:p w14:paraId="0CB0AE6E">
      <w:pPr>
        <w:pStyle w:val="4"/>
        <w:spacing w:before="0" w:after="0" w:line="240" w:lineRule="auto"/>
        <w:rPr>
          <w:color w:val="auto"/>
          <w:sz w:val="21"/>
          <w:szCs w:val="21"/>
          <w:highlight w:val="none"/>
        </w:rPr>
      </w:pPr>
      <w:bookmarkStart w:id="614" w:name="_Toc152045565"/>
      <w:bookmarkEnd w:id="614"/>
      <w:bookmarkStart w:id="615" w:name="_Toc179632583"/>
      <w:bookmarkEnd w:id="615"/>
      <w:bookmarkStart w:id="616" w:name="_Toc144974533"/>
      <w:bookmarkEnd w:id="616"/>
      <w:bookmarkStart w:id="617" w:name="_Toc30795"/>
      <w:bookmarkEnd w:id="617"/>
      <w:bookmarkStart w:id="618" w:name="_Toc11458"/>
      <w:bookmarkEnd w:id="618"/>
      <w:bookmarkStart w:id="619" w:name="_Toc152042341"/>
      <w:bookmarkEnd w:id="619"/>
      <w:bookmarkStart w:id="620" w:name="_Toc8304"/>
      <w:bookmarkEnd w:id="620"/>
      <w:bookmarkStart w:id="621" w:name="_Toc25189"/>
      <w:bookmarkEnd w:id="621"/>
      <w:bookmarkStart w:id="622" w:name="_Toc246996952"/>
      <w:bookmarkEnd w:id="622"/>
      <w:bookmarkStart w:id="623" w:name="_Toc18093"/>
      <w:bookmarkEnd w:id="623"/>
      <w:bookmarkStart w:id="624" w:name="_Toc338840221"/>
      <w:bookmarkEnd w:id="624"/>
      <w:bookmarkStart w:id="625" w:name="_Toc12529"/>
      <w:bookmarkEnd w:id="625"/>
      <w:bookmarkStart w:id="626" w:name="_Toc16146"/>
      <w:bookmarkEnd w:id="626"/>
      <w:bookmarkStart w:id="627" w:name="_Toc1195"/>
      <w:bookmarkEnd w:id="627"/>
      <w:bookmarkStart w:id="628" w:name="_Toc247085723"/>
      <w:bookmarkEnd w:id="628"/>
      <w:bookmarkStart w:id="629" w:name="_Toc12589"/>
      <w:bookmarkEnd w:id="629"/>
      <w:bookmarkStart w:id="630" w:name="_Toc246996209"/>
      <w:r>
        <w:rPr>
          <w:color w:val="auto"/>
          <w:sz w:val="21"/>
          <w:szCs w:val="21"/>
          <w:highlight w:val="none"/>
        </w:rPr>
        <w:t xml:space="preserve">6.3 </w:t>
      </w:r>
      <w:bookmarkEnd w:id="630"/>
      <w:r>
        <w:rPr>
          <w:rFonts w:hint="eastAsia" w:ascii="宋体" w:hAnsi="宋体"/>
          <w:color w:val="auto"/>
          <w:sz w:val="21"/>
          <w:szCs w:val="21"/>
          <w:highlight w:val="none"/>
        </w:rPr>
        <w:t>评标</w:t>
      </w:r>
    </w:p>
    <w:p w14:paraId="509CD485">
      <w:pPr>
        <w:spacing w:line="360" w:lineRule="auto"/>
        <w:ind w:firstLine="420" w:firstLineChars="200"/>
        <w:rPr>
          <w:color w:val="auto"/>
          <w:highlight w:val="none"/>
        </w:rPr>
      </w:pPr>
      <w:r>
        <w:rPr>
          <w:rFonts w:hint="eastAsia" w:ascii="宋体" w:hAnsi="宋体"/>
          <w:color w:val="auto"/>
          <w:highlight w:val="none"/>
        </w:rPr>
        <w:t>评标委员会按照第三部分</w:t>
      </w:r>
      <w:r>
        <w:rPr>
          <w:rFonts w:hint="eastAsia"/>
          <w:color w:val="auto"/>
          <w:highlight w:val="none"/>
        </w:rPr>
        <w:t>“评标办法”规定的方法、评审因素、标准和程序对投标文件进行评审。第三部分“评标办法”没有规定的方法、评审因素和标准，不作为评标依据。</w:t>
      </w:r>
    </w:p>
    <w:p w14:paraId="413D4092">
      <w:pPr>
        <w:pStyle w:val="3"/>
        <w:spacing w:before="0" w:beforeAutospacing="0" w:after="0" w:afterAutospacing="0" w:line="240" w:lineRule="auto"/>
        <w:ind w:left="0" w:firstLine="0"/>
        <w:rPr>
          <w:color w:val="auto"/>
          <w:sz w:val="21"/>
          <w:szCs w:val="21"/>
          <w:highlight w:val="none"/>
        </w:rPr>
      </w:pPr>
      <w:bookmarkStart w:id="631" w:name="_Toc152042342"/>
      <w:bookmarkEnd w:id="631"/>
      <w:bookmarkStart w:id="632" w:name="_Toc338840448"/>
      <w:bookmarkEnd w:id="632"/>
      <w:bookmarkStart w:id="633" w:name="_Toc338840222"/>
      <w:bookmarkEnd w:id="633"/>
      <w:bookmarkStart w:id="634" w:name="_Toc12221"/>
      <w:bookmarkEnd w:id="634"/>
      <w:bookmarkStart w:id="635" w:name="_Toc152045566"/>
      <w:bookmarkEnd w:id="635"/>
      <w:bookmarkStart w:id="636" w:name="_Toc29479"/>
      <w:bookmarkEnd w:id="636"/>
      <w:bookmarkStart w:id="637" w:name="_Toc346523408"/>
      <w:bookmarkEnd w:id="637"/>
      <w:bookmarkStart w:id="638" w:name="_Toc7805"/>
      <w:bookmarkEnd w:id="638"/>
      <w:bookmarkStart w:id="639" w:name="_Toc338840487"/>
      <w:bookmarkEnd w:id="639"/>
      <w:bookmarkStart w:id="640" w:name="_Toc31631"/>
      <w:bookmarkEnd w:id="640"/>
      <w:bookmarkStart w:id="641" w:name="_Toc15666"/>
      <w:bookmarkEnd w:id="641"/>
      <w:bookmarkStart w:id="642" w:name="_Toc23181"/>
      <w:bookmarkEnd w:id="642"/>
      <w:bookmarkStart w:id="643" w:name="_Toc22645"/>
      <w:bookmarkEnd w:id="643"/>
      <w:bookmarkStart w:id="644" w:name="_Toc30550"/>
      <w:bookmarkEnd w:id="644"/>
      <w:bookmarkStart w:id="645" w:name="_Toc246996953"/>
      <w:bookmarkEnd w:id="645"/>
      <w:bookmarkStart w:id="646" w:name="_Toc247085724"/>
      <w:bookmarkEnd w:id="646"/>
      <w:bookmarkStart w:id="647" w:name="_Toc144974534"/>
      <w:bookmarkEnd w:id="647"/>
      <w:bookmarkStart w:id="648" w:name="_Toc20269"/>
      <w:bookmarkEnd w:id="648"/>
      <w:bookmarkStart w:id="649" w:name="_Toc32140"/>
      <w:bookmarkEnd w:id="649"/>
      <w:bookmarkStart w:id="650" w:name="_Toc179632584"/>
      <w:bookmarkEnd w:id="650"/>
      <w:bookmarkStart w:id="651" w:name="_Toc246996210"/>
      <w:r>
        <w:rPr>
          <w:color w:val="auto"/>
          <w:sz w:val="21"/>
          <w:szCs w:val="21"/>
          <w:highlight w:val="none"/>
        </w:rPr>
        <w:t>7</w:t>
      </w:r>
      <w:bookmarkEnd w:id="651"/>
      <w:r>
        <w:rPr>
          <w:rFonts w:hint="eastAsia" w:ascii="宋体" w:hAnsi="宋体"/>
          <w:color w:val="auto"/>
          <w:sz w:val="21"/>
          <w:szCs w:val="21"/>
          <w:highlight w:val="none"/>
        </w:rPr>
        <w:t>、合同授予</w:t>
      </w:r>
    </w:p>
    <w:p w14:paraId="68C497A2">
      <w:pPr>
        <w:pStyle w:val="4"/>
        <w:spacing w:before="0" w:after="0" w:line="240" w:lineRule="auto"/>
        <w:rPr>
          <w:color w:val="auto"/>
          <w:sz w:val="21"/>
          <w:szCs w:val="21"/>
          <w:highlight w:val="none"/>
        </w:rPr>
      </w:pPr>
      <w:bookmarkStart w:id="652" w:name="_Toc246996954"/>
      <w:bookmarkEnd w:id="652"/>
      <w:bookmarkStart w:id="653" w:name="_Toc152042343"/>
      <w:bookmarkEnd w:id="653"/>
      <w:bookmarkStart w:id="654" w:name="_Toc152045567"/>
      <w:bookmarkEnd w:id="654"/>
      <w:bookmarkStart w:id="655" w:name="_Toc14698"/>
      <w:bookmarkEnd w:id="655"/>
      <w:bookmarkStart w:id="656" w:name="_Toc20966"/>
      <w:bookmarkEnd w:id="656"/>
      <w:bookmarkStart w:id="657" w:name="_Toc179632585"/>
      <w:bookmarkEnd w:id="657"/>
      <w:bookmarkStart w:id="658" w:name="_Toc247085725"/>
      <w:bookmarkEnd w:id="658"/>
      <w:bookmarkStart w:id="659" w:name="_Toc15909"/>
      <w:bookmarkEnd w:id="659"/>
      <w:bookmarkStart w:id="660" w:name="_Toc144974535"/>
      <w:bookmarkEnd w:id="660"/>
      <w:bookmarkStart w:id="661" w:name="_Toc853"/>
      <w:bookmarkEnd w:id="661"/>
      <w:bookmarkStart w:id="662" w:name="_Toc29923"/>
      <w:bookmarkEnd w:id="662"/>
      <w:bookmarkStart w:id="663" w:name="_Toc16800"/>
      <w:bookmarkEnd w:id="663"/>
      <w:bookmarkStart w:id="664" w:name="_Toc246996211"/>
      <w:bookmarkEnd w:id="664"/>
      <w:bookmarkStart w:id="665" w:name="_Toc6485"/>
      <w:bookmarkEnd w:id="665"/>
      <w:bookmarkStart w:id="666" w:name="_Toc18725"/>
      <w:bookmarkEnd w:id="666"/>
      <w:bookmarkStart w:id="667" w:name="_Toc338840223"/>
      <w:bookmarkEnd w:id="667"/>
      <w:bookmarkStart w:id="668" w:name="_Toc32377"/>
      <w:r>
        <w:rPr>
          <w:color w:val="auto"/>
          <w:sz w:val="21"/>
          <w:szCs w:val="21"/>
          <w:highlight w:val="none"/>
        </w:rPr>
        <w:t xml:space="preserve">7.1 </w:t>
      </w:r>
      <w:bookmarkEnd w:id="668"/>
      <w:r>
        <w:rPr>
          <w:rFonts w:hint="eastAsia" w:ascii="宋体" w:hAnsi="宋体"/>
          <w:color w:val="auto"/>
          <w:sz w:val="21"/>
          <w:szCs w:val="21"/>
          <w:highlight w:val="none"/>
        </w:rPr>
        <w:t>定标方式</w:t>
      </w:r>
    </w:p>
    <w:p w14:paraId="0EDB9424">
      <w:pPr>
        <w:spacing w:line="360" w:lineRule="auto"/>
        <w:ind w:firstLine="420" w:firstLineChars="200"/>
        <w:rPr>
          <w:color w:val="auto"/>
          <w:highlight w:val="none"/>
        </w:rPr>
      </w:pPr>
      <w:r>
        <w:rPr>
          <w:rFonts w:hint="eastAsia" w:ascii="宋体" w:hAnsi="宋体"/>
          <w:color w:val="auto"/>
          <w:highlight w:val="none"/>
        </w:rPr>
        <w:t>除供应商须知前附表规定评标委员会直接确定成交人外，采购人依据评标委员会推荐的成交候选人名单，按排序确定成交人，评标委员会推荐成交候选人的人数见供应商须知前附表。</w:t>
      </w:r>
    </w:p>
    <w:p w14:paraId="49061BB5">
      <w:pPr>
        <w:pStyle w:val="4"/>
        <w:spacing w:before="0" w:after="0" w:line="240" w:lineRule="auto"/>
        <w:rPr>
          <w:color w:val="auto"/>
          <w:sz w:val="21"/>
          <w:szCs w:val="21"/>
          <w:highlight w:val="none"/>
        </w:rPr>
      </w:pPr>
      <w:bookmarkStart w:id="669" w:name="_Toc4075"/>
      <w:bookmarkEnd w:id="669"/>
      <w:bookmarkStart w:id="670" w:name="_Toc9168"/>
      <w:bookmarkEnd w:id="670"/>
      <w:bookmarkStart w:id="671" w:name="_Toc30224"/>
      <w:bookmarkEnd w:id="671"/>
      <w:bookmarkStart w:id="672" w:name="_Toc338840224"/>
      <w:bookmarkEnd w:id="672"/>
      <w:bookmarkStart w:id="673" w:name="_Toc64"/>
      <w:bookmarkEnd w:id="673"/>
      <w:bookmarkStart w:id="674" w:name="_Toc25370"/>
      <w:bookmarkEnd w:id="674"/>
      <w:bookmarkStart w:id="675" w:name="_Toc20705"/>
      <w:bookmarkEnd w:id="675"/>
      <w:bookmarkStart w:id="676" w:name="_Toc17287"/>
      <w:bookmarkEnd w:id="676"/>
      <w:bookmarkStart w:id="677" w:name="_Toc8451"/>
      <w:bookmarkEnd w:id="677"/>
      <w:bookmarkStart w:id="678" w:name="_Toc17698"/>
      <w:r>
        <w:rPr>
          <w:color w:val="auto"/>
          <w:sz w:val="21"/>
          <w:szCs w:val="21"/>
          <w:highlight w:val="none"/>
        </w:rPr>
        <w:t xml:space="preserve">7.2 </w:t>
      </w:r>
      <w:bookmarkEnd w:id="678"/>
      <w:r>
        <w:rPr>
          <w:rFonts w:hint="eastAsia" w:ascii="宋体" w:hAnsi="宋体"/>
          <w:color w:val="auto"/>
          <w:sz w:val="21"/>
          <w:szCs w:val="21"/>
          <w:highlight w:val="none"/>
          <w:lang w:val="en-US" w:eastAsia="zh-CN"/>
        </w:rPr>
        <w:t>中标</w:t>
      </w:r>
      <w:r>
        <w:rPr>
          <w:rFonts w:hint="eastAsia" w:ascii="宋体" w:hAnsi="宋体"/>
          <w:color w:val="auto"/>
          <w:sz w:val="21"/>
          <w:szCs w:val="21"/>
          <w:highlight w:val="none"/>
        </w:rPr>
        <w:t>人公布</w:t>
      </w:r>
    </w:p>
    <w:p w14:paraId="1827ECA5">
      <w:pPr>
        <w:spacing w:line="360" w:lineRule="auto"/>
        <w:ind w:firstLine="420" w:firstLineChars="200"/>
        <w:rPr>
          <w:color w:val="auto"/>
          <w:highlight w:val="none"/>
        </w:rPr>
      </w:pPr>
      <w:r>
        <w:rPr>
          <w:rFonts w:hint="eastAsia" w:ascii="宋体" w:hAnsi="宋体"/>
          <w:color w:val="auto"/>
          <w:highlight w:val="none"/>
        </w:rPr>
        <w:t>采购人在供应商须知前附表规定的媒介公布</w:t>
      </w:r>
      <w:r>
        <w:rPr>
          <w:rFonts w:hint="eastAsia" w:ascii="宋体" w:hAnsi="宋体"/>
          <w:color w:val="auto"/>
          <w:highlight w:val="none"/>
          <w:lang w:val="en-US" w:eastAsia="zh-CN"/>
        </w:rPr>
        <w:t>中标人</w:t>
      </w:r>
      <w:r>
        <w:rPr>
          <w:rFonts w:hint="eastAsia" w:ascii="宋体" w:hAnsi="宋体"/>
          <w:color w:val="auto"/>
          <w:highlight w:val="none"/>
        </w:rPr>
        <w:t>。</w:t>
      </w:r>
    </w:p>
    <w:p w14:paraId="2BBC45FB">
      <w:pPr>
        <w:pStyle w:val="4"/>
        <w:spacing w:before="0" w:after="0" w:line="240" w:lineRule="auto"/>
        <w:rPr>
          <w:color w:val="auto"/>
          <w:sz w:val="21"/>
          <w:szCs w:val="21"/>
          <w:highlight w:val="none"/>
        </w:rPr>
      </w:pPr>
      <w:bookmarkStart w:id="679" w:name="_Toc6325"/>
      <w:bookmarkEnd w:id="679"/>
      <w:bookmarkStart w:id="680" w:name="_Toc16693"/>
      <w:bookmarkEnd w:id="680"/>
      <w:bookmarkStart w:id="681" w:name="_Toc16396"/>
      <w:bookmarkEnd w:id="681"/>
      <w:bookmarkStart w:id="682" w:name="_Toc28677"/>
      <w:bookmarkEnd w:id="682"/>
      <w:bookmarkStart w:id="683" w:name="_Toc152045568"/>
      <w:bookmarkEnd w:id="683"/>
      <w:bookmarkStart w:id="684" w:name="_Toc9646"/>
      <w:bookmarkEnd w:id="684"/>
      <w:bookmarkStart w:id="685" w:name="_Toc338840225"/>
      <w:bookmarkEnd w:id="685"/>
      <w:bookmarkStart w:id="686" w:name="_Toc3061"/>
      <w:bookmarkEnd w:id="686"/>
      <w:bookmarkStart w:id="687" w:name="_Toc21123"/>
      <w:bookmarkEnd w:id="687"/>
      <w:bookmarkStart w:id="688" w:name="_Toc19398"/>
      <w:bookmarkEnd w:id="688"/>
      <w:bookmarkStart w:id="689" w:name="_Toc246996212"/>
      <w:bookmarkEnd w:id="689"/>
      <w:bookmarkStart w:id="690" w:name="_Toc17197"/>
      <w:bookmarkEnd w:id="690"/>
      <w:bookmarkStart w:id="691" w:name="_Toc152042344"/>
      <w:bookmarkEnd w:id="691"/>
      <w:bookmarkStart w:id="692" w:name="_Toc247085726"/>
      <w:bookmarkEnd w:id="692"/>
      <w:bookmarkStart w:id="693" w:name="_Toc179632586"/>
      <w:bookmarkEnd w:id="693"/>
      <w:bookmarkStart w:id="694" w:name="_Toc246996955"/>
      <w:bookmarkEnd w:id="694"/>
      <w:bookmarkStart w:id="695" w:name="_Toc144974536"/>
      <w:r>
        <w:rPr>
          <w:color w:val="auto"/>
          <w:sz w:val="21"/>
          <w:szCs w:val="21"/>
          <w:highlight w:val="none"/>
        </w:rPr>
        <w:t xml:space="preserve">7.3 </w:t>
      </w:r>
      <w:bookmarkEnd w:id="695"/>
      <w:r>
        <w:rPr>
          <w:rFonts w:hint="eastAsia" w:ascii="宋体" w:hAnsi="宋体"/>
          <w:color w:val="auto"/>
          <w:sz w:val="21"/>
          <w:szCs w:val="21"/>
          <w:highlight w:val="none"/>
        </w:rPr>
        <w:t>中标通知</w:t>
      </w:r>
    </w:p>
    <w:p w14:paraId="6EC2DA35">
      <w:pPr>
        <w:ind w:firstLine="420" w:firstLineChars="200"/>
        <w:rPr>
          <w:color w:val="auto"/>
          <w:highlight w:val="none"/>
        </w:rPr>
      </w:pPr>
      <w:r>
        <w:rPr>
          <w:rFonts w:hint="eastAsia" w:ascii="宋体" w:hAnsi="宋体"/>
          <w:color w:val="auto"/>
          <w:highlight w:val="none"/>
        </w:rPr>
        <w:t>在投标有效期内，采购人确定</w:t>
      </w:r>
      <w:r>
        <w:rPr>
          <w:rFonts w:hint="eastAsia" w:ascii="宋体" w:hAnsi="宋体"/>
          <w:color w:val="auto"/>
          <w:highlight w:val="none"/>
          <w:lang w:val="en-US" w:eastAsia="zh-CN"/>
        </w:rPr>
        <w:t>中标人</w:t>
      </w:r>
      <w:r>
        <w:rPr>
          <w:rFonts w:hint="eastAsia" w:ascii="宋体" w:hAnsi="宋体"/>
          <w:color w:val="auto"/>
          <w:highlight w:val="none"/>
        </w:rPr>
        <w:t>后，以书面形式向</w:t>
      </w:r>
      <w:r>
        <w:rPr>
          <w:rFonts w:hint="eastAsia" w:ascii="宋体" w:hAnsi="宋体"/>
          <w:color w:val="auto"/>
          <w:highlight w:val="none"/>
          <w:lang w:val="en-US" w:eastAsia="zh-CN"/>
        </w:rPr>
        <w:t>中标人</w:t>
      </w:r>
      <w:r>
        <w:rPr>
          <w:rFonts w:hint="eastAsia" w:ascii="宋体" w:hAnsi="宋体"/>
          <w:color w:val="auto"/>
          <w:highlight w:val="none"/>
        </w:rPr>
        <w:t>发出</w:t>
      </w:r>
      <w:r>
        <w:rPr>
          <w:rFonts w:hint="eastAsia" w:ascii="宋体" w:hAnsi="宋体"/>
          <w:color w:val="auto"/>
          <w:highlight w:val="none"/>
          <w:lang w:val="en-US" w:eastAsia="zh-CN"/>
        </w:rPr>
        <w:t>中标</w:t>
      </w:r>
      <w:r>
        <w:rPr>
          <w:rFonts w:hint="eastAsia" w:ascii="宋体" w:hAnsi="宋体"/>
          <w:color w:val="auto"/>
          <w:highlight w:val="none"/>
        </w:rPr>
        <w:t>通知书，同时将中标结果通知未中标的供应商。</w:t>
      </w:r>
    </w:p>
    <w:p w14:paraId="54605837">
      <w:pPr>
        <w:pStyle w:val="4"/>
        <w:spacing w:before="0" w:after="0" w:line="240" w:lineRule="auto"/>
        <w:rPr>
          <w:color w:val="auto"/>
          <w:sz w:val="21"/>
          <w:szCs w:val="21"/>
          <w:highlight w:val="none"/>
        </w:rPr>
      </w:pPr>
      <w:bookmarkStart w:id="696" w:name="_Toc246996956"/>
      <w:bookmarkEnd w:id="696"/>
      <w:bookmarkStart w:id="697" w:name="_Toc13468"/>
      <w:bookmarkEnd w:id="697"/>
      <w:bookmarkStart w:id="698" w:name="_Toc152042345"/>
      <w:bookmarkEnd w:id="698"/>
      <w:bookmarkStart w:id="699" w:name="_Toc152045569"/>
      <w:bookmarkEnd w:id="699"/>
      <w:bookmarkStart w:id="700" w:name="_Toc8512"/>
      <w:bookmarkEnd w:id="700"/>
      <w:bookmarkStart w:id="701" w:name="_Toc23331"/>
      <w:bookmarkEnd w:id="701"/>
      <w:bookmarkStart w:id="702" w:name="_Toc246996213"/>
      <w:bookmarkEnd w:id="702"/>
      <w:bookmarkStart w:id="703" w:name="_Toc338840226"/>
      <w:bookmarkEnd w:id="703"/>
      <w:bookmarkStart w:id="704" w:name="_Toc179632587"/>
      <w:bookmarkEnd w:id="704"/>
      <w:bookmarkStart w:id="705" w:name="_Toc247085727"/>
      <w:bookmarkEnd w:id="705"/>
      <w:bookmarkStart w:id="706" w:name="_Toc20803"/>
      <w:bookmarkEnd w:id="706"/>
      <w:bookmarkStart w:id="707" w:name="_Toc21289"/>
      <w:bookmarkEnd w:id="707"/>
      <w:bookmarkStart w:id="708" w:name="_Toc144974537"/>
      <w:bookmarkEnd w:id="708"/>
      <w:bookmarkStart w:id="709" w:name="_Toc11787"/>
      <w:bookmarkEnd w:id="709"/>
      <w:bookmarkStart w:id="710" w:name="_Toc6050"/>
      <w:bookmarkEnd w:id="710"/>
      <w:bookmarkStart w:id="711" w:name="_Toc17220"/>
      <w:bookmarkEnd w:id="711"/>
      <w:bookmarkStart w:id="712" w:name="_Toc16466"/>
      <w:r>
        <w:rPr>
          <w:color w:val="auto"/>
          <w:sz w:val="21"/>
          <w:szCs w:val="21"/>
          <w:highlight w:val="none"/>
        </w:rPr>
        <w:t>7.4</w:t>
      </w:r>
      <w:bookmarkEnd w:id="712"/>
      <w:bookmarkStart w:id="713" w:name="_Toc246996214"/>
      <w:bookmarkEnd w:id="713"/>
      <w:bookmarkStart w:id="714" w:name="_Toc179632588"/>
      <w:bookmarkEnd w:id="714"/>
      <w:bookmarkStart w:id="715" w:name="_Toc152045570"/>
      <w:bookmarkEnd w:id="715"/>
      <w:bookmarkStart w:id="716" w:name="_Toc144974538"/>
      <w:bookmarkEnd w:id="716"/>
      <w:bookmarkStart w:id="717" w:name="_Toc247085728"/>
      <w:bookmarkEnd w:id="717"/>
      <w:bookmarkStart w:id="718" w:name="_Toc246996957"/>
      <w:bookmarkEnd w:id="718"/>
      <w:bookmarkStart w:id="719" w:name="_Toc338840227"/>
      <w:bookmarkEnd w:id="719"/>
      <w:bookmarkStart w:id="720" w:name="_Toc152042346"/>
      <w:bookmarkEnd w:id="720"/>
      <w:r>
        <w:rPr>
          <w:rFonts w:hint="eastAsia" w:ascii="宋体" w:hAnsi="宋体"/>
          <w:color w:val="auto"/>
          <w:sz w:val="21"/>
          <w:szCs w:val="21"/>
          <w:highlight w:val="none"/>
        </w:rPr>
        <w:t>签订合同</w:t>
      </w:r>
    </w:p>
    <w:p w14:paraId="53DF1BFD">
      <w:pPr>
        <w:ind w:firstLine="420" w:firstLineChars="200"/>
        <w:rPr>
          <w:color w:val="auto"/>
          <w:highlight w:val="none"/>
        </w:rPr>
      </w:pPr>
      <w:r>
        <w:rPr>
          <w:color w:val="auto"/>
          <w:highlight w:val="none"/>
        </w:rPr>
        <w:t>7.4.1</w:t>
      </w:r>
      <w:r>
        <w:rPr>
          <w:rFonts w:hint="eastAsia" w:ascii="宋体" w:hAnsi="宋体"/>
          <w:color w:val="auto"/>
          <w:highlight w:val="none"/>
        </w:rPr>
        <w:t>采购人和</w:t>
      </w:r>
      <w:r>
        <w:rPr>
          <w:rFonts w:hint="eastAsia" w:ascii="宋体" w:hAnsi="宋体"/>
          <w:color w:val="auto"/>
          <w:highlight w:val="none"/>
          <w:lang w:val="en-US" w:eastAsia="zh-CN"/>
        </w:rPr>
        <w:t>中标人</w:t>
      </w:r>
      <w:r>
        <w:rPr>
          <w:rFonts w:hint="eastAsia" w:ascii="宋体" w:hAnsi="宋体"/>
          <w:color w:val="auto"/>
          <w:highlight w:val="none"/>
        </w:rPr>
        <w:t>应当自</w:t>
      </w:r>
      <w:r>
        <w:rPr>
          <w:rFonts w:hint="eastAsia" w:ascii="宋体" w:hAnsi="宋体"/>
          <w:color w:val="auto"/>
          <w:highlight w:val="none"/>
          <w:lang w:val="en-US" w:eastAsia="zh-CN"/>
        </w:rPr>
        <w:t>中标</w:t>
      </w:r>
      <w:r>
        <w:rPr>
          <w:rFonts w:hint="eastAsia" w:ascii="宋体" w:hAnsi="宋体"/>
          <w:color w:val="auto"/>
          <w:highlight w:val="none"/>
        </w:rPr>
        <w:t>通知书发出之日起</w:t>
      </w:r>
      <w:r>
        <w:rPr>
          <w:rFonts w:hint="eastAsia"/>
          <w:color w:val="auto"/>
          <w:highlight w:val="none"/>
        </w:rPr>
        <w:t>7</w:t>
      </w:r>
      <w:r>
        <w:rPr>
          <w:rFonts w:hint="eastAsia" w:ascii="宋体" w:hAnsi="宋体"/>
          <w:color w:val="auto"/>
          <w:highlight w:val="none"/>
        </w:rPr>
        <w:t>天内（供应商须知前附表另有规定者从其规定），根据招标文件和</w:t>
      </w:r>
      <w:r>
        <w:rPr>
          <w:rFonts w:hint="eastAsia" w:ascii="宋体" w:hAnsi="宋体"/>
          <w:color w:val="auto"/>
          <w:highlight w:val="none"/>
          <w:lang w:val="en-US" w:eastAsia="zh-CN"/>
        </w:rPr>
        <w:t>中标人</w:t>
      </w:r>
      <w:r>
        <w:rPr>
          <w:rFonts w:hint="eastAsia" w:ascii="宋体" w:hAnsi="宋体"/>
          <w:color w:val="auto"/>
          <w:highlight w:val="none"/>
        </w:rPr>
        <w:t>的投标文件订立书面合同。</w:t>
      </w:r>
      <w:r>
        <w:rPr>
          <w:rFonts w:hint="eastAsia" w:ascii="宋体" w:hAnsi="宋体"/>
          <w:color w:val="auto"/>
          <w:highlight w:val="none"/>
          <w:lang w:val="en-US" w:eastAsia="zh-CN"/>
        </w:rPr>
        <w:t>中标人</w:t>
      </w:r>
      <w:r>
        <w:rPr>
          <w:rFonts w:hint="eastAsia" w:ascii="宋体" w:hAnsi="宋体"/>
          <w:color w:val="auto"/>
          <w:highlight w:val="none"/>
        </w:rPr>
        <w:t>无正当理由拒签合同的，采购人取消其中标资格；给采购人造成损失的，成交人还应当对超过部分予以赔偿。</w:t>
      </w:r>
    </w:p>
    <w:p w14:paraId="1A5176A6">
      <w:pPr>
        <w:spacing w:line="500" w:lineRule="exact"/>
        <w:ind w:firstLine="420" w:firstLineChars="200"/>
        <w:rPr>
          <w:color w:val="auto"/>
          <w:highlight w:val="none"/>
        </w:rPr>
      </w:pPr>
      <w:r>
        <w:rPr>
          <w:color w:val="auto"/>
          <w:highlight w:val="none"/>
        </w:rPr>
        <w:t xml:space="preserve">7.4.2 </w:t>
      </w:r>
      <w:r>
        <w:rPr>
          <w:rFonts w:hint="eastAsia" w:ascii="宋体" w:hAnsi="宋体"/>
          <w:color w:val="auto"/>
          <w:highlight w:val="none"/>
        </w:rPr>
        <w:t>发出成交通知书后，采购人无正当理由拒签合同的；给</w:t>
      </w:r>
      <w:r>
        <w:rPr>
          <w:rFonts w:hint="eastAsia" w:ascii="宋体" w:hAnsi="宋体"/>
          <w:color w:val="auto"/>
          <w:highlight w:val="none"/>
          <w:lang w:val="en-US" w:eastAsia="zh-CN"/>
        </w:rPr>
        <w:t>中标人</w:t>
      </w:r>
      <w:r>
        <w:rPr>
          <w:rFonts w:hint="eastAsia" w:ascii="宋体" w:hAnsi="宋体"/>
          <w:color w:val="auto"/>
          <w:highlight w:val="none"/>
        </w:rPr>
        <w:t>造成损失的，还应当赔偿损失。</w:t>
      </w:r>
    </w:p>
    <w:p w14:paraId="009E65D8">
      <w:pPr>
        <w:autoSpaceDE w:val="0"/>
        <w:autoSpaceDN w:val="0"/>
        <w:adjustRightInd w:val="0"/>
        <w:spacing w:line="360" w:lineRule="auto"/>
        <w:ind w:firstLine="103" w:firstLineChars="49"/>
        <w:jc w:val="left"/>
        <w:rPr>
          <w:rFonts w:ascii="宋体" w:cs="仿宋_GB2312"/>
          <w:b/>
          <w:bCs/>
          <w:color w:val="auto"/>
          <w:kern w:val="0"/>
          <w:highlight w:val="none"/>
        </w:rPr>
      </w:pPr>
      <w:r>
        <w:rPr>
          <w:rFonts w:hint="eastAsia" w:ascii="宋体" w:hAnsi="宋体" w:cs="仿宋_GB2312"/>
          <w:b/>
          <w:bCs/>
          <w:color w:val="auto"/>
          <w:kern w:val="0"/>
          <w:highlight w:val="none"/>
        </w:rPr>
        <w:t>8、 重新招标</w:t>
      </w:r>
    </w:p>
    <w:p w14:paraId="543102EC">
      <w:pPr>
        <w:spacing w:line="500" w:lineRule="exact"/>
        <w:ind w:firstLine="420" w:firstLineChars="200"/>
        <w:rPr>
          <w:color w:val="auto"/>
          <w:highlight w:val="none"/>
        </w:rPr>
      </w:pPr>
      <w:r>
        <w:rPr>
          <w:rFonts w:hint="eastAsia" w:ascii="宋体" w:hAnsi="宋体"/>
          <w:color w:val="auto"/>
          <w:highlight w:val="none"/>
        </w:rPr>
        <w:t>有下列情形之一的，采购人将重新招标：</w:t>
      </w:r>
    </w:p>
    <w:p w14:paraId="225210CC">
      <w:pPr>
        <w:spacing w:line="500" w:lineRule="exact"/>
        <w:ind w:firstLine="420" w:firstLineChars="200"/>
        <w:rPr>
          <w:color w:val="auto"/>
          <w:highlight w:val="none"/>
        </w:rPr>
      </w:pPr>
      <w:r>
        <w:rPr>
          <w:rFonts w:hint="eastAsia" w:ascii="宋体" w:hAnsi="宋体"/>
          <w:color w:val="auto"/>
          <w:highlight w:val="none"/>
        </w:rPr>
        <w:t>（</w:t>
      </w:r>
      <w:r>
        <w:rPr>
          <w:color w:val="auto"/>
          <w:highlight w:val="none"/>
        </w:rPr>
        <w:t>1</w:t>
      </w:r>
      <w:r>
        <w:rPr>
          <w:rFonts w:hint="eastAsia" w:ascii="宋体" w:hAnsi="宋体"/>
          <w:color w:val="auto"/>
          <w:highlight w:val="none"/>
        </w:rPr>
        <w:t>）投标截止时间止，供应商少于</w:t>
      </w:r>
      <w:r>
        <w:rPr>
          <w:color w:val="auto"/>
          <w:highlight w:val="none"/>
        </w:rPr>
        <w:t>3</w:t>
      </w:r>
      <w:r>
        <w:rPr>
          <w:rFonts w:hint="eastAsia" w:ascii="宋体" w:hAnsi="宋体"/>
          <w:color w:val="auto"/>
          <w:highlight w:val="none"/>
        </w:rPr>
        <w:t>家的；</w:t>
      </w:r>
    </w:p>
    <w:p w14:paraId="217359CC">
      <w:pPr>
        <w:spacing w:line="500" w:lineRule="exact"/>
        <w:ind w:firstLine="420" w:firstLineChars="200"/>
        <w:rPr>
          <w:color w:val="auto"/>
          <w:highlight w:val="none"/>
        </w:rPr>
      </w:pPr>
      <w:r>
        <w:rPr>
          <w:rFonts w:hint="eastAsia" w:ascii="宋体" w:hAnsi="宋体"/>
          <w:color w:val="auto"/>
          <w:highlight w:val="none"/>
        </w:rPr>
        <w:t>（</w:t>
      </w:r>
      <w:r>
        <w:rPr>
          <w:color w:val="auto"/>
          <w:highlight w:val="none"/>
        </w:rPr>
        <w:t>2</w:t>
      </w:r>
      <w:r>
        <w:rPr>
          <w:rFonts w:hint="eastAsia" w:ascii="宋体" w:hAnsi="宋体"/>
          <w:color w:val="auto"/>
          <w:highlight w:val="none"/>
        </w:rPr>
        <w:t>）经评标委员会评审后通过初步评审不足三家的。</w:t>
      </w:r>
    </w:p>
    <w:p w14:paraId="00B3D0A5">
      <w:pPr>
        <w:pStyle w:val="3"/>
        <w:spacing w:before="0" w:beforeAutospacing="0" w:after="0" w:afterAutospacing="0" w:line="240" w:lineRule="auto"/>
        <w:ind w:left="0" w:firstLine="0"/>
        <w:rPr>
          <w:color w:val="auto"/>
          <w:sz w:val="21"/>
          <w:szCs w:val="21"/>
          <w:highlight w:val="none"/>
        </w:rPr>
      </w:pPr>
      <w:bookmarkStart w:id="721" w:name="_Toc24992"/>
      <w:bookmarkEnd w:id="721"/>
      <w:bookmarkStart w:id="722" w:name="_Toc16273"/>
      <w:bookmarkEnd w:id="722"/>
      <w:bookmarkStart w:id="723" w:name="_Toc338840488"/>
      <w:bookmarkEnd w:id="723"/>
      <w:bookmarkStart w:id="724" w:name="_Toc17147"/>
      <w:bookmarkEnd w:id="724"/>
      <w:bookmarkStart w:id="725" w:name="_Toc6541"/>
      <w:bookmarkEnd w:id="725"/>
      <w:bookmarkStart w:id="726" w:name="_Toc26100"/>
      <w:bookmarkEnd w:id="726"/>
      <w:bookmarkStart w:id="727" w:name="_Toc346523409"/>
      <w:bookmarkEnd w:id="727"/>
      <w:bookmarkStart w:id="728" w:name="_Toc6195"/>
      <w:bookmarkEnd w:id="728"/>
      <w:bookmarkStart w:id="729" w:name="_Toc12640"/>
      <w:bookmarkEnd w:id="729"/>
      <w:bookmarkStart w:id="730" w:name="_Toc21664"/>
      <w:bookmarkEnd w:id="730"/>
      <w:bookmarkStart w:id="731" w:name="_Toc338840228"/>
      <w:bookmarkEnd w:id="731"/>
      <w:bookmarkStart w:id="732" w:name="_Toc12677"/>
      <w:bookmarkEnd w:id="732"/>
      <w:bookmarkStart w:id="733" w:name="_Toc338840449"/>
      <w:bookmarkEnd w:id="733"/>
      <w:r>
        <w:rPr>
          <w:rFonts w:hint="eastAsia"/>
          <w:color w:val="auto"/>
          <w:sz w:val="21"/>
          <w:szCs w:val="21"/>
          <w:highlight w:val="none"/>
        </w:rPr>
        <w:t>9</w:t>
      </w:r>
      <w:r>
        <w:rPr>
          <w:rFonts w:hint="eastAsia" w:ascii="宋体" w:hAnsi="宋体"/>
          <w:color w:val="auto"/>
          <w:sz w:val="21"/>
          <w:szCs w:val="21"/>
          <w:highlight w:val="none"/>
        </w:rPr>
        <w:t>、纪律和监督</w:t>
      </w:r>
    </w:p>
    <w:p w14:paraId="24D1E284">
      <w:pPr>
        <w:pStyle w:val="4"/>
        <w:spacing w:before="0" w:after="0" w:line="240" w:lineRule="auto"/>
        <w:ind w:firstLine="422" w:firstLineChars="200"/>
        <w:rPr>
          <w:color w:val="auto"/>
          <w:sz w:val="21"/>
          <w:szCs w:val="21"/>
          <w:highlight w:val="none"/>
        </w:rPr>
      </w:pPr>
      <w:bookmarkStart w:id="734" w:name="_Toc152045575"/>
      <w:bookmarkEnd w:id="734"/>
      <w:bookmarkStart w:id="735" w:name="_Toc18109"/>
      <w:bookmarkEnd w:id="735"/>
      <w:bookmarkStart w:id="736" w:name="_Toc5310"/>
      <w:bookmarkEnd w:id="736"/>
      <w:bookmarkStart w:id="737" w:name="_Toc152042351"/>
      <w:bookmarkEnd w:id="737"/>
      <w:bookmarkStart w:id="738" w:name="_Toc25929"/>
      <w:bookmarkEnd w:id="738"/>
      <w:bookmarkStart w:id="739" w:name="_Toc246996962"/>
      <w:bookmarkEnd w:id="739"/>
      <w:bookmarkStart w:id="740" w:name="_Toc179632593"/>
      <w:bookmarkEnd w:id="740"/>
      <w:bookmarkStart w:id="741" w:name="_Toc3646"/>
      <w:bookmarkEnd w:id="741"/>
      <w:bookmarkStart w:id="742" w:name="_Toc29875"/>
      <w:bookmarkEnd w:id="742"/>
      <w:bookmarkStart w:id="743" w:name="_Toc296590983"/>
      <w:bookmarkEnd w:id="743"/>
      <w:bookmarkStart w:id="744" w:name="_Toc247085733"/>
      <w:bookmarkEnd w:id="744"/>
      <w:bookmarkStart w:id="745" w:name="_Toc338840229"/>
      <w:bookmarkEnd w:id="745"/>
      <w:bookmarkStart w:id="746" w:name="_Toc30767"/>
      <w:bookmarkEnd w:id="746"/>
      <w:bookmarkStart w:id="747" w:name="_Toc419"/>
      <w:bookmarkEnd w:id="747"/>
      <w:bookmarkStart w:id="748" w:name="_Toc144974543"/>
      <w:bookmarkEnd w:id="748"/>
      <w:bookmarkStart w:id="749" w:name="_Toc2294"/>
      <w:bookmarkEnd w:id="749"/>
      <w:bookmarkStart w:id="750" w:name="_Toc16690"/>
      <w:bookmarkEnd w:id="750"/>
      <w:bookmarkStart w:id="751" w:name="_Toc246996219"/>
      <w:r>
        <w:rPr>
          <w:rFonts w:hint="eastAsia"/>
          <w:color w:val="auto"/>
          <w:sz w:val="21"/>
          <w:szCs w:val="21"/>
          <w:highlight w:val="none"/>
        </w:rPr>
        <w:t>9</w:t>
      </w:r>
      <w:r>
        <w:rPr>
          <w:color w:val="auto"/>
          <w:sz w:val="21"/>
          <w:szCs w:val="21"/>
          <w:highlight w:val="none"/>
        </w:rPr>
        <w:t xml:space="preserve">.1 </w:t>
      </w:r>
      <w:bookmarkEnd w:id="751"/>
      <w:r>
        <w:rPr>
          <w:rFonts w:hint="eastAsia" w:ascii="宋体" w:hAnsi="宋体"/>
          <w:color w:val="auto"/>
          <w:sz w:val="21"/>
          <w:szCs w:val="21"/>
          <w:highlight w:val="none"/>
        </w:rPr>
        <w:t>对采购人的纪律要求</w:t>
      </w:r>
    </w:p>
    <w:p w14:paraId="46AFF3C5">
      <w:pPr>
        <w:spacing w:line="500" w:lineRule="exact"/>
        <w:ind w:firstLine="420" w:firstLineChars="200"/>
        <w:rPr>
          <w:color w:val="auto"/>
          <w:highlight w:val="none"/>
        </w:rPr>
      </w:pPr>
      <w:r>
        <w:rPr>
          <w:rFonts w:hint="eastAsia" w:ascii="宋体" w:hAnsi="宋体"/>
          <w:color w:val="auto"/>
          <w:highlight w:val="none"/>
        </w:rPr>
        <w:t>采购人不得泄漏招标投标活动中应当保密的情况和资料，不得与供应商串通损害国家利益、社会公共利益或者他人合法权益。</w:t>
      </w:r>
    </w:p>
    <w:p w14:paraId="4D75D531">
      <w:pPr>
        <w:pStyle w:val="4"/>
        <w:spacing w:before="0" w:after="0" w:line="240" w:lineRule="auto"/>
        <w:ind w:firstLine="422" w:firstLineChars="200"/>
        <w:rPr>
          <w:color w:val="auto"/>
          <w:sz w:val="21"/>
          <w:szCs w:val="21"/>
          <w:highlight w:val="none"/>
        </w:rPr>
      </w:pPr>
      <w:bookmarkStart w:id="752" w:name="_Toc152045576"/>
      <w:bookmarkEnd w:id="752"/>
      <w:bookmarkStart w:id="753" w:name="_Toc22007"/>
      <w:bookmarkEnd w:id="753"/>
      <w:bookmarkStart w:id="754" w:name="_Toc20588"/>
      <w:bookmarkEnd w:id="754"/>
      <w:bookmarkStart w:id="755" w:name="_Toc246996963"/>
      <w:bookmarkEnd w:id="755"/>
      <w:bookmarkStart w:id="756" w:name="_Toc246996220"/>
      <w:bookmarkEnd w:id="756"/>
      <w:bookmarkStart w:id="757" w:name="_Toc2606"/>
      <w:bookmarkEnd w:id="757"/>
      <w:bookmarkStart w:id="758" w:name="_Toc20445"/>
      <w:bookmarkEnd w:id="758"/>
      <w:bookmarkStart w:id="759" w:name="_Toc24458"/>
      <w:bookmarkEnd w:id="759"/>
      <w:bookmarkStart w:id="760" w:name="_Toc179632594"/>
      <w:bookmarkEnd w:id="760"/>
      <w:bookmarkStart w:id="761" w:name="_Toc144974544"/>
      <w:bookmarkEnd w:id="761"/>
      <w:bookmarkStart w:id="762" w:name="_Toc152042352"/>
      <w:bookmarkEnd w:id="762"/>
      <w:bookmarkStart w:id="763" w:name="_Toc247085734"/>
      <w:bookmarkEnd w:id="763"/>
      <w:bookmarkStart w:id="764" w:name="_Toc3642"/>
      <w:bookmarkEnd w:id="764"/>
      <w:bookmarkStart w:id="765" w:name="_Toc12505"/>
      <w:bookmarkEnd w:id="765"/>
      <w:bookmarkStart w:id="766" w:name="_Toc27854"/>
      <w:bookmarkEnd w:id="766"/>
      <w:bookmarkStart w:id="767" w:name="_Toc8225"/>
      <w:bookmarkEnd w:id="767"/>
      <w:bookmarkStart w:id="768" w:name="_Toc338840230"/>
      <w:r>
        <w:rPr>
          <w:rFonts w:hint="eastAsia"/>
          <w:color w:val="auto"/>
          <w:sz w:val="21"/>
          <w:szCs w:val="21"/>
          <w:highlight w:val="none"/>
        </w:rPr>
        <w:t>9</w:t>
      </w:r>
      <w:r>
        <w:rPr>
          <w:color w:val="auto"/>
          <w:sz w:val="21"/>
          <w:szCs w:val="21"/>
          <w:highlight w:val="none"/>
        </w:rPr>
        <w:t xml:space="preserve">.2 </w:t>
      </w:r>
      <w:bookmarkEnd w:id="768"/>
      <w:r>
        <w:rPr>
          <w:rFonts w:hint="eastAsia" w:ascii="宋体" w:hAnsi="宋体"/>
          <w:color w:val="auto"/>
          <w:sz w:val="21"/>
          <w:szCs w:val="21"/>
          <w:highlight w:val="none"/>
        </w:rPr>
        <w:t>对供应商的纪律要求</w:t>
      </w:r>
    </w:p>
    <w:p w14:paraId="35E693C6">
      <w:pPr>
        <w:spacing w:line="500" w:lineRule="exact"/>
        <w:ind w:firstLine="420" w:firstLineChars="200"/>
        <w:rPr>
          <w:color w:val="auto"/>
          <w:highlight w:val="none"/>
        </w:rPr>
      </w:pPr>
      <w:r>
        <w:rPr>
          <w:rFonts w:hint="eastAsia" w:ascii="宋体" w:hAnsi="宋体"/>
          <w:color w:val="auto"/>
          <w:highlight w:val="none"/>
        </w:rPr>
        <w:t>供应商不得相互串通投标或者与采购人串通投标，不得向采购人或者评标委员会成员行贿谋取中标，不得以他人名义投标或者以其他方式弄虚作假骗取中标；供应商不得以任何方式干扰、影响评标工作。</w:t>
      </w:r>
    </w:p>
    <w:p w14:paraId="31CA2BDE">
      <w:pPr>
        <w:pStyle w:val="4"/>
        <w:spacing w:before="0" w:after="0" w:line="240" w:lineRule="auto"/>
        <w:ind w:firstLine="422" w:firstLineChars="200"/>
        <w:rPr>
          <w:color w:val="auto"/>
          <w:sz w:val="21"/>
          <w:szCs w:val="21"/>
          <w:highlight w:val="none"/>
        </w:rPr>
      </w:pPr>
      <w:bookmarkStart w:id="769" w:name="_Toc3408"/>
      <w:bookmarkEnd w:id="769"/>
      <w:bookmarkStart w:id="770" w:name="_Toc21553"/>
      <w:bookmarkEnd w:id="770"/>
      <w:bookmarkStart w:id="771" w:name="_Toc179632595"/>
      <w:bookmarkEnd w:id="771"/>
      <w:bookmarkStart w:id="772" w:name="_Toc144974545"/>
      <w:bookmarkEnd w:id="772"/>
      <w:bookmarkStart w:id="773" w:name="_Toc246996221"/>
      <w:bookmarkEnd w:id="773"/>
      <w:bookmarkStart w:id="774" w:name="_Toc22793"/>
      <w:bookmarkEnd w:id="774"/>
      <w:bookmarkStart w:id="775" w:name="_Toc27095"/>
      <w:bookmarkEnd w:id="775"/>
      <w:bookmarkStart w:id="776" w:name="_Toc25156"/>
      <w:bookmarkEnd w:id="776"/>
      <w:bookmarkStart w:id="777" w:name="_Toc152045577"/>
      <w:bookmarkEnd w:id="777"/>
      <w:bookmarkStart w:id="778" w:name="_Toc246996964"/>
      <w:bookmarkEnd w:id="778"/>
      <w:bookmarkStart w:id="779" w:name="_Toc20696"/>
      <w:bookmarkEnd w:id="779"/>
      <w:bookmarkStart w:id="780" w:name="_Toc338840231"/>
      <w:bookmarkEnd w:id="780"/>
      <w:bookmarkStart w:id="781" w:name="_Toc26186"/>
      <w:bookmarkEnd w:id="781"/>
      <w:bookmarkStart w:id="782" w:name="_Toc23905"/>
      <w:bookmarkEnd w:id="782"/>
      <w:bookmarkStart w:id="783" w:name="_Toc152042353"/>
      <w:bookmarkEnd w:id="783"/>
      <w:bookmarkStart w:id="784" w:name="_Toc13995"/>
      <w:bookmarkEnd w:id="784"/>
      <w:bookmarkStart w:id="785" w:name="_Toc247085735"/>
      <w:r>
        <w:rPr>
          <w:rFonts w:hint="eastAsia"/>
          <w:color w:val="auto"/>
          <w:sz w:val="21"/>
          <w:szCs w:val="21"/>
          <w:highlight w:val="none"/>
        </w:rPr>
        <w:t>9</w:t>
      </w:r>
      <w:r>
        <w:rPr>
          <w:color w:val="auto"/>
          <w:sz w:val="21"/>
          <w:szCs w:val="21"/>
          <w:highlight w:val="none"/>
        </w:rPr>
        <w:t xml:space="preserve">.3 </w:t>
      </w:r>
      <w:bookmarkEnd w:id="785"/>
      <w:r>
        <w:rPr>
          <w:rFonts w:hint="eastAsia" w:ascii="宋体" w:hAnsi="宋体"/>
          <w:color w:val="auto"/>
          <w:sz w:val="21"/>
          <w:szCs w:val="21"/>
          <w:highlight w:val="none"/>
        </w:rPr>
        <w:t>对评标委员会成员的纪律要求</w:t>
      </w:r>
    </w:p>
    <w:p w14:paraId="54387575">
      <w:pPr>
        <w:spacing w:line="500" w:lineRule="exact"/>
        <w:ind w:firstLine="420" w:firstLineChars="200"/>
        <w:rPr>
          <w:color w:val="auto"/>
          <w:highlight w:val="none"/>
        </w:rPr>
      </w:pPr>
      <w:r>
        <w:rPr>
          <w:rFonts w:hint="eastAsia" w:ascii="宋体" w:hAnsi="宋体"/>
          <w:color w:val="auto"/>
          <w:highlight w:val="none"/>
        </w:rPr>
        <w:t>评标委员会成员不得收受他人的财物或者其他好处，不得向他人透漏对投标文件的评审和比较、成交候选人的推荐情况以及评标有关的其他情况。在评标活动中，评标委员会成员应当客观、公正地履行职责，遵守职业道德，不得擅离职守，不得干扰评标程序正常进行，不得使用第三部分</w:t>
      </w:r>
      <w:r>
        <w:rPr>
          <w:rFonts w:hint="eastAsia"/>
          <w:color w:val="auto"/>
          <w:highlight w:val="none"/>
        </w:rPr>
        <w:t>“评标办法”规定以外的评审因素和标准进行评标。</w:t>
      </w:r>
    </w:p>
    <w:p w14:paraId="5D547A03">
      <w:pPr>
        <w:pStyle w:val="4"/>
        <w:spacing w:before="0" w:after="0" w:line="240" w:lineRule="auto"/>
        <w:ind w:firstLine="422" w:firstLineChars="200"/>
        <w:rPr>
          <w:color w:val="auto"/>
          <w:sz w:val="21"/>
          <w:szCs w:val="21"/>
          <w:highlight w:val="none"/>
        </w:rPr>
      </w:pPr>
      <w:bookmarkStart w:id="786" w:name="_Toc152045578"/>
      <w:bookmarkEnd w:id="786"/>
      <w:bookmarkStart w:id="787" w:name="_Toc14398"/>
      <w:bookmarkEnd w:id="787"/>
      <w:bookmarkStart w:id="788" w:name="_Toc247085736"/>
      <w:bookmarkEnd w:id="788"/>
      <w:bookmarkStart w:id="789" w:name="_Toc11963"/>
      <w:bookmarkEnd w:id="789"/>
      <w:bookmarkStart w:id="790" w:name="_Toc246996222"/>
      <w:bookmarkEnd w:id="790"/>
      <w:bookmarkStart w:id="791" w:name="_Toc27507"/>
      <w:bookmarkEnd w:id="791"/>
      <w:bookmarkStart w:id="792" w:name="_Toc18465"/>
      <w:bookmarkEnd w:id="792"/>
      <w:bookmarkStart w:id="793" w:name="_Toc246996965"/>
      <w:bookmarkEnd w:id="793"/>
      <w:bookmarkStart w:id="794" w:name="_Toc179632596"/>
      <w:bookmarkEnd w:id="794"/>
      <w:bookmarkStart w:id="795" w:name="_Toc28236"/>
      <w:bookmarkEnd w:id="795"/>
      <w:bookmarkStart w:id="796" w:name="_Toc152042354"/>
      <w:bookmarkEnd w:id="796"/>
      <w:bookmarkStart w:id="797" w:name="_Toc26440"/>
      <w:bookmarkEnd w:id="797"/>
      <w:bookmarkStart w:id="798" w:name="_Toc2348"/>
      <w:bookmarkEnd w:id="798"/>
      <w:bookmarkStart w:id="799" w:name="_Toc32248"/>
      <w:bookmarkEnd w:id="799"/>
      <w:bookmarkStart w:id="800" w:name="_Toc338840232"/>
      <w:bookmarkEnd w:id="800"/>
      <w:bookmarkStart w:id="801" w:name="_Toc3657"/>
      <w:bookmarkEnd w:id="801"/>
      <w:bookmarkStart w:id="802" w:name="_Toc144974546"/>
      <w:r>
        <w:rPr>
          <w:rFonts w:hint="eastAsia"/>
          <w:color w:val="auto"/>
          <w:sz w:val="21"/>
          <w:szCs w:val="21"/>
          <w:highlight w:val="none"/>
        </w:rPr>
        <w:t>9</w:t>
      </w:r>
      <w:r>
        <w:rPr>
          <w:color w:val="auto"/>
          <w:sz w:val="21"/>
          <w:szCs w:val="21"/>
          <w:highlight w:val="none"/>
        </w:rPr>
        <w:t xml:space="preserve">.4 </w:t>
      </w:r>
      <w:bookmarkEnd w:id="802"/>
      <w:r>
        <w:rPr>
          <w:rFonts w:hint="eastAsia" w:ascii="宋体" w:hAnsi="宋体"/>
          <w:color w:val="auto"/>
          <w:sz w:val="21"/>
          <w:szCs w:val="21"/>
          <w:highlight w:val="none"/>
        </w:rPr>
        <w:t>对有关招投标工作人员的纪律要求</w:t>
      </w:r>
    </w:p>
    <w:p w14:paraId="3F4EBDB8">
      <w:pPr>
        <w:spacing w:line="500" w:lineRule="exact"/>
        <w:ind w:firstLine="420" w:firstLineChars="200"/>
        <w:rPr>
          <w:color w:val="auto"/>
          <w:highlight w:val="none"/>
        </w:rPr>
      </w:pPr>
      <w:bookmarkStart w:id="803" w:name="_Toc152042355"/>
      <w:bookmarkEnd w:id="803"/>
      <w:r>
        <w:rPr>
          <w:rFonts w:hint="eastAsia" w:ascii="宋体" w:hAnsi="宋体"/>
          <w:color w:val="auto"/>
          <w:highlight w:val="none"/>
        </w:rPr>
        <w:t>与评标活动有关的工作人员不得收受他人的财物或者其他好处，不得向他人透漏对投标文件的评审和比较、成交候选人的推荐情况以及评标有关的其他情况。在评标活动中，与评标活动有关的工作人员不得擅离职守，不得影响评标程序正常进行。</w:t>
      </w:r>
    </w:p>
    <w:p w14:paraId="2BD94211">
      <w:pPr>
        <w:autoSpaceDE w:val="0"/>
        <w:autoSpaceDN w:val="0"/>
        <w:adjustRightInd w:val="0"/>
        <w:ind w:firstLine="422" w:firstLineChars="200"/>
        <w:jc w:val="left"/>
        <w:rPr>
          <w:rFonts w:hint="eastAsia" w:ascii="宋体" w:hAnsi="宋体"/>
          <w:b/>
          <w:bCs/>
          <w:color w:val="auto"/>
          <w:highlight w:val="none"/>
        </w:rPr>
      </w:pPr>
      <w:bookmarkStart w:id="804" w:name="_Toc22579"/>
      <w:bookmarkEnd w:id="804"/>
      <w:bookmarkStart w:id="805" w:name="_Toc246996223"/>
      <w:bookmarkEnd w:id="805"/>
      <w:bookmarkStart w:id="806" w:name="_Toc247085737"/>
      <w:bookmarkEnd w:id="806"/>
      <w:bookmarkStart w:id="807" w:name="_Toc16071"/>
      <w:bookmarkEnd w:id="807"/>
      <w:bookmarkStart w:id="808" w:name="_Toc246996966"/>
      <w:bookmarkEnd w:id="808"/>
      <w:bookmarkStart w:id="809" w:name="_Toc338840233"/>
      <w:bookmarkEnd w:id="809"/>
      <w:bookmarkStart w:id="810" w:name="_Toc17983"/>
      <w:bookmarkEnd w:id="810"/>
      <w:bookmarkStart w:id="811" w:name="_Toc32438"/>
      <w:bookmarkEnd w:id="811"/>
      <w:bookmarkStart w:id="812" w:name="_Toc8712"/>
      <w:bookmarkEnd w:id="812"/>
      <w:bookmarkStart w:id="813" w:name="_Toc23014"/>
      <w:bookmarkEnd w:id="813"/>
      <w:bookmarkStart w:id="814" w:name="_Toc1912"/>
      <w:bookmarkEnd w:id="814"/>
      <w:bookmarkStart w:id="815" w:name="_Toc152045579"/>
      <w:bookmarkEnd w:id="815"/>
      <w:bookmarkStart w:id="816" w:name="_Toc3679"/>
      <w:bookmarkEnd w:id="816"/>
      <w:bookmarkStart w:id="817" w:name="_Toc179632597"/>
      <w:bookmarkEnd w:id="817"/>
      <w:bookmarkStart w:id="818" w:name="_Toc13441"/>
      <w:bookmarkEnd w:id="818"/>
      <w:bookmarkStart w:id="819" w:name="_Toc152042356"/>
      <w:r>
        <w:rPr>
          <w:rFonts w:hint="eastAsia" w:ascii="宋体" w:hAnsi="宋体"/>
          <w:b/>
          <w:bCs/>
          <w:color w:val="auto"/>
          <w:highlight w:val="none"/>
        </w:rPr>
        <w:t xml:space="preserve">9.5 </w:t>
      </w:r>
      <w:bookmarkEnd w:id="819"/>
      <w:r>
        <w:rPr>
          <w:rFonts w:hint="eastAsia" w:ascii="宋体" w:hAnsi="宋体"/>
          <w:b/>
          <w:bCs/>
          <w:color w:val="auto"/>
          <w:highlight w:val="none"/>
        </w:rPr>
        <w:t>投诉</w:t>
      </w:r>
    </w:p>
    <w:p w14:paraId="32483E83">
      <w:pPr>
        <w:spacing w:line="500" w:lineRule="exact"/>
        <w:ind w:firstLine="420" w:firstLineChars="200"/>
        <w:rPr>
          <w:rFonts w:hint="eastAsia" w:ascii="宋体" w:hAnsi="宋体"/>
          <w:color w:val="auto"/>
          <w:highlight w:val="none"/>
        </w:rPr>
      </w:pPr>
      <w:r>
        <w:rPr>
          <w:rFonts w:hint="eastAsia" w:ascii="宋体" w:hAnsi="宋体"/>
          <w:color w:val="auto"/>
          <w:highlight w:val="none"/>
        </w:rPr>
        <w:t>供应商和其他利害关系人认为本次采购活动违反法律、法规和规章规定的，有权向有关行政监督部门投诉。</w:t>
      </w:r>
    </w:p>
    <w:p w14:paraId="7ED88707">
      <w:pPr>
        <w:pStyle w:val="34"/>
        <w:rPr>
          <w:rFonts w:hint="eastAsia" w:hAnsi="宋体"/>
          <w:color w:val="auto"/>
          <w:sz w:val="21"/>
          <w:szCs w:val="21"/>
          <w:highlight w:val="none"/>
        </w:rPr>
      </w:pPr>
    </w:p>
    <w:p w14:paraId="5F5CF83C">
      <w:pPr>
        <w:pStyle w:val="4"/>
        <w:spacing w:before="0" w:after="0" w:line="240" w:lineRule="auto"/>
        <w:ind w:firstLine="422" w:firstLineChars="200"/>
        <w:rPr>
          <w:color w:val="auto"/>
          <w:sz w:val="21"/>
          <w:szCs w:val="21"/>
          <w:highlight w:val="none"/>
        </w:rPr>
      </w:pPr>
      <w:bookmarkStart w:id="820" w:name="_Toc152042357"/>
      <w:bookmarkEnd w:id="820"/>
      <w:bookmarkStart w:id="821" w:name="_Toc338840489"/>
      <w:bookmarkEnd w:id="821"/>
      <w:bookmarkStart w:id="822" w:name="_Toc3348"/>
      <w:bookmarkEnd w:id="822"/>
      <w:bookmarkStart w:id="823" w:name="_Toc8477"/>
      <w:bookmarkEnd w:id="823"/>
      <w:bookmarkStart w:id="824" w:name="_Toc338840450"/>
      <w:bookmarkEnd w:id="824"/>
      <w:bookmarkStart w:id="825" w:name="_Toc2874"/>
      <w:bookmarkEnd w:id="825"/>
      <w:bookmarkStart w:id="826" w:name="_Toc152045580"/>
      <w:bookmarkEnd w:id="826"/>
      <w:bookmarkStart w:id="827" w:name="_Toc246996967"/>
      <w:bookmarkEnd w:id="827"/>
      <w:bookmarkStart w:id="828" w:name="_Toc338840235"/>
      <w:bookmarkEnd w:id="828"/>
      <w:bookmarkStart w:id="829" w:name="_Toc346523410"/>
      <w:bookmarkEnd w:id="829"/>
      <w:bookmarkStart w:id="830" w:name="_Toc22621"/>
      <w:bookmarkEnd w:id="830"/>
      <w:bookmarkStart w:id="831" w:name="_Toc246996224"/>
      <w:bookmarkEnd w:id="831"/>
      <w:bookmarkStart w:id="832" w:name="_Toc23335"/>
      <w:bookmarkEnd w:id="832"/>
      <w:bookmarkStart w:id="833" w:name="_Toc12621"/>
      <w:bookmarkEnd w:id="833"/>
      <w:bookmarkStart w:id="834" w:name="_Toc5433"/>
      <w:bookmarkEnd w:id="834"/>
      <w:bookmarkStart w:id="835" w:name="_Toc286"/>
      <w:bookmarkEnd w:id="835"/>
      <w:bookmarkStart w:id="836" w:name="_Toc24896"/>
      <w:bookmarkEnd w:id="836"/>
      <w:bookmarkStart w:id="837" w:name="_Toc247085738"/>
      <w:bookmarkEnd w:id="837"/>
      <w:bookmarkStart w:id="838" w:name="_Toc144974547"/>
      <w:bookmarkEnd w:id="838"/>
      <w:bookmarkStart w:id="839" w:name="_Toc179632598"/>
      <w:bookmarkEnd w:id="839"/>
      <w:bookmarkStart w:id="840" w:name="_Toc508"/>
      <w:r>
        <w:rPr>
          <w:color w:val="auto"/>
          <w:sz w:val="21"/>
          <w:szCs w:val="21"/>
          <w:highlight w:val="none"/>
        </w:rPr>
        <w:t xml:space="preserve">9. </w:t>
      </w:r>
      <w:bookmarkEnd w:id="840"/>
      <w:r>
        <w:rPr>
          <w:rFonts w:hint="eastAsia"/>
          <w:color w:val="auto"/>
          <w:sz w:val="21"/>
          <w:szCs w:val="21"/>
          <w:highlight w:val="none"/>
        </w:rPr>
        <w:t xml:space="preserve">6 </w:t>
      </w:r>
      <w:r>
        <w:rPr>
          <w:rFonts w:hint="eastAsia" w:ascii="宋体" w:hAnsi="宋体"/>
          <w:color w:val="auto"/>
          <w:sz w:val="21"/>
          <w:szCs w:val="21"/>
          <w:highlight w:val="none"/>
        </w:rPr>
        <w:t>需要补充的其他内容</w:t>
      </w:r>
    </w:p>
    <w:p w14:paraId="2BC4DCA7">
      <w:pPr>
        <w:spacing w:line="500" w:lineRule="exact"/>
        <w:ind w:firstLine="420" w:firstLineChars="200"/>
        <w:rPr>
          <w:color w:val="auto"/>
          <w:highlight w:val="none"/>
        </w:rPr>
      </w:pPr>
      <w:r>
        <w:rPr>
          <w:rFonts w:hint="eastAsia" w:ascii="宋体" w:hAnsi="宋体"/>
          <w:color w:val="auto"/>
          <w:highlight w:val="none"/>
        </w:rPr>
        <w:t>需要补充的其他内容：见供应商须知前附表。</w:t>
      </w:r>
    </w:p>
    <w:p w14:paraId="4FCB627D">
      <w:pPr>
        <w:spacing w:line="500" w:lineRule="exact"/>
        <w:rPr>
          <w:b/>
          <w:bCs/>
          <w:color w:val="auto"/>
          <w:kern w:val="0"/>
          <w:highlight w:val="none"/>
        </w:rPr>
      </w:pPr>
      <w:bookmarkStart w:id="841" w:name="_Toc27350"/>
      <w:bookmarkEnd w:id="841"/>
      <w:bookmarkStart w:id="842" w:name="_Toc19642"/>
      <w:bookmarkEnd w:id="842"/>
      <w:bookmarkStart w:id="843" w:name="_Toc9765"/>
      <w:bookmarkEnd w:id="843"/>
      <w:bookmarkStart w:id="844" w:name="_Toc4211"/>
      <w:bookmarkEnd w:id="844"/>
      <w:bookmarkStart w:id="845" w:name="_Toc19240"/>
      <w:r>
        <w:rPr>
          <w:rFonts w:hint="eastAsia"/>
          <w:b/>
          <w:bCs/>
          <w:color w:val="auto"/>
          <w:kern w:val="0"/>
          <w:highlight w:val="none"/>
        </w:rPr>
        <w:t>10.</w:t>
      </w:r>
      <w:r>
        <w:rPr>
          <w:rFonts w:hint="eastAsia" w:ascii="宋体" w:hAnsi="宋体"/>
          <w:b/>
          <w:bCs/>
          <w:color w:val="auto"/>
          <w:kern w:val="0"/>
          <w:highlight w:val="none"/>
        </w:rPr>
        <w:t>关于中小企业、监狱企业、残疾人福利性单位参加投标的规定</w:t>
      </w:r>
      <w:bookmarkEnd w:id="845"/>
      <w:bookmarkStart w:id="846" w:name="_Toc419645323"/>
      <w:bookmarkEnd w:id="846"/>
    </w:p>
    <w:p w14:paraId="09B8B135">
      <w:pPr>
        <w:spacing w:before="120" w:line="360" w:lineRule="auto"/>
        <w:ind w:firstLine="422" w:firstLineChars="200"/>
        <w:rPr>
          <w:b/>
          <w:bCs/>
          <w:color w:val="auto"/>
          <w:kern w:val="0"/>
          <w:highlight w:val="none"/>
        </w:rPr>
      </w:pPr>
      <w:r>
        <w:rPr>
          <w:rFonts w:hint="eastAsia"/>
          <w:b/>
          <w:bCs/>
          <w:color w:val="auto"/>
          <w:kern w:val="0"/>
          <w:highlight w:val="none"/>
        </w:rPr>
        <w:t xml:space="preserve">10.1 </w:t>
      </w:r>
      <w:r>
        <w:rPr>
          <w:rFonts w:hint="eastAsia" w:ascii="宋体" w:hAnsi="宋体"/>
          <w:b/>
          <w:bCs/>
          <w:color w:val="auto"/>
          <w:kern w:val="0"/>
          <w:highlight w:val="none"/>
        </w:rPr>
        <w:t>关于投标的规定</w:t>
      </w:r>
    </w:p>
    <w:p w14:paraId="191C8273">
      <w:pPr>
        <w:spacing w:line="360" w:lineRule="auto"/>
        <w:ind w:firstLine="420" w:firstLineChars="200"/>
        <w:rPr>
          <w:rFonts w:hint="eastAsia" w:ascii="宋体" w:hAnsi="宋体"/>
          <w:color w:val="auto"/>
          <w:highlight w:val="none"/>
        </w:rPr>
      </w:pPr>
      <w:r>
        <w:rPr>
          <w:rFonts w:hint="eastAsia" w:ascii="宋体" w:hAnsi="宋体"/>
          <w:color w:val="auto"/>
          <w:highlight w:val="none"/>
        </w:rPr>
        <w:t>10.1.1中小企业。符合工信部联企业[2011]300号文件中小企业划型标准规定，以中小企业身份参加投标时，应提供规定格式的《中小企业声明函》（格式见附件）</w:t>
      </w:r>
      <w:bookmarkStart w:id="847" w:name="_Toc419645324"/>
      <w:bookmarkEnd w:id="847"/>
    </w:p>
    <w:p w14:paraId="019569B3">
      <w:pPr>
        <w:spacing w:line="360" w:lineRule="auto"/>
        <w:ind w:firstLine="420" w:firstLineChars="200"/>
        <w:rPr>
          <w:rFonts w:hint="eastAsia" w:ascii="宋体" w:hAnsi="宋体"/>
          <w:color w:val="auto"/>
          <w:highlight w:val="none"/>
        </w:rPr>
      </w:pPr>
      <w:r>
        <w:rPr>
          <w:rFonts w:hint="eastAsia" w:ascii="宋体" w:hAnsi="宋体"/>
          <w:color w:val="auto"/>
          <w:highlight w:val="none"/>
        </w:rPr>
        <w:t>10.1.2监狱企业。监狱企业参加政府采购活动时，应当提供由省级以上监狱管理局、戒毒管理局（含新疆生产建设兵团）出具的属于监狱企业的证明文件，才可享受相关政策。</w:t>
      </w:r>
      <w:r>
        <w:rPr>
          <w:rFonts w:hint="eastAsia" w:ascii="宋体" w:hAnsi="宋体"/>
          <w:color w:val="auto"/>
          <w:highlight w:val="none"/>
        </w:rPr>
        <w:br w:type="textWrapping"/>
      </w:r>
      <w:r>
        <w:rPr>
          <w:rFonts w:hint="eastAsia" w:ascii="宋体" w:hAnsi="宋体"/>
          <w:color w:val="auto"/>
          <w:highlight w:val="none"/>
        </w:rPr>
        <w:t xml:space="preserve">  在政府采购活动中监狱企业视同小型、微型企业并适用其相关规定，提供本企业制造的货物、承担的工程或服务，享受预留份额、评审中价格扣除等政府采购促进中小企业发展的政府采购政策。</w:t>
      </w:r>
    </w:p>
    <w:p w14:paraId="3A165140">
      <w:pPr>
        <w:spacing w:line="360" w:lineRule="auto"/>
        <w:ind w:firstLine="420" w:firstLineChars="200"/>
        <w:rPr>
          <w:rFonts w:hint="eastAsia" w:ascii="宋体" w:hAnsi="宋体"/>
          <w:color w:val="auto"/>
          <w:highlight w:val="none"/>
        </w:rPr>
      </w:pPr>
      <w:r>
        <w:rPr>
          <w:rFonts w:hint="eastAsia" w:ascii="宋体" w:hAnsi="宋体"/>
          <w:color w:val="auto"/>
          <w:highlight w:val="none"/>
        </w:rPr>
        <w:t>10.1.3残疾人福利性单位。</w:t>
      </w:r>
    </w:p>
    <w:p w14:paraId="284D5849">
      <w:pPr>
        <w:spacing w:line="360" w:lineRule="auto"/>
        <w:ind w:firstLine="420" w:firstLineChars="200"/>
        <w:rPr>
          <w:rFonts w:hint="eastAsia" w:ascii="宋体" w:hAnsi="宋体"/>
          <w:color w:val="auto"/>
          <w:highlight w:val="none"/>
        </w:rPr>
      </w:pPr>
      <w:r>
        <w:rPr>
          <w:rFonts w:hint="eastAsia" w:ascii="宋体" w:hAnsi="宋体"/>
          <w:color w:val="auto"/>
          <w:highlight w:val="none"/>
        </w:rPr>
        <w:t>10.1.3.1享受政府采购支持政策的残疾人福利性单位应当同时满足以下条件：</w:t>
      </w:r>
    </w:p>
    <w:p w14:paraId="15BE721D">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  （一）安置的残疾人占本单位在职职工人数的比例不低于25%（含25%），并且安置的残疾人人数不少于10人（含10人）；</w:t>
      </w:r>
    </w:p>
    <w:p w14:paraId="34F5089D">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  （二）依法与安置的每位残疾人签订了一年以上（含一年）的劳动合同或服务协议；</w:t>
      </w:r>
    </w:p>
    <w:p w14:paraId="5E952BE8">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  （三）为安置的每位残疾人按月足额缴纳了基本养老保险、基本医疗保险、失业保险、工伤保险和生育保险等社会保险费；</w:t>
      </w:r>
    </w:p>
    <w:p w14:paraId="5FB883BD">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  （四）通过银行等金融机构向安置的每位残疾人，按月支付了不低于单位所在区县适用的经省级人民政府批准的月最低工资标准的工资；</w:t>
      </w:r>
    </w:p>
    <w:p w14:paraId="5130DF31">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  （五）提供本单位制造的货物、承担的工程或者服务（以下简称产品），或者提供其他残疾人福利性单位制造的货物（不包括使用非残疾人福利性单位注册商标的货物）。</w:t>
      </w:r>
    </w:p>
    <w:p w14:paraId="2D59D5E4">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5708D8CB">
      <w:pPr>
        <w:spacing w:line="360" w:lineRule="auto"/>
        <w:ind w:firstLine="420" w:firstLineChars="200"/>
        <w:rPr>
          <w:rFonts w:hint="eastAsia" w:ascii="宋体" w:hAnsi="宋体"/>
          <w:color w:val="auto"/>
          <w:highlight w:val="none"/>
        </w:rPr>
      </w:pPr>
      <w:r>
        <w:rPr>
          <w:rFonts w:hint="eastAsia" w:ascii="宋体" w:hAnsi="宋体"/>
          <w:color w:val="auto"/>
          <w:highlight w:val="none"/>
        </w:rPr>
        <w:t>10.1.3.2、符合条件的残疾人福利性单位在参加政府采购活动时，应当提供本通知规定的《残疾人福利性单位声明函》（见附件），并对声明的真实性负责。</w:t>
      </w:r>
    </w:p>
    <w:p w14:paraId="733E831F">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 成交供应商为残疾人福利性单位的，采购人或者其委托的采购代理机构随中标、成交结果同时公告其《残疾人福利性单位声明函》（格式见附件），接受社会监督。</w:t>
      </w:r>
    </w:p>
    <w:p w14:paraId="324EA2BD">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  供应商提供的《残疾人福利性单位声明函》与事实不符的，依照《政府采购法》第七十七条第一款和招标文件规定追究法律责任。</w:t>
      </w:r>
    </w:p>
    <w:p w14:paraId="0D66AEE1">
      <w:pPr>
        <w:spacing w:line="360" w:lineRule="auto"/>
        <w:ind w:firstLine="420" w:firstLineChars="200"/>
        <w:rPr>
          <w:rFonts w:hint="eastAsia" w:ascii="宋体" w:hAnsi="宋体"/>
          <w:color w:val="auto"/>
          <w:highlight w:val="none"/>
        </w:rPr>
      </w:pPr>
      <w:r>
        <w:rPr>
          <w:rFonts w:hint="eastAsia" w:ascii="宋体" w:hAnsi="宋体"/>
          <w:color w:val="auto"/>
          <w:highlight w:val="none"/>
        </w:rPr>
        <w:t>10.1.3.3、在政府采购活动中残疾人福利性单位视同小型、微型企业并适用其相关规定，提供本企业制造的货物、承担的工程或服务，享受预留份额、评审中价格扣除等促进中小企业发展的政府采购政策。</w:t>
      </w:r>
    </w:p>
    <w:p w14:paraId="45CC2D08">
      <w:pPr>
        <w:spacing w:before="120" w:line="360" w:lineRule="auto"/>
        <w:ind w:firstLine="422" w:firstLineChars="200"/>
        <w:rPr>
          <w:b/>
          <w:bCs/>
          <w:color w:val="auto"/>
          <w:kern w:val="0"/>
          <w:highlight w:val="none"/>
        </w:rPr>
      </w:pPr>
      <w:r>
        <w:rPr>
          <w:rFonts w:hint="eastAsia"/>
          <w:b/>
          <w:bCs/>
          <w:color w:val="auto"/>
          <w:kern w:val="0"/>
          <w:highlight w:val="none"/>
        </w:rPr>
        <w:t>10.2</w:t>
      </w:r>
      <w:r>
        <w:rPr>
          <w:rFonts w:hint="eastAsia" w:ascii="宋体" w:hAnsi="宋体"/>
          <w:b/>
          <w:bCs/>
          <w:color w:val="auto"/>
          <w:kern w:val="0"/>
          <w:highlight w:val="none"/>
        </w:rPr>
        <w:t>价格扣除的范围</w:t>
      </w:r>
    </w:p>
    <w:p w14:paraId="16690585">
      <w:pPr>
        <w:spacing w:line="360" w:lineRule="auto"/>
        <w:ind w:firstLine="420" w:firstLineChars="200"/>
        <w:rPr>
          <w:rFonts w:ascii="宋体" w:hAnsi="宋体" w:cs="宋体"/>
          <w:color w:val="auto"/>
          <w:highlight w:val="none"/>
        </w:rPr>
      </w:pPr>
      <w:r>
        <w:rPr>
          <w:rFonts w:hint="eastAsia" w:ascii="宋体" w:hAnsi="宋体" w:cs="宋体"/>
          <w:b w:val="0"/>
          <w:bCs w:val="0"/>
          <w:i w:val="0"/>
          <w:iCs w:val="0"/>
          <w:caps w:val="0"/>
          <w:color w:val="auto"/>
          <w:spacing w:val="0"/>
          <w:sz w:val="21"/>
          <w:szCs w:val="21"/>
          <w:highlight w:val="none"/>
          <w:shd w:val="clear" w:color="auto" w:fill="FFFFFF"/>
          <w:lang w:val="en-US" w:eastAsia="zh-CN"/>
        </w:rPr>
        <w:t>10</w:t>
      </w:r>
      <w:r>
        <w:rPr>
          <w:rFonts w:hint="eastAsia" w:ascii="宋体" w:hAnsi="宋体" w:eastAsia="宋体" w:cs="宋体"/>
          <w:b w:val="0"/>
          <w:bCs w:val="0"/>
          <w:i w:val="0"/>
          <w:iCs w:val="0"/>
          <w:caps w:val="0"/>
          <w:color w:val="auto"/>
          <w:spacing w:val="0"/>
          <w:sz w:val="21"/>
          <w:szCs w:val="21"/>
          <w:highlight w:val="none"/>
          <w:shd w:val="clear" w:color="auto" w:fill="FFFFFF"/>
          <w:lang w:val="en-US" w:eastAsia="zh-CN"/>
        </w:rPr>
        <w:t>.2.1</w:t>
      </w:r>
      <w:r>
        <w:rPr>
          <w:rFonts w:hint="eastAsia" w:ascii="宋体" w:hAnsi="宋体" w:eastAsia="宋体" w:cs="宋体"/>
          <w:b w:val="0"/>
          <w:bCs w:val="0"/>
          <w:i w:val="0"/>
          <w:iCs w:val="0"/>
          <w:caps w:val="0"/>
          <w:color w:val="auto"/>
          <w:spacing w:val="0"/>
          <w:sz w:val="21"/>
          <w:szCs w:val="21"/>
          <w:highlight w:val="none"/>
          <w:shd w:val="clear" w:color="auto" w:fill="FFFFFF"/>
        </w:rPr>
        <w:t>供</w:t>
      </w:r>
      <w:r>
        <w:rPr>
          <w:rFonts w:hint="default" w:ascii="Arial" w:hAnsi="Arial" w:eastAsia="宋体" w:cs="Arial"/>
          <w:b w:val="0"/>
          <w:bCs w:val="0"/>
          <w:i w:val="0"/>
          <w:iCs w:val="0"/>
          <w:caps w:val="0"/>
          <w:color w:val="auto"/>
          <w:spacing w:val="0"/>
          <w:sz w:val="21"/>
          <w:szCs w:val="21"/>
          <w:highlight w:val="none"/>
          <w:shd w:val="clear" w:color="auto" w:fill="FFFFFF"/>
        </w:rPr>
        <w:t>应商</w:t>
      </w:r>
      <w:r>
        <w:rPr>
          <w:rFonts w:hint="default" w:ascii="Arial" w:hAnsi="Arial" w:cs="Arial"/>
          <w:b w:val="0"/>
          <w:bCs w:val="0"/>
          <w:i w:val="0"/>
          <w:iCs w:val="0"/>
          <w:caps w:val="0"/>
          <w:color w:val="auto"/>
          <w:spacing w:val="0"/>
          <w:sz w:val="21"/>
          <w:szCs w:val="21"/>
          <w:highlight w:val="none"/>
          <w:shd w:val="clear" w:color="auto" w:fill="FFFFFF"/>
        </w:rPr>
        <w:t>提供的货物</w:t>
      </w:r>
      <w:r>
        <w:rPr>
          <w:rFonts w:hint="default" w:ascii="Arial" w:hAnsi="Arial" w:cs="Arial"/>
          <w:i w:val="0"/>
          <w:iCs w:val="0"/>
          <w:caps w:val="0"/>
          <w:color w:val="auto"/>
          <w:spacing w:val="0"/>
          <w:sz w:val="21"/>
          <w:szCs w:val="21"/>
          <w:highlight w:val="none"/>
          <w:shd w:val="clear" w:color="auto" w:fill="FFFFFF"/>
        </w:rPr>
        <w:t>、工程或者服务符合下列情形的，享受本办法规定的中小企业扶持政策：（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w:t>
      </w:r>
    </w:p>
    <w:p w14:paraId="29608627">
      <w:pPr>
        <w:spacing w:before="120" w:line="360" w:lineRule="auto"/>
        <w:ind w:firstLine="420" w:firstLineChars="200"/>
        <w:rPr>
          <w:rFonts w:hint="eastAsia" w:ascii="宋体" w:hAnsi="宋体" w:cs="宋体"/>
          <w:color w:val="auto"/>
          <w:highlight w:val="none"/>
        </w:rPr>
      </w:pPr>
      <w:r>
        <w:rPr>
          <w:rFonts w:hint="eastAsia" w:ascii="宋体" w:hAnsi="宋体" w:cs="宋体"/>
          <w:color w:val="auto"/>
          <w:highlight w:val="none"/>
          <w:lang w:val="en-US" w:eastAsia="zh-CN"/>
        </w:rPr>
        <w:t>10.2.2</w:t>
      </w:r>
      <w:r>
        <w:rPr>
          <w:rFonts w:hint="eastAsia" w:ascii="宋体" w:hAnsi="宋体" w:cs="宋体"/>
          <w:color w:val="auto"/>
          <w:highlight w:val="none"/>
        </w:rPr>
        <w:t>供应商属于监狱企业并以该身份投标，按要求提供《监狱企业证明》，视同小型、微型企业，对该企业生产的货物、提供的工程或服务在评审时给予价格扣除。</w:t>
      </w:r>
    </w:p>
    <w:p w14:paraId="2462DD8B">
      <w:pPr>
        <w:spacing w:before="120" w:line="360" w:lineRule="auto"/>
        <w:ind w:firstLine="420" w:firstLineChars="200"/>
        <w:rPr>
          <w:rFonts w:ascii="宋体" w:hAnsi="宋体" w:cs="宋体"/>
          <w:color w:val="auto"/>
          <w:szCs w:val="21"/>
          <w:highlight w:val="none"/>
        </w:rPr>
      </w:pPr>
      <w:r>
        <w:rPr>
          <w:rFonts w:hint="eastAsia" w:ascii="宋体" w:hAnsi="宋体" w:cs="宋体"/>
          <w:color w:val="auto"/>
          <w:highlight w:val="none"/>
          <w:lang w:val="en-US" w:eastAsia="zh-CN"/>
        </w:rPr>
        <w:t>10.2.3</w:t>
      </w:r>
      <w:r>
        <w:rPr>
          <w:rFonts w:hint="eastAsia" w:ascii="宋体" w:hAnsi="宋体" w:cs="宋体"/>
          <w:color w:val="auto"/>
          <w:highlight w:val="none"/>
        </w:rPr>
        <w:t>供应商属于残疾人福利性单位并以该身份投标，按要求提供《残疾人福利性单位声明函》，提供本单位制造的货物、承担的工程或者服务，或者提供其他残疾人福利性单位制造的货物（不包括使用非残疾人福利性单位注册商标的货物），视同小型、微型企业，在评审时给予价格扣除。</w:t>
      </w:r>
    </w:p>
    <w:p w14:paraId="69CD0716">
      <w:pPr>
        <w:spacing w:before="120" w:line="360" w:lineRule="auto"/>
        <w:ind w:firstLine="422" w:firstLineChars="200"/>
        <w:rPr>
          <w:rFonts w:hint="eastAsia" w:ascii="宋体" w:hAnsi="宋体"/>
          <w:color w:val="auto"/>
          <w:kern w:val="0"/>
          <w:highlight w:val="none"/>
        </w:rPr>
      </w:pPr>
      <w:r>
        <w:rPr>
          <w:rFonts w:hint="eastAsia"/>
          <w:b/>
          <w:bCs/>
          <w:color w:val="auto"/>
          <w:kern w:val="0"/>
          <w:highlight w:val="none"/>
        </w:rPr>
        <w:t>10.3</w:t>
      </w:r>
      <w:r>
        <w:rPr>
          <w:rFonts w:hint="eastAsia" w:ascii="宋体" w:hAnsi="宋体"/>
          <w:b/>
          <w:bCs/>
          <w:color w:val="auto"/>
          <w:kern w:val="0"/>
          <w:highlight w:val="none"/>
        </w:rPr>
        <w:t>关于小型、微型企业价格扣除政策的规定</w:t>
      </w:r>
    </w:p>
    <w:p w14:paraId="54BD44E7">
      <w:pPr>
        <w:spacing w:line="360" w:lineRule="auto"/>
        <w:ind w:firstLine="420" w:firstLineChars="200"/>
        <w:rPr>
          <w:rFonts w:hint="eastAsia" w:ascii="宋体" w:hAnsi="宋体"/>
          <w:color w:val="auto"/>
          <w:highlight w:val="none"/>
        </w:rPr>
      </w:pPr>
      <w:r>
        <w:rPr>
          <w:rFonts w:hint="eastAsia" w:ascii="宋体" w:hAnsi="宋体"/>
          <w:color w:val="auto"/>
          <w:highlight w:val="none"/>
        </w:rPr>
        <w:t>10.3.1小型、微型企业价格扣除政策</w:t>
      </w:r>
    </w:p>
    <w:p w14:paraId="54A3C8A0">
      <w:pPr>
        <w:spacing w:line="360" w:lineRule="auto"/>
        <w:ind w:firstLine="420" w:firstLineChars="200"/>
        <w:rPr>
          <w:rFonts w:hint="eastAsia" w:ascii="宋体" w:hAnsi="宋体"/>
          <w:color w:val="auto"/>
          <w:highlight w:val="none"/>
        </w:rPr>
      </w:pPr>
      <w:r>
        <w:rPr>
          <w:rFonts w:hint="eastAsia" w:ascii="宋体" w:hAnsi="宋体"/>
          <w:color w:val="auto"/>
          <w:highlight w:val="none"/>
        </w:rPr>
        <w:t>供应商属于中小型、微型企业，且提供本企业生产的货物或服务，应提供《中小企业声明函》。</w:t>
      </w:r>
    </w:p>
    <w:p w14:paraId="278BEC72">
      <w:pPr>
        <w:spacing w:line="360" w:lineRule="auto"/>
        <w:ind w:firstLine="420" w:firstLineChars="200"/>
        <w:rPr>
          <w:rFonts w:hint="eastAsia" w:ascii="宋体" w:hAnsi="宋体" w:eastAsia="宋体"/>
          <w:color w:val="auto"/>
          <w:highlight w:val="none"/>
          <w:lang w:eastAsia="zh-CN"/>
        </w:rPr>
      </w:pPr>
      <w:r>
        <w:rPr>
          <w:rFonts w:hint="eastAsia" w:ascii="宋体" w:hAnsi="宋体"/>
          <w:color w:val="auto"/>
          <w:highlight w:val="none"/>
        </w:rPr>
        <w:t>属于小型、微型企业的，对其企业产品的价格给予20%的扣除，用扣除后的价格参与评审。供应商对其提供的资料真实性自行负责，如有虚假，列入财政部“政府采购严重违法失信行为信息记录”，中标者其中标资格将被取消。</w:t>
      </w:r>
      <w:r>
        <w:rPr>
          <w:rFonts w:hint="eastAsia" w:ascii="宋体" w:hAnsi="宋体"/>
          <w:color w:val="auto"/>
          <w:highlight w:val="none"/>
          <w:lang w:eastAsia="zh-CN"/>
        </w:rPr>
        <w:t>（</w:t>
      </w:r>
      <w:r>
        <w:rPr>
          <w:rFonts w:hint="eastAsia" w:ascii="宋体" w:hAnsi="宋体"/>
          <w:color w:val="auto"/>
          <w:highlight w:val="none"/>
          <w:lang w:val="en-US" w:eastAsia="zh-CN"/>
        </w:rPr>
        <w:t>本项目不适用</w:t>
      </w:r>
      <w:r>
        <w:rPr>
          <w:rFonts w:hint="eastAsia" w:ascii="宋体" w:hAnsi="宋体"/>
          <w:color w:val="auto"/>
          <w:highlight w:val="none"/>
          <w:lang w:eastAsia="zh-CN"/>
        </w:rPr>
        <w:t>）</w:t>
      </w:r>
    </w:p>
    <w:p w14:paraId="53B7C18C">
      <w:pPr>
        <w:spacing w:line="360" w:lineRule="auto"/>
        <w:ind w:firstLine="420" w:firstLineChars="200"/>
        <w:rPr>
          <w:rFonts w:hint="eastAsia" w:ascii="宋体" w:hAnsi="宋体"/>
          <w:color w:val="auto"/>
          <w:highlight w:val="none"/>
        </w:rPr>
      </w:pPr>
      <w:r>
        <w:rPr>
          <w:rFonts w:hint="eastAsia" w:ascii="宋体" w:hAnsi="宋体"/>
          <w:color w:val="auto"/>
          <w:highlight w:val="none"/>
        </w:rPr>
        <w:t>10.3.2享受价格扣除政策的小型、微型企业必须同时满足以下两个条件：</w:t>
      </w:r>
    </w:p>
    <w:p w14:paraId="4208A5EF">
      <w:pPr>
        <w:spacing w:line="360" w:lineRule="auto"/>
        <w:ind w:firstLine="420" w:firstLineChars="200"/>
        <w:rPr>
          <w:rFonts w:hint="eastAsia" w:ascii="宋体" w:hAnsi="宋体"/>
          <w:color w:val="auto"/>
          <w:highlight w:val="none"/>
        </w:rPr>
      </w:pPr>
      <w:r>
        <w:rPr>
          <w:rFonts w:hint="eastAsia" w:ascii="宋体" w:hAnsi="宋体"/>
          <w:color w:val="auto"/>
          <w:highlight w:val="none"/>
        </w:rPr>
        <w:t>1）符合小型、微型企业划分标准（按照“关于印发中小企业划型标准规定的通知”（工信部联企业【2011】300号）的规定划分）；</w:t>
      </w:r>
    </w:p>
    <w:p w14:paraId="61ABE084">
      <w:pPr>
        <w:spacing w:line="360" w:lineRule="auto"/>
        <w:ind w:firstLine="420" w:firstLineChars="200"/>
        <w:rPr>
          <w:rFonts w:hint="eastAsia" w:ascii="宋体" w:hAnsi="宋体"/>
          <w:color w:val="auto"/>
          <w:highlight w:val="none"/>
        </w:rPr>
      </w:pPr>
      <w:r>
        <w:rPr>
          <w:rFonts w:hint="eastAsia" w:ascii="宋体" w:hAnsi="宋体"/>
          <w:color w:val="auto"/>
          <w:highlight w:val="none"/>
        </w:rPr>
        <w:t>2）提供本企业生产的产品或者提供其他小型、微型企业生产的产品。</w:t>
      </w:r>
    </w:p>
    <w:p w14:paraId="16F9E500">
      <w:pPr>
        <w:spacing w:line="360" w:lineRule="auto"/>
        <w:ind w:firstLine="420" w:firstLineChars="200"/>
        <w:rPr>
          <w:rFonts w:hint="eastAsia" w:ascii="宋体" w:hAnsi="宋体"/>
          <w:color w:val="auto"/>
          <w:highlight w:val="none"/>
        </w:rPr>
      </w:pPr>
      <w:r>
        <w:rPr>
          <w:rFonts w:hint="eastAsia" w:ascii="宋体" w:hAnsi="宋体"/>
          <w:color w:val="auto"/>
          <w:highlight w:val="none"/>
        </w:rPr>
        <w:t>9.3.3享受小型、微型企业价格扣除政策的供应商应同时符合以下条件：</w:t>
      </w:r>
    </w:p>
    <w:p w14:paraId="2EC3B7C1">
      <w:pPr>
        <w:spacing w:line="360" w:lineRule="auto"/>
        <w:ind w:firstLine="420" w:firstLineChars="200"/>
        <w:rPr>
          <w:rFonts w:hint="eastAsia" w:ascii="宋体" w:hAnsi="宋体"/>
          <w:color w:val="auto"/>
          <w:highlight w:val="none"/>
        </w:rPr>
      </w:pPr>
      <w:r>
        <w:rPr>
          <w:rFonts w:hint="eastAsia" w:ascii="宋体" w:hAnsi="宋体"/>
          <w:color w:val="auto"/>
          <w:highlight w:val="none"/>
        </w:rPr>
        <w:t>1）供应商为中国法人；</w:t>
      </w:r>
    </w:p>
    <w:p w14:paraId="1B79EC0C">
      <w:pPr>
        <w:spacing w:line="360" w:lineRule="auto"/>
        <w:ind w:firstLine="420" w:firstLineChars="200"/>
        <w:rPr>
          <w:rFonts w:hint="eastAsia" w:ascii="宋体" w:hAnsi="宋体"/>
          <w:color w:val="auto"/>
          <w:highlight w:val="none"/>
        </w:rPr>
      </w:pPr>
      <w:r>
        <w:rPr>
          <w:rFonts w:hint="eastAsia" w:ascii="宋体" w:hAnsi="宋体"/>
          <w:color w:val="auto"/>
          <w:highlight w:val="none"/>
        </w:rPr>
        <w:t>2）投标产品制造商为中国法人；</w:t>
      </w:r>
    </w:p>
    <w:p w14:paraId="70E2D3D9">
      <w:pPr>
        <w:spacing w:line="360" w:lineRule="auto"/>
        <w:ind w:firstLine="420" w:firstLineChars="200"/>
        <w:rPr>
          <w:rFonts w:hint="eastAsia" w:ascii="宋体" w:hAnsi="宋体"/>
          <w:color w:val="auto"/>
          <w:highlight w:val="none"/>
        </w:rPr>
      </w:pPr>
      <w:r>
        <w:rPr>
          <w:rFonts w:hint="eastAsia" w:ascii="宋体" w:hAnsi="宋体"/>
          <w:color w:val="auto"/>
          <w:highlight w:val="none"/>
        </w:rPr>
        <w:t>3）投标产品原产地为中国；</w:t>
      </w:r>
    </w:p>
    <w:p w14:paraId="71543FFA">
      <w:pPr>
        <w:spacing w:line="360" w:lineRule="auto"/>
        <w:ind w:firstLine="420" w:firstLineChars="200"/>
        <w:rPr>
          <w:rFonts w:hint="eastAsia" w:ascii="宋体" w:hAnsi="宋体"/>
          <w:color w:val="auto"/>
          <w:highlight w:val="none"/>
        </w:rPr>
      </w:pPr>
      <w:r>
        <w:rPr>
          <w:rFonts w:hint="eastAsia" w:ascii="宋体" w:hAnsi="宋体"/>
          <w:color w:val="auto"/>
          <w:highlight w:val="none"/>
        </w:rPr>
        <w:t>4）投标货币为人民币。</w:t>
      </w:r>
    </w:p>
    <w:p w14:paraId="0E946E21">
      <w:pPr>
        <w:spacing w:line="330" w:lineRule="atLeast"/>
        <w:rPr>
          <w:rFonts w:hint="eastAsia" w:ascii="宋体" w:hAnsi="宋体"/>
          <w:b/>
          <w:bCs/>
          <w:color w:val="auto"/>
          <w:kern w:val="0"/>
          <w:highlight w:val="none"/>
        </w:rPr>
      </w:pPr>
      <w:r>
        <w:rPr>
          <w:rFonts w:hint="eastAsia" w:ascii="宋体" w:hAnsi="宋体"/>
          <w:b/>
          <w:bCs/>
          <w:color w:val="auto"/>
          <w:kern w:val="0"/>
          <w:highlight w:val="none"/>
        </w:rPr>
        <w:t>10.4部分中小企业划型标准规定</w:t>
      </w:r>
    </w:p>
    <w:p w14:paraId="6AC5D2FD">
      <w:pPr>
        <w:spacing w:line="360" w:lineRule="auto"/>
        <w:ind w:firstLine="420" w:firstLineChars="200"/>
        <w:rPr>
          <w:rFonts w:hint="eastAsia" w:ascii="宋体" w:hAnsi="宋体" w:cs="宋体"/>
          <w:color w:val="auto"/>
          <w:highlight w:val="none"/>
        </w:rPr>
      </w:pPr>
      <w:r>
        <w:rPr>
          <w:rFonts w:hint="eastAsia" w:ascii="宋体" w:hAnsi="宋体"/>
          <w:color w:val="auto"/>
          <w:highlight w:val="none"/>
        </w:rPr>
        <w:t>10.4.1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457F0603">
      <w:pPr>
        <w:spacing w:before="120"/>
        <w:ind w:firstLine="420" w:firstLineChars="200"/>
        <w:rPr>
          <w:color w:val="auto"/>
          <w:highlight w:val="none"/>
        </w:rPr>
      </w:pPr>
      <w:r>
        <w:rPr>
          <w:rFonts w:hint="eastAsia" w:ascii="宋体" w:hAnsi="宋体"/>
          <w:color w:val="auto"/>
          <w:highlight w:val="none"/>
        </w:rPr>
        <w:t>价格调整要素及价格折扣幅度列表：</w:t>
      </w:r>
      <w:r>
        <w:rPr>
          <w:rFonts w:hint="eastAsia" w:ascii="宋体" w:hAnsi="宋体"/>
          <w:color w:val="auto"/>
          <w:highlight w:val="none"/>
          <w:lang w:eastAsia="zh-CN"/>
        </w:rPr>
        <w:t>（</w:t>
      </w:r>
      <w:r>
        <w:rPr>
          <w:rFonts w:hint="eastAsia" w:ascii="宋体" w:hAnsi="宋体"/>
          <w:color w:val="auto"/>
          <w:highlight w:val="none"/>
          <w:lang w:val="en-US" w:eastAsia="zh-CN"/>
        </w:rPr>
        <w:t>本项目不适用</w:t>
      </w:r>
      <w:r>
        <w:rPr>
          <w:rFonts w:hint="eastAsia" w:ascii="宋体" w:hAnsi="宋体"/>
          <w:color w:val="auto"/>
          <w:highlight w:val="none"/>
          <w:lang w:eastAsia="zh-CN"/>
        </w:rPr>
        <w:t>）</w:t>
      </w:r>
    </w:p>
    <w:tbl>
      <w:tblPr>
        <w:tblStyle w:val="25"/>
        <w:tblW w:w="8238" w:type="dxa"/>
        <w:tblInd w:w="1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48"/>
        <w:gridCol w:w="2690"/>
      </w:tblGrid>
      <w:tr w14:paraId="44C9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548" w:type="dxa"/>
          </w:tcPr>
          <w:p w14:paraId="4CDCF886">
            <w:pPr>
              <w:jc w:val="center"/>
              <w:rPr>
                <w:b/>
                <w:bCs/>
                <w:color w:val="auto"/>
                <w:highlight w:val="none"/>
              </w:rPr>
            </w:pPr>
            <w:r>
              <w:rPr>
                <w:rFonts w:hint="eastAsia"/>
                <w:b/>
                <w:bCs/>
                <w:color w:val="auto"/>
                <w:highlight w:val="none"/>
              </w:rPr>
              <w:t>评标价格要素</w:t>
            </w:r>
          </w:p>
        </w:tc>
        <w:tc>
          <w:tcPr>
            <w:tcW w:w="2690" w:type="dxa"/>
            <w:tcBorders>
              <w:left w:val="nil"/>
            </w:tcBorders>
          </w:tcPr>
          <w:p w14:paraId="3A35E6F7">
            <w:pPr>
              <w:jc w:val="center"/>
              <w:rPr>
                <w:b/>
                <w:bCs/>
                <w:color w:val="auto"/>
                <w:highlight w:val="none"/>
              </w:rPr>
            </w:pPr>
            <w:r>
              <w:rPr>
                <w:rFonts w:hint="eastAsia"/>
                <w:b/>
                <w:bCs/>
                <w:color w:val="auto"/>
                <w:highlight w:val="none"/>
              </w:rPr>
              <w:t>价格折扣幅度</w:t>
            </w:r>
          </w:p>
        </w:tc>
      </w:tr>
      <w:tr w14:paraId="5C70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548" w:type="dxa"/>
            <w:vAlign w:val="center"/>
          </w:tcPr>
          <w:p w14:paraId="0CDF6550">
            <w:pPr>
              <w:jc w:val="center"/>
              <w:rPr>
                <w:color w:val="auto"/>
                <w:highlight w:val="none"/>
              </w:rPr>
            </w:pPr>
            <w:r>
              <w:rPr>
                <w:rFonts w:hint="eastAsia"/>
                <w:color w:val="auto"/>
                <w:highlight w:val="none"/>
              </w:rPr>
              <w:t>小微企业、监狱企业、残疾人福利性单位</w:t>
            </w:r>
          </w:p>
        </w:tc>
        <w:tc>
          <w:tcPr>
            <w:tcW w:w="2690" w:type="dxa"/>
            <w:tcBorders>
              <w:left w:val="nil"/>
            </w:tcBorders>
            <w:vAlign w:val="center"/>
          </w:tcPr>
          <w:p w14:paraId="180B0259">
            <w:pPr>
              <w:jc w:val="center"/>
              <w:rPr>
                <w:color w:val="auto"/>
                <w:highlight w:val="none"/>
              </w:rPr>
            </w:pPr>
            <w:r>
              <w:rPr>
                <w:color w:val="auto"/>
                <w:highlight w:val="none"/>
              </w:rPr>
              <w:t>20%</w:t>
            </w:r>
          </w:p>
        </w:tc>
      </w:tr>
    </w:tbl>
    <w:p w14:paraId="75A157A6">
      <w:pPr>
        <w:spacing w:line="360" w:lineRule="auto"/>
        <w:rPr>
          <w:rFonts w:hint="eastAsia" w:ascii="宋体" w:hAnsi="宋体"/>
          <w:color w:val="auto"/>
          <w:highlight w:val="none"/>
        </w:rPr>
      </w:pPr>
      <w:r>
        <w:rPr>
          <w:rFonts w:hint="eastAsia"/>
          <w:color w:val="auto"/>
          <w:highlight w:val="none"/>
        </w:rPr>
        <w:t>1</w:t>
      </w:r>
      <w:r>
        <w:rPr>
          <w:color w:val="auto"/>
          <w:highlight w:val="none"/>
        </w:rPr>
        <w:t>1</w:t>
      </w:r>
      <w:r>
        <w:rPr>
          <w:rFonts w:hint="eastAsia" w:ascii="宋体" w:hAnsi="宋体"/>
          <w:color w:val="auto"/>
          <w:highlight w:val="none"/>
        </w:rPr>
        <w:t xml:space="preserve">、评标时涉及节能产品的，将按根据《财政部发展改革委 生态环境部 市场监管总局关于调整优化 节能产品 环境标志产品政府采购执行机制的通知》（财库〔2019〕9 号），的规定执行。 采购人拟采购的产品如属于品目清单范围的，采购人及其委托的采购代理机构应当根据国家确定 的认证机构出具的、处于有效期之内的节能产品、环境标志产品认证证书，对获得证书的产品实施政府优先采购或强制采购。 </w:t>
      </w:r>
    </w:p>
    <w:p w14:paraId="1D99CBFC">
      <w:pPr>
        <w:spacing w:line="360" w:lineRule="auto"/>
        <w:rPr>
          <w:rFonts w:hint="eastAsia" w:ascii="宋体" w:hAnsi="宋体"/>
          <w:color w:val="auto"/>
          <w:highlight w:val="none"/>
        </w:rPr>
      </w:pPr>
      <w:r>
        <w:rPr>
          <w:rFonts w:hint="eastAsia" w:ascii="宋体" w:hAnsi="宋体"/>
          <w:color w:val="auto"/>
          <w:highlight w:val="none"/>
        </w:rPr>
        <w:t xml:space="preserve">12、 根据财政部、国家环保总局联合印发《关于环境标志产品政府采购实施的意见》（财库 </w:t>
      </w:r>
    </w:p>
    <w:p w14:paraId="5B750492">
      <w:pPr>
        <w:spacing w:line="360" w:lineRule="auto"/>
        <w:rPr>
          <w:rFonts w:hint="eastAsia" w:ascii="宋体" w:hAnsi="宋体"/>
          <w:color w:val="auto"/>
          <w:highlight w:val="none"/>
        </w:rPr>
      </w:pPr>
      <w:r>
        <w:rPr>
          <w:rFonts w:hint="eastAsia" w:ascii="宋体" w:hAnsi="宋体"/>
          <w:color w:val="auto"/>
          <w:highlight w:val="none"/>
        </w:rPr>
        <w:t>[2006]90 号），如供应商所提供产品属于被列入最新一期环境标志产品政府采购清单产品，将给以优先采购。</w:t>
      </w:r>
    </w:p>
    <w:p w14:paraId="50DE8BA5">
      <w:pPr>
        <w:spacing w:line="360" w:lineRule="auto"/>
        <w:jc w:val="center"/>
        <w:rPr>
          <w:rFonts w:hint="eastAsia" w:ascii="宋体" w:hAnsi="宋体"/>
          <w:b/>
          <w:bCs/>
          <w:color w:val="auto"/>
          <w:kern w:val="44"/>
          <w:sz w:val="44"/>
          <w:szCs w:val="44"/>
          <w:highlight w:val="none"/>
        </w:rPr>
      </w:pPr>
      <w:bookmarkStart w:id="848" w:name="_Toc18778"/>
      <w:bookmarkEnd w:id="848"/>
    </w:p>
    <w:p w14:paraId="77550D9A">
      <w:pPr>
        <w:spacing w:line="360" w:lineRule="auto"/>
        <w:jc w:val="center"/>
        <w:rPr>
          <w:rFonts w:hint="eastAsia" w:ascii="宋体" w:hAnsi="宋体"/>
          <w:b/>
          <w:bCs/>
          <w:color w:val="auto"/>
          <w:kern w:val="44"/>
          <w:sz w:val="44"/>
          <w:szCs w:val="44"/>
          <w:highlight w:val="none"/>
        </w:rPr>
      </w:pPr>
    </w:p>
    <w:p w14:paraId="423253D7">
      <w:pPr>
        <w:spacing w:line="360" w:lineRule="auto"/>
        <w:jc w:val="center"/>
        <w:rPr>
          <w:rFonts w:hint="eastAsia" w:ascii="宋体" w:hAnsi="宋体"/>
          <w:b/>
          <w:bCs/>
          <w:color w:val="auto"/>
          <w:kern w:val="44"/>
          <w:sz w:val="44"/>
          <w:szCs w:val="44"/>
          <w:highlight w:val="none"/>
        </w:rPr>
      </w:pPr>
    </w:p>
    <w:p w14:paraId="4C0B3A21">
      <w:pPr>
        <w:pStyle w:val="32"/>
        <w:jc w:val="center"/>
        <w:rPr>
          <w:color w:val="auto"/>
          <w:highlight w:val="none"/>
        </w:rPr>
      </w:pPr>
      <w:r>
        <w:rPr>
          <w:rFonts w:hint="eastAsia" w:ascii="宋体" w:hAnsi="宋体"/>
          <w:b/>
          <w:bCs/>
          <w:color w:val="auto"/>
          <w:kern w:val="44"/>
          <w:sz w:val="40"/>
          <w:szCs w:val="40"/>
          <w:highlight w:val="none"/>
        </w:rPr>
        <w:t>第三部分评标办法</w:t>
      </w:r>
    </w:p>
    <w:tbl>
      <w:tblPr>
        <w:tblStyle w:val="25"/>
        <w:tblW w:w="9589" w:type="dxa"/>
        <w:tblInd w:w="-5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455"/>
        <w:gridCol w:w="2479"/>
        <w:gridCol w:w="4665"/>
      </w:tblGrid>
      <w:tr w14:paraId="5EBF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2445" w:type="dxa"/>
            <w:gridSpan w:val="2"/>
            <w:tcBorders>
              <w:top w:val="single" w:color="auto" w:sz="4" w:space="0"/>
              <w:left w:val="single" w:color="auto" w:sz="4" w:space="0"/>
              <w:bottom w:val="single" w:color="auto" w:sz="4" w:space="0"/>
              <w:right w:val="single" w:color="auto" w:sz="4" w:space="0"/>
            </w:tcBorders>
            <w:vAlign w:val="center"/>
          </w:tcPr>
          <w:p w14:paraId="01272805">
            <w:pPr>
              <w:ind w:left="-401" w:leftChars="-191" w:firstLine="2"/>
              <w:jc w:val="center"/>
              <w:rPr>
                <w:rFonts w:ascii="宋体"/>
                <w:color w:val="auto"/>
                <w:sz w:val="24"/>
                <w:szCs w:val="24"/>
                <w:highlight w:val="none"/>
              </w:rPr>
            </w:pPr>
            <w:r>
              <w:rPr>
                <w:rFonts w:hint="eastAsia" w:ascii="宋体" w:hAnsi="宋体"/>
                <w:b/>
                <w:bCs/>
                <w:color w:val="auto"/>
                <w:sz w:val="24"/>
                <w:szCs w:val="24"/>
                <w:highlight w:val="none"/>
              </w:rPr>
              <w:t>条款号</w:t>
            </w:r>
          </w:p>
        </w:tc>
        <w:tc>
          <w:tcPr>
            <w:tcW w:w="2479" w:type="dxa"/>
            <w:tcBorders>
              <w:top w:val="single" w:color="auto" w:sz="4" w:space="0"/>
              <w:left w:val="nil"/>
              <w:bottom w:val="single" w:color="auto" w:sz="4" w:space="0"/>
              <w:right w:val="single" w:color="auto" w:sz="4" w:space="0"/>
            </w:tcBorders>
            <w:vAlign w:val="center"/>
          </w:tcPr>
          <w:p w14:paraId="26D97983">
            <w:pPr>
              <w:jc w:val="center"/>
              <w:rPr>
                <w:rFonts w:ascii="宋体"/>
                <w:color w:val="auto"/>
                <w:sz w:val="24"/>
                <w:szCs w:val="24"/>
                <w:highlight w:val="none"/>
              </w:rPr>
            </w:pPr>
            <w:r>
              <w:rPr>
                <w:rFonts w:hint="eastAsia" w:ascii="宋体" w:hAnsi="宋体"/>
                <w:b/>
                <w:bCs/>
                <w:color w:val="auto"/>
                <w:sz w:val="24"/>
                <w:szCs w:val="24"/>
                <w:highlight w:val="none"/>
              </w:rPr>
              <w:t>评审因素</w:t>
            </w:r>
          </w:p>
        </w:tc>
        <w:tc>
          <w:tcPr>
            <w:tcW w:w="4665" w:type="dxa"/>
            <w:tcBorders>
              <w:top w:val="single" w:color="auto" w:sz="4" w:space="0"/>
              <w:left w:val="nil"/>
              <w:bottom w:val="single" w:color="auto" w:sz="4" w:space="0"/>
              <w:right w:val="single" w:color="auto" w:sz="4" w:space="0"/>
            </w:tcBorders>
            <w:vAlign w:val="center"/>
          </w:tcPr>
          <w:p w14:paraId="7A5D8012">
            <w:pPr>
              <w:jc w:val="center"/>
              <w:rPr>
                <w:rFonts w:ascii="宋体"/>
                <w:color w:val="auto"/>
                <w:sz w:val="24"/>
                <w:szCs w:val="24"/>
                <w:highlight w:val="none"/>
              </w:rPr>
            </w:pPr>
            <w:r>
              <w:rPr>
                <w:rFonts w:hint="eastAsia" w:ascii="宋体" w:hAnsi="宋体"/>
                <w:b/>
                <w:bCs/>
                <w:color w:val="auto"/>
                <w:sz w:val="24"/>
                <w:szCs w:val="24"/>
                <w:highlight w:val="none"/>
              </w:rPr>
              <w:t>评审标准</w:t>
            </w:r>
          </w:p>
        </w:tc>
      </w:tr>
      <w:tr w14:paraId="1F3A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90" w:type="dxa"/>
            <w:vMerge w:val="restart"/>
            <w:tcBorders>
              <w:top w:val="nil"/>
              <w:left w:val="single" w:color="auto" w:sz="4" w:space="0"/>
              <w:bottom w:val="single" w:color="auto" w:sz="4" w:space="0"/>
              <w:right w:val="single" w:color="auto" w:sz="4" w:space="0"/>
            </w:tcBorders>
            <w:vAlign w:val="center"/>
          </w:tcPr>
          <w:p w14:paraId="741D7B59">
            <w:pPr>
              <w:jc w:val="center"/>
              <w:rPr>
                <w:rFonts w:ascii="宋体"/>
                <w:color w:val="auto"/>
                <w:highlight w:val="none"/>
              </w:rPr>
            </w:pPr>
            <w:r>
              <w:rPr>
                <w:rFonts w:hint="eastAsia" w:ascii="宋体"/>
                <w:color w:val="auto"/>
                <w:highlight w:val="none"/>
              </w:rPr>
              <w:t>2.1.1</w:t>
            </w:r>
          </w:p>
        </w:tc>
        <w:tc>
          <w:tcPr>
            <w:tcW w:w="1455" w:type="dxa"/>
            <w:vMerge w:val="restart"/>
            <w:tcBorders>
              <w:top w:val="nil"/>
              <w:left w:val="nil"/>
              <w:bottom w:val="single" w:color="auto" w:sz="4" w:space="0"/>
              <w:right w:val="single" w:color="auto" w:sz="4" w:space="0"/>
            </w:tcBorders>
            <w:vAlign w:val="center"/>
          </w:tcPr>
          <w:p w14:paraId="2BBF2461">
            <w:pPr>
              <w:spacing w:line="420" w:lineRule="exact"/>
              <w:jc w:val="center"/>
              <w:rPr>
                <w:rFonts w:ascii="宋体"/>
                <w:color w:val="auto"/>
                <w:highlight w:val="none"/>
              </w:rPr>
            </w:pPr>
            <w:r>
              <w:rPr>
                <w:rFonts w:hint="eastAsia" w:ascii="宋体" w:hAnsi="宋体"/>
                <w:color w:val="auto"/>
                <w:highlight w:val="none"/>
              </w:rPr>
              <w:t>资格</w:t>
            </w:r>
          </w:p>
          <w:p w14:paraId="6A48EFF6">
            <w:pPr>
              <w:spacing w:line="420" w:lineRule="exact"/>
              <w:jc w:val="center"/>
              <w:rPr>
                <w:rFonts w:ascii="宋体"/>
                <w:color w:val="auto"/>
                <w:highlight w:val="none"/>
              </w:rPr>
            </w:pPr>
            <w:r>
              <w:rPr>
                <w:rFonts w:hint="eastAsia" w:ascii="宋体" w:hAnsi="宋体"/>
                <w:color w:val="auto"/>
                <w:highlight w:val="none"/>
              </w:rPr>
              <w:t>评审标准</w:t>
            </w:r>
          </w:p>
          <w:p w14:paraId="69A7A9BC">
            <w:pPr>
              <w:spacing w:line="340" w:lineRule="exact"/>
              <w:jc w:val="center"/>
              <w:rPr>
                <w:rFonts w:ascii="宋体"/>
                <w:color w:val="auto"/>
                <w:highlight w:val="none"/>
              </w:rPr>
            </w:pPr>
            <w:r>
              <w:rPr>
                <w:rFonts w:hint="eastAsia" w:ascii="宋体" w:hAnsi="宋体"/>
                <w:color w:val="auto"/>
                <w:highlight w:val="none"/>
              </w:rPr>
              <w:t>（不审查原件）</w:t>
            </w:r>
          </w:p>
        </w:tc>
        <w:tc>
          <w:tcPr>
            <w:tcW w:w="2479" w:type="dxa"/>
            <w:tcBorders>
              <w:top w:val="single" w:color="auto" w:sz="4" w:space="0"/>
              <w:left w:val="nil"/>
              <w:bottom w:val="single" w:color="auto" w:sz="4" w:space="0"/>
              <w:right w:val="single" w:color="auto" w:sz="4" w:space="0"/>
            </w:tcBorders>
            <w:vAlign w:val="center"/>
          </w:tcPr>
          <w:p w14:paraId="4A088C36">
            <w:pPr>
              <w:jc w:val="center"/>
              <w:rPr>
                <w:rFonts w:hint="eastAsia" w:hAnsi="宋体"/>
                <w:color w:val="auto"/>
                <w:highlight w:val="none"/>
              </w:rPr>
            </w:pPr>
            <w:r>
              <w:rPr>
                <w:rFonts w:hint="eastAsia" w:hAnsi="宋体"/>
                <w:color w:val="auto"/>
                <w:highlight w:val="none"/>
              </w:rPr>
              <w:t>具有独立承担民事责任的能力</w:t>
            </w:r>
          </w:p>
        </w:tc>
        <w:tc>
          <w:tcPr>
            <w:tcW w:w="4665" w:type="dxa"/>
            <w:tcBorders>
              <w:top w:val="single" w:color="auto" w:sz="4" w:space="0"/>
              <w:left w:val="nil"/>
              <w:bottom w:val="single" w:color="auto" w:sz="4" w:space="0"/>
              <w:right w:val="single" w:color="auto" w:sz="4" w:space="0"/>
            </w:tcBorders>
            <w:vAlign w:val="center"/>
          </w:tcPr>
          <w:p w14:paraId="452F9C33">
            <w:pPr>
              <w:tabs>
                <w:tab w:val="left" w:pos="7770"/>
              </w:tabs>
              <w:rPr>
                <w:rFonts w:ascii="宋体"/>
                <w:color w:val="auto"/>
                <w:highlight w:val="none"/>
              </w:rPr>
            </w:pPr>
            <w:r>
              <w:rPr>
                <w:rFonts w:hint="eastAsia" w:ascii="宋体" w:hAnsi="宋体"/>
                <w:color w:val="auto"/>
                <w:highlight w:val="none"/>
              </w:rPr>
              <w:t>提供法人或者其他组织的营业执照等证明文件，自然人的身份证明</w:t>
            </w:r>
          </w:p>
        </w:tc>
      </w:tr>
      <w:tr w14:paraId="647A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990" w:type="dxa"/>
            <w:vMerge w:val="continue"/>
            <w:tcBorders>
              <w:top w:val="nil"/>
              <w:left w:val="single" w:color="auto" w:sz="4" w:space="0"/>
              <w:bottom w:val="single" w:color="auto" w:sz="4" w:space="0"/>
              <w:right w:val="single" w:color="auto" w:sz="4" w:space="0"/>
            </w:tcBorders>
            <w:vAlign w:val="center"/>
          </w:tcPr>
          <w:p w14:paraId="2AE5430E">
            <w:pPr>
              <w:widowControl/>
              <w:jc w:val="left"/>
              <w:rPr>
                <w:rFonts w:ascii="宋体"/>
                <w:color w:val="auto"/>
                <w:highlight w:val="none"/>
              </w:rPr>
            </w:pPr>
          </w:p>
        </w:tc>
        <w:tc>
          <w:tcPr>
            <w:tcW w:w="1455" w:type="dxa"/>
            <w:vMerge w:val="continue"/>
            <w:tcBorders>
              <w:top w:val="nil"/>
              <w:left w:val="nil"/>
              <w:bottom w:val="single" w:color="auto" w:sz="4" w:space="0"/>
              <w:right w:val="single" w:color="auto" w:sz="4" w:space="0"/>
            </w:tcBorders>
            <w:vAlign w:val="center"/>
          </w:tcPr>
          <w:p w14:paraId="641AE584">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3064B9E8">
            <w:pPr>
              <w:jc w:val="center"/>
              <w:rPr>
                <w:rFonts w:hint="eastAsia" w:hAnsi="宋体"/>
                <w:color w:val="auto"/>
                <w:highlight w:val="none"/>
              </w:rPr>
            </w:pPr>
            <w:r>
              <w:rPr>
                <w:rFonts w:hint="eastAsia" w:hAnsi="宋体"/>
                <w:color w:val="auto"/>
                <w:highlight w:val="none"/>
              </w:rPr>
              <w:t>具有良好的商业信誉和健全的财务会计制度</w:t>
            </w:r>
          </w:p>
        </w:tc>
        <w:tc>
          <w:tcPr>
            <w:tcW w:w="4665" w:type="dxa"/>
            <w:tcBorders>
              <w:top w:val="single" w:color="auto" w:sz="4" w:space="0"/>
              <w:left w:val="nil"/>
              <w:bottom w:val="single" w:color="auto" w:sz="4" w:space="0"/>
              <w:right w:val="single" w:color="auto" w:sz="4" w:space="0"/>
            </w:tcBorders>
            <w:vAlign w:val="center"/>
          </w:tcPr>
          <w:p w14:paraId="6C028D13">
            <w:pPr>
              <w:widowControl/>
              <w:rPr>
                <w:rFonts w:hint="eastAsia" w:hAnsi="宋体"/>
                <w:color w:val="auto"/>
                <w:highlight w:val="none"/>
              </w:rPr>
            </w:pPr>
            <w:r>
              <w:rPr>
                <w:rFonts w:hint="eastAsia" w:ascii="宋体" w:hAnsi="宋体" w:cs="宋体"/>
                <w:color w:val="auto"/>
                <w:highlight w:val="none"/>
                <w:shd w:val="clear" w:color="auto" w:fill="FFFFFF"/>
                <w:lang w:val="zh-TW"/>
              </w:rPr>
              <w:t>提供2024</w:t>
            </w:r>
            <w:r>
              <w:rPr>
                <w:rFonts w:hint="eastAsia" w:ascii="宋体" w:hAnsi="宋体" w:cs="宋体"/>
                <w:color w:val="auto"/>
                <w:highlight w:val="none"/>
                <w:shd w:val="clear" w:color="auto" w:fill="FFFFFF"/>
                <w:lang w:eastAsia="zh-CN"/>
              </w:rPr>
              <w:t>或</w:t>
            </w:r>
            <w:r>
              <w:rPr>
                <w:rFonts w:hint="eastAsia" w:ascii="宋体" w:hAnsi="宋体" w:cs="宋体"/>
                <w:color w:val="auto"/>
                <w:highlight w:val="none"/>
                <w:shd w:val="clear" w:color="auto" w:fill="FFFFFF"/>
                <w:lang w:val="en-US" w:eastAsia="zh-CN"/>
              </w:rPr>
              <w:t>2025</w:t>
            </w:r>
            <w:r>
              <w:rPr>
                <w:rFonts w:hint="eastAsia" w:ascii="宋体" w:hAnsi="宋体" w:cs="宋体"/>
                <w:color w:val="auto"/>
                <w:highlight w:val="none"/>
                <w:shd w:val="clear" w:color="auto" w:fill="FFFFFF"/>
                <w:lang w:val="zh-TW"/>
              </w:rPr>
              <w:t>年度经审计的财务报告，新成立企业不足一年的可提供其基本开户银行出具的资信证明，资信证明出具时间距开标不超过一年。</w:t>
            </w:r>
          </w:p>
        </w:tc>
      </w:tr>
      <w:tr w14:paraId="0919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0" w:type="dxa"/>
            <w:vMerge w:val="continue"/>
            <w:tcBorders>
              <w:top w:val="nil"/>
              <w:left w:val="single" w:color="auto" w:sz="4" w:space="0"/>
              <w:bottom w:val="single" w:color="auto" w:sz="4" w:space="0"/>
              <w:right w:val="single" w:color="auto" w:sz="4" w:space="0"/>
            </w:tcBorders>
            <w:vAlign w:val="center"/>
          </w:tcPr>
          <w:p w14:paraId="57F87A0B">
            <w:pPr>
              <w:widowControl/>
              <w:jc w:val="left"/>
              <w:rPr>
                <w:rFonts w:ascii="宋体"/>
                <w:color w:val="auto"/>
                <w:highlight w:val="none"/>
              </w:rPr>
            </w:pPr>
          </w:p>
        </w:tc>
        <w:tc>
          <w:tcPr>
            <w:tcW w:w="1455" w:type="dxa"/>
            <w:vMerge w:val="continue"/>
            <w:tcBorders>
              <w:top w:val="nil"/>
              <w:left w:val="nil"/>
              <w:bottom w:val="single" w:color="auto" w:sz="4" w:space="0"/>
              <w:right w:val="single" w:color="auto" w:sz="4" w:space="0"/>
            </w:tcBorders>
            <w:vAlign w:val="center"/>
          </w:tcPr>
          <w:p w14:paraId="43B0BE98">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59B0C701">
            <w:pPr>
              <w:jc w:val="center"/>
              <w:rPr>
                <w:rFonts w:ascii="Times New Roman" w:hAnsi="Times New Roman"/>
                <w:color w:val="auto"/>
                <w:highlight w:val="none"/>
              </w:rPr>
            </w:pPr>
            <w:r>
              <w:rPr>
                <w:rFonts w:hint="eastAsia" w:hAnsi="宋体"/>
                <w:color w:val="auto"/>
                <w:highlight w:val="none"/>
                <w:shd w:val="clear" w:color="auto" w:fill="FFFFFF"/>
              </w:rPr>
              <w:t>具有履行合同所必需的设备和专业技术能力</w:t>
            </w:r>
          </w:p>
        </w:tc>
        <w:tc>
          <w:tcPr>
            <w:tcW w:w="4665" w:type="dxa"/>
            <w:tcBorders>
              <w:top w:val="single" w:color="auto" w:sz="4" w:space="0"/>
              <w:left w:val="nil"/>
              <w:bottom w:val="single" w:color="auto" w:sz="4" w:space="0"/>
              <w:right w:val="single" w:color="auto" w:sz="4" w:space="0"/>
            </w:tcBorders>
            <w:vAlign w:val="center"/>
          </w:tcPr>
          <w:p w14:paraId="04BFD89F">
            <w:pPr>
              <w:jc w:val="left"/>
              <w:rPr>
                <w:rFonts w:hint="eastAsia" w:hAnsi="宋体"/>
                <w:color w:val="auto"/>
                <w:highlight w:val="none"/>
              </w:rPr>
            </w:pPr>
            <w:r>
              <w:rPr>
                <w:rFonts w:hint="eastAsia" w:ascii="宋体" w:hAnsi="宋体"/>
                <w:color w:val="auto"/>
                <w:highlight w:val="none"/>
              </w:rPr>
              <w:t>提供书面声明或其他证明材料。</w:t>
            </w:r>
          </w:p>
        </w:tc>
      </w:tr>
      <w:tr w14:paraId="396F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990" w:type="dxa"/>
            <w:vMerge w:val="continue"/>
            <w:tcBorders>
              <w:top w:val="nil"/>
              <w:left w:val="single" w:color="auto" w:sz="4" w:space="0"/>
              <w:bottom w:val="single" w:color="auto" w:sz="4" w:space="0"/>
              <w:right w:val="single" w:color="auto" w:sz="4" w:space="0"/>
            </w:tcBorders>
            <w:vAlign w:val="center"/>
          </w:tcPr>
          <w:p w14:paraId="1A944193">
            <w:pPr>
              <w:widowControl/>
              <w:jc w:val="left"/>
              <w:rPr>
                <w:rFonts w:ascii="宋体"/>
                <w:color w:val="auto"/>
                <w:highlight w:val="none"/>
              </w:rPr>
            </w:pPr>
          </w:p>
        </w:tc>
        <w:tc>
          <w:tcPr>
            <w:tcW w:w="1455" w:type="dxa"/>
            <w:vMerge w:val="continue"/>
            <w:tcBorders>
              <w:top w:val="nil"/>
              <w:left w:val="nil"/>
              <w:bottom w:val="single" w:color="auto" w:sz="4" w:space="0"/>
              <w:right w:val="single" w:color="auto" w:sz="4" w:space="0"/>
            </w:tcBorders>
            <w:vAlign w:val="center"/>
          </w:tcPr>
          <w:p w14:paraId="2FB0DA37">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1B04EF78">
            <w:pPr>
              <w:jc w:val="center"/>
              <w:rPr>
                <w:rFonts w:ascii="宋体"/>
                <w:color w:val="auto"/>
                <w:highlight w:val="none"/>
              </w:rPr>
            </w:pPr>
            <w:r>
              <w:rPr>
                <w:rFonts w:hint="eastAsia" w:ascii="Times New Roman" w:hAnsi="Times New Roman"/>
                <w:color w:val="auto"/>
                <w:highlight w:val="none"/>
              </w:rPr>
              <w:t>依法纳税和社会保障资金缴纳证明</w:t>
            </w:r>
          </w:p>
        </w:tc>
        <w:tc>
          <w:tcPr>
            <w:tcW w:w="4665" w:type="dxa"/>
            <w:tcBorders>
              <w:top w:val="single" w:color="auto" w:sz="4" w:space="0"/>
              <w:left w:val="nil"/>
              <w:bottom w:val="single" w:color="auto" w:sz="4" w:space="0"/>
              <w:right w:val="single" w:color="auto" w:sz="4" w:space="0"/>
            </w:tcBorders>
            <w:vAlign w:val="center"/>
          </w:tcPr>
          <w:p w14:paraId="38451D4F">
            <w:pPr>
              <w:rPr>
                <w:rFonts w:hint="eastAsia" w:hAnsi="宋体"/>
                <w:color w:val="auto"/>
                <w:highlight w:val="none"/>
              </w:rPr>
            </w:pPr>
            <w:r>
              <w:rPr>
                <w:rFonts w:hint="eastAsia" w:ascii="宋体" w:hAnsi="宋体" w:cs="宋体"/>
                <w:color w:val="auto"/>
                <w:highlight w:val="none"/>
                <w:shd w:val="clear" w:color="auto" w:fill="FFFFFF"/>
                <w:lang w:val="zh-TW"/>
              </w:rPr>
              <w:t>提供相关部门出具的自</w:t>
            </w:r>
            <w:r>
              <w:rPr>
                <w:rFonts w:hint="eastAsia" w:ascii="宋体" w:hAnsi="宋体" w:cs="宋体"/>
                <w:color w:val="auto"/>
                <w:highlight w:val="none"/>
                <w:shd w:val="clear" w:color="auto" w:fill="FFFFFF"/>
              </w:rPr>
              <w:t>202</w:t>
            </w:r>
            <w:r>
              <w:rPr>
                <w:rFonts w:hint="eastAsia" w:ascii="宋体" w:hAnsi="宋体" w:cs="宋体"/>
                <w:color w:val="auto"/>
                <w:highlight w:val="none"/>
                <w:shd w:val="clear" w:color="auto" w:fill="FFFFFF"/>
                <w:lang w:val="en-US" w:eastAsia="zh-CN"/>
              </w:rPr>
              <w:t>6</w:t>
            </w:r>
            <w:r>
              <w:rPr>
                <w:rFonts w:hint="eastAsia" w:ascii="宋体" w:hAnsi="宋体" w:cs="宋体"/>
                <w:color w:val="auto"/>
                <w:highlight w:val="none"/>
                <w:shd w:val="clear" w:color="auto" w:fill="FFFFFF"/>
                <w:lang w:val="zh-TW"/>
              </w:rPr>
              <w:t>年</w:t>
            </w:r>
            <w:r>
              <w:rPr>
                <w:rFonts w:hint="eastAsia" w:ascii="宋体" w:hAnsi="宋体" w:cs="宋体"/>
                <w:color w:val="auto"/>
                <w:highlight w:val="none"/>
                <w:shd w:val="clear" w:color="auto" w:fill="FFFFFF"/>
                <w:lang w:val="en-US" w:eastAsia="zh-CN"/>
              </w:rPr>
              <w:t>1</w:t>
            </w:r>
            <w:r>
              <w:rPr>
                <w:rFonts w:hint="eastAsia" w:ascii="宋体" w:hAnsi="宋体" w:cs="宋体"/>
                <w:color w:val="auto"/>
                <w:highlight w:val="none"/>
                <w:shd w:val="clear" w:color="auto" w:fill="FFFFFF"/>
                <w:lang w:val="zh-TW"/>
              </w:rPr>
              <w:t>月以来至少</w:t>
            </w:r>
            <w:r>
              <w:rPr>
                <w:rFonts w:hint="eastAsia" w:ascii="宋体" w:hAnsi="宋体" w:cs="宋体"/>
                <w:color w:val="auto"/>
                <w:highlight w:val="none"/>
                <w:shd w:val="clear" w:color="auto" w:fill="FFFFFF"/>
              </w:rPr>
              <w:t>3</w:t>
            </w:r>
            <w:r>
              <w:rPr>
                <w:rFonts w:hint="eastAsia" w:ascii="宋体" w:hAnsi="宋体" w:cs="宋体"/>
                <w:color w:val="auto"/>
                <w:highlight w:val="none"/>
                <w:shd w:val="clear" w:color="auto" w:fill="FFFFFF"/>
                <w:lang w:val="zh-TW"/>
              </w:rPr>
              <w:t>个月的依法缴纳税收证明和社保证明，若符合免税条件等其他情况应提供相应证明材料。</w:t>
            </w:r>
          </w:p>
        </w:tc>
      </w:tr>
      <w:tr w14:paraId="3F66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990" w:type="dxa"/>
            <w:vMerge w:val="continue"/>
            <w:tcBorders>
              <w:top w:val="nil"/>
              <w:left w:val="single" w:color="auto" w:sz="4" w:space="0"/>
              <w:bottom w:val="single" w:color="auto" w:sz="4" w:space="0"/>
              <w:right w:val="single" w:color="auto" w:sz="4" w:space="0"/>
            </w:tcBorders>
            <w:vAlign w:val="center"/>
          </w:tcPr>
          <w:p w14:paraId="2868A8F6">
            <w:pPr>
              <w:widowControl/>
              <w:jc w:val="left"/>
              <w:rPr>
                <w:rFonts w:ascii="宋体"/>
                <w:color w:val="auto"/>
                <w:highlight w:val="none"/>
              </w:rPr>
            </w:pPr>
          </w:p>
        </w:tc>
        <w:tc>
          <w:tcPr>
            <w:tcW w:w="1455" w:type="dxa"/>
            <w:vMerge w:val="continue"/>
            <w:tcBorders>
              <w:top w:val="nil"/>
              <w:left w:val="nil"/>
              <w:bottom w:val="single" w:color="auto" w:sz="4" w:space="0"/>
              <w:right w:val="single" w:color="auto" w:sz="4" w:space="0"/>
            </w:tcBorders>
            <w:vAlign w:val="center"/>
          </w:tcPr>
          <w:p w14:paraId="2B3F1038">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62322631">
            <w:pPr>
              <w:widowControl/>
              <w:jc w:val="center"/>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参加政府采购活动前三年内，在经营活动中没有重大违法记录</w:t>
            </w:r>
          </w:p>
        </w:tc>
        <w:tc>
          <w:tcPr>
            <w:tcW w:w="4665" w:type="dxa"/>
            <w:tcBorders>
              <w:top w:val="single" w:color="auto" w:sz="4" w:space="0"/>
              <w:left w:val="nil"/>
              <w:bottom w:val="single" w:color="auto" w:sz="4" w:space="0"/>
              <w:right w:val="single" w:color="auto" w:sz="4" w:space="0"/>
            </w:tcBorders>
            <w:vAlign w:val="center"/>
          </w:tcPr>
          <w:p w14:paraId="252BB66B">
            <w:pPr>
              <w:widowControl/>
              <w:rPr>
                <w:rFonts w:hint="eastAsia" w:ascii="宋体" w:hAnsi="宋体" w:cs="宋体"/>
                <w:color w:val="auto"/>
                <w:highlight w:val="none"/>
                <w:shd w:val="clear" w:color="auto" w:fill="FFFFFF"/>
                <w:lang w:val="zh-TW"/>
              </w:rPr>
            </w:pPr>
            <w:r>
              <w:rPr>
                <w:rFonts w:hint="eastAsia" w:ascii="宋体" w:hAnsi="宋体" w:cs="宋体"/>
                <w:color w:val="auto"/>
                <w:highlight w:val="none"/>
                <w:shd w:val="clear" w:color="auto" w:fill="FFFFFF"/>
                <w:lang w:val="zh-TW"/>
              </w:rPr>
              <w:t>提供声明函。</w:t>
            </w:r>
          </w:p>
        </w:tc>
      </w:tr>
      <w:tr w14:paraId="01B1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990" w:type="dxa"/>
            <w:vMerge w:val="continue"/>
            <w:tcBorders>
              <w:top w:val="nil"/>
              <w:left w:val="single" w:color="auto" w:sz="4" w:space="0"/>
              <w:bottom w:val="single" w:color="auto" w:sz="4" w:space="0"/>
              <w:right w:val="single" w:color="auto" w:sz="4" w:space="0"/>
            </w:tcBorders>
            <w:vAlign w:val="center"/>
          </w:tcPr>
          <w:p w14:paraId="6E8CCBBE">
            <w:pPr>
              <w:widowControl/>
              <w:jc w:val="left"/>
              <w:rPr>
                <w:rFonts w:ascii="宋体"/>
                <w:color w:val="auto"/>
                <w:highlight w:val="none"/>
              </w:rPr>
            </w:pPr>
          </w:p>
        </w:tc>
        <w:tc>
          <w:tcPr>
            <w:tcW w:w="1455" w:type="dxa"/>
            <w:vMerge w:val="continue"/>
            <w:tcBorders>
              <w:top w:val="nil"/>
              <w:left w:val="nil"/>
              <w:bottom w:val="single" w:color="auto" w:sz="4" w:space="0"/>
              <w:right w:val="single" w:color="auto" w:sz="4" w:space="0"/>
            </w:tcBorders>
            <w:vAlign w:val="center"/>
          </w:tcPr>
          <w:p w14:paraId="13AD78BD">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31422985">
            <w:pPr>
              <w:spacing w:line="440" w:lineRule="exact"/>
              <w:jc w:val="center"/>
              <w:rPr>
                <w:rFonts w:ascii="宋体"/>
                <w:color w:val="auto"/>
                <w:highlight w:val="none"/>
              </w:rPr>
            </w:pPr>
            <w:r>
              <w:rPr>
                <w:rFonts w:hint="eastAsia" w:ascii="宋体" w:hAnsi="宋体"/>
                <w:color w:val="auto"/>
                <w:highlight w:val="none"/>
              </w:rPr>
              <w:t>其他要求</w:t>
            </w:r>
          </w:p>
        </w:tc>
        <w:tc>
          <w:tcPr>
            <w:tcW w:w="4665" w:type="dxa"/>
            <w:tcBorders>
              <w:top w:val="single" w:color="auto" w:sz="4" w:space="0"/>
              <w:left w:val="nil"/>
              <w:bottom w:val="single" w:color="auto" w:sz="4" w:space="0"/>
              <w:right w:val="single" w:color="auto" w:sz="4" w:space="0"/>
            </w:tcBorders>
            <w:vAlign w:val="center"/>
          </w:tcPr>
          <w:p w14:paraId="6293F6FE">
            <w:pPr>
              <w:spacing w:line="240" w:lineRule="auto"/>
              <w:rPr>
                <w:rFonts w:ascii="宋体"/>
                <w:color w:val="auto"/>
                <w:highlight w:val="none"/>
              </w:rPr>
            </w:pPr>
            <w:r>
              <w:rPr>
                <w:rFonts w:hint="eastAsia" w:ascii="宋体" w:hAnsi="宋体"/>
                <w:color w:val="auto"/>
                <w:highlight w:val="none"/>
              </w:rPr>
              <w:t>符合第二部分“供应商须知前附表”1.4.1的要求。</w:t>
            </w:r>
          </w:p>
        </w:tc>
      </w:tr>
      <w:tr w14:paraId="4316D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90" w:type="dxa"/>
            <w:vMerge w:val="continue"/>
            <w:tcBorders>
              <w:top w:val="nil"/>
              <w:left w:val="single" w:color="auto" w:sz="4" w:space="0"/>
              <w:bottom w:val="single" w:color="auto" w:sz="4" w:space="0"/>
              <w:right w:val="single" w:color="auto" w:sz="4" w:space="0"/>
            </w:tcBorders>
            <w:vAlign w:val="center"/>
          </w:tcPr>
          <w:p w14:paraId="2632D5AF">
            <w:pPr>
              <w:widowControl/>
              <w:jc w:val="left"/>
              <w:rPr>
                <w:rFonts w:ascii="宋体"/>
                <w:color w:val="auto"/>
                <w:highlight w:val="none"/>
              </w:rPr>
            </w:pPr>
          </w:p>
        </w:tc>
        <w:tc>
          <w:tcPr>
            <w:tcW w:w="1455" w:type="dxa"/>
            <w:vMerge w:val="continue"/>
            <w:tcBorders>
              <w:top w:val="nil"/>
              <w:left w:val="nil"/>
              <w:bottom w:val="single" w:color="auto" w:sz="4" w:space="0"/>
              <w:right w:val="single" w:color="auto" w:sz="4" w:space="0"/>
            </w:tcBorders>
            <w:vAlign w:val="center"/>
          </w:tcPr>
          <w:p w14:paraId="587B3361">
            <w:pPr>
              <w:widowControl/>
              <w:jc w:val="left"/>
              <w:rPr>
                <w:rFonts w:ascii="宋体"/>
                <w:color w:val="auto"/>
                <w:highlight w:val="none"/>
              </w:rPr>
            </w:pPr>
          </w:p>
        </w:tc>
        <w:tc>
          <w:tcPr>
            <w:tcW w:w="7144" w:type="dxa"/>
            <w:gridSpan w:val="2"/>
            <w:tcBorders>
              <w:top w:val="single" w:color="auto" w:sz="4" w:space="0"/>
              <w:left w:val="nil"/>
              <w:bottom w:val="single" w:color="auto" w:sz="4" w:space="0"/>
              <w:right w:val="single" w:color="auto" w:sz="4" w:space="0"/>
            </w:tcBorders>
            <w:vAlign w:val="center"/>
          </w:tcPr>
          <w:p w14:paraId="713D5E04">
            <w:pPr>
              <w:jc w:val="center"/>
              <w:rPr>
                <w:rFonts w:hint="eastAsia" w:ascii="宋体" w:hAnsi="宋体"/>
                <w:color w:val="auto"/>
                <w:highlight w:val="none"/>
              </w:rPr>
            </w:pPr>
            <w:r>
              <w:rPr>
                <w:rFonts w:hint="eastAsia"/>
                <w:b/>
                <w:bCs/>
                <w:color w:val="auto"/>
                <w:highlight w:val="none"/>
              </w:rPr>
              <w:t>注：根据财政部第87</w:t>
            </w:r>
            <w:r>
              <w:rPr>
                <w:rFonts w:hint="eastAsia" w:ascii="宋体" w:hAnsi="宋体"/>
                <w:b/>
                <w:bCs/>
                <w:color w:val="auto"/>
                <w:highlight w:val="none"/>
              </w:rPr>
              <w:t>号令第四十四条规定，公开招标采购项目开标结束后，</w:t>
            </w:r>
            <w:r>
              <w:rPr>
                <w:rFonts w:hint="eastAsia"/>
                <w:b/>
                <w:bCs/>
                <w:color w:val="auto"/>
                <w:highlight w:val="none"/>
              </w:rPr>
              <w:t>采购人或者采购代理机构应当依法对供应商的资格进行审查。</w:t>
            </w:r>
          </w:p>
        </w:tc>
      </w:tr>
      <w:tr w14:paraId="1016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990" w:type="dxa"/>
            <w:vMerge w:val="restart"/>
            <w:tcBorders>
              <w:top w:val="single" w:color="auto" w:sz="4" w:space="0"/>
              <w:left w:val="single" w:color="auto" w:sz="4" w:space="0"/>
              <w:right w:val="single" w:color="auto" w:sz="4" w:space="0"/>
            </w:tcBorders>
            <w:vAlign w:val="center"/>
          </w:tcPr>
          <w:p w14:paraId="36EBD6DF">
            <w:pPr>
              <w:jc w:val="center"/>
              <w:rPr>
                <w:rFonts w:ascii="宋体"/>
                <w:color w:val="auto"/>
                <w:highlight w:val="none"/>
              </w:rPr>
            </w:pPr>
            <w:r>
              <w:rPr>
                <w:rFonts w:hint="eastAsia" w:ascii="宋体"/>
                <w:color w:val="auto"/>
                <w:highlight w:val="none"/>
              </w:rPr>
              <w:t>2.1.2</w:t>
            </w:r>
          </w:p>
        </w:tc>
        <w:tc>
          <w:tcPr>
            <w:tcW w:w="1455" w:type="dxa"/>
            <w:vMerge w:val="restart"/>
            <w:tcBorders>
              <w:top w:val="single" w:color="auto" w:sz="4" w:space="0"/>
              <w:left w:val="single" w:color="auto" w:sz="4" w:space="0"/>
              <w:right w:val="single" w:color="auto" w:sz="4" w:space="0"/>
            </w:tcBorders>
            <w:vAlign w:val="center"/>
          </w:tcPr>
          <w:p w14:paraId="32692EFC">
            <w:pPr>
              <w:spacing w:line="340" w:lineRule="exact"/>
              <w:jc w:val="center"/>
              <w:rPr>
                <w:rFonts w:ascii="宋体"/>
                <w:color w:val="auto"/>
                <w:highlight w:val="none"/>
              </w:rPr>
            </w:pPr>
            <w:r>
              <w:rPr>
                <w:rFonts w:hint="eastAsia" w:ascii="宋体" w:hAnsi="宋体"/>
                <w:color w:val="auto"/>
                <w:highlight w:val="none"/>
              </w:rPr>
              <w:t>符合性评审标准</w:t>
            </w:r>
          </w:p>
        </w:tc>
        <w:tc>
          <w:tcPr>
            <w:tcW w:w="2479" w:type="dxa"/>
            <w:tcBorders>
              <w:top w:val="single" w:color="auto" w:sz="4" w:space="0"/>
              <w:left w:val="nil"/>
              <w:bottom w:val="single" w:color="auto" w:sz="4" w:space="0"/>
              <w:right w:val="single" w:color="auto" w:sz="4" w:space="0"/>
            </w:tcBorders>
            <w:vAlign w:val="center"/>
          </w:tcPr>
          <w:p w14:paraId="66C1009C">
            <w:pPr>
              <w:spacing w:line="396" w:lineRule="exact"/>
              <w:jc w:val="center"/>
              <w:rPr>
                <w:rFonts w:hint="eastAsia" w:ascii="宋体" w:hAnsi="宋体"/>
                <w:color w:val="auto"/>
                <w:highlight w:val="none"/>
              </w:rPr>
            </w:pPr>
            <w:r>
              <w:rPr>
                <w:rFonts w:hint="eastAsia" w:ascii="宋体" w:hAnsi="宋体"/>
                <w:color w:val="auto"/>
                <w:highlight w:val="none"/>
              </w:rPr>
              <w:t>供应商名称</w:t>
            </w:r>
          </w:p>
        </w:tc>
        <w:tc>
          <w:tcPr>
            <w:tcW w:w="4665" w:type="dxa"/>
            <w:tcBorders>
              <w:top w:val="single" w:color="auto" w:sz="4" w:space="0"/>
              <w:left w:val="nil"/>
              <w:bottom w:val="single" w:color="auto" w:sz="4" w:space="0"/>
              <w:right w:val="single" w:color="auto" w:sz="4" w:space="0"/>
            </w:tcBorders>
            <w:vAlign w:val="center"/>
          </w:tcPr>
          <w:p w14:paraId="482ED9D6">
            <w:pPr>
              <w:rPr>
                <w:rFonts w:ascii="宋体"/>
                <w:color w:val="auto"/>
                <w:highlight w:val="none"/>
              </w:rPr>
            </w:pPr>
            <w:r>
              <w:rPr>
                <w:rFonts w:hint="eastAsia" w:ascii="宋体" w:hAnsi="宋体"/>
                <w:color w:val="auto"/>
                <w:highlight w:val="none"/>
              </w:rPr>
              <w:t>与营业执照、组织机构代码证、税务登记证</w:t>
            </w:r>
            <w:r>
              <w:rPr>
                <w:rFonts w:hint="eastAsia" w:ascii="宋体"/>
                <w:color w:val="auto"/>
                <w:highlight w:val="none"/>
              </w:rPr>
              <w:t>（或三证合一的营业执照）</w:t>
            </w:r>
            <w:r>
              <w:rPr>
                <w:rFonts w:hint="eastAsia" w:ascii="宋体" w:hAnsi="宋体"/>
                <w:color w:val="auto"/>
                <w:highlight w:val="none"/>
              </w:rPr>
              <w:t>一致。</w:t>
            </w:r>
          </w:p>
        </w:tc>
      </w:tr>
      <w:tr w14:paraId="2358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90" w:type="dxa"/>
            <w:vMerge w:val="continue"/>
            <w:tcBorders>
              <w:left w:val="single" w:color="auto" w:sz="4" w:space="0"/>
              <w:right w:val="single" w:color="auto" w:sz="4" w:space="0"/>
            </w:tcBorders>
            <w:vAlign w:val="center"/>
          </w:tcPr>
          <w:p w14:paraId="29A0261C">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0554BC51">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03EBC83D">
            <w:pPr>
              <w:spacing w:line="396" w:lineRule="exact"/>
              <w:jc w:val="center"/>
              <w:rPr>
                <w:rFonts w:hint="eastAsia" w:ascii="宋体" w:hAnsi="宋体"/>
                <w:color w:val="auto"/>
                <w:highlight w:val="none"/>
              </w:rPr>
            </w:pPr>
            <w:r>
              <w:rPr>
                <w:rFonts w:hint="eastAsia" w:ascii="宋体" w:hAnsi="宋体"/>
                <w:color w:val="auto"/>
                <w:highlight w:val="none"/>
              </w:rPr>
              <w:t>投标函签字盖章</w:t>
            </w:r>
          </w:p>
        </w:tc>
        <w:tc>
          <w:tcPr>
            <w:tcW w:w="4665" w:type="dxa"/>
            <w:tcBorders>
              <w:top w:val="single" w:color="auto" w:sz="4" w:space="0"/>
              <w:left w:val="nil"/>
              <w:bottom w:val="single" w:color="auto" w:sz="4" w:space="0"/>
              <w:right w:val="single" w:color="auto" w:sz="4" w:space="0"/>
            </w:tcBorders>
            <w:vAlign w:val="center"/>
          </w:tcPr>
          <w:p w14:paraId="62BC605F">
            <w:pPr>
              <w:spacing w:line="360" w:lineRule="auto"/>
              <w:rPr>
                <w:rFonts w:ascii="宋体"/>
                <w:color w:val="auto"/>
                <w:highlight w:val="none"/>
              </w:rPr>
            </w:pPr>
            <w:r>
              <w:rPr>
                <w:rFonts w:hint="eastAsia" w:ascii="宋体" w:hAnsi="宋体"/>
                <w:color w:val="auto"/>
                <w:highlight w:val="none"/>
              </w:rPr>
              <w:t>符合招标文件的要求。</w:t>
            </w:r>
          </w:p>
        </w:tc>
      </w:tr>
      <w:tr w14:paraId="07D6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0" w:type="dxa"/>
            <w:vMerge w:val="continue"/>
            <w:tcBorders>
              <w:left w:val="single" w:color="auto" w:sz="4" w:space="0"/>
              <w:right w:val="single" w:color="auto" w:sz="4" w:space="0"/>
            </w:tcBorders>
            <w:vAlign w:val="center"/>
          </w:tcPr>
          <w:p w14:paraId="27E67146">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199B14B4">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72E94FEE">
            <w:pPr>
              <w:spacing w:line="396" w:lineRule="exact"/>
              <w:jc w:val="center"/>
              <w:rPr>
                <w:rFonts w:hint="eastAsia" w:ascii="宋体" w:hAnsi="宋体"/>
                <w:color w:val="auto"/>
                <w:highlight w:val="none"/>
              </w:rPr>
            </w:pPr>
            <w:r>
              <w:rPr>
                <w:rFonts w:hint="eastAsia" w:ascii="宋体" w:hAnsi="宋体"/>
                <w:color w:val="auto"/>
                <w:highlight w:val="none"/>
              </w:rPr>
              <w:t>投标文件主要格式</w:t>
            </w:r>
          </w:p>
        </w:tc>
        <w:tc>
          <w:tcPr>
            <w:tcW w:w="4665" w:type="dxa"/>
            <w:tcBorders>
              <w:top w:val="single" w:color="auto" w:sz="4" w:space="0"/>
              <w:left w:val="nil"/>
              <w:bottom w:val="single" w:color="auto" w:sz="4" w:space="0"/>
              <w:right w:val="single" w:color="auto" w:sz="4" w:space="0"/>
            </w:tcBorders>
            <w:vAlign w:val="center"/>
          </w:tcPr>
          <w:p w14:paraId="2637334B">
            <w:pPr>
              <w:spacing w:line="360" w:lineRule="auto"/>
              <w:rPr>
                <w:rFonts w:ascii="宋体"/>
                <w:color w:val="auto"/>
                <w:highlight w:val="none"/>
              </w:rPr>
            </w:pPr>
            <w:r>
              <w:rPr>
                <w:rFonts w:hint="eastAsia" w:ascii="宋体" w:hAnsi="宋体"/>
                <w:color w:val="auto"/>
                <w:highlight w:val="none"/>
              </w:rPr>
              <w:t>符合招标文件的要求。</w:t>
            </w:r>
          </w:p>
        </w:tc>
      </w:tr>
      <w:tr w14:paraId="601B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990" w:type="dxa"/>
            <w:vMerge w:val="continue"/>
            <w:tcBorders>
              <w:left w:val="single" w:color="auto" w:sz="4" w:space="0"/>
              <w:right w:val="single" w:color="auto" w:sz="4" w:space="0"/>
            </w:tcBorders>
            <w:vAlign w:val="center"/>
          </w:tcPr>
          <w:p w14:paraId="29FDF343">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0C613E75">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628D2037">
            <w:pPr>
              <w:spacing w:line="396" w:lineRule="exact"/>
              <w:jc w:val="center"/>
              <w:rPr>
                <w:rFonts w:hint="eastAsia" w:ascii="宋体" w:hAnsi="宋体"/>
                <w:color w:val="auto"/>
                <w:highlight w:val="none"/>
              </w:rPr>
            </w:pPr>
            <w:r>
              <w:rPr>
                <w:rFonts w:hint="eastAsia" w:ascii="宋体" w:hAnsi="宋体"/>
                <w:color w:val="auto"/>
                <w:highlight w:val="none"/>
              </w:rPr>
              <w:t>报价唯一</w:t>
            </w:r>
          </w:p>
        </w:tc>
        <w:tc>
          <w:tcPr>
            <w:tcW w:w="4665" w:type="dxa"/>
            <w:tcBorders>
              <w:top w:val="single" w:color="auto" w:sz="4" w:space="0"/>
              <w:left w:val="nil"/>
              <w:bottom w:val="single" w:color="auto" w:sz="4" w:space="0"/>
              <w:right w:val="single" w:color="auto" w:sz="4" w:space="0"/>
            </w:tcBorders>
            <w:vAlign w:val="center"/>
          </w:tcPr>
          <w:p w14:paraId="641BF1D7">
            <w:pPr>
              <w:spacing w:line="360" w:lineRule="auto"/>
              <w:rPr>
                <w:rFonts w:ascii="宋体"/>
                <w:color w:val="auto"/>
                <w:highlight w:val="none"/>
              </w:rPr>
            </w:pPr>
            <w:r>
              <w:rPr>
                <w:rFonts w:hint="eastAsia" w:ascii="宋体" w:hAnsi="宋体"/>
                <w:color w:val="auto"/>
                <w:highlight w:val="none"/>
              </w:rPr>
              <w:t>只能有一个有效报价。</w:t>
            </w:r>
          </w:p>
        </w:tc>
      </w:tr>
      <w:tr w14:paraId="5728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990" w:type="dxa"/>
            <w:vMerge w:val="restart"/>
            <w:tcBorders>
              <w:left w:val="single" w:color="auto" w:sz="4" w:space="0"/>
              <w:right w:val="single" w:color="auto" w:sz="4" w:space="0"/>
            </w:tcBorders>
            <w:vAlign w:val="center"/>
          </w:tcPr>
          <w:p w14:paraId="056F3490">
            <w:pPr>
              <w:jc w:val="center"/>
              <w:rPr>
                <w:rFonts w:ascii="宋体"/>
                <w:color w:val="auto"/>
                <w:highlight w:val="none"/>
              </w:rPr>
            </w:pPr>
            <w:r>
              <w:rPr>
                <w:rFonts w:hint="eastAsia" w:ascii="宋体"/>
                <w:color w:val="auto"/>
                <w:highlight w:val="none"/>
              </w:rPr>
              <w:t>2.1.3</w:t>
            </w:r>
          </w:p>
        </w:tc>
        <w:tc>
          <w:tcPr>
            <w:tcW w:w="1455" w:type="dxa"/>
            <w:vMerge w:val="restart"/>
            <w:tcBorders>
              <w:left w:val="single" w:color="auto" w:sz="4" w:space="0"/>
              <w:right w:val="single" w:color="auto" w:sz="4" w:space="0"/>
            </w:tcBorders>
            <w:vAlign w:val="center"/>
          </w:tcPr>
          <w:p w14:paraId="12AE9B99">
            <w:pPr>
              <w:spacing w:line="340" w:lineRule="exact"/>
              <w:jc w:val="center"/>
              <w:rPr>
                <w:rFonts w:ascii="宋体"/>
                <w:color w:val="auto"/>
                <w:highlight w:val="none"/>
              </w:rPr>
            </w:pPr>
            <w:r>
              <w:rPr>
                <w:rFonts w:hint="eastAsia" w:ascii="宋体" w:hAnsi="宋体"/>
                <w:color w:val="auto"/>
                <w:highlight w:val="none"/>
              </w:rPr>
              <w:t>详细评审标准</w:t>
            </w:r>
          </w:p>
        </w:tc>
        <w:tc>
          <w:tcPr>
            <w:tcW w:w="2479" w:type="dxa"/>
            <w:tcBorders>
              <w:top w:val="single" w:color="auto" w:sz="4" w:space="0"/>
              <w:left w:val="nil"/>
              <w:bottom w:val="single" w:color="auto" w:sz="4" w:space="0"/>
              <w:right w:val="single" w:color="auto" w:sz="4" w:space="0"/>
            </w:tcBorders>
            <w:vAlign w:val="center"/>
          </w:tcPr>
          <w:p w14:paraId="06291455">
            <w:pPr>
              <w:spacing w:line="396" w:lineRule="exact"/>
              <w:jc w:val="center"/>
              <w:rPr>
                <w:rFonts w:hint="eastAsia" w:ascii="宋体" w:hAnsi="宋体"/>
                <w:color w:val="auto"/>
                <w:highlight w:val="none"/>
              </w:rPr>
            </w:pPr>
            <w:r>
              <w:rPr>
                <w:rFonts w:hint="eastAsia" w:ascii="宋体" w:hAnsi="宋体"/>
                <w:color w:val="auto"/>
                <w:highlight w:val="none"/>
                <w:lang w:val="en-US" w:eastAsia="zh-CN"/>
              </w:rPr>
              <w:t>服务</w:t>
            </w:r>
            <w:r>
              <w:rPr>
                <w:rFonts w:hint="eastAsia" w:ascii="宋体" w:hAnsi="宋体"/>
                <w:color w:val="auto"/>
                <w:highlight w:val="none"/>
              </w:rPr>
              <w:t>内容</w:t>
            </w:r>
          </w:p>
        </w:tc>
        <w:tc>
          <w:tcPr>
            <w:tcW w:w="4665" w:type="dxa"/>
            <w:tcBorders>
              <w:top w:val="single" w:color="auto" w:sz="4" w:space="0"/>
              <w:left w:val="nil"/>
              <w:bottom w:val="single" w:color="auto" w:sz="4" w:space="0"/>
              <w:right w:val="single" w:color="auto" w:sz="4" w:space="0"/>
            </w:tcBorders>
            <w:vAlign w:val="center"/>
          </w:tcPr>
          <w:p w14:paraId="77B89EF7">
            <w:pPr>
              <w:spacing w:line="396" w:lineRule="exact"/>
              <w:rPr>
                <w:rFonts w:ascii="宋体"/>
                <w:color w:val="auto"/>
                <w:highlight w:val="none"/>
              </w:rPr>
            </w:pPr>
            <w:r>
              <w:rPr>
                <w:rFonts w:hint="eastAsia" w:ascii="宋体" w:hAnsi="宋体"/>
                <w:color w:val="auto"/>
                <w:highlight w:val="none"/>
              </w:rPr>
              <w:t>符合第二部分“供应商须知前附表”的要求。</w:t>
            </w:r>
          </w:p>
        </w:tc>
      </w:tr>
      <w:tr w14:paraId="51B4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990" w:type="dxa"/>
            <w:vMerge w:val="continue"/>
            <w:tcBorders>
              <w:left w:val="single" w:color="auto" w:sz="4" w:space="0"/>
              <w:right w:val="single" w:color="auto" w:sz="4" w:space="0"/>
            </w:tcBorders>
            <w:vAlign w:val="center"/>
          </w:tcPr>
          <w:p w14:paraId="38B9FA13">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181E6590">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7E344B4B">
            <w:pPr>
              <w:spacing w:line="396" w:lineRule="exact"/>
              <w:jc w:val="center"/>
              <w:rPr>
                <w:rFonts w:hint="eastAsia" w:ascii="宋体" w:hAnsi="宋体"/>
                <w:color w:val="auto"/>
                <w:highlight w:val="none"/>
              </w:rPr>
            </w:pPr>
            <w:r>
              <w:rPr>
                <w:rFonts w:hint="eastAsia" w:ascii="宋体" w:hAnsi="宋体"/>
                <w:color w:val="auto"/>
                <w:highlight w:val="none"/>
              </w:rPr>
              <w:t>质量要求</w:t>
            </w:r>
          </w:p>
        </w:tc>
        <w:tc>
          <w:tcPr>
            <w:tcW w:w="4665" w:type="dxa"/>
            <w:tcBorders>
              <w:top w:val="single" w:color="auto" w:sz="4" w:space="0"/>
              <w:left w:val="nil"/>
              <w:bottom w:val="single" w:color="auto" w:sz="4" w:space="0"/>
              <w:right w:val="single" w:color="auto" w:sz="4" w:space="0"/>
            </w:tcBorders>
            <w:vAlign w:val="center"/>
          </w:tcPr>
          <w:p w14:paraId="001174DD">
            <w:pPr>
              <w:spacing w:line="396" w:lineRule="exact"/>
              <w:rPr>
                <w:rFonts w:hint="eastAsia" w:ascii="宋体" w:hAnsi="宋体"/>
                <w:color w:val="auto"/>
                <w:kern w:val="0"/>
                <w:highlight w:val="none"/>
              </w:rPr>
            </w:pPr>
            <w:r>
              <w:rPr>
                <w:rFonts w:hint="eastAsia" w:ascii="宋体" w:hAnsi="宋体"/>
                <w:color w:val="auto"/>
                <w:highlight w:val="none"/>
              </w:rPr>
              <w:t>符合第二部分“供应商须知前附表”的要求。</w:t>
            </w:r>
          </w:p>
        </w:tc>
      </w:tr>
      <w:tr w14:paraId="135A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990" w:type="dxa"/>
            <w:vMerge w:val="continue"/>
            <w:tcBorders>
              <w:left w:val="single" w:color="auto" w:sz="4" w:space="0"/>
              <w:right w:val="single" w:color="auto" w:sz="4" w:space="0"/>
            </w:tcBorders>
            <w:vAlign w:val="center"/>
          </w:tcPr>
          <w:p w14:paraId="20DAC119">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78B11EAF">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72E2795E">
            <w:pPr>
              <w:spacing w:line="396" w:lineRule="exact"/>
              <w:jc w:val="center"/>
              <w:rPr>
                <w:rFonts w:hint="eastAsia" w:ascii="宋体" w:hAnsi="宋体"/>
                <w:color w:val="auto"/>
                <w:highlight w:val="none"/>
              </w:rPr>
            </w:pPr>
            <w:r>
              <w:rPr>
                <w:rFonts w:hint="eastAsia" w:ascii="宋体" w:hAnsi="宋体"/>
                <w:color w:val="auto"/>
                <w:highlight w:val="none"/>
                <w:lang w:val="en-US" w:eastAsia="zh-CN"/>
              </w:rPr>
              <w:t>服务</w:t>
            </w:r>
            <w:r>
              <w:rPr>
                <w:rFonts w:hint="eastAsia" w:ascii="宋体" w:hAnsi="宋体"/>
                <w:color w:val="auto"/>
                <w:highlight w:val="none"/>
              </w:rPr>
              <w:t>期限</w:t>
            </w:r>
          </w:p>
        </w:tc>
        <w:tc>
          <w:tcPr>
            <w:tcW w:w="4665" w:type="dxa"/>
            <w:tcBorders>
              <w:top w:val="single" w:color="auto" w:sz="4" w:space="0"/>
              <w:left w:val="nil"/>
              <w:bottom w:val="single" w:color="auto" w:sz="4" w:space="0"/>
              <w:right w:val="single" w:color="auto" w:sz="4" w:space="0"/>
            </w:tcBorders>
            <w:vAlign w:val="center"/>
          </w:tcPr>
          <w:p w14:paraId="391E5E42">
            <w:pPr>
              <w:spacing w:line="396" w:lineRule="exact"/>
              <w:rPr>
                <w:rFonts w:hint="eastAsia" w:ascii="宋体" w:hAnsi="宋体"/>
                <w:color w:val="auto"/>
                <w:kern w:val="0"/>
                <w:highlight w:val="none"/>
              </w:rPr>
            </w:pPr>
            <w:r>
              <w:rPr>
                <w:rFonts w:hint="eastAsia" w:ascii="宋体" w:hAnsi="宋体"/>
                <w:color w:val="auto"/>
                <w:highlight w:val="none"/>
              </w:rPr>
              <w:t>符合第二部分“供应商须知前附表”的要求。</w:t>
            </w:r>
          </w:p>
        </w:tc>
      </w:tr>
      <w:tr w14:paraId="1782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990" w:type="dxa"/>
            <w:vMerge w:val="continue"/>
            <w:tcBorders>
              <w:left w:val="single" w:color="auto" w:sz="4" w:space="0"/>
              <w:right w:val="single" w:color="auto" w:sz="4" w:space="0"/>
            </w:tcBorders>
            <w:vAlign w:val="center"/>
          </w:tcPr>
          <w:p w14:paraId="3F0A238B">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407025D0">
            <w:pPr>
              <w:widowControl/>
              <w:jc w:val="left"/>
              <w:rPr>
                <w:rFonts w:ascii="宋体"/>
                <w:color w:val="auto"/>
                <w:highlight w:val="none"/>
              </w:rPr>
            </w:pPr>
          </w:p>
        </w:tc>
        <w:tc>
          <w:tcPr>
            <w:tcW w:w="2479" w:type="dxa"/>
            <w:tcBorders>
              <w:top w:val="single" w:color="auto" w:sz="4" w:space="0"/>
              <w:left w:val="nil"/>
              <w:right w:val="single" w:color="auto" w:sz="4" w:space="0"/>
            </w:tcBorders>
            <w:vAlign w:val="center"/>
          </w:tcPr>
          <w:p w14:paraId="59F3F891">
            <w:pPr>
              <w:spacing w:line="396" w:lineRule="exact"/>
              <w:jc w:val="center"/>
              <w:rPr>
                <w:rFonts w:hint="eastAsia" w:ascii="宋体" w:hAnsi="宋体"/>
                <w:color w:val="auto"/>
                <w:highlight w:val="none"/>
              </w:rPr>
            </w:pPr>
            <w:r>
              <w:rPr>
                <w:rFonts w:hint="eastAsia" w:ascii="宋体" w:hAnsi="宋体"/>
                <w:color w:val="auto"/>
                <w:highlight w:val="none"/>
                <w:lang w:val="en-US" w:eastAsia="zh-CN"/>
              </w:rPr>
              <w:t>服务</w:t>
            </w:r>
            <w:r>
              <w:rPr>
                <w:rFonts w:hint="eastAsia" w:ascii="宋体" w:hAnsi="宋体"/>
                <w:color w:val="auto"/>
                <w:highlight w:val="none"/>
              </w:rPr>
              <w:t>范围</w:t>
            </w:r>
          </w:p>
        </w:tc>
        <w:tc>
          <w:tcPr>
            <w:tcW w:w="4665" w:type="dxa"/>
            <w:tcBorders>
              <w:top w:val="single" w:color="auto" w:sz="4" w:space="0"/>
              <w:left w:val="nil"/>
              <w:bottom w:val="single" w:color="auto" w:sz="4" w:space="0"/>
              <w:right w:val="single" w:color="auto" w:sz="4" w:space="0"/>
            </w:tcBorders>
            <w:vAlign w:val="center"/>
          </w:tcPr>
          <w:p w14:paraId="47E397EB">
            <w:pPr>
              <w:spacing w:line="396" w:lineRule="exact"/>
              <w:rPr>
                <w:rFonts w:hint="eastAsia" w:ascii="宋体" w:hAnsi="宋体"/>
                <w:color w:val="auto"/>
                <w:kern w:val="0"/>
                <w:highlight w:val="none"/>
              </w:rPr>
            </w:pPr>
            <w:r>
              <w:rPr>
                <w:rFonts w:hint="eastAsia" w:ascii="宋体" w:hAnsi="宋体"/>
                <w:color w:val="auto"/>
                <w:highlight w:val="none"/>
              </w:rPr>
              <w:t>符合第二部分“供应商须知前附表”的要求。</w:t>
            </w:r>
          </w:p>
        </w:tc>
      </w:tr>
      <w:tr w14:paraId="3AC7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990" w:type="dxa"/>
            <w:vMerge w:val="continue"/>
            <w:tcBorders>
              <w:left w:val="single" w:color="auto" w:sz="4" w:space="0"/>
              <w:right w:val="single" w:color="auto" w:sz="4" w:space="0"/>
            </w:tcBorders>
            <w:vAlign w:val="center"/>
          </w:tcPr>
          <w:p w14:paraId="1F1E799E">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3526EDC6">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0E8ADD01">
            <w:pPr>
              <w:spacing w:line="396" w:lineRule="exact"/>
              <w:jc w:val="center"/>
              <w:rPr>
                <w:rFonts w:hint="eastAsia" w:ascii="宋体" w:hAnsi="宋体"/>
                <w:color w:val="auto"/>
                <w:highlight w:val="none"/>
              </w:rPr>
            </w:pPr>
            <w:r>
              <w:rPr>
                <w:rFonts w:hint="eastAsia" w:ascii="宋体" w:hAnsi="宋体"/>
                <w:color w:val="auto"/>
                <w:highlight w:val="none"/>
              </w:rPr>
              <w:t>投标有效期</w:t>
            </w:r>
          </w:p>
        </w:tc>
        <w:tc>
          <w:tcPr>
            <w:tcW w:w="4665" w:type="dxa"/>
            <w:tcBorders>
              <w:top w:val="single" w:color="auto" w:sz="4" w:space="0"/>
              <w:left w:val="nil"/>
              <w:bottom w:val="single" w:color="auto" w:sz="4" w:space="0"/>
              <w:right w:val="single" w:color="auto" w:sz="4" w:space="0"/>
            </w:tcBorders>
            <w:vAlign w:val="center"/>
          </w:tcPr>
          <w:p w14:paraId="07FF1C41">
            <w:pPr>
              <w:spacing w:line="396" w:lineRule="exact"/>
              <w:jc w:val="left"/>
              <w:rPr>
                <w:rFonts w:hint="eastAsia" w:ascii="宋体" w:hAnsi="宋体"/>
                <w:color w:val="auto"/>
                <w:highlight w:val="none"/>
              </w:rPr>
            </w:pPr>
            <w:r>
              <w:rPr>
                <w:rFonts w:hint="eastAsia" w:ascii="宋体" w:hAnsi="宋体"/>
                <w:color w:val="auto"/>
                <w:highlight w:val="none"/>
              </w:rPr>
              <w:t>符合第二部分“供应商须知前附表”的要求。</w:t>
            </w:r>
          </w:p>
        </w:tc>
      </w:tr>
      <w:tr w14:paraId="437F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90" w:type="dxa"/>
            <w:vMerge w:val="continue"/>
            <w:tcBorders>
              <w:left w:val="single" w:color="auto" w:sz="4" w:space="0"/>
              <w:right w:val="single" w:color="auto" w:sz="4" w:space="0"/>
            </w:tcBorders>
            <w:vAlign w:val="center"/>
          </w:tcPr>
          <w:p w14:paraId="461BF5F0">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48AD7984">
            <w:pPr>
              <w:widowControl/>
              <w:jc w:val="left"/>
              <w:rPr>
                <w:rFonts w:ascii="宋体"/>
                <w:color w:val="auto"/>
                <w:highlight w:val="none"/>
              </w:rPr>
            </w:pPr>
          </w:p>
        </w:tc>
        <w:tc>
          <w:tcPr>
            <w:tcW w:w="2479" w:type="dxa"/>
            <w:tcBorders>
              <w:top w:val="single" w:color="auto" w:sz="4" w:space="0"/>
              <w:left w:val="nil"/>
              <w:bottom w:val="single" w:color="auto" w:sz="4" w:space="0"/>
              <w:right w:val="single" w:color="auto" w:sz="4" w:space="0"/>
            </w:tcBorders>
            <w:vAlign w:val="center"/>
          </w:tcPr>
          <w:p w14:paraId="4D958526">
            <w:pPr>
              <w:spacing w:line="396" w:lineRule="exact"/>
              <w:jc w:val="center"/>
              <w:rPr>
                <w:rFonts w:hint="eastAsia" w:ascii="宋体" w:hAnsi="宋体"/>
                <w:color w:val="auto"/>
                <w:highlight w:val="none"/>
              </w:rPr>
            </w:pPr>
            <w:r>
              <w:rPr>
                <w:rFonts w:hint="eastAsia" w:ascii="宋体" w:hAnsi="宋体"/>
                <w:color w:val="auto"/>
                <w:highlight w:val="none"/>
              </w:rPr>
              <w:t>投标报价</w:t>
            </w:r>
          </w:p>
        </w:tc>
        <w:tc>
          <w:tcPr>
            <w:tcW w:w="4665" w:type="dxa"/>
            <w:tcBorders>
              <w:top w:val="single" w:color="auto" w:sz="4" w:space="0"/>
              <w:left w:val="nil"/>
              <w:bottom w:val="single" w:color="auto" w:sz="4" w:space="0"/>
              <w:right w:val="single" w:color="auto" w:sz="4" w:space="0"/>
            </w:tcBorders>
            <w:vAlign w:val="center"/>
          </w:tcPr>
          <w:p w14:paraId="54F08099">
            <w:pPr>
              <w:jc w:val="left"/>
              <w:rPr>
                <w:rFonts w:hint="eastAsia" w:ascii="宋体" w:hAnsi="宋体"/>
                <w:color w:val="auto"/>
                <w:spacing w:val="-4"/>
                <w:highlight w:val="none"/>
              </w:rPr>
            </w:pPr>
            <w:r>
              <w:rPr>
                <w:rFonts w:hint="eastAsia" w:ascii="宋体" w:hAnsi="宋体"/>
                <w:color w:val="auto"/>
                <w:spacing w:val="-4"/>
                <w:highlight w:val="none"/>
              </w:rPr>
              <w:t>1、只能有一个有效报价；</w:t>
            </w:r>
          </w:p>
          <w:p w14:paraId="5BF501E5">
            <w:pPr>
              <w:jc w:val="left"/>
              <w:rPr>
                <w:rFonts w:hint="eastAsia" w:ascii="宋体" w:hAnsi="宋体"/>
                <w:color w:val="auto"/>
                <w:spacing w:val="-4"/>
                <w:highlight w:val="none"/>
              </w:rPr>
            </w:pPr>
            <w:r>
              <w:rPr>
                <w:rFonts w:hint="eastAsia" w:ascii="宋体" w:hAnsi="宋体"/>
                <w:color w:val="auto"/>
                <w:spacing w:val="-4"/>
                <w:highlight w:val="none"/>
              </w:rPr>
              <w:t>2、设有最高投标限价者不得高于该限价。</w:t>
            </w:r>
          </w:p>
        </w:tc>
      </w:tr>
      <w:tr w14:paraId="3900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990" w:type="dxa"/>
            <w:tcBorders>
              <w:top w:val="single" w:color="auto" w:sz="4" w:space="0"/>
              <w:left w:val="single" w:color="auto" w:sz="4" w:space="0"/>
              <w:bottom w:val="single" w:color="auto" w:sz="4" w:space="0"/>
              <w:right w:val="single" w:color="auto" w:sz="4" w:space="0"/>
            </w:tcBorders>
            <w:vAlign w:val="center"/>
          </w:tcPr>
          <w:p w14:paraId="7E9908A8">
            <w:pPr>
              <w:spacing w:line="420" w:lineRule="exact"/>
              <w:jc w:val="center"/>
              <w:rPr>
                <w:rFonts w:ascii="宋体"/>
                <w:color w:val="auto"/>
                <w:highlight w:val="none"/>
              </w:rPr>
            </w:pPr>
            <w:bookmarkStart w:id="849" w:name="_Toc87235886"/>
            <w:bookmarkEnd w:id="849"/>
            <w:r>
              <w:rPr>
                <w:rFonts w:hint="eastAsia" w:ascii="宋体" w:hAnsi="宋体"/>
                <w:b/>
                <w:bCs/>
                <w:color w:val="auto"/>
                <w:highlight w:val="none"/>
              </w:rPr>
              <w:t>条款号</w:t>
            </w:r>
          </w:p>
        </w:tc>
        <w:tc>
          <w:tcPr>
            <w:tcW w:w="1455" w:type="dxa"/>
            <w:tcBorders>
              <w:top w:val="single" w:color="auto" w:sz="4" w:space="0"/>
              <w:left w:val="nil"/>
              <w:bottom w:val="single" w:color="auto" w:sz="4" w:space="0"/>
              <w:right w:val="single" w:color="auto" w:sz="4" w:space="0"/>
            </w:tcBorders>
            <w:vAlign w:val="center"/>
          </w:tcPr>
          <w:p w14:paraId="122803BC">
            <w:pPr>
              <w:spacing w:line="420" w:lineRule="exact"/>
              <w:jc w:val="center"/>
              <w:rPr>
                <w:rFonts w:ascii="宋体"/>
                <w:color w:val="auto"/>
                <w:highlight w:val="none"/>
              </w:rPr>
            </w:pPr>
            <w:r>
              <w:rPr>
                <w:rFonts w:hint="eastAsia" w:ascii="宋体" w:hAnsi="宋体"/>
                <w:b/>
                <w:bCs/>
                <w:color w:val="auto"/>
                <w:highlight w:val="none"/>
              </w:rPr>
              <w:t>条款内容</w:t>
            </w:r>
          </w:p>
        </w:tc>
        <w:tc>
          <w:tcPr>
            <w:tcW w:w="7144" w:type="dxa"/>
            <w:gridSpan w:val="2"/>
            <w:tcBorders>
              <w:top w:val="single" w:color="auto" w:sz="4" w:space="0"/>
              <w:left w:val="nil"/>
              <w:bottom w:val="single" w:color="auto" w:sz="4" w:space="0"/>
              <w:right w:val="single" w:color="auto" w:sz="4" w:space="0"/>
            </w:tcBorders>
            <w:vAlign w:val="center"/>
          </w:tcPr>
          <w:p w14:paraId="569F7F40">
            <w:pPr>
              <w:spacing w:line="420" w:lineRule="exact"/>
              <w:jc w:val="center"/>
              <w:rPr>
                <w:rFonts w:ascii="宋体"/>
                <w:color w:val="auto"/>
                <w:highlight w:val="none"/>
              </w:rPr>
            </w:pPr>
            <w:r>
              <w:rPr>
                <w:rFonts w:hint="eastAsia" w:ascii="宋体" w:hAnsi="宋体"/>
                <w:b/>
                <w:bCs/>
                <w:color w:val="auto"/>
                <w:highlight w:val="none"/>
              </w:rPr>
              <w:t>编列内容</w:t>
            </w:r>
          </w:p>
        </w:tc>
      </w:tr>
      <w:tr w14:paraId="4B5E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445" w:type="dxa"/>
            <w:gridSpan w:val="2"/>
            <w:tcBorders>
              <w:top w:val="single" w:color="auto" w:sz="4" w:space="0"/>
              <w:left w:val="single" w:color="auto" w:sz="4" w:space="0"/>
              <w:bottom w:val="single" w:color="auto" w:sz="4" w:space="0"/>
              <w:right w:val="single" w:color="auto" w:sz="4" w:space="0"/>
            </w:tcBorders>
            <w:vAlign w:val="center"/>
          </w:tcPr>
          <w:p w14:paraId="4638E70F">
            <w:pPr>
              <w:jc w:val="center"/>
              <w:rPr>
                <w:rFonts w:hint="eastAsia" w:ascii="宋体" w:hAnsi="宋体"/>
                <w:color w:val="auto"/>
                <w:highlight w:val="none"/>
              </w:rPr>
            </w:pPr>
            <w:r>
              <w:rPr>
                <w:rFonts w:hint="eastAsia" w:ascii="宋体" w:hAnsi="宋体"/>
                <w:color w:val="auto"/>
                <w:highlight w:val="none"/>
              </w:rPr>
              <w:t>2.2分值构成</w:t>
            </w:r>
          </w:p>
          <w:p w14:paraId="6BE0C3BA">
            <w:pPr>
              <w:spacing w:line="420" w:lineRule="exact"/>
              <w:jc w:val="center"/>
              <w:rPr>
                <w:rFonts w:ascii="宋体"/>
                <w:color w:val="auto"/>
                <w:highlight w:val="none"/>
              </w:rPr>
            </w:pPr>
            <w:r>
              <w:rPr>
                <w:rFonts w:hint="eastAsia" w:ascii="宋体" w:hAnsi="宋体"/>
                <w:color w:val="auto"/>
                <w:highlight w:val="none"/>
              </w:rPr>
              <w:t>(总分100分)</w:t>
            </w:r>
          </w:p>
        </w:tc>
        <w:tc>
          <w:tcPr>
            <w:tcW w:w="7144" w:type="dxa"/>
            <w:gridSpan w:val="2"/>
            <w:tcBorders>
              <w:top w:val="single" w:color="auto" w:sz="4" w:space="0"/>
              <w:left w:val="nil"/>
              <w:bottom w:val="single" w:color="auto" w:sz="4" w:space="0"/>
              <w:right w:val="single" w:color="auto" w:sz="4" w:space="0"/>
            </w:tcBorders>
            <w:vAlign w:val="center"/>
          </w:tcPr>
          <w:p w14:paraId="0AEC5CC6">
            <w:pPr>
              <w:rPr>
                <w:rFonts w:hint="eastAsia" w:ascii="宋体" w:hAnsi="宋体"/>
                <w:color w:val="auto"/>
                <w:highlight w:val="none"/>
              </w:rPr>
            </w:pPr>
            <w:r>
              <w:rPr>
                <w:rFonts w:hint="eastAsia" w:ascii="宋体" w:hAnsi="宋体"/>
                <w:color w:val="auto"/>
                <w:highlight w:val="none"/>
              </w:rPr>
              <w:t>投标报价：</w:t>
            </w:r>
            <w:r>
              <w:rPr>
                <w:rFonts w:hint="eastAsia" w:ascii="宋体" w:hAnsi="宋体"/>
                <w:color w:val="auto"/>
                <w:highlight w:val="none"/>
                <w:u w:val="single"/>
              </w:rPr>
              <w:t xml:space="preserve">  30  </w:t>
            </w:r>
            <w:r>
              <w:rPr>
                <w:rFonts w:hint="eastAsia" w:ascii="宋体" w:hAnsi="宋体"/>
                <w:color w:val="auto"/>
                <w:highlight w:val="none"/>
              </w:rPr>
              <w:t>分</w:t>
            </w:r>
          </w:p>
          <w:p w14:paraId="37614922">
            <w:pPr>
              <w:rPr>
                <w:rFonts w:hint="eastAsia" w:ascii="宋体" w:hAnsi="宋体"/>
                <w:color w:val="auto"/>
                <w:highlight w:val="none"/>
              </w:rPr>
            </w:pPr>
            <w:r>
              <w:rPr>
                <w:rFonts w:hint="eastAsia" w:ascii="宋体" w:hAnsi="宋体"/>
                <w:color w:val="auto"/>
                <w:highlight w:val="none"/>
              </w:rPr>
              <w:t>商务部分：</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30</w:t>
            </w:r>
            <w:r>
              <w:rPr>
                <w:rFonts w:hint="eastAsia" w:ascii="宋体" w:hAnsi="宋体"/>
                <w:color w:val="auto"/>
                <w:highlight w:val="none"/>
                <w:u w:val="single"/>
              </w:rPr>
              <w:t> </w:t>
            </w:r>
            <w:r>
              <w:rPr>
                <w:rFonts w:hint="eastAsia" w:ascii="宋体" w:hAnsi="宋体"/>
                <w:color w:val="auto"/>
                <w:highlight w:val="none"/>
              </w:rPr>
              <w:t>分</w:t>
            </w:r>
          </w:p>
          <w:p w14:paraId="729FA554">
            <w:pPr>
              <w:rPr>
                <w:rFonts w:ascii="宋体"/>
                <w:color w:val="auto"/>
                <w:highlight w:val="none"/>
              </w:rPr>
            </w:pPr>
            <w:r>
              <w:rPr>
                <w:rFonts w:hint="eastAsia" w:ascii="宋体" w:hAnsi="宋体"/>
                <w:color w:val="auto"/>
                <w:highlight w:val="none"/>
              </w:rPr>
              <w:t>技术部分：</w:t>
            </w:r>
            <w:r>
              <w:rPr>
                <w:rFonts w:hint="eastAsia" w:ascii="宋体" w:hAnsi="宋体"/>
                <w:color w:val="auto"/>
                <w:highlight w:val="none"/>
                <w:u w:val="single"/>
              </w:rPr>
              <w:t> </w:t>
            </w:r>
            <w:r>
              <w:rPr>
                <w:rFonts w:hint="eastAsia" w:ascii="宋体" w:hAnsi="宋体"/>
                <w:color w:val="auto"/>
                <w:highlight w:val="none"/>
                <w:u w:val="single"/>
                <w:lang w:val="en-US" w:eastAsia="zh-CN"/>
              </w:rPr>
              <w:t>4</w:t>
            </w:r>
            <w:r>
              <w:rPr>
                <w:rFonts w:hint="eastAsia" w:ascii="宋体" w:hAnsi="宋体"/>
                <w:color w:val="auto"/>
                <w:highlight w:val="none"/>
                <w:u w:val="single"/>
              </w:rPr>
              <w:t xml:space="preserve">0  </w:t>
            </w:r>
            <w:r>
              <w:rPr>
                <w:rFonts w:hint="eastAsia" w:ascii="宋体" w:hAnsi="宋体"/>
                <w:color w:val="auto"/>
                <w:highlight w:val="none"/>
              </w:rPr>
              <w:t>分</w:t>
            </w:r>
          </w:p>
        </w:tc>
      </w:tr>
      <w:tr w14:paraId="5996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90" w:type="dxa"/>
            <w:tcBorders>
              <w:top w:val="single" w:color="auto" w:sz="4" w:space="0"/>
              <w:left w:val="single" w:color="auto" w:sz="4" w:space="0"/>
              <w:bottom w:val="single" w:color="auto" w:sz="4" w:space="0"/>
              <w:right w:val="single" w:color="auto" w:sz="4" w:space="0"/>
            </w:tcBorders>
            <w:vAlign w:val="center"/>
          </w:tcPr>
          <w:p w14:paraId="2E7B40B8">
            <w:pPr>
              <w:jc w:val="center"/>
              <w:rPr>
                <w:rFonts w:hint="eastAsia" w:ascii="宋体" w:hAnsi="宋体"/>
                <w:color w:val="auto"/>
                <w:highlight w:val="none"/>
              </w:rPr>
            </w:pPr>
            <w:r>
              <w:rPr>
                <w:rFonts w:hint="eastAsia" w:ascii="宋体" w:hAnsi="宋体"/>
                <w:color w:val="auto"/>
                <w:highlight w:val="none"/>
              </w:rPr>
              <w:t>（一）投标报价</w:t>
            </w:r>
          </w:p>
          <w:p w14:paraId="653E0098">
            <w:pPr>
              <w:jc w:val="center"/>
              <w:rPr>
                <w:rFonts w:ascii="宋体"/>
                <w:color w:val="auto"/>
                <w:highlight w:val="none"/>
              </w:rPr>
            </w:pPr>
            <w:r>
              <w:rPr>
                <w:rFonts w:hint="eastAsia" w:ascii="宋体" w:hAnsi="宋体"/>
                <w:color w:val="auto"/>
                <w:highlight w:val="none"/>
              </w:rPr>
              <w:t>30分</w:t>
            </w:r>
          </w:p>
        </w:tc>
        <w:tc>
          <w:tcPr>
            <w:tcW w:w="1455" w:type="dxa"/>
            <w:tcBorders>
              <w:top w:val="single" w:color="auto" w:sz="4" w:space="0"/>
              <w:left w:val="nil"/>
              <w:bottom w:val="single" w:color="auto" w:sz="4" w:space="0"/>
              <w:right w:val="single" w:color="auto" w:sz="4" w:space="0"/>
            </w:tcBorders>
            <w:vAlign w:val="center"/>
          </w:tcPr>
          <w:p w14:paraId="2E156166">
            <w:pPr>
              <w:jc w:val="center"/>
              <w:rPr>
                <w:rFonts w:hint="eastAsia" w:ascii="宋体" w:hAnsi="宋体"/>
                <w:color w:val="auto"/>
                <w:highlight w:val="none"/>
              </w:rPr>
            </w:pPr>
            <w:r>
              <w:rPr>
                <w:rFonts w:hint="eastAsia" w:ascii="宋体" w:hAnsi="宋体"/>
                <w:color w:val="auto"/>
                <w:highlight w:val="none"/>
              </w:rPr>
              <w:t>报价计分</w:t>
            </w:r>
          </w:p>
          <w:p w14:paraId="73285292">
            <w:pPr>
              <w:jc w:val="center"/>
              <w:rPr>
                <w:rFonts w:hint="eastAsia" w:ascii="宋体" w:hAnsi="宋体"/>
                <w:color w:val="auto"/>
                <w:highlight w:val="none"/>
              </w:rPr>
            </w:pPr>
            <w:r>
              <w:rPr>
                <w:rFonts w:hint="eastAsia" w:ascii="宋体" w:hAnsi="宋体"/>
                <w:color w:val="auto"/>
                <w:highlight w:val="none"/>
              </w:rPr>
              <w:t>（30分）</w:t>
            </w:r>
          </w:p>
        </w:tc>
        <w:tc>
          <w:tcPr>
            <w:tcW w:w="7144" w:type="dxa"/>
            <w:gridSpan w:val="2"/>
            <w:tcBorders>
              <w:top w:val="single" w:color="auto" w:sz="4" w:space="0"/>
              <w:left w:val="nil"/>
              <w:bottom w:val="single" w:color="auto" w:sz="4" w:space="0"/>
              <w:right w:val="single" w:color="auto" w:sz="4" w:space="0"/>
            </w:tcBorders>
            <w:vAlign w:val="center"/>
          </w:tcPr>
          <w:p w14:paraId="618C7E4F">
            <w:pPr>
              <w:pStyle w:val="34"/>
              <w:rPr>
                <w:color w:val="auto"/>
                <w:sz w:val="21"/>
                <w:szCs w:val="21"/>
                <w:highlight w:val="none"/>
              </w:rPr>
            </w:pPr>
            <w:r>
              <w:rPr>
                <w:color w:val="auto"/>
                <w:sz w:val="21"/>
                <w:szCs w:val="21"/>
                <w:highlight w:val="none"/>
              </w:rPr>
              <w:t>1、投标报价分值，采用低价优先法计算，即满足招标文件要求且投标价格最低的投标报价为评标基准价，其价格分为满分。其他投标人的价格分统一按照下列公式计算：</w:t>
            </w:r>
          </w:p>
          <w:p w14:paraId="7570658D">
            <w:pPr>
              <w:pStyle w:val="34"/>
              <w:rPr>
                <w:color w:val="auto"/>
                <w:sz w:val="21"/>
                <w:szCs w:val="21"/>
                <w:highlight w:val="none"/>
              </w:rPr>
            </w:pPr>
            <w:r>
              <w:rPr>
                <w:color w:val="auto"/>
                <w:sz w:val="21"/>
                <w:szCs w:val="21"/>
                <w:highlight w:val="none"/>
              </w:rPr>
              <w:t>投标报价得分=(评标基准价／投标报价)×30</w:t>
            </w:r>
          </w:p>
          <w:p w14:paraId="4378E2C4">
            <w:pPr>
              <w:rPr>
                <w:color w:val="auto"/>
                <w:highlight w:val="none"/>
              </w:rPr>
            </w:pPr>
            <w:r>
              <w:rPr>
                <w:color w:val="auto"/>
                <w:highlight w:val="none"/>
              </w:rPr>
              <w:t>2、</w:t>
            </w:r>
            <w:r>
              <w:rPr>
                <w:rFonts w:hint="eastAsia"/>
                <w:color w:val="auto"/>
                <w:highlight w:val="none"/>
              </w:rPr>
              <w:t>报价得分数值精度为小数点后二位（四舍五入）。</w:t>
            </w:r>
          </w:p>
          <w:p w14:paraId="26540B93">
            <w:pPr>
              <w:numPr>
                <w:ilvl w:val="0"/>
                <w:numId w:val="0"/>
              </w:numPr>
              <w:spacing w:line="360" w:lineRule="exact"/>
              <w:jc w:val="left"/>
              <w:rPr>
                <w:rFonts w:hint="eastAsia"/>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w:t>
            </w:r>
            <w:r>
              <w:rPr>
                <w:rFonts w:hint="eastAsia"/>
                <w:b/>
                <w:bCs/>
                <w:color w:val="auto"/>
                <w:highlight w:val="none"/>
              </w:rPr>
              <w:t>专门面向中小企业采购的项目或者采购包，不再执行价格评审优惠的扶持政策。</w:t>
            </w:r>
          </w:p>
          <w:p w14:paraId="39092EE7">
            <w:pPr>
              <w:pStyle w:val="34"/>
              <w:rPr>
                <w:color w:val="auto"/>
                <w:sz w:val="21"/>
                <w:szCs w:val="21"/>
                <w:highlight w:val="none"/>
              </w:rPr>
            </w:pPr>
            <w:r>
              <w:rPr>
                <w:rFonts w:hint="eastAsia"/>
                <w:b/>
                <w:bCs/>
                <w:color w:val="auto"/>
                <w:sz w:val="21"/>
                <w:szCs w:val="21"/>
                <w:highlight w:val="none"/>
                <w:lang w:val="en-US" w:eastAsia="zh-CN"/>
              </w:rPr>
              <w:t>4、根据财库〔2026〕2号规定采购评审中出现下列情形之一的，评审委员会应当启动异常低价投标（响应）审查程序，具体要求详见正文3.2.5及相关规定执行。</w:t>
            </w:r>
          </w:p>
        </w:tc>
      </w:tr>
      <w:tr w14:paraId="443B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0" w:type="dxa"/>
            <w:vMerge w:val="restart"/>
            <w:tcBorders>
              <w:top w:val="single" w:color="auto" w:sz="4" w:space="0"/>
              <w:left w:val="single" w:color="auto" w:sz="4" w:space="0"/>
              <w:right w:val="single" w:color="auto" w:sz="4" w:space="0"/>
            </w:tcBorders>
            <w:vAlign w:val="center"/>
          </w:tcPr>
          <w:p w14:paraId="1301E2B8">
            <w:pPr>
              <w:jc w:val="center"/>
              <w:rPr>
                <w:rFonts w:hint="eastAsia" w:ascii="宋体" w:hAnsi="宋体"/>
                <w:color w:val="auto"/>
                <w:highlight w:val="none"/>
              </w:rPr>
            </w:pPr>
            <w:r>
              <w:rPr>
                <w:rFonts w:hint="eastAsia" w:ascii="宋体" w:hAnsi="宋体"/>
                <w:color w:val="auto"/>
                <w:highlight w:val="none"/>
              </w:rPr>
              <w:t>（二）商务部分</w:t>
            </w:r>
          </w:p>
          <w:p w14:paraId="4166A56C">
            <w:pPr>
              <w:spacing w:line="420" w:lineRule="exact"/>
              <w:jc w:val="center"/>
              <w:rPr>
                <w:rFonts w:hint="eastAsia" w:ascii="宋体" w:hAnsi="宋体"/>
                <w:color w:val="auto"/>
                <w:highlight w:val="none"/>
              </w:rPr>
            </w:pPr>
            <w:r>
              <w:rPr>
                <w:rFonts w:hint="eastAsia" w:ascii="宋体" w:hAnsi="宋体"/>
                <w:color w:val="auto"/>
                <w:highlight w:val="none"/>
                <w:lang w:val="en-US" w:eastAsia="zh-CN"/>
              </w:rPr>
              <w:t>30</w:t>
            </w:r>
            <w:r>
              <w:rPr>
                <w:rFonts w:hint="eastAsia" w:ascii="宋体" w:hAnsi="宋体"/>
                <w:color w:val="auto"/>
                <w:highlight w:val="none"/>
              </w:rPr>
              <w:t>分</w:t>
            </w:r>
          </w:p>
        </w:tc>
        <w:tc>
          <w:tcPr>
            <w:tcW w:w="1455" w:type="dxa"/>
            <w:tcBorders>
              <w:top w:val="single" w:color="auto" w:sz="4" w:space="0"/>
              <w:left w:val="single" w:color="auto" w:sz="4" w:space="0"/>
              <w:right w:val="single" w:color="auto" w:sz="4" w:space="0"/>
            </w:tcBorders>
            <w:vAlign w:val="center"/>
          </w:tcPr>
          <w:p w14:paraId="271B80DD">
            <w:pPr>
              <w:spacing w:line="320" w:lineRule="exact"/>
              <w:jc w:val="center"/>
              <w:rPr>
                <w:color w:val="auto"/>
                <w:highlight w:val="none"/>
              </w:rPr>
            </w:pPr>
            <w:r>
              <w:rPr>
                <w:rFonts w:hint="eastAsia"/>
                <w:color w:val="auto"/>
                <w:highlight w:val="none"/>
              </w:rPr>
              <w:t>项目业绩</w:t>
            </w:r>
          </w:p>
          <w:p w14:paraId="119F4FA4">
            <w:pPr>
              <w:spacing w:line="320" w:lineRule="exact"/>
              <w:jc w:val="center"/>
              <w:rPr>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分）</w:t>
            </w:r>
          </w:p>
        </w:tc>
        <w:tc>
          <w:tcPr>
            <w:tcW w:w="7144" w:type="dxa"/>
            <w:gridSpan w:val="2"/>
            <w:tcBorders>
              <w:top w:val="single" w:color="auto" w:sz="4" w:space="0"/>
              <w:left w:val="nil"/>
              <w:bottom w:val="single" w:color="auto" w:sz="4" w:space="0"/>
              <w:right w:val="single" w:color="auto" w:sz="4" w:space="0"/>
            </w:tcBorders>
            <w:vAlign w:val="center"/>
          </w:tcPr>
          <w:p w14:paraId="1980571C">
            <w:pPr>
              <w:rPr>
                <w:color w:val="auto"/>
                <w:highlight w:val="none"/>
              </w:rPr>
            </w:pPr>
            <w:r>
              <w:rPr>
                <w:rFonts w:hint="eastAsia"/>
                <w:color w:val="auto"/>
                <w:highlight w:val="none"/>
              </w:rPr>
              <w:t>提供2023年1月1日至今</w:t>
            </w:r>
            <w:r>
              <w:rPr>
                <w:rFonts w:hint="eastAsia"/>
                <w:color w:val="auto"/>
                <w:highlight w:val="none"/>
                <w:lang w:val="en-US" w:eastAsia="zh-CN"/>
              </w:rPr>
              <w:t>（以合同签订日期为准）</w:t>
            </w:r>
            <w:r>
              <w:rPr>
                <w:rFonts w:hint="eastAsia"/>
                <w:color w:val="auto"/>
                <w:highlight w:val="none"/>
              </w:rPr>
              <w:t>所完成的类似项目，每提供一个得2分，最高得</w:t>
            </w:r>
            <w:r>
              <w:rPr>
                <w:rFonts w:hint="eastAsia"/>
                <w:color w:val="auto"/>
                <w:highlight w:val="none"/>
                <w:lang w:val="en-US" w:eastAsia="zh-CN"/>
              </w:rPr>
              <w:t>4</w:t>
            </w:r>
            <w:r>
              <w:rPr>
                <w:rFonts w:hint="eastAsia"/>
                <w:color w:val="auto"/>
                <w:highlight w:val="none"/>
              </w:rPr>
              <w:t>分（评标时以中标通知书及合同扫描件为准，否则不得分）。</w:t>
            </w:r>
          </w:p>
        </w:tc>
      </w:tr>
      <w:tr w14:paraId="0D009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90" w:type="dxa"/>
            <w:vMerge w:val="continue"/>
            <w:tcBorders>
              <w:left w:val="single" w:color="auto" w:sz="4" w:space="0"/>
              <w:right w:val="single" w:color="auto" w:sz="4" w:space="0"/>
            </w:tcBorders>
            <w:vAlign w:val="center"/>
          </w:tcPr>
          <w:p w14:paraId="705C2B88">
            <w:pPr>
              <w:spacing w:line="420" w:lineRule="exact"/>
              <w:jc w:val="center"/>
              <w:rPr>
                <w:rFonts w:hint="eastAsia" w:ascii="宋体" w:hAnsi="宋体"/>
                <w:color w:val="auto"/>
                <w:highlight w:val="none"/>
              </w:rPr>
            </w:pPr>
          </w:p>
        </w:tc>
        <w:tc>
          <w:tcPr>
            <w:tcW w:w="1455" w:type="dxa"/>
            <w:vMerge w:val="restart"/>
            <w:tcBorders>
              <w:top w:val="single" w:color="auto" w:sz="4" w:space="0"/>
              <w:left w:val="single" w:color="auto" w:sz="4" w:space="0"/>
              <w:right w:val="single" w:color="auto" w:sz="4" w:space="0"/>
            </w:tcBorders>
            <w:vAlign w:val="center"/>
          </w:tcPr>
          <w:p w14:paraId="2C8F3B4B">
            <w:pPr>
              <w:spacing w:line="320" w:lineRule="exact"/>
              <w:jc w:val="center"/>
              <w:rPr>
                <w:color w:val="auto"/>
                <w:highlight w:val="none"/>
              </w:rPr>
            </w:pPr>
            <w:r>
              <w:rPr>
                <w:rFonts w:hint="eastAsia"/>
                <w:color w:val="auto"/>
                <w:highlight w:val="none"/>
              </w:rPr>
              <w:t>企业实力</w:t>
            </w:r>
          </w:p>
          <w:p w14:paraId="5BC7293C">
            <w:pPr>
              <w:spacing w:line="320" w:lineRule="exact"/>
              <w:jc w:val="center"/>
              <w:rPr>
                <w:color w:val="auto"/>
                <w:highlight w:val="none"/>
              </w:rPr>
            </w:pPr>
            <w:r>
              <w:rPr>
                <w:rFonts w:hint="eastAsia"/>
                <w:color w:val="auto"/>
                <w:highlight w:val="none"/>
              </w:rPr>
              <w:t>（</w:t>
            </w:r>
            <w:r>
              <w:rPr>
                <w:rFonts w:hint="eastAsia"/>
                <w:color w:val="auto"/>
                <w:highlight w:val="none"/>
                <w:lang w:val="en-US" w:eastAsia="zh-CN"/>
              </w:rPr>
              <w:t>12</w:t>
            </w:r>
            <w:r>
              <w:rPr>
                <w:rFonts w:hint="eastAsia"/>
                <w:color w:val="auto"/>
                <w:highlight w:val="none"/>
              </w:rPr>
              <w:t>分）</w:t>
            </w:r>
          </w:p>
        </w:tc>
        <w:tc>
          <w:tcPr>
            <w:tcW w:w="7144" w:type="dxa"/>
            <w:gridSpan w:val="2"/>
            <w:tcBorders>
              <w:top w:val="single" w:color="auto" w:sz="4" w:space="0"/>
              <w:left w:val="nil"/>
              <w:bottom w:val="single" w:color="auto" w:sz="4" w:space="0"/>
              <w:right w:val="single" w:color="auto" w:sz="4" w:space="0"/>
            </w:tcBorders>
            <w:vAlign w:val="center"/>
          </w:tcPr>
          <w:p w14:paraId="355764E9">
            <w:pPr>
              <w:rPr>
                <w:rFonts w:hint="eastAsia"/>
                <w:color w:val="auto"/>
                <w:highlight w:val="none"/>
                <w:lang w:val="en-US" w:eastAsia="zh-CN"/>
              </w:rPr>
            </w:pPr>
            <w:r>
              <w:rPr>
                <w:rFonts w:hint="eastAsia"/>
                <w:color w:val="auto"/>
                <w:highlight w:val="none"/>
                <w:lang w:val="en-US" w:eastAsia="zh-CN"/>
              </w:rPr>
              <w:t>1、</w:t>
            </w:r>
            <w:r>
              <w:rPr>
                <w:rFonts w:hint="eastAsia" w:ascii="Times New Roman" w:hAnsi="Times New Roman"/>
                <w:color w:val="auto"/>
                <w:highlight w:val="none"/>
                <w:lang w:val="en-US" w:eastAsia="zh-CN"/>
              </w:rPr>
              <w:t>投标人</w:t>
            </w:r>
            <w:r>
              <w:rPr>
                <w:rFonts w:hint="eastAsia"/>
                <w:color w:val="auto"/>
                <w:highlight w:val="none"/>
                <w:lang w:val="en-US" w:eastAsia="zh-CN"/>
              </w:rPr>
              <w:t>具有能够储存食材的仓库仓储能力（3分）</w:t>
            </w:r>
          </w:p>
          <w:p w14:paraId="37EF7E39">
            <w:pPr>
              <w:spacing w:line="320" w:lineRule="exact"/>
              <w:rPr>
                <w:color w:val="auto"/>
                <w:highlight w:val="none"/>
              </w:rPr>
            </w:pPr>
            <w:r>
              <w:rPr>
                <w:rFonts w:hint="eastAsia"/>
                <w:color w:val="auto"/>
                <w:highlight w:val="none"/>
              </w:rPr>
              <w:t>（1）</w:t>
            </w:r>
            <w:r>
              <w:rPr>
                <w:rFonts w:hint="eastAsia"/>
                <w:color w:val="auto"/>
                <w:highlight w:val="none"/>
                <w:lang w:val="en-US" w:eastAsia="zh-CN"/>
              </w:rPr>
              <w:t>仓库面积在1000</w:t>
            </w:r>
            <w:r>
              <w:rPr>
                <w:rFonts w:hint="default" w:ascii="Times New Roman" w:hAnsi="Times New Roman" w:eastAsia="宋体" w:cs="Times New Roman"/>
                <w:color w:val="auto"/>
                <w:kern w:val="2"/>
                <w:sz w:val="21"/>
                <w:szCs w:val="21"/>
                <w:highlight w:val="none"/>
                <w:lang w:val="en-US" w:eastAsia="zh-CN" w:bidi="ar-SA"/>
              </w:rPr>
              <w:t>㎡以上得</w:t>
            </w:r>
            <w:r>
              <w:rPr>
                <w:rFonts w:hint="eastAsia" w:ascii="Times New Roman" w:hAnsi="Times New Roman" w:eastAsia="宋体" w:cs="Times New Roman"/>
                <w:color w:val="auto"/>
                <w:kern w:val="2"/>
                <w:sz w:val="21"/>
                <w:szCs w:val="21"/>
                <w:highlight w:val="none"/>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分</w:t>
            </w:r>
            <w:r>
              <w:rPr>
                <w:rFonts w:hint="eastAsia"/>
                <w:color w:val="auto"/>
                <w:highlight w:val="none"/>
              </w:rPr>
              <w:t>；</w:t>
            </w:r>
          </w:p>
          <w:p w14:paraId="18527DB4">
            <w:pPr>
              <w:spacing w:line="320" w:lineRule="exact"/>
              <w:rPr>
                <w:color w:val="auto"/>
                <w:highlight w:val="none"/>
              </w:rPr>
            </w:pPr>
            <w:r>
              <w:rPr>
                <w:rFonts w:hint="eastAsia"/>
                <w:color w:val="auto"/>
                <w:highlight w:val="none"/>
              </w:rPr>
              <w:t>（2）</w:t>
            </w:r>
            <w:r>
              <w:rPr>
                <w:rFonts w:hint="eastAsia"/>
                <w:color w:val="auto"/>
                <w:highlight w:val="none"/>
                <w:lang w:val="en-US" w:eastAsia="zh-CN"/>
              </w:rPr>
              <w:t>仓库面积在500</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w:t>
            </w:r>
            <w:r>
              <w:rPr>
                <w:rFonts w:hint="eastAsia"/>
                <w:color w:val="auto"/>
                <w:highlight w:val="none"/>
                <w:lang w:val="en-US" w:eastAsia="zh-CN"/>
              </w:rPr>
              <w:t>1000</w:t>
            </w:r>
            <w:r>
              <w:rPr>
                <w:rFonts w:hint="default" w:ascii="Times New Roman" w:hAnsi="Times New Roman" w:eastAsia="宋体" w:cs="Times New Roman"/>
                <w:color w:val="auto"/>
                <w:kern w:val="2"/>
                <w:sz w:val="21"/>
                <w:szCs w:val="21"/>
                <w:highlight w:val="none"/>
                <w:lang w:val="en-US" w:eastAsia="zh-CN" w:bidi="ar-SA"/>
              </w:rPr>
              <w:t>㎡得</w:t>
            </w:r>
            <w:r>
              <w:rPr>
                <w:rFonts w:hint="eastAsia" w:ascii="Times New Roman" w:hAnsi="Times New Roman" w:eastAsia="宋体" w:cs="Times New Roman"/>
                <w:color w:val="auto"/>
                <w:kern w:val="2"/>
                <w:sz w:val="21"/>
                <w:szCs w:val="21"/>
                <w:highlight w:val="none"/>
                <w:lang w:val="en-US" w:eastAsia="zh-CN" w:bidi="ar-SA"/>
              </w:rPr>
              <w:t>2</w:t>
            </w:r>
            <w:r>
              <w:rPr>
                <w:rFonts w:hint="eastAsia"/>
                <w:color w:val="auto"/>
                <w:highlight w:val="none"/>
              </w:rPr>
              <w:t>分；</w:t>
            </w:r>
          </w:p>
          <w:p w14:paraId="744A5D8A">
            <w:pPr>
              <w:rPr>
                <w:rFonts w:hint="eastAsia" w:eastAsia="宋体"/>
                <w:color w:val="auto"/>
                <w:highlight w:val="none"/>
                <w:lang w:eastAsia="zh-CN"/>
              </w:rPr>
            </w:pPr>
            <w:r>
              <w:rPr>
                <w:rFonts w:hint="eastAsia"/>
                <w:color w:val="auto"/>
                <w:highlight w:val="none"/>
              </w:rPr>
              <w:t>（3）</w:t>
            </w:r>
            <w:r>
              <w:rPr>
                <w:rFonts w:hint="eastAsia"/>
                <w:color w:val="auto"/>
                <w:highlight w:val="none"/>
                <w:lang w:val="en-US" w:eastAsia="zh-CN"/>
              </w:rPr>
              <w:t>仓库面积在500</w:t>
            </w:r>
            <w:r>
              <w:rPr>
                <w:rFonts w:hint="default" w:ascii="Times New Roman" w:hAnsi="Times New Roman" w:eastAsia="宋体" w:cs="Times New Roman"/>
                <w:color w:val="auto"/>
                <w:kern w:val="2"/>
                <w:sz w:val="21"/>
                <w:szCs w:val="21"/>
                <w:highlight w:val="none"/>
                <w:lang w:val="en-US" w:eastAsia="zh-CN" w:bidi="ar-SA"/>
              </w:rPr>
              <w:t>㎡以</w:t>
            </w:r>
            <w:r>
              <w:rPr>
                <w:rFonts w:hint="eastAsia" w:ascii="Times New Roman" w:hAnsi="Times New Roman" w:eastAsia="宋体" w:cs="Times New Roman"/>
                <w:color w:val="auto"/>
                <w:kern w:val="2"/>
                <w:sz w:val="21"/>
                <w:szCs w:val="21"/>
                <w:highlight w:val="none"/>
                <w:lang w:val="en-US" w:eastAsia="zh-CN" w:bidi="ar-SA"/>
              </w:rPr>
              <w:t>下</w:t>
            </w:r>
            <w:r>
              <w:rPr>
                <w:rFonts w:hint="default" w:ascii="Times New Roman" w:hAnsi="Times New Roman" w:eastAsia="宋体" w:cs="Times New Roman"/>
                <w:color w:val="auto"/>
                <w:kern w:val="2"/>
                <w:sz w:val="21"/>
                <w:szCs w:val="21"/>
                <w:highlight w:val="none"/>
                <w:lang w:val="en-US" w:eastAsia="zh-CN" w:bidi="ar-SA"/>
              </w:rPr>
              <w:t>得</w:t>
            </w:r>
            <w:r>
              <w:rPr>
                <w:rFonts w:hint="eastAsia" w:ascii="Times New Roman" w:hAnsi="Times New Roman" w:eastAsia="宋体" w:cs="Times New Roman"/>
                <w:color w:val="auto"/>
                <w:kern w:val="2"/>
                <w:sz w:val="21"/>
                <w:szCs w:val="21"/>
                <w:highlight w:val="none"/>
                <w:lang w:val="en-US" w:eastAsia="zh-CN" w:bidi="ar-SA"/>
              </w:rPr>
              <w:t>1</w:t>
            </w:r>
            <w:r>
              <w:rPr>
                <w:rFonts w:hint="default" w:ascii="Times New Roman" w:hAnsi="Times New Roman" w:eastAsia="宋体" w:cs="Times New Roman"/>
                <w:color w:val="auto"/>
                <w:kern w:val="2"/>
                <w:sz w:val="21"/>
                <w:szCs w:val="21"/>
                <w:highlight w:val="none"/>
                <w:lang w:val="en-US" w:eastAsia="zh-CN" w:bidi="ar-SA"/>
              </w:rPr>
              <w:t>分</w:t>
            </w:r>
            <w:r>
              <w:rPr>
                <w:rFonts w:hint="eastAsia" w:eastAsia="宋体"/>
                <w:color w:val="auto"/>
                <w:highlight w:val="none"/>
                <w:lang w:eastAsia="zh-CN"/>
              </w:rPr>
              <w:t>。</w:t>
            </w:r>
          </w:p>
          <w:p w14:paraId="1ED97B16">
            <w:pPr>
              <w:rPr>
                <w:rFonts w:hint="eastAsia" w:eastAsia="宋体"/>
                <w:color w:val="auto"/>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注：投标文件中须提供房屋产权证明或租赁合同等相关场地证明材料</w:t>
            </w:r>
            <w:r>
              <w:rPr>
                <w:rFonts w:hint="eastAsia" w:ascii="Times New Roman" w:hAnsi="Times New Roman" w:eastAsia="宋体" w:cs="Times New Roman"/>
                <w:color w:val="auto"/>
                <w:kern w:val="2"/>
                <w:sz w:val="21"/>
                <w:szCs w:val="21"/>
                <w:highlight w:val="none"/>
                <w:lang w:val="en-US" w:eastAsia="zh-CN" w:bidi="ar-SA"/>
              </w:rPr>
              <w:t>扫描</w:t>
            </w:r>
            <w:r>
              <w:rPr>
                <w:rFonts w:hint="default" w:ascii="Times New Roman" w:hAnsi="Times New Roman" w:eastAsia="宋体" w:cs="Times New Roman"/>
                <w:color w:val="auto"/>
                <w:kern w:val="2"/>
                <w:sz w:val="21"/>
                <w:szCs w:val="21"/>
                <w:highlight w:val="none"/>
                <w:lang w:val="en-US" w:eastAsia="zh-CN" w:bidi="ar-SA"/>
              </w:rPr>
              <w:t>件，未提供不得分。</w:t>
            </w:r>
          </w:p>
        </w:tc>
      </w:tr>
      <w:tr w14:paraId="1B67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990" w:type="dxa"/>
            <w:vMerge w:val="continue"/>
            <w:tcBorders>
              <w:left w:val="single" w:color="auto" w:sz="4" w:space="0"/>
              <w:right w:val="single" w:color="auto" w:sz="4" w:space="0"/>
            </w:tcBorders>
            <w:vAlign w:val="center"/>
          </w:tcPr>
          <w:p w14:paraId="0BBB483B">
            <w:pPr>
              <w:spacing w:line="420" w:lineRule="exact"/>
              <w:jc w:val="center"/>
              <w:rPr>
                <w:rFonts w:hint="eastAsia" w:ascii="宋体" w:hAnsi="宋体"/>
                <w:color w:val="auto"/>
                <w:highlight w:val="none"/>
              </w:rPr>
            </w:pPr>
          </w:p>
        </w:tc>
        <w:tc>
          <w:tcPr>
            <w:tcW w:w="1455" w:type="dxa"/>
            <w:vMerge w:val="continue"/>
            <w:tcBorders>
              <w:left w:val="single" w:color="auto" w:sz="4" w:space="0"/>
              <w:right w:val="single" w:color="auto" w:sz="4" w:space="0"/>
            </w:tcBorders>
            <w:vAlign w:val="center"/>
          </w:tcPr>
          <w:p w14:paraId="3209C15F">
            <w:pPr>
              <w:spacing w:line="320" w:lineRule="exact"/>
              <w:jc w:val="center"/>
              <w:rPr>
                <w:rFonts w:hint="eastAsia"/>
                <w:color w:val="auto"/>
                <w:highlight w:val="none"/>
              </w:rPr>
            </w:pPr>
          </w:p>
        </w:tc>
        <w:tc>
          <w:tcPr>
            <w:tcW w:w="7144" w:type="dxa"/>
            <w:gridSpan w:val="2"/>
            <w:tcBorders>
              <w:top w:val="single" w:color="auto" w:sz="4" w:space="0"/>
              <w:left w:val="nil"/>
              <w:bottom w:val="single" w:color="auto" w:sz="4" w:space="0"/>
              <w:right w:val="single" w:color="auto" w:sz="4" w:space="0"/>
            </w:tcBorders>
            <w:vAlign w:val="center"/>
          </w:tcPr>
          <w:p w14:paraId="246E26DD">
            <w:pPr>
              <w:rPr>
                <w:rFonts w:hint="eastAsia"/>
                <w:color w:val="auto"/>
                <w:highlight w:val="none"/>
                <w:lang w:val="en-US" w:eastAsia="zh-CN"/>
              </w:rPr>
            </w:pPr>
            <w:r>
              <w:rPr>
                <w:rFonts w:hint="eastAsia"/>
                <w:color w:val="auto"/>
                <w:highlight w:val="none"/>
                <w:lang w:val="en-US" w:eastAsia="zh-CN"/>
              </w:rPr>
              <w:t>2、运输能力（3分）</w:t>
            </w:r>
          </w:p>
          <w:p w14:paraId="5BAEB598">
            <w:pPr>
              <w:rPr>
                <w:rFonts w:hint="eastAsia"/>
                <w:color w:val="auto"/>
                <w:highlight w:val="none"/>
                <w:lang w:val="en-US" w:eastAsia="zh-CN"/>
              </w:rPr>
            </w:pPr>
            <w:r>
              <w:rPr>
                <w:rFonts w:hint="eastAsia"/>
                <w:color w:val="auto"/>
                <w:highlight w:val="none"/>
                <w:lang w:val="en-US" w:eastAsia="zh-CN"/>
              </w:rPr>
              <w:t>投标人</w:t>
            </w:r>
            <w:r>
              <w:rPr>
                <w:rFonts w:hint="eastAsia" w:ascii="宋体" w:hAnsi="宋体" w:eastAsia="宋体" w:cs="宋体"/>
                <w:color w:val="auto"/>
                <w:spacing w:val="2"/>
                <w:szCs w:val="21"/>
                <w:highlight w:val="none"/>
                <w:lang w:val="en-US" w:eastAsia="zh-CN"/>
              </w:rPr>
              <w:t>每有一辆</w:t>
            </w:r>
            <w:r>
              <w:rPr>
                <w:rFonts w:hint="eastAsia"/>
                <w:color w:val="auto"/>
                <w:highlight w:val="none"/>
                <w:lang w:val="en-US" w:eastAsia="zh-CN"/>
              </w:rPr>
              <w:t>货物专用配送车辆得1分，最多得3分，没有的不得分。（车辆登记在供应商公司或具有租车合同，在投标文件中附车辆登记证书原件扫描件或租车合同扫描件，否则不得分）</w:t>
            </w:r>
          </w:p>
        </w:tc>
      </w:tr>
      <w:tr w14:paraId="6A5D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990" w:type="dxa"/>
            <w:vMerge w:val="continue"/>
            <w:tcBorders>
              <w:left w:val="single" w:color="auto" w:sz="4" w:space="0"/>
              <w:right w:val="single" w:color="auto" w:sz="4" w:space="0"/>
            </w:tcBorders>
            <w:vAlign w:val="center"/>
          </w:tcPr>
          <w:p w14:paraId="3B5E8C86">
            <w:pPr>
              <w:spacing w:line="420" w:lineRule="exact"/>
              <w:jc w:val="center"/>
              <w:rPr>
                <w:rFonts w:hint="eastAsia" w:ascii="宋体" w:hAnsi="宋体"/>
                <w:color w:val="auto"/>
                <w:highlight w:val="none"/>
              </w:rPr>
            </w:pPr>
          </w:p>
        </w:tc>
        <w:tc>
          <w:tcPr>
            <w:tcW w:w="1455" w:type="dxa"/>
            <w:vMerge w:val="continue"/>
            <w:tcBorders>
              <w:left w:val="single" w:color="auto" w:sz="4" w:space="0"/>
              <w:right w:val="single" w:color="auto" w:sz="4" w:space="0"/>
            </w:tcBorders>
            <w:vAlign w:val="center"/>
          </w:tcPr>
          <w:p w14:paraId="5B468356">
            <w:pPr>
              <w:spacing w:line="320" w:lineRule="exact"/>
              <w:jc w:val="center"/>
              <w:rPr>
                <w:rFonts w:hint="eastAsia"/>
                <w:color w:val="auto"/>
                <w:highlight w:val="none"/>
              </w:rPr>
            </w:pPr>
          </w:p>
        </w:tc>
        <w:tc>
          <w:tcPr>
            <w:tcW w:w="7144" w:type="dxa"/>
            <w:gridSpan w:val="2"/>
            <w:tcBorders>
              <w:top w:val="single" w:color="auto" w:sz="4" w:space="0"/>
              <w:left w:val="nil"/>
              <w:bottom w:val="single" w:color="auto" w:sz="4" w:space="0"/>
              <w:right w:val="single" w:color="auto" w:sz="4" w:space="0"/>
            </w:tcBorders>
            <w:vAlign w:val="center"/>
          </w:tcPr>
          <w:p w14:paraId="7E478CBD">
            <w:pPr>
              <w:rPr>
                <w:rFonts w:hint="eastAsia" w:eastAsia="宋体" w:cs="Times New Roman"/>
                <w:color w:val="auto"/>
                <w:highlight w:val="none"/>
                <w:lang w:val="en-US" w:eastAsia="zh-CN"/>
              </w:rPr>
            </w:pPr>
            <w:r>
              <w:rPr>
                <w:rFonts w:hint="eastAsia"/>
                <w:color w:val="auto"/>
                <w:highlight w:val="none"/>
                <w:lang w:val="en-US" w:eastAsia="zh-CN"/>
              </w:rPr>
              <w:t>3、</w:t>
            </w:r>
            <w:r>
              <w:rPr>
                <w:rFonts w:hint="eastAsia" w:eastAsia="宋体" w:cs="Times New Roman"/>
                <w:color w:val="auto"/>
                <w:highlight w:val="none"/>
                <w:lang w:val="en-US" w:eastAsia="zh-CN"/>
              </w:rPr>
              <w:t>拟投入项目工作人员（6分）</w:t>
            </w:r>
          </w:p>
          <w:p w14:paraId="64AA279D">
            <w:pPr>
              <w:rPr>
                <w:rFonts w:hint="eastAsia" w:eastAsia="宋体" w:cs="Times New Roman"/>
                <w:color w:val="auto"/>
                <w:highlight w:val="none"/>
                <w:lang w:val="en-US" w:eastAsia="zh-CN"/>
              </w:rPr>
            </w:pPr>
            <w:r>
              <w:rPr>
                <w:rFonts w:hint="eastAsia" w:eastAsia="宋体" w:cs="Times New Roman"/>
                <w:color w:val="auto"/>
                <w:highlight w:val="none"/>
                <w:lang w:val="en-US" w:eastAsia="zh-CN"/>
              </w:rPr>
              <w:t>（1）投标人每投入一名项目工作人员（不包含司机）得1分，最多得5分，没有的不得分。（在投标文件中需提供人员清单，清单应明确标注每位工作人员的姓名、身份证号、岗位，并提供有效的健康证明、身份证扫描件，同时提供2026年1月以来至少</w:t>
            </w:r>
            <w:r>
              <w:rPr>
                <w:rFonts w:hint="eastAsia" w:cs="Times New Roman"/>
                <w:color w:val="auto"/>
                <w:highlight w:val="none"/>
                <w:lang w:val="en-US" w:eastAsia="zh-CN"/>
              </w:rPr>
              <w:t>1</w:t>
            </w:r>
            <w:r>
              <w:rPr>
                <w:rFonts w:hint="eastAsia" w:eastAsia="宋体" w:cs="Times New Roman"/>
                <w:color w:val="auto"/>
                <w:highlight w:val="none"/>
                <w:lang w:val="en-US" w:eastAsia="zh-CN"/>
              </w:rPr>
              <w:t>个月的社保缴纳证明</w:t>
            </w:r>
            <w:r>
              <w:rPr>
                <w:rFonts w:hint="eastAsia" w:cs="Times New Roman"/>
                <w:color w:val="auto"/>
                <w:highlight w:val="none"/>
                <w:lang w:val="en-US" w:eastAsia="zh-CN"/>
              </w:rPr>
              <w:t>或提供依法缴纳社会保障资金承诺书，以证明拟投入人员为投标人本单位在职员工即可。</w:t>
            </w:r>
            <w:r>
              <w:rPr>
                <w:rFonts w:hint="eastAsia" w:eastAsia="宋体" w:cs="Times New Roman"/>
                <w:color w:val="auto"/>
                <w:highlight w:val="none"/>
                <w:lang w:val="en-US" w:eastAsia="zh-CN"/>
              </w:rPr>
              <w:t>否则不得分）</w:t>
            </w:r>
          </w:p>
          <w:p w14:paraId="137EA6AE">
            <w:pPr>
              <w:rPr>
                <w:rFonts w:hint="default" w:eastAsia="宋体" w:cs="Times New Roman"/>
                <w:color w:val="auto"/>
                <w:highlight w:val="none"/>
                <w:lang w:val="en-US" w:eastAsia="zh-CN"/>
              </w:rPr>
            </w:pPr>
            <w:r>
              <w:rPr>
                <w:rFonts w:hint="eastAsia" w:eastAsia="宋体" w:cs="Times New Roman"/>
                <w:color w:val="auto"/>
                <w:highlight w:val="none"/>
                <w:lang w:val="en-US" w:eastAsia="zh-CN"/>
              </w:rPr>
              <w:t>（2）拟投入项目工作人员中，明确专职质检员得1分。（提供有效的健康证明、身份证、相关证书扫描件，同时提供2026年1月以来至少</w:t>
            </w:r>
            <w:r>
              <w:rPr>
                <w:rFonts w:hint="eastAsia" w:cs="Times New Roman"/>
                <w:color w:val="auto"/>
                <w:highlight w:val="none"/>
                <w:lang w:val="en-US" w:eastAsia="zh-CN"/>
              </w:rPr>
              <w:t>1</w:t>
            </w:r>
            <w:r>
              <w:rPr>
                <w:rFonts w:hint="eastAsia" w:eastAsia="宋体" w:cs="Times New Roman"/>
                <w:color w:val="auto"/>
                <w:highlight w:val="none"/>
                <w:lang w:val="en-US" w:eastAsia="zh-CN"/>
              </w:rPr>
              <w:t>个月的社保缴纳证明</w:t>
            </w:r>
            <w:r>
              <w:rPr>
                <w:rFonts w:hint="eastAsia" w:cs="Times New Roman"/>
                <w:color w:val="auto"/>
                <w:highlight w:val="none"/>
                <w:lang w:val="en-US" w:eastAsia="zh-CN"/>
              </w:rPr>
              <w:t>或提供依法缴纳社会保障资金承诺书，以证明拟投入人员为投标人本单位在职员工即可。</w:t>
            </w:r>
            <w:r>
              <w:rPr>
                <w:rFonts w:hint="eastAsia" w:eastAsia="宋体" w:cs="Times New Roman"/>
                <w:color w:val="auto"/>
                <w:highlight w:val="none"/>
                <w:lang w:val="en-US" w:eastAsia="zh-CN"/>
              </w:rPr>
              <w:t>否则不得分）</w:t>
            </w:r>
          </w:p>
        </w:tc>
      </w:tr>
      <w:tr w14:paraId="4C30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990" w:type="dxa"/>
            <w:vMerge w:val="continue"/>
            <w:tcBorders>
              <w:left w:val="single" w:color="auto" w:sz="4" w:space="0"/>
              <w:right w:val="single" w:color="auto" w:sz="4" w:space="0"/>
            </w:tcBorders>
            <w:vAlign w:val="center"/>
          </w:tcPr>
          <w:p w14:paraId="1E1784E9">
            <w:pPr>
              <w:spacing w:line="420" w:lineRule="exact"/>
              <w:jc w:val="center"/>
              <w:rPr>
                <w:rFonts w:hint="eastAsia" w:ascii="宋体" w:hAnsi="宋体"/>
                <w:color w:val="auto"/>
                <w:highlight w:val="none"/>
              </w:rPr>
            </w:pPr>
          </w:p>
        </w:tc>
        <w:tc>
          <w:tcPr>
            <w:tcW w:w="1455" w:type="dxa"/>
            <w:tcBorders>
              <w:left w:val="single" w:color="auto" w:sz="4" w:space="0"/>
              <w:right w:val="single" w:color="auto" w:sz="4" w:space="0"/>
            </w:tcBorders>
            <w:vAlign w:val="center"/>
          </w:tcPr>
          <w:p w14:paraId="50772F86">
            <w:pPr>
              <w:pStyle w:val="10"/>
              <w:keepNext w:val="0"/>
              <w:keepLines w:val="0"/>
              <w:pageBreakBefore w:val="0"/>
              <w:widowControl w:val="0"/>
              <w:kinsoku/>
              <w:wordWrap/>
              <w:overflowPunct/>
              <w:topLinePunct w:val="0"/>
              <w:autoSpaceDE/>
              <w:autoSpaceDN/>
              <w:bidi w:val="0"/>
              <w:adjustRightInd w:val="0"/>
              <w:snapToGrid w:val="0"/>
              <w:spacing w:beforeAutospacing="0" w:after="0" w:line="420" w:lineRule="exact"/>
              <w:jc w:val="center"/>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专业检测能力（2分）</w:t>
            </w:r>
          </w:p>
        </w:tc>
        <w:tc>
          <w:tcPr>
            <w:tcW w:w="7144" w:type="dxa"/>
            <w:gridSpan w:val="2"/>
            <w:tcBorders>
              <w:top w:val="single" w:color="auto" w:sz="4" w:space="0"/>
              <w:left w:val="nil"/>
              <w:bottom w:val="single" w:color="auto" w:sz="4" w:space="0"/>
              <w:right w:val="single" w:color="auto" w:sz="4" w:space="0"/>
            </w:tcBorders>
            <w:vAlign w:val="top"/>
          </w:tcPr>
          <w:p w14:paraId="5B497552">
            <w:pPr>
              <w:rPr>
                <w:rFonts w:hint="eastAsia"/>
                <w:color w:val="auto"/>
                <w:highlight w:val="none"/>
                <w:lang w:val="en-US" w:eastAsia="zh-CN"/>
              </w:rPr>
            </w:pPr>
            <w:r>
              <w:rPr>
                <w:rFonts w:hint="eastAsia"/>
                <w:color w:val="auto"/>
                <w:highlight w:val="none"/>
                <w:lang w:val="en-US" w:eastAsia="zh-CN"/>
              </w:rPr>
              <w:t>投标人具有相应的检测能力，至少具有4种检测检验设备，满足的得2分，不满足或未提供不得分。</w:t>
            </w:r>
          </w:p>
          <w:p w14:paraId="6B14EE23">
            <w:pPr>
              <w:rPr>
                <w:rFonts w:hint="eastAsia"/>
                <w:color w:val="auto"/>
                <w:highlight w:val="none"/>
                <w:lang w:val="en-US" w:eastAsia="zh-CN"/>
              </w:rPr>
            </w:pPr>
            <w:r>
              <w:rPr>
                <w:rFonts w:hint="eastAsia"/>
                <w:color w:val="auto"/>
                <w:highlight w:val="none"/>
                <w:lang w:val="en-US" w:eastAsia="zh-CN"/>
              </w:rPr>
              <w:t>检测设备可以为：农药残留检测仪，多功能食品安全检测仪，食品甲醛检测仪兽药残留检测仪，病害肉检测仪，食用油检测仪。</w:t>
            </w:r>
          </w:p>
          <w:p w14:paraId="5E7D0A89">
            <w:pPr>
              <w:rPr>
                <w:rFonts w:hint="eastAsia"/>
                <w:color w:val="auto"/>
                <w:highlight w:val="none"/>
                <w:lang w:val="en-US" w:eastAsia="zh-CN"/>
              </w:rPr>
            </w:pPr>
            <w:r>
              <w:rPr>
                <w:rFonts w:hint="eastAsia"/>
                <w:b w:val="0"/>
                <w:bCs w:val="0"/>
                <w:color w:val="auto"/>
                <w:highlight w:val="none"/>
                <w:lang w:val="en-US" w:eastAsia="zh-CN"/>
              </w:rPr>
              <w:t>注：自有检验设备提供：发票（自有）、设备图片或合格证（或实物标识）原件扫描件；租赁检验设备提供：租赁协议、租赁付款凭证、设备图片或合格证（或实物标识）原件扫描件；否则不得分。</w:t>
            </w:r>
          </w:p>
        </w:tc>
      </w:tr>
      <w:tr w14:paraId="12EC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990" w:type="dxa"/>
            <w:vMerge w:val="continue"/>
            <w:tcBorders>
              <w:left w:val="single" w:color="auto" w:sz="4" w:space="0"/>
              <w:right w:val="single" w:color="auto" w:sz="4" w:space="0"/>
            </w:tcBorders>
            <w:vAlign w:val="center"/>
          </w:tcPr>
          <w:p w14:paraId="5BA6E392">
            <w:pPr>
              <w:spacing w:line="420" w:lineRule="exact"/>
              <w:jc w:val="center"/>
              <w:rPr>
                <w:rFonts w:hint="eastAsia" w:ascii="宋体" w:hAnsi="宋体"/>
                <w:color w:val="auto"/>
                <w:highlight w:val="none"/>
              </w:rPr>
            </w:pPr>
          </w:p>
        </w:tc>
        <w:tc>
          <w:tcPr>
            <w:tcW w:w="1455" w:type="dxa"/>
            <w:tcBorders>
              <w:left w:val="single" w:color="auto" w:sz="4" w:space="0"/>
              <w:right w:val="single" w:color="auto" w:sz="4" w:space="0"/>
            </w:tcBorders>
            <w:vAlign w:val="center"/>
          </w:tcPr>
          <w:p w14:paraId="06EFB97C">
            <w:pPr>
              <w:pStyle w:val="10"/>
              <w:keepNext w:val="0"/>
              <w:keepLines w:val="0"/>
              <w:pageBreakBefore w:val="0"/>
              <w:widowControl w:val="0"/>
              <w:kinsoku/>
              <w:wordWrap/>
              <w:overflowPunct/>
              <w:topLinePunct w:val="0"/>
              <w:autoSpaceDE/>
              <w:autoSpaceDN/>
              <w:bidi w:val="0"/>
              <w:adjustRightInd w:val="0"/>
              <w:snapToGrid w:val="0"/>
              <w:spacing w:beforeAutospacing="0" w:after="0" w:line="420" w:lineRule="exact"/>
              <w:jc w:val="center"/>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食材质量保证（2分）</w:t>
            </w:r>
          </w:p>
        </w:tc>
        <w:tc>
          <w:tcPr>
            <w:tcW w:w="7144" w:type="dxa"/>
            <w:gridSpan w:val="2"/>
            <w:tcBorders>
              <w:top w:val="single" w:color="auto" w:sz="4" w:space="0"/>
              <w:left w:val="nil"/>
              <w:bottom w:val="single" w:color="auto" w:sz="4" w:space="0"/>
              <w:right w:val="single" w:color="auto" w:sz="4" w:space="0"/>
            </w:tcBorders>
            <w:vAlign w:val="top"/>
          </w:tcPr>
          <w:p w14:paraId="39E7AEA8">
            <w:pPr>
              <w:rPr>
                <w:rFonts w:hint="eastAsia"/>
                <w:color w:val="auto"/>
                <w:highlight w:val="none"/>
                <w:lang w:val="en-US" w:eastAsia="zh-CN"/>
              </w:rPr>
            </w:pPr>
            <w:r>
              <w:rPr>
                <w:rFonts w:hint="eastAsia"/>
                <w:color w:val="auto"/>
                <w:highlight w:val="none"/>
                <w:lang w:val="en-US" w:eastAsia="zh-CN"/>
              </w:rPr>
              <w:t xml:space="preserve">投标人承诺中标后配送的每批次蔬菜都提供农药残留检测报告，且各项指标达到验收要求的得1分；（提供承诺函，否则不得分） </w:t>
            </w:r>
          </w:p>
          <w:p w14:paraId="218981EF">
            <w:pPr>
              <w:rPr>
                <w:rFonts w:hint="eastAsia"/>
                <w:color w:val="auto"/>
                <w:highlight w:val="none"/>
                <w:lang w:val="en-US" w:eastAsia="zh-CN"/>
              </w:rPr>
            </w:pPr>
            <w:r>
              <w:rPr>
                <w:rFonts w:hint="eastAsia"/>
                <w:color w:val="auto"/>
                <w:highlight w:val="none"/>
                <w:lang w:val="en-US" w:eastAsia="zh-CN"/>
              </w:rPr>
              <w:t>投标人承诺送达指定地点交货完成后，能够保证辅料包装完整、食材分类、摆放有序且有隔尘保鲜措施的得1分；（提供承诺函，否则不得分）</w:t>
            </w:r>
          </w:p>
        </w:tc>
      </w:tr>
      <w:tr w14:paraId="3606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990" w:type="dxa"/>
            <w:vMerge w:val="continue"/>
            <w:tcBorders>
              <w:left w:val="single" w:color="auto" w:sz="4" w:space="0"/>
              <w:right w:val="single" w:color="auto" w:sz="4" w:space="0"/>
            </w:tcBorders>
            <w:vAlign w:val="center"/>
          </w:tcPr>
          <w:p w14:paraId="687D2B93">
            <w:pPr>
              <w:spacing w:line="420" w:lineRule="exact"/>
              <w:jc w:val="center"/>
              <w:rPr>
                <w:rFonts w:hint="eastAsia" w:ascii="宋体" w:hAnsi="宋体"/>
                <w:color w:val="auto"/>
                <w:highlight w:val="none"/>
              </w:rPr>
            </w:pPr>
          </w:p>
        </w:tc>
        <w:tc>
          <w:tcPr>
            <w:tcW w:w="1455" w:type="dxa"/>
            <w:tcBorders>
              <w:left w:val="single" w:color="auto" w:sz="4" w:space="0"/>
              <w:right w:val="single" w:color="auto" w:sz="4" w:space="0"/>
            </w:tcBorders>
            <w:vAlign w:val="center"/>
          </w:tcPr>
          <w:p w14:paraId="68B444D7">
            <w:pPr>
              <w:pStyle w:val="10"/>
              <w:keepNext w:val="0"/>
              <w:keepLines w:val="0"/>
              <w:pageBreakBefore w:val="0"/>
              <w:widowControl w:val="0"/>
              <w:kinsoku/>
              <w:wordWrap/>
              <w:overflowPunct/>
              <w:topLinePunct w:val="0"/>
              <w:autoSpaceDE/>
              <w:autoSpaceDN/>
              <w:bidi w:val="0"/>
              <w:adjustRightInd w:val="0"/>
              <w:snapToGrid w:val="0"/>
              <w:spacing w:beforeAutospacing="0" w:after="0" w:line="420" w:lineRule="exact"/>
              <w:jc w:val="center"/>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其他要求</w:t>
            </w:r>
          </w:p>
          <w:p w14:paraId="37DE62D3">
            <w:pPr>
              <w:pStyle w:val="10"/>
              <w:keepNext w:val="0"/>
              <w:keepLines w:val="0"/>
              <w:pageBreakBefore w:val="0"/>
              <w:widowControl w:val="0"/>
              <w:kinsoku/>
              <w:wordWrap/>
              <w:overflowPunct/>
              <w:topLinePunct w:val="0"/>
              <w:autoSpaceDE/>
              <w:autoSpaceDN/>
              <w:bidi w:val="0"/>
              <w:adjustRightInd w:val="0"/>
              <w:snapToGrid w:val="0"/>
              <w:spacing w:beforeAutospacing="0" w:after="0" w:line="420" w:lineRule="exact"/>
              <w:jc w:val="center"/>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（2分）</w:t>
            </w:r>
          </w:p>
        </w:tc>
        <w:tc>
          <w:tcPr>
            <w:tcW w:w="7144" w:type="dxa"/>
            <w:gridSpan w:val="2"/>
            <w:tcBorders>
              <w:top w:val="single" w:color="auto" w:sz="4" w:space="0"/>
              <w:left w:val="nil"/>
              <w:bottom w:val="single" w:color="auto" w:sz="4" w:space="0"/>
              <w:right w:val="single" w:color="auto" w:sz="4" w:space="0"/>
            </w:tcBorders>
            <w:vAlign w:val="center"/>
          </w:tcPr>
          <w:p w14:paraId="12812AAB">
            <w:pPr>
              <w:rPr>
                <w:rFonts w:hint="eastAsia"/>
                <w:color w:val="auto"/>
                <w:highlight w:val="none"/>
                <w:lang w:val="en-US" w:eastAsia="zh-CN"/>
              </w:rPr>
            </w:pPr>
            <w:r>
              <w:rPr>
                <w:rFonts w:hint="eastAsia"/>
                <w:color w:val="auto"/>
                <w:highlight w:val="none"/>
                <w:lang w:val="en-US" w:eastAsia="zh-CN"/>
              </w:rPr>
              <w:t>承诺为采购人提供食品安全公众责任险（承诺书格式自拟）的得2分，不提供不得分；</w:t>
            </w:r>
          </w:p>
        </w:tc>
      </w:tr>
      <w:tr w14:paraId="1A6C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990" w:type="dxa"/>
            <w:vMerge w:val="continue"/>
            <w:tcBorders>
              <w:left w:val="single" w:color="auto" w:sz="4" w:space="0"/>
              <w:right w:val="single" w:color="auto" w:sz="4" w:space="0"/>
            </w:tcBorders>
            <w:vAlign w:val="center"/>
          </w:tcPr>
          <w:p w14:paraId="7DD5A394">
            <w:pPr>
              <w:widowControl/>
              <w:jc w:val="left"/>
              <w:rPr>
                <w:rFonts w:hint="eastAsia" w:ascii="宋体" w:hAnsi="宋体"/>
                <w:color w:val="auto"/>
                <w:highlight w:val="none"/>
              </w:rPr>
            </w:pPr>
          </w:p>
        </w:tc>
        <w:tc>
          <w:tcPr>
            <w:tcW w:w="1455" w:type="dxa"/>
            <w:tcBorders>
              <w:top w:val="single" w:color="auto" w:sz="4" w:space="0"/>
              <w:left w:val="single" w:color="auto" w:sz="4" w:space="0"/>
              <w:right w:val="single" w:color="auto" w:sz="4" w:space="0"/>
            </w:tcBorders>
            <w:vAlign w:val="center"/>
          </w:tcPr>
          <w:p w14:paraId="0B834410">
            <w:pPr>
              <w:pStyle w:val="10"/>
              <w:keepNext w:val="0"/>
              <w:keepLines w:val="0"/>
              <w:pageBreakBefore w:val="0"/>
              <w:widowControl w:val="0"/>
              <w:kinsoku/>
              <w:wordWrap/>
              <w:overflowPunct/>
              <w:topLinePunct w:val="0"/>
              <w:autoSpaceDE/>
              <w:autoSpaceDN/>
              <w:bidi w:val="0"/>
              <w:adjustRightInd w:val="0"/>
              <w:snapToGrid w:val="0"/>
              <w:spacing w:beforeAutospacing="0" w:after="0" w:line="420" w:lineRule="exact"/>
              <w:jc w:val="center"/>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售后服务方案（4分）</w:t>
            </w:r>
          </w:p>
        </w:tc>
        <w:tc>
          <w:tcPr>
            <w:tcW w:w="7144" w:type="dxa"/>
            <w:gridSpan w:val="2"/>
            <w:tcBorders>
              <w:top w:val="single" w:color="auto" w:sz="4" w:space="0"/>
              <w:left w:val="nil"/>
              <w:bottom w:val="single" w:color="auto" w:sz="4" w:space="0"/>
              <w:right w:val="single" w:color="auto" w:sz="4" w:space="0"/>
            </w:tcBorders>
            <w:vAlign w:val="center"/>
          </w:tcPr>
          <w:p w14:paraId="19133025">
            <w:pPr>
              <w:rPr>
                <w:rFonts w:hint="eastAsia"/>
                <w:color w:val="auto"/>
                <w:highlight w:val="none"/>
                <w:lang w:val="zh-TW" w:eastAsia="zh-TW"/>
              </w:rPr>
            </w:pPr>
            <w:r>
              <w:rPr>
                <w:rFonts w:hint="eastAsia"/>
                <w:color w:val="auto"/>
                <w:highlight w:val="none"/>
                <w:lang w:val="zh-TW" w:eastAsia="zh-TW"/>
              </w:rPr>
              <w:t>投标人具有完善的售后服务方案</w:t>
            </w:r>
            <w:r>
              <w:rPr>
                <w:rFonts w:hint="eastAsia"/>
                <w:color w:val="auto"/>
                <w:highlight w:val="none"/>
                <w:lang w:val="zh-TW" w:eastAsia="zh-CN"/>
              </w:rPr>
              <w:t>，包含不限于</w:t>
            </w:r>
            <w:r>
              <w:rPr>
                <w:rFonts w:hint="eastAsia"/>
                <w:color w:val="auto"/>
                <w:highlight w:val="none"/>
                <w:lang w:val="zh-TW" w:eastAsia="zh-TW"/>
              </w:rPr>
              <w:t>响应时间、</w:t>
            </w:r>
            <w:r>
              <w:rPr>
                <w:rFonts w:hint="eastAsia"/>
                <w:color w:val="auto"/>
                <w:highlight w:val="none"/>
                <w:lang w:val="zh-TW" w:eastAsia="zh-CN"/>
              </w:rPr>
              <w:t>售后服务机构（注明机构名称、地址、联系人和电话等）、</w:t>
            </w:r>
            <w:r>
              <w:rPr>
                <w:rFonts w:hint="eastAsia"/>
                <w:color w:val="auto"/>
                <w:highlight w:val="none"/>
                <w:lang w:val="zh-TW" w:eastAsia="zh-TW"/>
              </w:rPr>
              <w:t>服务范围、解决问题时间、售后服务人员情况、服务承诺</w:t>
            </w:r>
            <w:r>
              <w:rPr>
                <w:rFonts w:hint="eastAsia"/>
                <w:color w:val="auto"/>
                <w:highlight w:val="none"/>
                <w:lang w:val="zh-TW" w:eastAsia="zh-CN"/>
              </w:rPr>
              <w:t>、产品</w:t>
            </w:r>
            <w:r>
              <w:rPr>
                <w:rFonts w:hint="eastAsia"/>
                <w:color w:val="auto"/>
                <w:highlight w:val="none"/>
                <w:lang w:val="en-US" w:eastAsia="zh-CN"/>
              </w:rPr>
              <w:t>出现质量问题及时退换货、提供本地化服务等</w:t>
            </w:r>
          </w:p>
          <w:p w14:paraId="23A8606E">
            <w:pPr>
              <w:rPr>
                <w:rFonts w:hint="eastAsia"/>
                <w:color w:val="auto"/>
                <w:highlight w:val="none"/>
                <w:lang w:val="en-US" w:eastAsia="zh-CN"/>
              </w:rPr>
            </w:pPr>
            <w:r>
              <w:rPr>
                <w:rFonts w:hint="eastAsia"/>
                <w:color w:val="auto"/>
                <w:highlight w:val="none"/>
                <w:lang w:val="en-US" w:eastAsia="zh-CN"/>
              </w:rPr>
              <w:t>（1）对采购人提出的售后服务能够完全响应，对售后服务内容描述完整、内容详尽，切合实际，解释充分的，得4分；</w:t>
            </w:r>
          </w:p>
          <w:p w14:paraId="684707E0">
            <w:pPr>
              <w:rPr>
                <w:rFonts w:hint="eastAsia"/>
                <w:color w:val="auto"/>
                <w:highlight w:val="none"/>
                <w:lang w:val="en-US" w:eastAsia="zh-CN"/>
              </w:rPr>
            </w:pPr>
            <w:r>
              <w:rPr>
                <w:rFonts w:hint="eastAsia"/>
                <w:color w:val="auto"/>
                <w:highlight w:val="none"/>
                <w:lang w:val="en-US" w:eastAsia="zh-CN"/>
              </w:rPr>
              <w:t>（2）对采购人提出的售后服务能够完全响应，售后部分均有阐述内容，虽然能响应采购需求的售后服务内容，但部分内容需要进一步提高的，得3分；</w:t>
            </w:r>
          </w:p>
          <w:p w14:paraId="50F60FEA">
            <w:pPr>
              <w:rPr>
                <w:rFonts w:hint="eastAsia"/>
                <w:color w:val="auto"/>
                <w:highlight w:val="none"/>
                <w:lang w:val="en-US" w:eastAsia="zh-CN"/>
              </w:rPr>
            </w:pPr>
            <w:r>
              <w:rPr>
                <w:rFonts w:hint="eastAsia"/>
                <w:color w:val="auto"/>
                <w:highlight w:val="none"/>
                <w:lang w:val="en-US" w:eastAsia="zh-CN"/>
              </w:rPr>
              <w:t>（3）对采购人提出的售后服务响应存在明显缺陷，售后服务部分内容描述不清、内容欠缺的，得2分；</w:t>
            </w:r>
          </w:p>
          <w:p w14:paraId="55E69ED9">
            <w:pPr>
              <w:rPr>
                <w:rFonts w:hint="eastAsia"/>
                <w:color w:val="auto"/>
                <w:highlight w:val="none"/>
                <w:lang w:val="en-US" w:eastAsia="zh-CN"/>
              </w:rPr>
            </w:pPr>
            <w:r>
              <w:rPr>
                <w:rFonts w:hint="eastAsia"/>
                <w:color w:val="auto"/>
                <w:highlight w:val="none"/>
                <w:lang w:val="en-US" w:eastAsia="zh-CN"/>
              </w:rPr>
              <w:t>（4）对采购人提出的售后服务响应不完整，且提出的售后服务内容与项目实际脱节的，得1分，</w:t>
            </w:r>
          </w:p>
          <w:p w14:paraId="3FC5720A">
            <w:pPr>
              <w:rPr>
                <w:rFonts w:hint="eastAsia"/>
                <w:color w:val="auto"/>
                <w:highlight w:val="none"/>
                <w:lang w:val="en-US" w:eastAsia="zh-CN"/>
              </w:rPr>
            </w:pPr>
            <w:r>
              <w:rPr>
                <w:rFonts w:hint="eastAsia"/>
                <w:color w:val="auto"/>
                <w:highlight w:val="none"/>
                <w:lang w:val="en-US" w:eastAsia="zh-CN"/>
              </w:rPr>
              <w:t>（5）未提供此项内容得0分。</w:t>
            </w:r>
          </w:p>
        </w:tc>
      </w:tr>
      <w:tr w14:paraId="4735E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7" w:hRule="atLeast"/>
        </w:trPr>
        <w:tc>
          <w:tcPr>
            <w:tcW w:w="990" w:type="dxa"/>
            <w:vMerge w:val="continue"/>
            <w:tcBorders>
              <w:left w:val="single" w:color="auto" w:sz="4" w:space="0"/>
              <w:right w:val="single" w:color="auto" w:sz="4" w:space="0"/>
            </w:tcBorders>
            <w:vAlign w:val="center"/>
          </w:tcPr>
          <w:p w14:paraId="11A0FFE5">
            <w:pPr>
              <w:widowControl/>
              <w:jc w:val="left"/>
              <w:rPr>
                <w:rFonts w:hint="eastAsia" w:ascii="宋体" w:hAnsi="宋体"/>
                <w:color w:val="auto"/>
                <w:highlight w:val="none"/>
              </w:rPr>
            </w:pPr>
          </w:p>
        </w:tc>
        <w:tc>
          <w:tcPr>
            <w:tcW w:w="1455" w:type="dxa"/>
            <w:vMerge w:val="restart"/>
            <w:tcBorders>
              <w:left w:val="single" w:color="auto" w:sz="4" w:space="0"/>
              <w:right w:val="single" w:color="auto" w:sz="4" w:space="0"/>
            </w:tcBorders>
            <w:vAlign w:val="center"/>
          </w:tcPr>
          <w:p w14:paraId="547A27DD">
            <w:pPr>
              <w:pStyle w:val="10"/>
              <w:keepNext w:val="0"/>
              <w:keepLines w:val="0"/>
              <w:pageBreakBefore w:val="0"/>
              <w:widowControl w:val="0"/>
              <w:kinsoku/>
              <w:wordWrap/>
              <w:overflowPunct/>
              <w:topLinePunct w:val="0"/>
              <w:autoSpaceDE/>
              <w:autoSpaceDN/>
              <w:bidi w:val="0"/>
              <w:adjustRightInd w:val="0"/>
              <w:snapToGrid w:val="0"/>
              <w:spacing w:beforeAutospacing="0" w:after="0" w:line="420" w:lineRule="exact"/>
              <w:jc w:val="center"/>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其他服务承诺（4分）</w:t>
            </w:r>
          </w:p>
        </w:tc>
        <w:tc>
          <w:tcPr>
            <w:tcW w:w="7144" w:type="dxa"/>
            <w:gridSpan w:val="2"/>
            <w:tcBorders>
              <w:top w:val="single" w:color="auto" w:sz="4" w:space="0"/>
              <w:left w:val="nil"/>
              <w:bottom w:val="single" w:color="auto" w:sz="4" w:space="0"/>
              <w:right w:val="single" w:color="auto" w:sz="4" w:space="0"/>
            </w:tcBorders>
            <w:vAlign w:val="top"/>
          </w:tcPr>
          <w:p w14:paraId="5218787E">
            <w:pPr>
              <w:rPr>
                <w:rFonts w:hint="eastAsia"/>
                <w:color w:val="auto"/>
                <w:highlight w:val="none"/>
                <w:lang w:val="en-US" w:eastAsia="zh-CN"/>
              </w:rPr>
            </w:pPr>
            <w:r>
              <w:rPr>
                <w:rFonts w:hint="eastAsia"/>
                <w:color w:val="auto"/>
                <w:highlight w:val="none"/>
                <w:lang w:val="en-US" w:eastAsia="zh-CN"/>
              </w:rPr>
              <w:t>在满足采购需求的前提下，根据各投标人提供的其他服务承诺进行评审，包括但不限于：①专属优惠；②其他增值服务（增值服务可以代缴代存水电费、燃气费等）；③在配送过程中，及时解决配送出现的各类问题，不能耽误采购人使用食材的承诺；④确保货物的品质、外观、新鲜，及时解决采购人提出的要求，针对所有近效期开袋、发霉、过期等问题的食品或不满足采购人需求的货物提供免费更换或退货，发现问题并提出解决或完善的方法，减少配送过程中无谓的人力、物力和财力浪费的承诺；⑤所供货品不得高于市场同类价格、符合国家相关法律法规要求的承诺；⑥退调换等服务功能完善，若因配送食材发生质量问题造成医疗事故纠纷时其应承担的法律责任，并与采购人无关的承诺；⑦其他实质性承诺</w:t>
            </w:r>
          </w:p>
          <w:p w14:paraId="5248718F">
            <w:pPr>
              <w:rPr>
                <w:rFonts w:hint="eastAsia"/>
                <w:color w:val="auto"/>
                <w:highlight w:val="none"/>
                <w:lang w:val="en-US" w:eastAsia="zh-CN"/>
              </w:rPr>
            </w:pPr>
            <w:r>
              <w:rPr>
                <w:rFonts w:hint="eastAsia"/>
                <w:color w:val="auto"/>
                <w:highlight w:val="none"/>
                <w:lang w:val="en-US" w:eastAsia="zh-CN"/>
              </w:rPr>
              <w:t>（1）内容全面完善，各项内容阐述详细，且比较符合项目实际需求的，得4分；</w:t>
            </w:r>
          </w:p>
          <w:p w14:paraId="47A52A9E">
            <w:pPr>
              <w:rPr>
                <w:rFonts w:hint="eastAsia"/>
                <w:color w:val="auto"/>
                <w:highlight w:val="none"/>
                <w:lang w:val="en-US" w:eastAsia="zh-CN"/>
              </w:rPr>
            </w:pPr>
            <w:r>
              <w:rPr>
                <w:rFonts w:hint="eastAsia"/>
                <w:color w:val="auto"/>
                <w:highlight w:val="none"/>
                <w:lang w:val="en-US" w:eastAsia="zh-CN"/>
              </w:rPr>
              <w:t>（2）内容全面，各项阐述内容全面，但有部分内容细节需要进一步完善或提高的，得3分；</w:t>
            </w:r>
          </w:p>
          <w:p w14:paraId="5BB3719B">
            <w:pPr>
              <w:rPr>
                <w:rFonts w:hint="eastAsia"/>
                <w:color w:val="auto"/>
                <w:highlight w:val="none"/>
                <w:lang w:val="en-US" w:eastAsia="zh-CN"/>
              </w:rPr>
            </w:pPr>
            <w:r>
              <w:rPr>
                <w:rFonts w:hint="eastAsia"/>
                <w:color w:val="auto"/>
                <w:highlight w:val="none"/>
                <w:lang w:val="en-US" w:eastAsia="zh-CN"/>
              </w:rPr>
              <w:t>（3）内容简单，虽然对各项内容均有阐述，但部分内容描述不清晰存在明显缺陷，在多个方面需要进一步完善才能满足采购需的，得2分；</w:t>
            </w:r>
          </w:p>
          <w:p w14:paraId="1FD54324">
            <w:pPr>
              <w:rPr>
                <w:rFonts w:hint="eastAsia"/>
                <w:color w:val="auto"/>
                <w:highlight w:val="none"/>
                <w:lang w:val="en-US" w:eastAsia="zh-CN"/>
              </w:rPr>
            </w:pPr>
            <w:r>
              <w:rPr>
                <w:rFonts w:hint="eastAsia"/>
                <w:color w:val="auto"/>
                <w:highlight w:val="none"/>
                <w:lang w:val="en-US" w:eastAsia="zh-CN"/>
              </w:rPr>
              <w:t>（4）内容逻辑混乱，虽然对各项内容均有阐述，但不太贴合项目特点的，得1分；</w:t>
            </w:r>
          </w:p>
          <w:p w14:paraId="5D734F00">
            <w:pPr>
              <w:rPr>
                <w:rFonts w:hint="eastAsia"/>
                <w:color w:val="auto"/>
                <w:highlight w:val="none"/>
                <w:lang w:val="en-US" w:eastAsia="zh-CN"/>
              </w:rPr>
            </w:pPr>
            <w:r>
              <w:rPr>
                <w:rFonts w:hint="eastAsia"/>
                <w:color w:val="auto"/>
                <w:highlight w:val="none"/>
                <w:lang w:val="en-US" w:eastAsia="zh-CN"/>
              </w:rPr>
              <w:t>（5）未提供此项内容的得0分</w:t>
            </w:r>
          </w:p>
        </w:tc>
      </w:tr>
      <w:tr w14:paraId="1BD5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990" w:type="dxa"/>
            <w:vMerge w:val="restart"/>
            <w:tcBorders>
              <w:top w:val="single" w:color="auto" w:sz="4" w:space="0"/>
              <w:left w:val="single" w:color="auto" w:sz="4" w:space="0"/>
              <w:bottom w:val="single" w:color="auto" w:sz="4" w:space="0"/>
              <w:right w:val="single" w:color="auto" w:sz="4" w:space="0"/>
            </w:tcBorders>
            <w:vAlign w:val="center"/>
          </w:tcPr>
          <w:p w14:paraId="4097D20E">
            <w:pPr>
              <w:jc w:val="center"/>
              <w:rPr>
                <w:rFonts w:hint="eastAsia" w:ascii="宋体" w:hAnsi="宋体"/>
                <w:color w:val="auto"/>
                <w:highlight w:val="none"/>
              </w:rPr>
            </w:pPr>
            <w:r>
              <w:rPr>
                <w:rFonts w:hint="eastAsia" w:ascii="宋体" w:hAnsi="宋体"/>
                <w:color w:val="auto"/>
                <w:highlight w:val="none"/>
              </w:rPr>
              <w:t>（三）</w:t>
            </w:r>
          </w:p>
          <w:p w14:paraId="1FFB3925">
            <w:pPr>
              <w:spacing w:line="420" w:lineRule="exact"/>
              <w:jc w:val="center"/>
              <w:rPr>
                <w:rFonts w:hint="eastAsia" w:ascii="宋体" w:hAnsi="宋体"/>
                <w:color w:val="auto"/>
                <w:highlight w:val="none"/>
              </w:rPr>
            </w:pPr>
            <w:r>
              <w:rPr>
                <w:rFonts w:hint="eastAsia" w:ascii="宋体" w:hAnsi="宋体"/>
                <w:color w:val="auto"/>
                <w:highlight w:val="none"/>
              </w:rPr>
              <w:t>技术部分</w:t>
            </w:r>
          </w:p>
          <w:p w14:paraId="619E77A0">
            <w:pPr>
              <w:spacing w:line="420" w:lineRule="exact"/>
              <w:jc w:val="center"/>
              <w:rPr>
                <w:rFonts w:ascii="宋体"/>
                <w:color w:val="auto"/>
                <w:highlight w:val="none"/>
              </w:rPr>
            </w:pPr>
            <w:r>
              <w:rPr>
                <w:rFonts w:hint="eastAsia" w:ascii="宋体" w:hAnsi="宋体"/>
                <w:color w:val="auto"/>
                <w:highlight w:val="none"/>
                <w:lang w:val="en-US" w:eastAsia="zh-CN"/>
              </w:rPr>
              <w:t>4</w:t>
            </w:r>
            <w:r>
              <w:rPr>
                <w:rFonts w:hint="eastAsia" w:ascii="宋体" w:hAnsi="宋体"/>
                <w:color w:val="auto"/>
                <w:highlight w:val="none"/>
              </w:rPr>
              <w:t>0分</w:t>
            </w:r>
          </w:p>
        </w:tc>
        <w:tc>
          <w:tcPr>
            <w:tcW w:w="1455" w:type="dxa"/>
            <w:vMerge w:val="restart"/>
            <w:tcBorders>
              <w:top w:val="single" w:color="auto" w:sz="4" w:space="0"/>
              <w:left w:val="single" w:color="auto" w:sz="4" w:space="0"/>
              <w:right w:val="single" w:color="auto" w:sz="4" w:space="0"/>
            </w:tcBorders>
            <w:vAlign w:val="center"/>
          </w:tcPr>
          <w:p w14:paraId="4122B8A4">
            <w:pPr>
              <w:spacing w:line="320" w:lineRule="exact"/>
              <w:jc w:val="center"/>
              <w:rPr>
                <w:color w:val="auto"/>
                <w:highlight w:val="none"/>
              </w:rPr>
            </w:pPr>
            <w:r>
              <w:rPr>
                <w:rFonts w:hint="eastAsia"/>
                <w:color w:val="auto"/>
                <w:highlight w:val="none"/>
              </w:rPr>
              <w:t>供货方案</w:t>
            </w:r>
          </w:p>
          <w:p w14:paraId="30762134">
            <w:pPr>
              <w:spacing w:line="320" w:lineRule="exact"/>
              <w:jc w:val="center"/>
              <w:rPr>
                <w:rFonts w:hint="eastAsia" w:ascii="宋体" w:hAnsi="宋体"/>
                <w:color w:val="auto"/>
                <w:highlight w:val="none"/>
              </w:rPr>
            </w:pPr>
            <w:r>
              <w:rPr>
                <w:rFonts w:hint="eastAsia"/>
                <w:color w:val="auto"/>
                <w:highlight w:val="none"/>
              </w:rPr>
              <w:t>（</w:t>
            </w:r>
            <w:r>
              <w:rPr>
                <w:rFonts w:hint="eastAsia"/>
                <w:color w:val="auto"/>
                <w:highlight w:val="none"/>
                <w:lang w:val="en-US" w:eastAsia="zh-CN"/>
              </w:rPr>
              <w:t>40</w:t>
            </w:r>
            <w:r>
              <w:rPr>
                <w:rFonts w:hint="eastAsia"/>
                <w:color w:val="auto"/>
                <w:highlight w:val="none"/>
              </w:rPr>
              <w:t>分）</w:t>
            </w:r>
          </w:p>
        </w:tc>
        <w:tc>
          <w:tcPr>
            <w:tcW w:w="7144" w:type="dxa"/>
            <w:gridSpan w:val="2"/>
            <w:tcBorders>
              <w:top w:val="single" w:color="auto" w:sz="4" w:space="0"/>
              <w:left w:val="nil"/>
              <w:bottom w:val="single" w:color="auto" w:sz="4" w:space="0"/>
              <w:right w:val="single" w:color="auto" w:sz="4" w:space="0"/>
            </w:tcBorders>
            <w:vAlign w:val="center"/>
          </w:tcPr>
          <w:p w14:paraId="5F98DB4D">
            <w:pPr>
              <w:numPr>
                <w:ilvl w:val="0"/>
                <w:numId w:val="0"/>
              </w:numPr>
              <w:spacing w:line="320" w:lineRule="exact"/>
              <w:rPr>
                <w:rFonts w:hint="eastAsia"/>
                <w:color w:val="auto"/>
                <w:highlight w:val="none"/>
                <w:lang w:val="en-US" w:eastAsia="zh-CN"/>
              </w:rPr>
            </w:pPr>
            <w:r>
              <w:rPr>
                <w:rFonts w:hint="eastAsia" w:ascii="Calibri" w:hAnsi="Calibri" w:eastAsia="宋体" w:cs="Times New Roman"/>
                <w:color w:val="auto"/>
                <w:kern w:val="2"/>
                <w:sz w:val="21"/>
                <w:szCs w:val="21"/>
                <w:highlight w:val="none"/>
                <w:lang w:val="en-US" w:eastAsia="zh-CN" w:bidi="ar-SA"/>
              </w:rPr>
              <w:t>1、</w:t>
            </w:r>
            <w:r>
              <w:rPr>
                <w:rFonts w:hint="eastAsia"/>
                <w:color w:val="auto"/>
                <w:highlight w:val="none"/>
                <w:lang w:val="en-US" w:eastAsia="zh-CN"/>
              </w:rPr>
              <w:t>货源保证方案（6分）</w:t>
            </w:r>
          </w:p>
          <w:p w14:paraId="15EA194B">
            <w:pPr>
              <w:numPr>
                <w:ilvl w:val="0"/>
                <w:numId w:val="0"/>
              </w:numPr>
              <w:spacing w:line="320" w:lineRule="exact"/>
              <w:rPr>
                <w:rFonts w:hint="eastAsia"/>
                <w:color w:val="auto"/>
                <w:highlight w:val="none"/>
                <w:lang w:val="en-US" w:eastAsia="zh-CN"/>
              </w:rPr>
            </w:pPr>
            <w:r>
              <w:rPr>
                <w:rFonts w:hint="eastAsia"/>
                <w:color w:val="auto"/>
                <w:highlight w:val="none"/>
                <w:lang w:val="en-US" w:eastAsia="zh-CN"/>
              </w:rPr>
              <w:t>评标委员会对各投标人的货源保证方案（包括但不限于：对仓储货源充足保证措施；食材原材料货源充足方案；补货、换货及配送货品的多样性和季节性货源保证方案；绿色食品安全保证方案等）。</w:t>
            </w:r>
          </w:p>
          <w:p w14:paraId="13545D5C">
            <w:pPr>
              <w:rPr>
                <w:rFonts w:hint="eastAsia"/>
                <w:color w:val="auto"/>
                <w:highlight w:val="none"/>
                <w:lang w:val="en-US" w:eastAsia="zh-CN"/>
              </w:rPr>
            </w:pPr>
            <w:r>
              <w:rPr>
                <w:rFonts w:hint="eastAsia"/>
                <w:color w:val="auto"/>
                <w:highlight w:val="none"/>
                <w:lang w:val="en-US" w:eastAsia="zh-CN"/>
              </w:rPr>
              <w:t>（1）内容全面完善，各项内容阐述详细，且符合项目实际需求的，得6分；</w:t>
            </w:r>
          </w:p>
          <w:p w14:paraId="4036423F">
            <w:pPr>
              <w:rPr>
                <w:rFonts w:hint="eastAsia"/>
                <w:color w:val="auto"/>
                <w:highlight w:val="none"/>
                <w:lang w:val="en-US" w:eastAsia="zh-CN"/>
              </w:rPr>
            </w:pPr>
            <w:r>
              <w:rPr>
                <w:rFonts w:hint="eastAsia"/>
                <w:color w:val="auto"/>
                <w:highlight w:val="none"/>
                <w:lang w:val="en-US" w:eastAsia="zh-CN"/>
              </w:rPr>
              <w:t>（2）内容全面，各项阐述内容全面，但有部分内容细节需要进一步完善或提高的，得3分；</w:t>
            </w:r>
          </w:p>
          <w:p w14:paraId="51289213">
            <w:pPr>
              <w:rPr>
                <w:rFonts w:hint="eastAsia"/>
                <w:color w:val="auto"/>
                <w:highlight w:val="none"/>
                <w:lang w:val="en-US" w:eastAsia="zh-CN"/>
              </w:rPr>
            </w:pPr>
            <w:r>
              <w:rPr>
                <w:rFonts w:hint="eastAsia"/>
                <w:color w:val="auto"/>
                <w:highlight w:val="none"/>
                <w:lang w:val="en-US" w:eastAsia="zh-CN"/>
              </w:rPr>
              <w:t>（3）内容简单、逻辑混乱、部分内容描述不清晰存在明显缺陷，不贴合项目特点的，得1分；</w:t>
            </w:r>
          </w:p>
          <w:p w14:paraId="18E55CD3">
            <w:pPr>
              <w:numPr>
                <w:ilvl w:val="0"/>
                <w:numId w:val="0"/>
              </w:numPr>
              <w:spacing w:line="320" w:lineRule="exact"/>
              <w:rPr>
                <w:rFonts w:hint="eastAsia"/>
                <w:color w:val="auto"/>
                <w:highlight w:val="none"/>
                <w:lang w:val="en-US" w:eastAsia="zh-CN"/>
              </w:rPr>
            </w:pPr>
            <w:r>
              <w:rPr>
                <w:rFonts w:hint="eastAsia"/>
                <w:color w:val="auto"/>
                <w:highlight w:val="none"/>
                <w:lang w:val="en-US" w:eastAsia="zh-CN"/>
              </w:rPr>
              <w:t>（4）未提供此项内容的得0分</w:t>
            </w:r>
          </w:p>
        </w:tc>
      </w:tr>
      <w:tr w14:paraId="4811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990" w:type="dxa"/>
            <w:vMerge w:val="continue"/>
            <w:tcBorders>
              <w:top w:val="single" w:color="auto" w:sz="4" w:space="0"/>
              <w:left w:val="single" w:color="auto" w:sz="4" w:space="0"/>
              <w:bottom w:val="single" w:color="auto" w:sz="4" w:space="0"/>
              <w:right w:val="single" w:color="auto" w:sz="4" w:space="0"/>
            </w:tcBorders>
            <w:vAlign w:val="center"/>
          </w:tcPr>
          <w:p w14:paraId="7442689F">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53AF2AE9">
            <w:pPr>
              <w:spacing w:line="320" w:lineRule="exact"/>
              <w:jc w:val="center"/>
              <w:rPr>
                <w:rFonts w:hint="eastAsia" w:ascii="宋体" w:hAnsi="宋体"/>
                <w:color w:val="auto"/>
                <w:highlight w:val="none"/>
              </w:rPr>
            </w:pPr>
          </w:p>
        </w:tc>
        <w:tc>
          <w:tcPr>
            <w:tcW w:w="7144" w:type="dxa"/>
            <w:gridSpan w:val="2"/>
            <w:tcBorders>
              <w:top w:val="single" w:color="auto" w:sz="4" w:space="0"/>
              <w:left w:val="nil"/>
              <w:bottom w:val="single" w:color="auto" w:sz="4" w:space="0"/>
              <w:right w:val="single" w:color="auto" w:sz="4" w:space="0"/>
            </w:tcBorders>
            <w:vAlign w:val="center"/>
          </w:tcPr>
          <w:p w14:paraId="76E3DF92">
            <w:pPr>
              <w:numPr>
                <w:ilvl w:val="0"/>
                <w:numId w:val="0"/>
              </w:numPr>
              <w:spacing w:line="320" w:lineRule="exact"/>
              <w:rPr>
                <w:rFonts w:hint="eastAsia" w:ascii="Calibri" w:hAnsi="Calibri"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2</w:t>
            </w:r>
            <w:r>
              <w:rPr>
                <w:rFonts w:hint="eastAsia" w:ascii="Calibri" w:hAnsi="Calibri" w:eastAsia="宋体" w:cs="Times New Roman"/>
                <w:color w:val="auto"/>
                <w:kern w:val="2"/>
                <w:sz w:val="21"/>
                <w:szCs w:val="21"/>
                <w:highlight w:val="none"/>
                <w:lang w:val="en-US" w:eastAsia="zh-CN" w:bidi="ar-SA"/>
              </w:rPr>
              <w:t>、配送保障方案（</w:t>
            </w:r>
            <w:r>
              <w:rPr>
                <w:rFonts w:hint="eastAsia" w:eastAsia="宋体" w:cs="Times New Roman"/>
                <w:color w:val="auto"/>
                <w:kern w:val="2"/>
                <w:sz w:val="21"/>
                <w:szCs w:val="21"/>
                <w:highlight w:val="none"/>
                <w:lang w:val="en-US" w:eastAsia="zh-CN" w:bidi="ar-SA"/>
              </w:rPr>
              <w:t>6</w:t>
            </w:r>
            <w:r>
              <w:rPr>
                <w:rFonts w:hint="eastAsia" w:ascii="Calibri" w:hAnsi="Calibri" w:eastAsia="宋体" w:cs="Times New Roman"/>
                <w:color w:val="auto"/>
                <w:kern w:val="2"/>
                <w:sz w:val="21"/>
                <w:szCs w:val="21"/>
                <w:highlight w:val="none"/>
                <w:lang w:val="en-US" w:eastAsia="zh-CN" w:bidi="ar-SA"/>
              </w:rPr>
              <w:t>分）</w:t>
            </w:r>
          </w:p>
          <w:p w14:paraId="3721344A">
            <w:pPr>
              <w:numPr>
                <w:ilvl w:val="0"/>
                <w:numId w:val="0"/>
              </w:numPr>
              <w:spacing w:line="320" w:lineRule="exact"/>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评标委员会对各投标人配送方案（包含但不限于：配送人员配备、配送台账、产品运输的储存保证措施，卫生、防潮、防腐等保障供应及伴随服务）进行评审。</w:t>
            </w:r>
          </w:p>
          <w:p w14:paraId="2763DE18">
            <w:pPr>
              <w:rPr>
                <w:rFonts w:hint="eastAsia"/>
                <w:color w:val="auto"/>
                <w:highlight w:val="none"/>
                <w:lang w:val="en-US" w:eastAsia="zh-CN"/>
              </w:rPr>
            </w:pPr>
            <w:r>
              <w:rPr>
                <w:rFonts w:hint="eastAsia"/>
                <w:color w:val="auto"/>
                <w:highlight w:val="none"/>
                <w:lang w:val="en-US" w:eastAsia="zh-CN"/>
              </w:rPr>
              <w:t>（1）内容全面完善，各项内容阐述详细，且符合项目实际需求的，得6分；</w:t>
            </w:r>
          </w:p>
          <w:p w14:paraId="4D3843C1">
            <w:pPr>
              <w:rPr>
                <w:rFonts w:hint="eastAsia"/>
                <w:color w:val="auto"/>
                <w:highlight w:val="none"/>
                <w:lang w:val="en-US" w:eastAsia="zh-CN"/>
              </w:rPr>
            </w:pPr>
            <w:r>
              <w:rPr>
                <w:rFonts w:hint="eastAsia"/>
                <w:color w:val="auto"/>
                <w:highlight w:val="none"/>
                <w:lang w:val="en-US" w:eastAsia="zh-CN"/>
              </w:rPr>
              <w:t>（2）内容全面，各项阐述内容全面，但有部分内容细节需要进一步完善或提高的，得3分；</w:t>
            </w:r>
          </w:p>
          <w:p w14:paraId="37D29911">
            <w:pPr>
              <w:rPr>
                <w:rFonts w:hint="eastAsia"/>
                <w:color w:val="auto"/>
                <w:highlight w:val="none"/>
                <w:lang w:val="en-US" w:eastAsia="zh-CN"/>
              </w:rPr>
            </w:pPr>
            <w:r>
              <w:rPr>
                <w:rFonts w:hint="eastAsia"/>
                <w:color w:val="auto"/>
                <w:highlight w:val="none"/>
                <w:lang w:val="en-US" w:eastAsia="zh-CN"/>
              </w:rPr>
              <w:t>（3）内容简单、逻辑混乱、部分内容描述不清晰存在明显缺陷，不贴合项目特点的，得1分；</w:t>
            </w:r>
          </w:p>
          <w:p w14:paraId="66342D19">
            <w:pPr>
              <w:numPr>
                <w:ilvl w:val="0"/>
                <w:numId w:val="0"/>
              </w:numPr>
              <w:spacing w:line="320" w:lineRule="exact"/>
              <w:rPr>
                <w:rFonts w:hint="eastAsia"/>
                <w:color w:val="auto"/>
                <w:highlight w:val="none"/>
                <w:lang w:val="en-US" w:eastAsia="zh-CN"/>
              </w:rPr>
            </w:pPr>
            <w:r>
              <w:rPr>
                <w:rFonts w:hint="eastAsia"/>
                <w:color w:val="auto"/>
                <w:highlight w:val="none"/>
                <w:lang w:val="en-US" w:eastAsia="zh-CN"/>
              </w:rPr>
              <w:t>（4）未提供此项内容的得0分</w:t>
            </w:r>
          </w:p>
        </w:tc>
      </w:tr>
      <w:tr w14:paraId="74A0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trPr>
        <w:tc>
          <w:tcPr>
            <w:tcW w:w="990" w:type="dxa"/>
            <w:vMerge w:val="continue"/>
            <w:tcBorders>
              <w:left w:val="single" w:color="auto" w:sz="4" w:space="0"/>
              <w:right w:val="single" w:color="auto" w:sz="4" w:space="0"/>
            </w:tcBorders>
            <w:vAlign w:val="center"/>
          </w:tcPr>
          <w:p w14:paraId="74094782">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30916C7B">
            <w:pPr>
              <w:spacing w:line="320" w:lineRule="exact"/>
              <w:jc w:val="center"/>
              <w:rPr>
                <w:color w:val="auto"/>
                <w:highlight w:val="none"/>
              </w:rPr>
            </w:pPr>
          </w:p>
        </w:tc>
        <w:tc>
          <w:tcPr>
            <w:tcW w:w="7144" w:type="dxa"/>
            <w:gridSpan w:val="2"/>
            <w:tcBorders>
              <w:top w:val="single" w:color="auto" w:sz="4" w:space="0"/>
              <w:left w:val="nil"/>
              <w:bottom w:val="single" w:color="auto" w:sz="4" w:space="0"/>
              <w:right w:val="single" w:color="auto" w:sz="4" w:space="0"/>
            </w:tcBorders>
            <w:vAlign w:val="center"/>
          </w:tcPr>
          <w:p w14:paraId="3F7F6BFD">
            <w:pPr>
              <w:numPr>
                <w:ilvl w:val="0"/>
                <w:numId w:val="0"/>
              </w:numPr>
              <w:spacing w:line="320" w:lineRule="exact"/>
              <w:ind w:left="0" w:leftChars="0" w:firstLine="0" w:firstLineChars="0"/>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3、</w:t>
            </w:r>
            <w:r>
              <w:rPr>
                <w:rFonts w:hint="eastAsia"/>
                <w:color w:val="auto"/>
                <w:highlight w:val="none"/>
                <w:lang w:val="en-US" w:eastAsia="zh-CN"/>
              </w:rPr>
              <w:t>货物安全保障方案</w:t>
            </w:r>
            <w:r>
              <w:rPr>
                <w:rFonts w:hint="eastAsia" w:ascii="Calibri" w:hAnsi="Calibri" w:eastAsia="宋体" w:cs="Times New Roman"/>
                <w:color w:val="auto"/>
                <w:kern w:val="2"/>
                <w:sz w:val="21"/>
                <w:szCs w:val="21"/>
                <w:highlight w:val="none"/>
                <w:lang w:val="en-US" w:eastAsia="zh-CN" w:bidi="ar-SA"/>
              </w:rPr>
              <w:t>（</w:t>
            </w:r>
            <w:r>
              <w:rPr>
                <w:rFonts w:hint="eastAsia" w:eastAsia="宋体" w:cs="Times New Roman"/>
                <w:color w:val="auto"/>
                <w:kern w:val="2"/>
                <w:sz w:val="21"/>
                <w:szCs w:val="21"/>
                <w:highlight w:val="none"/>
                <w:lang w:val="en-US" w:eastAsia="zh-CN" w:bidi="ar-SA"/>
              </w:rPr>
              <w:t>6</w:t>
            </w:r>
            <w:r>
              <w:rPr>
                <w:rFonts w:hint="eastAsia" w:ascii="Calibri" w:hAnsi="Calibri" w:eastAsia="宋体" w:cs="Times New Roman"/>
                <w:color w:val="auto"/>
                <w:kern w:val="2"/>
                <w:sz w:val="21"/>
                <w:szCs w:val="21"/>
                <w:highlight w:val="none"/>
                <w:lang w:val="en-US" w:eastAsia="zh-CN" w:bidi="ar-SA"/>
              </w:rPr>
              <w:t>分）</w:t>
            </w:r>
          </w:p>
          <w:p w14:paraId="29E35B4F">
            <w:pPr>
              <w:numPr>
                <w:ilvl w:val="0"/>
                <w:numId w:val="0"/>
              </w:numPr>
              <w:spacing w:line="320" w:lineRule="exact"/>
              <w:ind w:leftChars="0"/>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评标委员会对各投标人的货物安全保障方案（包括但不限于：货品安全、卫生、无毒无公害保障措施及常见质量问题的控制方案、检验检测、包装质量保障措施方案、食品留样及追根溯源的保障措施等）确保食材新鲜无发霉、腐烂、异味等进行评审。</w:t>
            </w:r>
          </w:p>
          <w:p w14:paraId="290BF479">
            <w:pPr>
              <w:rPr>
                <w:rFonts w:hint="eastAsia"/>
                <w:color w:val="auto"/>
                <w:highlight w:val="none"/>
                <w:lang w:val="en-US" w:eastAsia="zh-CN"/>
              </w:rPr>
            </w:pPr>
            <w:r>
              <w:rPr>
                <w:rFonts w:hint="eastAsia"/>
                <w:color w:val="auto"/>
                <w:highlight w:val="none"/>
                <w:lang w:val="en-US" w:eastAsia="zh-CN"/>
              </w:rPr>
              <w:t>（1）内容全面完善，各项内容阐述详细，且符合项目实际需求的，得6分；</w:t>
            </w:r>
          </w:p>
          <w:p w14:paraId="350224D0">
            <w:pPr>
              <w:rPr>
                <w:rFonts w:hint="eastAsia"/>
                <w:color w:val="auto"/>
                <w:highlight w:val="none"/>
                <w:lang w:val="en-US" w:eastAsia="zh-CN"/>
              </w:rPr>
            </w:pPr>
            <w:r>
              <w:rPr>
                <w:rFonts w:hint="eastAsia"/>
                <w:color w:val="auto"/>
                <w:highlight w:val="none"/>
                <w:lang w:val="en-US" w:eastAsia="zh-CN"/>
              </w:rPr>
              <w:t>（2）内容全面，各项阐述内容全面，但有部分内容细节需要进一步完善或提高的，得3分；</w:t>
            </w:r>
          </w:p>
          <w:p w14:paraId="46D4C325">
            <w:pPr>
              <w:rPr>
                <w:rFonts w:hint="eastAsia"/>
                <w:color w:val="auto"/>
                <w:highlight w:val="none"/>
                <w:lang w:val="en-US" w:eastAsia="zh-CN"/>
              </w:rPr>
            </w:pPr>
            <w:r>
              <w:rPr>
                <w:rFonts w:hint="eastAsia"/>
                <w:color w:val="auto"/>
                <w:highlight w:val="none"/>
                <w:lang w:val="en-US" w:eastAsia="zh-CN"/>
              </w:rPr>
              <w:t>（3）内容简单、逻辑混乱、部分内容描述不清晰存在明显缺陷，不贴合项目特点的，得1分；</w:t>
            </w:r>
          </w:p>
          <w:p w14:paraId="1FA6BECD">
            <w:pPr>
              <w:numPr>
                <w:ilvl w:val="0"/>
                <w:numId w:val="0"/>
              </w:numPr>
              <w:spacing w:line="320" w:lineRule="exact"/>
              <w:ind w:leftChars="0"/>
              <w:rPr>
                <w:rFonts w:hint="eastAsia" w:ascii="Calibri" w:hAnsi="Calibri" w:eastAsia="宋体" w:cs="Times New Roman"/>
                <w:color w:val="auto"/>
                <w:kern w:val="2"/>
                <w:sz w:val="21"/>
                <w:szCs w:val="21"/>
                <w:highlight w:val="none"/>
                <w:lang w:val="en-US" w:eastAsia="zh-CN" w:bidi="ar-SA"/>
              </w:rPr>
            </w:pPr>
            <w:r>
              <w:rPr>
                <w:rFonts w:hint="eastAsia"/>
                <w:color w:val="auto"/>
                <w:highlight w:val="none"/>
                <w:lang w:val="en-US" w:eastAsia="zh-CN"/>
              </w:rPr>
              <w:t>（4）未提供此项内容的得0分</w:t>
            </w:r>
          </w:p>
        </w:tc>
      </w:tr>
      <w:tr w14:paraId="2E6E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990" w:type="dxa"/>
            <w:vMerge w:val="continue"/>
            <w:tcBorders>
              <w:left w:val="single" w:color="auto" w:sz="4" w:space="0"/>
              <w:right w:val="single" w:color="auto" w:sz="4" w:space="0"/>
            </w:tcBorders>
            <w:vAlign w:val="center"/>
          </w:tcPr>
          <w:p w14:paraId="4BAC3047">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1EA9BB50">
            <w:pPr>
              <w:spacing w:line="320" w:lineRule="exact"/>
              <w:jc w:val="center"/>
              <w:rPr>
                <w:color w:val="auto"/>
                <w:highlight w:val="none"/>
              </w:rPr>
            </w:pPr>
          </w:p>
        </w:tc>
        <w:tc>
          <w:tcPr>
            <w:tcW w:w="7144" w:type="dxa"/>
            <w:gridSpan w:val="2"/>
            <w:tcBorders>
              <w:top w:val="single" w:color="auto" w:sz="4" w:space="0"/>
              <w:left w:val="nil"/>
              <w:bottom w:val="single" w:color="auto" w:sz="4" w:space="0"/>
              <w:right w:val="single" w:color="auto" w:sz="4" w:space="0"/>
            </w:tcBorders>
            <w:vAlign w:val="center"/>
          </w:tcPr>
          <w:p w14:paraId="1DCF0720">
            <w:pPr>
              <w:numPr>
                <w:ilvl w:val="0"/>
                <w:numId w:val="0"/>
              </w:numPr>
              <w:spacing w:line="320" w:lineRule="exact"/>
              <w:ind w:left="0" w:leftChars="0" w:firstLine="0" w:firstLineChars="0"/>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4、服务方案（</w:t>
            </w:r>
            <w:r>
              <w:rPr>
                <w:rFonts w:hint="eastAsia" w:eastAsia="宋体" w:cs="Times New Roman"/>
                <w:color w:val="auto"/>
                <w:kern w:val="2"/>
                <w:sz w:val="21"/>
                <w:szCs w:val="21"/>
                <w:highlight w:val="none"/>
                <w:lang w:val="en-US" w:eastAsia="zh-CN" w:bidi="ar-SA"/>
              </w:rPr>
              <w:t>6</w:t>
            </w:r>
            <w:r>
              <w:rPr>
                <w:rFonts w:hint="eastAsia" w:ascii="Calibri" w:hAnsi="Calibri" w:eastAsia="宋体" w:cs="Times New Roman"/>
                <w:color w:val="auto"/>
                <w:kern w:val="2"/>
                <w:sz w:val="21"/>
                <w:szCs w:val="21"/>
                <w:highlight w:val="none"/>
                <w:lang w:val="en-US" w:eastAsia="zh-CN" w:bidi="ar-SA"/>
              </w:rPr>
              <w:t>分）</w:t>
            </w:r>
          </w:p>
          <w:p w14:paraId="02828777">
            <w:pPr>
              <w:numPr>
                <w:ilvl w:val="0"/>
                <w:numId w:val="0"/>
              </w:numPr>
              <w:spacing w:line="320" w:lineRule="exact"/>
              <w:ind w:left="0" w:leftChars="0" w:firstLine="0" w:firstLineChars="0"/>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评标委员会对各投标人的服务方案（包括但不限于临时安排人员、车辆、确保物资质量和及时送达验收使用，有服务管理机构、人员联系方式等等），在供货过程中发生不可预见情况后做出的应急性弥补措施进行评审。</w:t>
            </w:r>
          </w:p>
          <w:p w14:paraId="446763C4">
            <w:pPr>
              <w:rPr>
                <w:rFonts w:hint="eastAsia"/>
                <w:color w:val="auto"/>
                <w:highlight w:val="none"/>
                <w:lang w:val="en-US" w:eastAsia="zh-CN"/>
              </w:rPr>
            </w:pPr>
            <w:r>
              <w:rPr>
                <w:rFonts w:hint="eastAsia"/>
                <w:color w:val="auto"/>
                <w:highlight w:val="none"/>
                <w:lang w:val="en-US" w:eastAsia="zh-CN"/>
              </w:rPr>
              <w:t>（1）内容全面完善，各项内容阐述详细，且符合项目实际需求的，得6分；</w:t>
            </w:r>
          </w:p>
          <w:p w14:paraId="0043815D">
            <w:pPr>
              <w:rPr>
                <w:rFonts w:hint="eastAsia"/>
                <w:color w:val="auto"/>
                <w:highlight w:val="none"/>
                <w:lang w:val="en-US" w:eastAsia="zh-CN"/>
              </w:rPr>
            </w:pPr>
            <w:r>
              <w:rPr>
                <w:rFonts w:hint="eastAsia"/>
                <w:color w:val="auto"/>
                <w:highlight w:val="none"/>
                <w:lang w:val="en-US" w:eastAsia="zh-CN"/>
              </w:rPr>
              <w:t>（2）内容全面，各项阐述内容全面，但有部分内容细节需要进一步完善或提高的，得3分；</w:t>
            </w:r>
          </w:p>
          <w:p w14:paraId="3B938998">
            <w:pPr>
              <w:rPr>
                <w:rFonts w:hint="eastAsia"/>
                <w:color w:val="auto"/>
                <w:highlight w:val="none"/>
                <w:lang w:val="en-US" w:eastAsia="zh-CN"/>
              </w:rPr>
            </w:pPr>
            <w:r>
              <w:rPr>
                <w:rFonts w:hint="eastAsia"/>
                <w:color w:val="auto"/>
                <w:highlight w:val="none"/>
                <w:lang w:val="en-US" w:eastAsia="zh-CN"/>
              </w:rPr>
              <w:t>（3）内容简单、逻辑混乱、部分内容描述不清晰存在明显缺陷，不贴合项目特点的，得1分；</w:t>
            </w:r>
          </w:p>
          <w:p w14:paraId="20A0762E">
            <w:pPr>
              <w:numPr>
                <w:ilvl w:val="0"/>
                <w:numId w:val="0"/>
              </w:numPr>
              <w:spacing w:line="320" w:lineRule="exact"/>
              <w:ind w:leftChars="0"/>
              <w:rPr>
                <w:rFonts w:hint="eastAsia" w:ascii="Calibri" w:hAnsi="Calibri" w:eastAsia="宋体" w:cs="Times New Roman"/>
                <w:color w:val="auto"/>
                <w:kern w:val="2"/>
                <w:sz w:val="21"/>
                <w:szCs w:val="21"/>
                <w:highlight w:val="none"/>
                <w:lang w:val="en-US" w:eastAsia="zh-CN" w:bidi="ar-SA"/>
              </w:rPr>
            </w:pPr>
            <w:r>
              <w:rPr>
                <w:rFonts w:hint="eastAsia"/>
                <w:color w:val="auto"/>
                <w:highlight w:val="none"/>
                <w:lang w:val="en-US" w:eastAsia="zh-CN"/>
              </w:rPr>
              <w:t>（4）未提供此项内容的得0分</w:t>
            </w:r>
          </w:p>
        </w:tc>
      </w:tr>
      <w:tr w14:paraId="01D7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trPr>
        <w:tc>
          <w:tcPr>
            <w:tcW w:w="990" w:type="dxa"/>
            <w:vMerge w:val="continue"/>
            <w:tcBorders>
              <w:left w:val="single" w:color="auto" w:sz="4" w:space="0"/>
              <w:right w:val="single" w:color="auto" w:sz="4" w:space="0"/>
            </w:tcBorders>
            <w:vAlign w:val="center"/>
          </w:tcPr>
          <w:p w14:paraId="30EFA682">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3C9B3DBD">
            <w:pPr>
              <w:spacing w:line="320" w:lineRule="exact"/>
              <w:jc w:val="center"/>
              <w:rPr>
                <w:color w:val="auto"/>
                <w:highlight w:val="none"/>
              </w:rPr>
            </w:pPr>
          </w:p>
        </w:tc>
        <w:tc>
          <w:tcPr>
            <w:tcW w:w="7144" w:type="dxa"/>
            <w:gridSpan w:val="2"/>
            <w:tcBorders>
              <w:top w:val="single" w:color="auto" w:sz="4" w:space="0"/>
              <w:left w:val="nil"/>
              <w:bottom w:val="single" w:color="auto" w:sz="4" w:space="0"/>
              <w:right w:val="single" w:color="auto" w:sz="4" w:space="0"/>
            </w:tcBorders>
            <w:vAlign w:val="center"/>
          </w:tcPr>
          <w:p w14:paraId="286499B0">
            <w:pPr>
              <w:spacing w:line="320" w:lineRule="exact"/>
              <w:rPr>
                <w:rFonts w:hint="eastAsia" w:ascii="Calibri" w:hAnsi="Calibri" w:eastAsia="宋体" w:cs="Times New Roman"/>
                <w:color w:val="auto"/>
                <w:kern w:val="2"/>
                <w:sz w:val="21"/>
                <w:szCs w:val="21"/>
                <w:highlight w:val="none"/>
                <w:lang w:val="en-US" w:eastAsia="zh-CN" w:bidi="ar-SA"/>
              </w:rPr>
            </w:pPr>
            <w:r>
              <w:rPr>
                <w:rFonts w:hint="eastAsia"/>
                <w:color w:val="auto"/>
                <w:highlight w:val="none"/>
                <w:lang w:val="en-US" w:eastAsia="zh-CN"/>
              </w:rPr>
              <w:t>5、供货方案</w:t>
            </w:r>
            <w:r>
              <w:rPr>
                <w:rFonts w:hint="eastAsia" w:ascii="Calibri" w:hAnsi="Calibri" w:eastAsia="宋体" w:cs="Times New Roman"/>
                <w:color w:val="auto"/>
                <w:kern w:val="2"/>
                <w:sz w:val="21"/>
                <w:szCs w:val="21"/>
                <w:highlight w:val="none"/>
                <w:lang w:val="en-US" w:eastAsia="zh-CN" w:bidi="ar-SA"/>
              </w:rPr>
              <w:t>（</w:t>
            </w:r>
            <w:r>
              <w:rPr>
                <w:rFonts w:hint="eastAsia" w:eastAsia="宋体" w:cs="Times New Roman"/>
                <w:color w:val="auto"/>
                <w:kern w:val="2"/>
                <w:sz w:val="21"/>
                <w:szCs w:val="21"/>
                <w:highlight w:val="none"/>
                <w:lang w:val="en-US" w:eastAsia="zh-CN" w:bidi="ar-SA"/>
              </w:rPr>
              <w:t>6</w:t>
            </w:r>
            <w:r>
              <w:rPr>
                <w:rFonts w:hint="eastAsia" w:ascii="Calibri" w:hAnsi="Calibri" w:eastAsia="宋体" w:cs="Times New Roman"/>
                <w:color w:val="auto"/>
                <w:kern w:val="2"/>
                <w:sz w:val="21"/>
                <w:szCs w:val="21"/>
                <w:highlight w:val="none"/>
                <w:lang w:val="en-US" w:eastAsia="zh-CN" w:bidi="ar-SA"/>
              </w:rPr>
              <w:t>分）</w:t>
            </w:r>
          </w:p>
          <w:p w14:paraId="0D35DA24">
            <w:pPr>
              <w:rPr>
                <w:rFonts w:hint="eastAsia"/>
                <w:color w:val="auto"/>
                <w:highlight w:val="none"/>
                <w:lang w:val="en-US" w:eastAsia="zh-CN"/>
              </w:rPr>
            </w:pPr>
            <w:r>
              <w:rPr>
                <w:rFonts w:hint="eastAsia"/>
                <w:color w:val="auto"/>
                <w:highlight w:val="none"/>
                <w:lang w:val="en-US" w:eastAsia="zh-CN"/>
              </w:rPr>
              <w:t>评标委员会对各投标人供货方案（包括但不限于：货源组织能力、运输方案、验收方案等方面，明确所投货物的来源和渠道，产品供应的管理制度、对仓储货源充足保证确保按时供货、正常验收）进行评审。</w:t>
            </w:r>
          </w:p>
          <w:p w14:paraId="27CE68EB">
            <w:pPr>
              <w:rPr>
                <w:rFonts w:hint="eastAsia"/>
                <w:color w:val="auto"/>
                <w:highlight w:val="none"/>
                <w:lang w:val="en-US" w:eastAsia="zh-CN"/>
              </w:rPr>
            </w:pPr>
            <w:r>
              <w:rPr>
                <w:rFonts w:hint="eastAsia"/>
                <w:color w:val="auto"/>
                <w:highlight w:val="none"/>
                <w:lang w:val="en-US" w:eastAsia="zh-CN"/>
              </w:rPr>
              <w:t>（1）内容全面完善，各项内容阐述详细，且符合项目实际需求的，得6分；</w:t>
            </w:r>
          </w:p>
          <w:p w14:paraId="36D7C0EC">
            <w:pPr>
              <w:rPr>
                <w:rFonts w:hint="eastAsia"/>
                <w:color w:val="auto"/>
                <w:highlight w:val="none"/>
                <w:lang w:val="en-US" w:eastAsia="zh-CN"/>
              </w:rPr>
            </w:pPr>
            <w:r>
              <w:rPr>
                <w:rFonts w:hint="eastAsia"/>
                <w:color w:val="auto"/>
                <w:highlight w:val="none"/>
                <w:lang w:val="en-US" w:eastAsia="zh-CN"/>
              </w:rPr>
              <w:t>（2）内容全面，各项阐述内容全面，但有部分内容细节需要进一步完善或提高的，得3分；</w:t>
            </w:r>
          </w:p>
          <w:p w14:paraId="3B84BDBA">
            <w:pPr>
              <w:rPr>
                <w:rFonts w:hint="eastAsia"/>
                <w:color w:val="auto"/>
                <w:highlight w:val="none"/>
                <w:lang w:val="en-US" w:eastAsia="zh-CN"/>
              </w:rPr>
            </w:pPr>
            <w:r>
              <w:rPr>
                <w:rFonts w:hint="eastAsia"/>
                <w:color w:val="auto"/>
                <w:highlight w:val="none"/>
                <w:lang w:val="en-US" w:eastAsia="zh-CN"/>
              </w:rPr>
              <w:t>（3）内容简单、逻辑混乱、部分内容描述不清晰存在明显缺陷，不贴合项目特点的，得1分；</w:t>
            </w:r>
          </w:p>
          <w:p w14:paraId="3F280221">
            <w:pPr>
              <w:spacing w:line="320" w:lineRule="exact"/>
              <w:rPr>
                <w:rFonts w:hint="eastAsia" w:eastAsia="宋体"/>
                <w:color w:val="auto"/>
                <w:highlight w:val="none"/>
                <w:lang w:val="en-US" w:eastAsia="zh-CN"/>
              </w:rPr>
            </w:pPr>
            <w:r>
              <w:rPr>
                <w:rFonts w:hint="eastAsia"/>
                <w:color w:val="auto"/>
                <w:highlight w:val="none"/>
                <w:lang w:val="en-US" w:eastAsia="zh-CN"/>
              </w:rPr>
              <w:t>（4）未提供此项内容的得0分</w:t>
            </w:r>
          </w:p>
        </w:tc>
      </w:tr>
      <w:tr w14:paraId="1B92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990" w:type="dxa"/>
            <w:vMerge w:val="continue"/>
            <w:tcBorders>
              <w:left w:val="single" w:color="auto" w:sz="4" w:space="0"/>
              <w:right w:val="single" w:color="auto" w:sz="4" w:space="0"/>
            </w:tcBorders>
            <w:vAlign w:val="center"/>
          </w:tcPr>
          <w:p w14:paraId="35247032">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1B128F9B">
            <w:pPr>
              <w:spacing w:line="320" w:lineRule="exact"/>
              <w:jc w:val="center"/>
              <w:rPr>
                <w:color w:val="auto"/>
                <w:highlight w:val="none"/>
              </w:rPr>
            </w:pPr>
          </w:p>
        </w:tc>
        <w:tc>
          <w:tcPr>
            <w:tcW w:w="7144" w:type="dxa"/>
            <w:gridSpan w:val="2"/>
            <w:tcBorders>
              <w:top w:val="single" w:color="auto" w:sz="4" w:space="0"/>
              <w:left w:val="nil"/>
              <w:bottom w:val="single" w:color="auto" w:sz="4" w:space="0"/>
              <w:right w:val="single" w:color="auto" w:sz="4" w:space="0"/>
            </w:tcBorders>
            <w:vAlign w:val="center"/>
          </w:tcPr>
          <w:p w14:paraId="048CD9D5">
            <w:pPr>
              <w:numPr>
                <w:ilvl w:val="0"/>
                <w:numId w:val="2"/>
              </w:numPr>
              <w:spacing w:line="320" w:lineRule="exact"/>
              <w:rPr>
                <w:rFonts w:hint="eastAsia"/>
                <w:color w:val="auto"/>
                <w:highlight w:val="none"/>
                <w:lang w:val="en-US" w:eastAsia="zh-CN"/>
              </w:rPr>
            </w:pPr>
            <w:r>
              <w:rPr>
                <w:rFonts w:hint="eastAsia"/>
                <w:color w:val="auto"/>
                <w:highlight w:val="none"/>
                <w:lang w:val="en-US" w:eastAsia="zh-CN"/>
              </w:rPr>
              <w:t>仓储场地（4分）</w:t>
            </w:r>
          </w:p>
          <w:p w14:paraId="290B50B1">
            <w:pPr>
              <w:numPr>
                <w:ilvl w:val="0"/>
                <w:numId w:val="0"/>
              </w:numPr>
              <w:spacing w:line="320" w:lineRule="exact"/>
              <w:rPr>
                <w:rFonts w:hint="default"/>
                <w:color w:val="auto"/>
                <w:highlight w:val="none"/>
                <w:lang w:val="en-US" w:eastAsia="zh-CN"/>
              </w:rPr>
            </w:pPr>
            <w:r>
              <w:rPr>
                <w:rFonts w:hint="eastAsia"/>
                <w:color w:val="auto"/>
                <w:highlight w:val="none"/>
                <w:lang w:val="en-US" w:eastAsia="zh-CN"/>
              </w:rPr>
              <w:t>（1）仓储场地</w:t>
            </w:r>
            <w:r>
              <w:rPr>
                <w:rFonts w:hint="default"/>
                <w:color w:val="auto"/>
                <w:highlight w:val="none"/>
                <w:lang w:val="en-US" w:eastAsia="zh-CN"/>
              </w:rPr>
              <w:t>完全满足供货需求、仓库整洁、区域划分管理、有明显的区域标识，有专门的冷藏仓储仓库得</w:t>
            </w:r>
            <w:r>
              <w:rPr>
                <w:rFonts w:hint="eastAsia"/>
                <w:color w:val="auto"/>
                <w:highlight w:val="none"/>
                <w:lang w:val="en-US" w:eastAsia="zh-CN"/>
              </w:rPr>
              <w:t>4</w:t>
            </w:r>
            <w:r>
              <w:rPr>
                <w:rFonts w:hint="default"/>
                <w:color w:val="auto"/>
                <w:highlight w:val="none"/>
                <w:lang w:val="en-US" w:eastAsia="zh-CN"/>
              </w:rPr>
              <w:t>分；</w:t>
            </w:r>
          </w:p>
          <w:p w14:paraId="2BC6D840">
            <w:pPr>
              <w:numPr>
                <w:ilvl w:val="0"/>
                <w:numId w:val="0"/>
              </w:numPr>
              <w:spacing w:line="320" w:lineRule="exact"/>
              <w:rPr>
                <w:rFonts w:hint="default"/>
                <w:color w:val="auto"/>
                <w:highlight w:val="none"/>
                <w:lang w:val="en-US" w:eastAsia="zh-CN"/>
              </w:rPr>
            </w:pPr>
            <w:r>
              <w:rPr>
                <w:rFonts w:hint="eastAsia"/>
                <w:color w:val="auto"/>
                <w:highlight w:val="none"/>
                <w:lang w:val="en-US" w:eastAsia="zh-CN"/>
              </w:rPr>
              <w:t>（2）仓储场地</w:t>
            </w:r>
            <w:r>
              <w:rPr>
                <w:rFonts w:hint="default"/>
                <w:color w:val="auto"/>
                <w:highlight w:val="none"/>
                <w:lang w:val="en-US" w:eastAsia="zh-CN"/>
              </w:rPr>
              <w:t>基本满足供货需求、仓库较为整洁、区域划分管理、区域标识不明显，有专门的冷藏仓储仓库得2分；</w:t>
            </w:r>
          </w:p>
          <w:p w14:paraId="7CA65D07">
            <w:pPr>
              <w:numPr>
                <w:ilvl w:val="0"/>
                <w:numId w:val="0"/>
              </w:numPr>
              <w:spacing w:line="320" w:lineRule="exact"/>
              <w:rPr>
                <w:rFonts w:hint="default"/>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可以满足供货需求、仓库杂乱、没有区域划分管理、没有区域标识，没有专门的冷藏仓储仓库得1 分；</w:t>
            </w:r>
          </w:p>
          <w:p w14:paraId="334F4EF0">
            <w:pPr>
              <w:numPr>
                <w:ilvl w:val="0"/>
                <w:numId w:val="0"/>
              </w:numPr>
              <w:spacing w:line="320" w:lineRule="exact"/>
              <w:rPr>
                <w:rFonts w:hint="default"/>
                <w:color w:val="auto"/>
                <w:highlight w:val="none"/>
                <w:lang w:val="en-US" w:eastAsia="zh-CN"/>
              </w:rPr>
            </w:pPr>
            <w:r>
              <w:rPr>
                <w:rFonts w:hint="default"/>
                <w:color w:val="auto"/>
                <w:highlight w:val="none"/>
                <w:lang w:val="en-US" w:eastAsia="zh-CN"/>
              </w:rPr>
              <w:t>注：须提供仓库照片没有的不得分</w:t>
            </w:r>
          </w:p>
        </w:tc>
      </w:tr>
      <w:tr w14:paraId="7FB9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990" w:type="dxa"/>
            <w:vMerge w:val="continue"/>
            <w:tcBorders>
              <w:left w:val="single" w:color="auto" w:sz="4" w:space="0"/>
              <w:right w:val="single" w:color="auto" w:sz="4" w:space="0"/>
            </w:tcBorders>
            <w:vAlign w:val="center"/>
          </w:tcPr>
          <w:p w14:paraId="5A2391D2">
            <w:pPr>
              <w:widowControl/>
              <w:jc w:val="left"/>
              <w:rPr>
                <w:rFonts w:ascii="宋体"/>
                <w:color w:val="auto"/>
                <w:highlight w:val="none"/>
              </w:rPr>
            </w:pPr>
          </w:p>
        </w:tc>
        <w:tc>
          <w:tcPr>
            <w:tcW w:w="1455" w:type="dxa"/>
            <w:vMerge w:val="continue"/>
            <w:tcBorders>
              <w:left w:val="single" w:color="auto" w:sz="4" w:space="0"/>
              <w:right w:val="single" w:color="auto" w:sz="4" w:space="0"/>
            </w:tcBorders>
            <w:vAlign w:val="center"/>
          </w:tcPr>
          <w:p w14:paraId="33987243">
            <w:pPr>
              <w:spacing w:line="320" w:lineRule="exact"/>
              <w:jc w:val="center"/>
              <w:rPr>
                <w:color w:val="auto"/>
                <w:highlight w:val="none"/>
              </w:rPr>
            </w:pPr>
          </w:p>
        </w:tc>
        <w:tc>
          <w:tcPr>
            <w:tcW w:w="7144" w:type="dxa"/>
            <w:gridSpan w:val="2"/>
            <w:tcBorders>
              <w:top w:val="single" w:color="auto" w:sz="4" w:space="0"/>
              <w:left w:val="nil"/>
              <w:bottom w:val="single" w:color="auto" w:sz="4" w:space="0"/>
              <w:right w:val="single" w:color="auto" w:sz="4" w:space="0"/>
            </w:tcBorders>
            <w:vAlign w:val="center"/>
          </w:tcPr>
          <w:p w14:paraId="0DE7D833">
            <w:pPr>
              <w:keepNext w:val="0"/>
              <w:keepLines w:val="0"/>
              <w:pageBreakBefore w:val="0"/>
              <w:widowControl/>
              <w:numPr>
                <w:ilvl w:val="0"/>
                <w:numId w:val="0"/>
              </w:numPr>
              <w:kinsoku/>
              <w:wordWrap/>
              <w:overflowPunct/>
              <w:topLinePunct w:val="0"/>
              <w:autoSpaceDE w:val="0"/>
              <w:autoSpaceDN/>
              <w:bidi w:val="0"/>
              <w:spacing w:before="0" w:beforeAutospacing="0" w:after="0" w:line="400" w:lineRule="exact"/>
              <w:jc w:val="both"/>
              <w:textAlignment w:val="auto"/>
              <w:rPr>
                <w:rFonts w:hint="eastAsia"/>
                <w:color w:val="auto"/>
                <w:highlight w:val="none"/>
                <w:lang w:val="en-US" w:eastAsia="zh-CN"/>
              </w:rPr>
            </w:pPr>
            <w:r>
              <w:rPr>
                <w:rFonts w:hint="eastAsia" w:cs="Times New Roman"/>
                <w:color w:val="auto"/>
                <w:kern w:val="2"/>
                <w:sz w:val="21"/>
                <w:szCs w:val="21"/>
                <w:highlight w:val="none"/>
                <w:lang w:val="en-US" w:eastAsia="zh-CN" w:bidi="ar-SA"/>
              </w:rPr>
              <w:t>7</w:t>
            </w:r>
            <w:r>
              <w:rPr>
                <w:rFonts w:hint="eastAsia" w:ascii="Calibri" w:hAnsi="Calibri" w:eastAsia="宋体" w:cs="Times New Roman"/>
                <w:color w:val="auto"/>
                <w:kern w:val="2"/>
                <w:sz w:val="21"/>
                <w:szCs w:val="21"/>
                <w:highlight w:val="none"/>
                <w:lang w:val="en-US" w:eastAsia="zh-CN" w:bidi="ar-SA"/>
              </w:rPr>
              <w:t>、</w:t>
            </w:r>
            <w:r>
              <w:rPr>
                <w:rFonts w:hint="eastAsia"/>
                <w:color w:val="auto"/>
                <w:highlight w:val="none"/>
                <w:lang w:val="en-US" w:eastAsia="zh-CN"/>
              </w:rPr>
              <w:t>应急处理方案（6分）</w:t>
            </w:r>
          </w:p>
          <w:p w14:paraId="77A40F20">
            <w:pPr>
              <w:spacing w:line="320" w:lineRule="exact"/>
              <w:rPr>
                <w:rFonts w:hint="eastAsia" w:eastAsia="宋体" w:cs="Times New Roman"/>
                <w:color w:val="auto"/>
                <w:highlight w:val="none"/>
                <w:lang w:val="en-US" w:eastAsia="zh-CN"/>
              </w:rPr>
            </w:pPr>
            <w:r>
              <w:rPr>
                <w:rFonts w:hint="eastAsia" w:eastAsia="宋体" w:cs="Times New Roman"/>
                <w:color w:val="auto"/>
                <w:highlight w:val="none"/>
                <w:lang w:val="en-US" w:eastAsia="zh-CN"/>
              </w:rPr>
              <w:t>针对出现货品短缺、货品破损、食材出现安全事故时的应急处理方案，包含但不限于（1）应急预案响应；（2）解决问题时效（发生食材问题时，到达现场处理时间）（3）危机处理能力及处理预案、措施。按照完整性、合理性、可行性等进行横向对比。</w:t>
            </w:r>
          </w:p>
          <w:p w14:paraId="6D712938">
            <w:pPr>
              <w:rPr>
                <w:rFonts w:hint="eastAsia"/>
                <w:color w:val="auto"/>
                <w:highlight w:val="none"/>
                <w:lang w:val="en-US" w:eastAsia="zh-CN"/>
              </w:rPr>
            </w:pPr>
            <w:r>
              <w:rPr>
                <w:rFonts w:hint="eastAsia"/>
                <w:color w:val="auto"/>
                <w:highlight w:val="none"/>
                <w:lang w:val="en-US" w:eastAsia="zh-CN"/>
              </w:rPr>
              <w:t>（1）内容全面完善，各项内容阐述详细，且符合项目实际需求的，得6分；</w:t>
            </w:r>
          </w:p>
          <w:p w14:paraId="0728AAE9">
            <w:pPr>
              <w:rPr>
                <w:rFonts w:hint="eastAsia"/>
                <w:color w:val="auto"/>
                <w:highlight w:val="none"/>
                <w:lang w:val="en-US" w:eastAsia="zh-CN"/>
              </w:rPr>
            </w:pPr>
            <w:r>
              <w:rPr>
                <w:rFonts w:hint="eastAsia"/>
                <w:color w:val="auto"/>
                <w:highlight w:val="none"/>
                <w:lang w:val="en-US" w:eastAsia="zh-CN"/>
              </w:rPr>
              <w:t>（2）内容全面，各项阐述内容全面，但有部分内容细节需要进一步完善或提高的，得3分；</w:t>
            </w:r>
          </w:p>
          <w:p w14:paraId="079045C8">
            <w:pPr>
              <w:rPr>
                <w:rFonts w:hint="eastAsia"/>
                <w:color w:val="auto"/>
                <w:highlight w:val="none"/>
                <w:lang w:val="en-US" w:eastAsia="zh-CN"/>
              </w:rPr>
            </w:pPr>
            <w:r>
              <w:rPr>
                <w:rFonts w:hint="eastAsia"/>
                <w:color w:val="auto"/>
                <w:highlight w:val="none"/>
                <w:lang w:val="en-US" w:eastAsia="zh-CN"/>
              </w:rPr>
              <w:t>（3）内容简单、逻辑混乱、部分内容描述不清晰存在明显缺陷，不贴合项目特点的，得1分；</w:t>
            </w:r>
          </w:p>
          <w:p w14:paraId="427133B7">
            <w:pPr>
              <w:spacing w:line="320" w:lineRule="exact"/>
              <w:rPr>
                <w:rFonts w:hint="eastAsia" w:eastAsia="宋体"/>
                <w:color w:val="auto"/>
                <w:highlight w:val="none"/>
                <w:lang w:val="en-US" w:eastAsia="zh-CN"/>
              </w:rPr>
            </w:pPr>
            <w:r>
              <w:rPr>
                <w:rFonts w:hint="eastAsia"/>
                <w:color w:val="auto"/>
                <w:highlight w:val="none"/>
                <w:lang w:val="en-US" w:eastAsia="zh-CN"/>
              </w:rPr>
              <w:t>（4）未提供此项内容的得0分</w:t>
            </w:r>
          </w:p>
        </w:tc>
      </w:tr>
    </w:tbl>
    <w:p w14:paraId="2AF2EDEA">
      <w:pPr>
        <w:numPr>
          <w:ilvl w:val="0"/>
          <w:numId w:val="3"/>
        </w:numPr>
        <w:spacing w:line="360" w:lineRule="auto"/>
        <w:rPr>
          <w:rFonts w:hint="eastAsia" w:ascii="宋体" w:hAnsi="宋体"/>
          <w:b/>
          <w:bCs/>
          <w:color w:val="auto"/>
          <w:highlight w:val="none"/>
        </w:rPr>
      </w:pPr>
      <w:r>
        <w:rPr>
          <w:rFonts w:hint="eastAsia" w:ascii="宋体" w:hAnsi="宋体"/>
          <w:b/>
          <w:bCs/>
          <w:color w:val="auto"/>
          <w:highlight w:val="none"/>
        </w:rPr>
        <w:t>评标方法</w:t>
      </w:r>
      <w:bookmarkStart w:id="850" w:name="_Toc28593"/>
      <w:bookmarkEnd w:id="850"/>
      <w:bookmarkStart w:id="851" w:name="_Toc23792"/>
      <w:bookmarkEnd w:id="851"/>
      <w:bookmarkStart w:id="852" w:name="_Toc27298"/>
    </w:p>
    <w:p w14:paraId="380702F7">
      <w:pPr>
        <w:spacing w:line="240" w:lineRule="auto"/>
        <w:rPr>
          <w:rFonts w:hint="eastAsia" w:ascii="宋体" w:hAnsi="宋体"/>
          <w:color w:val="auto"/>
          <w:highlight w:val="none"/>
        </w:rPr>
      </w:pPr>
      <w:r>
        <w:rPr>
          <w:rFonts w:hint="eastAsia" w:ascii="宋体" w:hAnsi="宋体"/>
          <w:color w:val="auto"/>
          <w:highlight w:val="none"/>
        </w:rPr>
        <w:t>本次评标均采用综合评分法。评标委员会对满足招标文件实质性要求的投标文件，按照本章第</w:t>
      </w:r>
      <w:bookmarkEnd w:id="852"/>
      <w:r>
        <w:rPr>
          <w:rFonts w:hint="eastAsia" w:ascii="宋体" w:hAnsi="宋体"/>
          <w:color w:val="auto"/>
          <w:highlight w:val="none"/>
        </w:rPr>
        <w:t>2.2款(一)、（二）、（三）规定的评分标准进行打分，并按得分由高到低顺序推荐成交候选人。综合评分相等时，以投标报价低的优先；投标报价也相等的，由采购人或其授权的评标委员会自行确定。</w:t>
      </w:r>
    </w:p>
    <w:p w14:paraId="13A778E4">
      <w:pPr>
        <w:spacing w:line="360" w:lineRule="auto"/>
        <w:rPr>
          <w:rFonts w:ascii="宋体"/>
          <w:b/>
          <w:bCs/>
          <w:color w:val="auto"/>
          <w:highlight w:val="none"/>
        </w:rPr>
      </w:pPr>
      <w:r>
        <w:rPr>
          <w:rFonts w:hint="eastAsia" w:ascii="宋体" w:hAnsi="宋体"/>
          <w:b/>
          <w:bCs/>
          <w:color w:val="auto"/>
          <w:highlight w:val="none"/>
        </w:rPr>
        <w:t>2. 评审标准</w:t>
      </w:r>
    </w:p>
    <w:p w14:paraId="0213685E">
      <w:pPr>
        <w:pStyle w:val="4"/>
        <w:keepLines w:val="0"/>
        <w:widowControl/>
        <w:spacing w:before="0" w:after="0" w:line="520" w:lineRule="exact"/>
        <w:rPr>
          <w:rFonts w:ascii="宋体"/>
          <w:color w:val="auto"/>
          <w:sz w:val="21"/>
          <w:szCs w:val="21"/>
          <w:highlight w:val="none"/>
        </w:rPr>
      </w:pPr>
      <w:bookmarkStart w:id="853" w:name="_Toc14281"/>
      <w:bookmarkEnd w:id="853"/>
      <w:bookmarkStart w:id="854" w:name="_Toc22133"/>
      <w:bookmarkEnd w:id="854"/>
      <w:bookmarkStart w:id="855" w:name="_Toc1892"/>
      <w:r>
        <w:rPr>
          <w:rFonts w:hint="eastAsia" w:ascii="宋体" w:hAnsi="宋体"/>
          <w:color w:val="auto"/>
          <w:sz w:val="21"/>
          <w:szCs w:val="21"/>
          <w:highlight w:val="none"/>
        </w:rPr>
        <w:t xml:space="preserve">2.1 </w:t>
      </w:r>
      <w:bookmarkEnd w:id="855"/>
      <w:r>
        <w:rPr>
          <w:rFonts w:hint="eastAsia" w:ascii="宋体" w:hAnsi="宋体"/>
          <w:color w:val="auto"/>
          <w:sz w:val="21"/>
          <w:szCs w:val="21"/>
          <w:highlight w:val="none"/>
        </w:rPr>
        <w:t>初步评审标准</w:t>
      </w:r>
    </w:p>
    <w:p w14:paraId="54852F2F">
      <w:pPr>
        <w:spacing w:line="380" w:lineRule="exact"/>
        <w:ind w:firstLine="420" w:firstLineChars="200"/>
        <w:rPr>
          <w:rFonts w:ascii="宋体"/>
          <w:color w:val="auto"/>
          <w:highlight w:val="none"/>
        </w:rPr>
      </w:pPr>
      <w:r>
        <w:rPr>
          <w:rFonts w:hint="eastAsia" w:ascii="宋体" w:hAnsi="宋体"/>
          <w:color w:val="auto"/>
          <w:highlight w:val="none"/>
        </w:rPr>
        <w:t>2.1.1资格审查：见评标办法前附表。</w:t>
      </w:r>
    </w:p>
    <w:p w14:paraId="1B089CDC">
      <w:pPr>
        <w:spacing w:line="380" w:lineRule="exact"/>
        <w:ind w:firstLine="420" w:firstLineChars="200"/>
        <w:rPr>
          <w:rFonts w:hint="eastAsia" w:ascii="宋体" w:hAnsi="宋体"/>
          <w:color w:val="auto"/>
          <w:highlight w:val="none"/>
        </w:rPr>
      </w:pPr>
      <w:r>
        <w:rPr>
          <w:rFonts w:hint="eastAsia" w:ascii="宋体" w:hAnsi="宋体"/>
          <w:color w:val="auto"/>
          <w:highlight w:val="none"/>
        </w:rPr>
        <w:t>2.1.2符合性审查:见评标办法前附表。</w:t>
      </w:r>
    </w:p>
    <w:p w14:paraId="4B4678F3">
      <w:pPr>
        <w:pStyle w:val="10"/>
        <w:spacing w:before="0" w:beforeAutospacing="0" w:after="0" w:line="380" w:lineRule="exact"/>
        <w:rPr>
          <w:color w:val="auto"/>
          <w:highlight w:val="none"/>
        </w:rPr>
      </w:pPr>
      <w:r>
        <w:rPr>
          <w:rFonts w:hint="eastAsia" w:ascii="宋体" w:hAnsi="宋体"/>
          <w:color w:val="auto"/>
          <w:highlight w:val="none"/>
        </w:rPr>
        <w:t xml:space="preserve">    2.1.3详细评审标准：见评标办法前附表。</w:t>
      </w:r>
    </w:p>
    <w:p w14:paraId="79FB3CAE">
      <w:pPr>
        <w:pStyle w:val="4"/>
        <w:keepLines w:val="0"/>
        <w:widowControl/>
        <w:spacing w:before="0" w:after="0" w:line="520" w:lineRule="exact"/>
        <w:rPr>
          <w:rFonts w:hint="eastAsia" w:ascii="宋体" w:hAnsi="宋体"/>
          <w:color w:val="auto"/>
          <w:sz w:val="21"/>
          <w:szCs w:val="21"/>
          <w:highlight w:val="none"/>
        </w:rPr>
      </w:pPr>
      <w:bookmarkStart w:id="856" w:name="_Toc324429902"/>
      <w:bookmarkEnd w:id="856"/>
      <w:bookmarkStart w:id="857" w:name="_Toc144974570"/>
      <w:bookmarkEnd w:id="857"/>
      <w:bookmarkStart w:id="858" w:name="_Toc152045603"/>
      <w:bookmarkEnd w:id="858"/>
      <w:bookmarkStart w:id="859" w:name="_Toc345060966"/>
      <w:bookmarkEnd w:id="859"/>
      <w:bookmarkStart w:id="860" w:name="_Toc152042380"/>
      <w:r>
        <w:rPr>
          <w:rFonts w:hint="eastAsia" w:ascii="宋体" w:hAnsi="宋体"/>
          <w:color w:val="auto"/>
          <w:sz w:val="21"/>
          <w:szCs w:val="21"/>
          <w:highlight w:val="none"/>
        </w:rPr>
        <w:t>2.2</w:t>
      </w:r>
      <w:bookmarkEnd w:id="860"/>
      <w:r>
        <w:rPr>
          <w:rFonts w:hint="eastAsia" w:ascii="宋体" w:hAnsi="宋体"/>
          <w:color w:val="auto"/>
          <w:sz w:val="21"/>
          <w:szCs w:val="21"/>
          <w:highlight w:val="none"/>
        </w:rPr>
        <w:t>分值构成与评分标准</w:t>
      </w:r>
    </w:p>
    <w:p w14:paraId="4DC860AF">
      <w:pPr>
        <w:spacing w:line="380" w:lineRule="exact"/>
        <w:ind w:firstLine="420" w:firstLineChars="200"/>
        <w:rPr>
          <w:rFonts w:hint="eastAsia" w:ascii="宋体" w:hAnsi="宋体"/>
          <w:color w:val="auto"/>
          <w:highlight w:val="none"/>
        </w:rPr>
      </w:pPr>
      <w:bookmarkStart w:id="861" w:name="_Toc345060967"/>
      <w:bookmarkEnd w:id="861"/>
      <w:bookmarkStart w:id="862" w:name="_Toc324429903"/>
      <w:bookmarkEnd w:id="862"/>
      <w:bookmarkStart w:id="863" w:name="_Toc319578757"/>
      <w:bookmarkEnd w:id="863"/>
      <w:bookmarkStart w:id="864" w:name="_Toc321385761"/>
      <w:bookmarkEnd w:id="864"/>
      <w:bookmarkStart w:id="865" w:name="_Toc323898027"/>
      <w:bookmarkEnd w:id="865"/>
      <w:bookmarkStart w:id="866" w:name="_Toc322696428"/>
      <w:r>
        <w:rPr>
          <w:rFonts w:hint="eastAsia" w:ascii="宋体" w:hAnsi="宋体"/>
          <w:color w:val="auto"/>
          <w:highlight w:val="none"/>
        </w:rPr>
        <w:t>2.2.1</w:t>
      </w:r>
      <w:bookmarkEnd w:id="866"/>
      <w:r>
        <w:rPr>
          <w:rFonts w:hint="eastAsia" w:ascii="宋体" w:hAnsi="宋体"/>
          <w:color w:val="auto"/>
          <w:highlight w:val="none"/>
        </w:rPr>
        <w:t>分值构成：</w:t>
      </w:r>
    </w:p>
    <w:p w14:paraId="46CA0A88">
      <w:pPr>
        <w:spacing w:line="380" w:lineRule="exact"/>
        <w:ind w:firstLine="420" w:firstLineChars="200"/>
        <w:rPr>
          <w:rFonts w:hint="eastAsia" w:ascii="宋体" w:hAnsi="宋体"/>
          <w:color w:val="auto"/>
          <w:highlight w:val="none"/>
        </w:rPr>
      </w:pPr>
      <w:r>
        <w:rPr>
          <w:rFonts w:hint="eastAsia" w:ascii="宋体" w:hAnsi="宋体"/>
          <w:color w:val="auto"/>
          <w:highlight w:val="none"/>
        </w:rPr>
        <w:t>（1）投标报价：见评标办法前附表；</w:t>
      </w:r>
    </w:p>
    <w:p w14:paraId="32E98321">
      <w:pPr>
        <w:spacing w:line="380" w:lineRule="exact"/>
        <w:ind w:firstLine="420" w:firstLineChars="200"/>
        <w:rPr>
          <w:rFonts w:hint="eastAsia" w:ascii="宋体" w:hAnsi="宋体"/>
          <w:color w:val="auto"/>
          <w:highlight w:val="none"/>
        </w:rPr>
      </w:pPr>
      <w:r>
        <w:rPr>
          <w:rFonts w:hint="eastAsia" w:ascii="宋体" w:hAnsi="宋体"/>
          <w:color w:val="auto"/>
          <w:highlight w:val="none"/>
        </w:rPr>
        <w:t>（2）商务部分：见评标办法前附表。</w:t>
      </w:r>
    </w:p>
    <w:p w14:paraId="07ACAC98">
      <w:pPr>
        <w:spacing w:line="380" w:lineRule="exact"/>
        <w:ind w:firstLine="420" w:firstLineChars="200"/>
        <w:rPr>
          <w:rFonts w:hAnsi="Times New Roman"/>
          <w:color w:val="auto"/>
          <w:highlight w:val="none"/>
        </w:rPr>
      </w:pPr>
      <w:r>
        <w:rPr>
          <w:rFonts w:hint="eastAsia" w:ascii="宋体" w:hAnsi="宋体"/>
          <w:color w:val="auto"/>
          <w:highlight w:val="none"/>
        </w:rPr>
        <w:t>（3）技术</w:t>
      </w:r>
      <w:r>
        <w:rPr>
          <w:rFonts w:hint="eastAsia" w:hAnsi="宋体"/>
          <w:color w:val="auto"/>
          <w:highlight w:val="none"/>
        </w:rPr>
        <w:t>部分：见评标办法前附表。</w:t>
      </w:r>
    </w:p>
    <w:p w14:paraId="3AFC75C9">
      <w:pPr>
        <w:pStyle w:val="4"/>
        <w:keepLines w:val="0"/>
        <w:widowControl/>
        <w:spacing w:before="0" w:after="0" w:line="520" w:lineRule="exact"/>
        <w:rPr>
          <w:rFonts w:hint="eastAsia" w:ascii="宋体" w:hAnsi="宋体"/>
          <w:color w:val="auto"/>
          <w:sz w:val="21"/>
          <w:szCs w:val="21"/>
          <w:highlight w:val="none"/>
        </w:rPr>
      </w:pPr>
      <w:bookmarkStart w:id="867" w:name="_Toc322696429"/>
      <w:bookmarkEnd w:id="867"/>
      <w:bookmarkStart w:id="868" w:name="_Toc319578758"/>
      <w:bookmarkEnd w:id="868"/>
      <w:bookmarkStart w:id="869" w:name="_Toc321385762"/>
      <w:bookmarkEnd w:id="869"/>
      <w:bookmarkStart w:id="870" w:name="_Toc345060968"/>
      <w:bookmarkEnd w:id="870"/>
      <w:bookmarkStart w:id="871" w:name="_Toc323898028"/>
      <w:bookmarkEnd w:id="871"/>
      <w:bookmarkStart w:id="872" w:name="_Toc324429904"/>
      <w:r>
        <w:rPr>
          <w:rFonts w:hint="eastAsia" w:ascii="宋体" w:hAnsi="宋体"/>
          <w:color w:val="auto"/>
          <w:sz w:val="21"/>
          <w:szCs w:val="21"/>
          <w:highlight w:val="none"/>
        </w:rPr>
        <w:t xml:space="preserve">2.2.2 </w:t>
      </w:r>
      <w:bookmarkEnd w:id="872"/>
      <w:r>
        <w:rPr>
          <w:rFonts w:hint="eastAsia" w:ascii="宋体" w:hAnsi="宋体"/>
          <w:color w:val="auto"/>
          <w:sz w:val="21"/>
          <w:szCs w:val="21"/>
          <w:highlight w:val="none"/>
        </w:rPr>
        <w:t>评标基准价计算</w:t>
      </w:r>
    </w:p>
    <w:p w14:paraId="11E3E126">
      <w:pPr>
        <w:pStyle w:val="14"/>
        <w:spacing w:line="500" w:lineRule="exact"/>
        <w:ind w:firstLine="630" w:firstLineChars="300"/>
        <w:rPr>
          <w:rFonts w:hAnsi="Times New Roman"/>
          <w:color w:val="auto"/>
          <w:highlight w:val="none"/>
        </w:rPr>
      </w:pPr>
      <w:r>
        <w:rPr>
          <w:rFonts w:hint="eastAsia" w:hAnsi="宋体"/>
          <w:color w:val="auto"/>
          <w:highlight w:val="none"/>
        </w:rPr>
        <w:t>评标基准价计算方法：见评标办法前附表。</w:t>
      </w:r>
    </w:p>
    <w:p w14:paraId="103FCA76">
      <w:pPr>
        <w:pStyle w:val="14"/>
        <w:spacing w:line="500" w:lineRule="exact"/>
        <w:rPr>
          <w:rFonts w:hint="eastAsia" w:hAnsi="宋体"/>
          <w:b/>
          <w:bCs/>
          <w:color w:val="auto"/>
          <w:highlight w:val="none"/>
        </w:rPr>
      </w:pPr>
      <w:r>
        <w:rPr>
          <w:rFonts w:hint="eastAsia" w:hAnsi="宋体"/>
          <w:b/>
          <w:bCs/>
          <w:color w:val="auto"/>
          <w:highlight w:val="none"/>
        </w:rPr>
        <w:t>2.2.3</w:t>
      </w:r>
      <w:bookmarkStart w:id="873" w:name="_Toc319578759"/>
      <w:r>
        <w:rPr>
          <w:rFonts w:hint="eastAsia" w:hAnsi="宋体"/>
          <w:b/>
          <w:bCs/>
          <w:color w:val="auto"/>
          <w:highlight w:val="none"/>
        </w:rPr>
        <w:t>评分标准</w:t>
      </w:r>
      <w:bookmarkEnd w:id="873"/>
    </w:p>
    <w:p w14:paraId="148AB050">
      <w:pPr>
        <w:pStyle w:val="14"/>
        <w:spacing w:line="380" w:lineRule="exact"/>
        <w:ind w:firstLine="420" w:firstLineChars="200"/>
        <w:rPr>
          <w:rFonts w:hAnsi="Times New Roman"/>
          <w:color w:val="auto"/>
          <w:highlight w:val="none"/>
        </w:rPr>
      </w:pPr>
      <w:r>
        <w:rPr>
          <w:rFonts w:hint="eastAsia" w:hAnsi="宋体"/>
          <w:color w:val="auto"/>
          <w:highlight w:val="none"/>
        </w:rPr>
        <w:t>（</w:t>
      </w:r>
      <w:r>
        <w:rPr>
          <w:rFonts w:hint="eastAsia" w:hAnsi="Times New Roman"/>
          <w:color w:val="auto"/>
          <w:highlight w:val="none"/>
        </w:rPr>
        <w:t>1</w:t>
      </w:r>
      <w:r>
        <w:rPr>
          <w:rFonts w:hint="eastAsia" w:hAnsi="宋体"/>
          <w:color w:val="auto"/>
          <w:highlight w:val="none"/>
        </w:rPr>
        <w:t>）投标报价评分标准：见评标办法前附表；</w:t>
      </w:r>
    </w:p>
    <w:p w14:paraId="3CB51253">
      <w:pPr>
        <w:pStyle w:val="14"/>
        <w:spacing w:line="380" w:lineRule="exact"/>
        <w:ind w:firstLine="420" w:firstLineChars="200"/>
        <w:rPr>
          <w:rFonts w:hAnsi="Times New Roman"/>
          <w:color w:val="auto"/>
          <w:highlight w:val="none"/>
        </w:rPr>
      </w:pPr>
      <w:r>
        <w:rPr>
          <w:rFonts w:hint="eastAsia" w:hAnsi="宋体"/>
          <w:color w:val="auto"/>
          <w:highlight w:val="none"/>
        </w:rPr>
        <w:t>（</w:t>
      </w:r>
      <w:r>
        <w:rPr>
          <w:rFonts w:hint="eastAsia" w:hAnsi="Times New Roman"/>
          <w:color w:val="auto"/>
          <w:highlight w:val="none"/>
        </w:rPr>
        <w:t>2</w:t>
      </w:r>
      <w:r>
        <w:rPr>
          <w:rFonts w:hint="eastAsia" w:hAnsi="宋体"/>
          <w:color w:val="auto"/>
          <w:highlight w:val="none"/>
        </w:rPr>
        <w:t>）商务部分评分标准：见评标办法前附表。</w:t>
      </w:r>
    </w:p>
    <w:p w14:paraId="377BB895">
      <w:pPr>
        <w:pStyle w:val="14"/>
        <w:spacing w:line="380" w:lineRule="exact"/>
        <w:ind w:firstLine="420" w:firstLineChars="200"/>
        <w:rPr>
          <w:rFonts w:hAnsi="Times New Roman"/>
          <w:color w:val="auto"/>
          <w:highlight w:val="none"/>
        </w:rPr>
      </w:pPr>
      <w:r>
        <w:rPr>
          <w:rFonts w:hint="eastAsia" w:hAnsi="宋体"/>
          <w:color w:val="auto"/>
          <w:highlight w:val="none"/>
        </w:rPr>
        <w:t>（</w:t>
      </w:r>
      <w:r>
        <w:rPr>
          <w:rFonts w:hint="eastAsia" w:hAnsi="Times New Roman"/>
          <w:color w:val="auto"/>
          <w:highlight w:val="none"/>
        </w:rPr>
        <w:t>3</w:t>
      </w:r>
      <w:r>
        <w:rPr>
          <w:rFonts w:hint="eastAsia" w:hAnsi="宋体"/>
          <w:color w:val="auto"/>
          <w:highlight w:val="none"/>
        </w:rPr>
        <w:t>）技术部分评分标准：见评标办法前附表。</w:t>
      </w:r>
    </w:p>
    <w:p w14:paraId="6C2B4374">
      <w:pPr>
        <w:pStyle w:val="14"/>
        <w:spacing w:line="500" w:lineRule="exact"/>
        <w:rPr>
          <w:b/>
          <w:bCs/>
          <w:color w:val="auto"/>
          <w:highlight w:val="none"/>
        </w:rPr>
      </w:pPr>
      <w:r>
        <w:rPr>
          <w:rFonts w:hint="eastAsia" w:hAnsi="宋体"/>
          <w:b/>
          <w:bCs/>
          <w:color w:val="auto"/>
          <w:highlight w:val="none"/>
        </w:rPr>
        <w:t>3. 评标程序</w:t>
      </w:r>
    </w:p>
    <w:p w14:paraId="56EA412D">
      <w:pPr>
        <w:pStyle w:val="4"/>
        <w:keepLines w:val="0"/>
        <w:widowControl/>
        <w:spacing w:before="0" w:after="0" w:line="520" w:lineRule="exact"/>
        <w:rPr>
          <w:rFonts w:ascii="宋体"/>
          <w:color w:val="auto"/>
          <w:sz w:val="21"/>
          <w:szCs w:val="21"/>
          <w:highlight w:val="none"/>
        </w:rPr>
      </w:pPr>
      <w:bookmarkStart w:id="874" w:name="_Toc4774"/>
      <w:bookmarkEnd w:id="874"/>
      <w:bookmarkStart w:id="875" w:name="_Toc27192"/>
      <w:bookmarkEnd w:id="875"/>
      <w:bookmarkStart w:id="876" w:name="_Toc2478"/>
      <w:r>
        <w:rPr>
          <w:rFonts w:hint="eastAsia" w:ascii="宋体" w:hAnsi="宋体"/>
          <w:color w:val="auto"/>
          <w:sz w:val="21"/>
          <w:szCs w:val="21"/>
          <w:highlight w:val="none"/>
        </w:rPr>
        <w:t xml:space="preserve">3.1 </w:t>
      </w:r>
      <w:bookmarkEnd w:id="876"/>
      <w:r>
        <w:rPr>
          <w:rFonts w:hint="eastAsia" w:ascii="宋体" w:hAnsi="宋体"/>
          <w:color w:val="auto"/>
          <w:sz w:val="21"/>
          <w:szCs w:val="21"/>
          <w:highlight w:val="none"/>
        </w:rPr>
        <w:t>初步评审</w:t>
      </w:r>
    </w:p>
    <w:p w14:paraId="4CFD9AE4">
      <w:pPr>
        <w:spacing w:line="440" w:lineRule="exact"/>
        <w:ind w:firstLine="420" w:firstLineChars="200"/>
        <w:rPr>
          <w:rFonts w:ascii="宋体"/>
          <w:color w:val="auto"/>
          <w:highlight w:val="none"/>
        </w:rPr>
      </w:pPr>
      <w:r>
        <w:rPr>
          <w:rFonts w:hint="eastAsia" w:ascii="宋体" w:hAnsi="宋体"/>
          <w:color w:val="auto"/>
          <w:highlight w:val="none"/>
        </w:rPr>
        <w:t>3.1.1评标委员会依据本章第2.1款规定的标准对投标文件进行初步评审。有一项不符合资格审查和符合性审查、详细审查要求的，评标委员会应当否决其投标。</w:t>
      </w:r>
    </w:p>
    <w:p w14:paraId="1BF58B02">
      <w:pPr>
        <w:spacing w:line="440" w:lineRule="exact"/>
        <w:ind w:firstLine="420" w:firstLineChars="200"/>
        <w:rPr>
          <w:rFonts w:ascii="宋体"/>
          <w:color w:val="auto"/>
          <w:highlight w:val="none"/>
        </w:rPr>
      </w:pPr>
      <w:r>
        <w:rPr>
          <w:rFonts w:hint="eastAsia" w:ascii="宋体" w:hAnsi="宋体"/>
          <w:color w:val="auto"/>
          <w:highlight w:val="none"/>
        </w:rPr>
        <w:t>3.1.2 供应商有以下情形之一的，评标委员会应当否决其投标：</w:t>
      </w:r>
    </w:p>
    <w:p w14:paraId="333A39B9">
      <w:pPr>
        <w:spacing w:line="440" w:lineRule="exact"/>
        <w:ind w:firstLine="718" w:firstLineChars="342"/>
        <w:rPr>
          <w:rFonts w:ascii="宋体"/>
          <w:color w:val="auto"/>
          <w:highlight w:val="none"/>
        </w:rPr>
      </w:pPr>
      <w:r>
        <w:rPr>
          <w:rFonts w:hint="eastAsia" w:ascii="宋体" w:hAnsi="宋体"/>
          <w:color w:val="auto"/>
          <w:highlight w:val="none"/>
        </w:rPr>
        <w:t>（1）不符合第二部分“供应商须知”第1.4.1项规定的任何一种情形的；</w:t>
      </w:r>
    </w:p>
    <w:p w14:paraId="1E176F77">
      <w:pPr>
        <w:spacing w:line="440" w:lineRule="exact"/>
        <w:ind w:firstLine="718" w:firstLineChars="342"/>
        <w:rPr>
          <w:rFonts w:ascii="宋体"/>
          <w:color w:val="auto"/>
          <w:highlight w:val="none"/>
        </w:rPr>
      </w:pPr>
      <w:r>
        <w:rPr>
          <w:rFonts w:hint="eastAsia" w:ascii="宋体" w:hAnsi="宋体"/>
          <w:color w:val="auto"/>
          <w:highlight w:val="none"/>
        </w:rPr>
        <w:t>（2）串通投标或弄虚作假或有其他违法行为的；</w:t>
      </w:r>
    </w:p>
    <w:p w14:paraId="079ECC97">
      <w:pPr>
        <w:spacing w:line="440" w:lineRule="exact"/>
        <w:ind w:firstLine="718" w:firstLineChars="342"/>
        <w:rPr>
          <w:rFonts w:ascii="宋体"/>
          <w:color w:val="auto"/>
          <w:highlight w:val="none"/>
        </w:rPr>
      </w:pPr>
      <w:r>
        <w:rPr>
          <w:rFonts w:hint="eastAsia" w:ascii="宋体" w:hAnsi="宋体"/>
          <w:color w:val="auto"/>
          <w:highlight w:val="none"/>
        </w:rPr>
        <w:t>（3）不按评标委员会要求澄清、说明或补正的。</w:t>
      </w:r>
    </w:p>
    <w:p w14:paraId="6A46DB97">
      <w:pPr>
        <w:pStyle w:val="34"/>
        <w:spacing w:line="440" w:lineRule="exact"/>
        <w:ind w:firstLine="420" w:firstLineChars="200"/>
        <w:rPr>
          <w:rFonts w:hint="eastAsia" w:hAnsi="宋体"/>
          <w:bCs/>
          <w:color w:val="auto"/>
          <w:sz w:val="21"/>
          <w:szCs w:val="21"/>
          <w:highlight w:val="none"/>
        </w:rPr>
      </w:pPr>
      <w:bookmarkStart w:id="877" w:name="_Toc4807"/>
      <w:r>
        <w:rPr>
          <w:rFonts w:hint="eastAsia" w:hAnsi="宋体"/>
          <w:bCs/>
          <w:color w:val="auto"/>
          <w:sz w:val="21"/>
          <w:szCs w:val="21"/>
          <w:highlight w:val="none"/>
        </w:rPr>
        <w:t>3.1.3 投标报价有算术错误的，评标委员会按以下原则对投标报价进行修正，修正的价格经供应商书面确认后具有约束力。供应商不接受修正价格的，评标委员会应当否决其投标。</w:t>
      </w:r>
    </w:p>
    <w:p w14:paraId="71DB17C6">
      <w:pPr>
        <w:pStyle w:val="34"/>
        <w:spacing w:line="440" w:lineRule="exact"/>
        <w:ind w:firstLine="630" w:firstLineChars="300"/>
        <w:rPr>
          <w:rFonts w:hint="eastAsia" w:hAnsi="宋体"/>
          <w:bCs/>
          <w:color w:val="auto"/>
          <w:sz w:val="21"/>
          <w:szCs w:val="21"/>
          <w:highlight w:val="none"/>
        </w:rPr>
      </w:pPr>
      <w:r>
        <w:rPr>
          <w:rFonts w:hint="eastAsia" w:hAnsi="宋体"/>
          <w:bCs/>
          <w:color w:val="auto"/>
          <w:sz w:val="21"/>
          <w:szCs w:val="21"/>
          <w:highlight w:val="none"/>
        </w:rPr>
        <w:t>(1）投标文件中的大写金额与小写金额不一致的，以大写金额为准；</w:t>
      </w:r>
    </w:p>
    <w:p w14:paraId="6F3F8D49">
      <w:pPr>
        <w:pStyle w:val="34"/>
        <w:spacing w:line="440" w:lineRule="exact"/>
        <w:ind w:firstLine="630" w:firstLineChars="300"/>
        <w:rPr>
          <w:rFonts w:hint="eastAsia" w:hAnsi="宋体"/>
          <w:bCs/>
          <w:color w:val="auto"/>
          <w:sz w:val="21"/>
          <w:szCs w:val="21"/>
          <w:highlight w:val="none"/>
        </w:rPr>
      </w:pPr>
      <w:r>
        <w:rPr>
          <w:rFonts w:hint="eastAsia" w:hAnsi="宋体"/>
          <w:bCs/>
          <w:color w:val="auto"/>
          <w:sz w:val="21"/>
          <w:szCs w:val="21"/>
          <w:highlight w:val="none"/>
        </w:rPr>
        <w:t>(2）总价金额与依据单价计算出的结果不一致的，以单价金额为准修正总价，但单价金额小数点有明显错误的除外。</w:t>
      </w:r>
    </w:p>
    <w:p w14:paraId="72D5B623">
      <w:pPr>
        <w:pStyle w:val="4"/>
        <w:keepLines w:val="0"/>
        <w:widowControl/>
        <w:spacing w:before="0" w:after="0" w:line="520" w:lineRule="exact"/>
        <w:rPr>
          <w:rFonts w:ascii="宋体"/>
          <w:color w:val="auto"/>
          <w:sz w:val="21"/>
          <w:szCs w:val="21"/>
          <w:highlight w:val="none"/>
        </w:rPr>
      </w:pPr>
      <w:r>
        <w:rPr>
          <w:rFonts w:hint="eastAsia" w:ascii="宋体" w:hAnsi="宋体"/>
          <w:color w:val="auto"/>
          <w:sz w:val="21"/>
          <w:szCs w:val="21"/>
          <w:highlight w:val="none"/>
        </w:rPr>
        <w:t xml:space="preserve">3.2 </w:t>
      </w:r>
      <w:bookmarkEnd w:id="877"/>
      <w:r>
        <w:rPr>
          <w:rFonts w:hint="eastAsia" w:ascii="宋体" w:hAnsi="宋体"/>
          <w:color w:val="auto"/>
          <w:sz w:val="21"/>
          <w:szCs w:val="21"/>
          <w:highlight w:val="none"/>
        </w:rPr>
        <w:t>详细评审</w:t>
      </w:r>
    </w:p>
    <w:p w14:paraId="133513F0">
      <w:pPr>
        <w:spacing w:line="460" w:lineRule="exact"/>
        <w:ind w:firstLine="420" w:firstLineChars="200"/>
        <w:rPr>
          <w:color w:val="auto"/>
          <w:highlight w:val="none"/>
        </w:rPr>
      </w:pPr>
      <w:r>
        <w:rPr>
          <w:color w:val="auto"/>
          <w:highlight w:val="none"/>
        </w:rPr>
        <w:t xml:space="preserve">3.2.1 </w:t>
      </w:r>
      <w:r>
        <w:rPr>
          <w:rFonts w:hint="eastAsia" w:ascii="宋体" w:hAnsi="宋体"/>
          <w:color w:val="auto"/>
          <w:highlight w:val="none"/>
        </w:rPr>
        <w:t>评标委员会按本章第</w:t>
      </w:r>
      <w:r>
        <w:rPr>
          <w:color w:val="auto"/>
          <w:highlight w:val="none"/>
        </w:rPr>
        <w:t>2.2</w:t>
      </w:r>
      <w:r>
        <w:rPr>
          <w:rFonts w:hint="eastAsia" w:ascii="宋体" w:hAnsi="宋体"/>
          <w:color w:val="auto"/>
          <w:highlight w:val="none"/>
        </w:rPr>
        <w:t>款规定的量化因素和分值进行打分，并计算出综合评估得分。</w:t>
      </w:r>
    </w:p>
    <w:p w14:paraId="3CA9CF78">
      <w:pPr>
        <w:spacing w:line="460" w:lineRule="exact"/>
        <w:ind w:firstLine="718" w:firstLineChars="342"/>
        <w:rPr>
          <w:color w:val="auto"/>
          <w:highlight w:val="none"/>
        </w:rPr>
      </w:pPr>
      <w:r>
        <w:rPr>
          <w:rFonts w:hint="eastAsia" w:ascii="宋体" w:hAnsi="宋体"/>
          <w:color w:val="auto"/>
          <w:highlight w:val="none"/>
        </w:rPr>
        <w:t>（</w:t>
      </w:r>
      <w:r>
        <w:rPr>
          <w:color w:val="auto"/>
          <w:highlight w:val="none"/>
        </w:rPr>
        <w:t>1</w:t>
      </w:r>
      <w:r>
        <w:rPr>
          <w:rFonts w:hint="eastAsia" w:ascii="宋体" w:hAnsi="宋体"/>
          <w:color w:val="auto"/>
          <w:highlight w:val="none"/>
        </w:rPr>
        <w:t>）按本章第</w:t>
      </w:r>
      <w:r>
        <w:rPr>
          <w:color w:val="auto"/>
          <w:highlight w:val="none"/>
        </w:rPr>
        <w:t>2.2</w:t>
      </w:r>
      <w:r>
        <w:rPr>
          <w:rFonts w:hint="eastAsia" w:ascii="宋体" w:hAnsi="宋体"/>
          <w:color w:val="auto"/>
          <w:highlight w:val="none"/>
        </w:rPr>
        <w:t>（一）目规定的评审因素和分值对</w:t>
      </w:r>
      <w:r>
        <w:rPr>
          <w:rFonts w:hint="eastAsia" w:hAnsi="宋体"/>
          <w:color w:val="auto"/>
          <w:highlight w:val="none"/>
        </w:rPr>
        <w:t>投标报价</w:t>
      </w:r>
      <w:r>
        <w:rPr>
          <w:rFonts w:hint="eastAsia" w:ascii="宋体" w:hAnsi="宋体"/>
          <w:color w:val="auto"/>
          <w:highlight w:val="none"/>
        </w:rPr>
        <w:t>计算出得分</w:t>
      </w:r>
      <w:r>
        <w:rPr>
          <w:color w:val="auto"/>
          <w:highlight w:val="none"/>
        </w:rPr>
        <w:t>A</w:t>
      </w:r>
      <w:r>
        <w:rPr>
          <w:rFonts w:hint="eastAsia" w:ascii="宋体" w:hAnsi="宋体"/>
          <w:color w:val="auto"/>
          <w:highlight w:val="none"/>
        </w:rPr>
        <w:t>；</w:t>
      </w:r>
    </w:p>
    <w:p w14:paraId="4E22ECE6">
      <w:pPr>
        <w:spacing w:line="460" w:lineRule="exact"/>
        <w:ind w:firstLine="718" w:firstLineChars="342"/>
        <w:rPr>
          <w:color w:val="auto"/>
          <w:highlight w:val="none"/>
        </w:rPr>
      </w:pPr>
      <w:r>
        <w:rPr>
          <w:rFonts w:hint="eastAsia" w:ascii="宋体" w:hAnsi="宋体"/>
          <w:color w:val="auto"/>
          <w:highlight w:val="none"/>
        </w:rPr>
        <w:t>（</w:t>
      </w:r>
      <w:r>
        <w:rPr>
          <w:color w:val="auto"/>
          <w:highlight w:val="none"/>
        </w:rPr>
        <w:t>2</w:t>
      </w:r>
      <w:r>
        <w:rPr>
          <w:rFonts w:hint="eastAsia" w:ascii="宋体" w:hAnsi="宋体"/>
          <w:color w:val="auto"/>
          <w:highlight w:val="none"/>
        </w:rPr>
        <w:t>）按本章第</w:t>
      </w:r>
      <w:r>
        <w:rPr>
          <w:color w:val="auto"/>
          <w:highlight w:val="none"/>
        </w:rPr>
        <w:t>2.2</w:t>
      </w:r>
      <w:r>
        <w:rPr>
          <w:rFonts w:hint="eastAsia" w:ascii="宋体" w:hAnsi="宋体"/>
          <w:color w:val="auto"/>
          <w:highlight w:val="none"/>
        </w:rPr>
        <w:t>（二）目规定的评审因素和分值对</w:t>
      </w:r>
      <w:r>
        <w:rPr>
          <w:rFonts w:hint="eastAsia" w:hAnsi="宋体"/>
          <w:color w:val="auto"/>
          <w:highlight w:val="none"/>
        </w:rPr>
        <w:t>商务部分</w:t>
      </w:r>
      <w:r>
        <w:rPr>
          <w:rFonts w:hint="eastAsia" w:ascii="宋体" w:hAnsi="宋体"/>
          <w:color w:val="auto"/>
          <w:highlight w:val="none"/>
        </w:rPr>
        <w:t>计算出得分</w:t>
      </w:r>
      <w:r>
        <w:rPr>
          <w:color w:val="auto"/>
          <w:highlight w:val="none"/>
        </w:rPr>
        <w:t>B</w:t>
      </w:r>
      <w:r>
        <w:rPr>
          <w:rFonts w:hint="eastAsia" w:ascii="宋体" w:hAnsi="宋体"/>
          <w:color w:val="auto"/>
          <w:highlight w:val="none"/>
        </w:rPr>
        <w:t>；</w:t>
      </w:r>
    </w:p>
    <w:p w14:paraId="61E6D134">
      <w:pPr>
        <w:spacing w:line="460" w:lineRule="exact"/>
        <w:ind w:firstLine="718" w:firstLineChars="342"/>
        <w:rPr>
          <w:color w:val="auto"/>
          <w:highlight w:val="none"/>
        </w:rPr>
      </w:pPr>
      <w:r>
        <w:rPr>
          <w:rFonts w:hint="eastAsia" w:ascii="宋体" w:hAnsi="宋体"/>
          <w:color w:val="auto"/>
          <w:highlight w:val="none"/>
        </w:rPr>
        <w:t>（</w:t>
      </w:r>
      <w:r>
        <w:rPr>
          <w:color w:val="auto"/>
          <w:highlight w:val="none"/>
        </w:rPr>
        <w:t>3</w:t>
      </w:r>
      <w:r>
        <w:rPr>
          <w:rFonts w:hint="eastAsia" w:ascii="宋体" w:hAnsi="宋体"/>
          <w:color w:val="auto"/>
          <w:highlight w:val="none"/>
        </w:rPr>
        <w:t>）按本章第</w:t>
      </w:r>
      <w:r>
        <w:rPr>
          <w:color w:val="auto"/>
          <w:highlight w:val="none"/>
        </w:rPr>
        <w:t>2.2</w:t>
      </w:r>
      <w:r>
        <w:rPr>
          <w:rFonts w:hint="eastAsia" w:ascii="宋体" w:hAnsi="宋体"/>
          <w:color w:val="auto"/>
          <w:highlight w:val="none"/>
        </w:rPr>
        <w:t>（三）目规定的评审因素和分值对技术部分计算出得分</w:t>
      </w:r>
      <w:r>
        <w:rPr>
          <w:color w:val="auto"/>
          <w:highlight w:val="none"/>
        </w:rPr>
        <w:t>C</w:t>
      </w:r>
      <w:r>
        <w:rPr>
          <w:rFonts w:hint="eastAsia" w:ascii="宋体" w:hAnsi="宋体"/>
          <w:color w:val="auto"/>
          <w:highlight w:val="none"/>
        </w:rPr>
        <w:t>。</w:t>
      </w:r>
    </w:p>
    <w:p w14:paraId="61DFC8B1">
      <w:pPr>
        <w:spacing w:line="460" w:lineRule="exact"/>
        <w:ind w:firstLine="420" w:firstLineChars="200"/>
        <w:rPr>
          <w:color w:val="auto"/>
          <w:highlight w:val="none"/>
        </w:rPr>
      </w:pPr>
      <w:r>
        <w:rPr>
          <w:color w:val="auto"/>
          <w:highlight w:val="none"/>
        </w:rPr>
        <w:t xml:space="preserve">3.2.2 </w:t>
      </w:r>
      <w:r>
        <w:rPr>
          <w:rFonts w:hint="eastAsia"/>
          <w:color w:val="auto"/>
          <w:highlight w:val="none"/>
        </w:rPr>
        <w:t>评分分值计算保留小数点后两位，小数点后第三位“四舍五入”。</w:t>
      </w:r>
    </w:p>
    <w:p w14:paraId="610F26E1">
      <w:pPr>
        <w:spacing w:line="460" w:lineRule="exact"/>
        <w:ind w:firstLine="420" w:firstLineChars="200"/>
        <w:rPr>
          <w:color w:val="auto"/>
          <w:highlight w:val="none"/>
        </w:rPr>
      </w:pPr>
      <w:r>
        <w:rPr>
          <w:color w:val="auto"/>
          <w:highlight w:val="none"/>
        </w:rPr>
        <w:t xml:space="preserve">3.2.3 </w:t>
      </w:r>
      <w:r>
        <w:rPr>
          <w:rFonts w:hint="eastAsia"/>
          <w:color w:val="auto"/>
          <w:highlight w:val="none"/>
        </w:rPr>
        <w:t>供应商得分</w:t>
      </w:r>
      <w:r>
        <w:rPr>
          <w:color w:val="auto"/>
          <w:highlight w:val="none"/>
        </w:rPr>
        <w:t>=A+B+C</w:t>
      </w:r>
      <w:r>
        <w:rPr>
          <w:rFonts w:hint="eastAsia"/>
          <w:color w:val="auto"/>
          <w:highlight w:val="none"/>
        </w:rPr>
        <w:t>。</w:t>
      </w:r>
    </w:p>
    <w:p w14:paraId="33BB18C2">
      <w:pPr>
        <w:spacing w:line="460" w:lineRule="exact"/>
        <w:ind w:firstLine="420" w:firstLineChars="200"/>
        <w:rPr>
          <w:color w:val="auto"/>
          <w:highlight w:val="none"/>
        </w:rPr>
      </w:pPr>
      <w:r>
        <w:rPr>
          <w:color w:val="auto"/>
          <w:highlight w:val="none"/>
        </w:rPr>
        <w:t>3.2.4</w:t>
      </w:r>
      <w:r>
        <w:rPr>
          <w:rFonts w:hint="eastAsia"/>
          <w:color w:val="auto"/>
          <w:highlight w:val="none"/>
        </w:rPr>
        <w:t>供应商的最终得分以全部评委打分的算术平均值为准，作为该供应商的最终得分。</w:t>
      </w:r>
    </w:p>
    <w:p w14:paraId="57547BBD">
      <w:pPr>
        <w:widowControl w:val="0"/>
        <w:spacing w:after="0" w:line="420" w:lineRule="exact"/>
        <w:ind w:firstLine="420"/>
        <w:jc w:val="both"/>
        <w:rPr>
          <w:rFonts w:hint="eastAsia" w:ascii="宋体" w:hAnsi="宋体" w:eastAsia="宋体" w:cs="宋体"/>
          <w:color w:val="auto"/>
          <w:sz w:val="21"/>
          <w:szCs w:val="21"/>
          <w:highlight w:val="none"/>
        </w:rPr>
      </w:pPr>
      <w:r>
        <w:rPr>
          <w:color w:val="auto"/>
          <w:highlight w:val="none"/>
        </w:rPr>
        <w:t>3.2.5</w:t>
      </w: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rPr>
        <w:t>财库〔2026〕2号</w:t>
      </w:r>
      <w:r>
        <w:rPr>
          <w:rFonts w:hint="eastAsia" w:ascii="宋体" w:hAnsi="宋体" w:eastAsia="宋体" w:cs="宋体"/>
          <w:color w:val="auto"/>
          <w:sz w:val="21"/>
          <w:szCs w:val="21"/>
          <w:highlight w:val="none"/>
          <w:lang w:eastAsia="zh-CN"/>
        </w:rPr>
        <w:t>规定</w:t>
      </w:r>
      <w:r>
        <w:rPr>
          <w:rFonts w:hint="eastAsia" w:ascii="宋体" w:hAnsi="宋体" w:eastAsia="宋体" w:cs="宋体"/>
          <w:color w:val="auto"/>
          <w:sz w:val="21"/>
          <w:szCs w:val="21"/>
          <w:highlight w:val="none"/>
        </w:rPr>
        <w:t>采购评审中出现下列情形之一的，评审委员会应当启动异常低价投标审查程序：</w:t>
      </w:r>
    </w:p>
    <w:p w14:paraId="657D6DB9">
      <w:pPr>
        <w:widowControl w:val="0"/>
        <w:spacing w:after="0" w:line="42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投标报价低于全部通过初步</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供应商投标报价平均值50%的，即投标报价&lt;全部通过初步</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供应商投标报价平均值×50%；</w:t>
      </w:r>
    </w:p>
    <w:p w14:paraId="2C11D7E4">
      <w:pPr>
        <w:widowControl w:val="0"/>
        <w:spacing w:after="0" w:line="42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投标报价低于通过初步</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的次低报价供应商投标报价50%的，即投标报价&lt;通过初步</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的次低报价供应商投标报价×50%；</w:t>
      </w:r>
    </w:p>
    <w:p w14:paraId="1B8D70BC">
      <w:pPr>
        <w:widowControl w:val="0"/>
        <w:spacing w:after="0" w:line="42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投标报价低于采购项目最高限价45%的，即投标报价&lt;采购项目最高限价×45%；</w:t>
      </w:r>
    </w:p>
    <w:p w14:paraId="6AAC239C">
      <w:pPr>
        <w:widowControl w:val="0"/>
        <w:spacing w:after="0" w:line="420" w:lineRule="exact"/>
        <w:ind w:firstLine="42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评审委员会基于专业判断，认为供应商报价过低，有可能影响产品质量或者不能诚信履约的其他情形。</w:t>
      </w:r>
    </w:p>
    <w:p w14:paraId="0C26C556">
      <w:pPr>
        <w:widowControl w:val="0"/>
        <w:spacing w:after="0" w:line="420" w:lineRule="exact"/>
        <w:ind w:firstLine="42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 30 分钟。其中，属于第（3）项情形，供应商已随投标文件一并提交相关书面说明及必要的证明材料的，在评审现场可不再重复提交。 </w:t>
      </w:r>
    </w:p>
    <w:p w14:paraId="294CF12E">
      <w:pPr>
        <w:widowControl w:val="0"/>
        <w:spacing w:after="0" w:line="420" w:lineRule="exact"/>
        <w:ind w:firstLine="420"/>
        <w:jc w:val="both"/>
        <w:rPr>
          <w:rFonts w:hint="eastAsia" w:ascii="宋体" w:hAnsi="宋体" w:eastAsia="宋体" w:cs="宋体"/>
          <w:color w:val="auto"/>
          <w:sz w:val="21"/>
          <w:szCs w:val="21"/>
          <w:highlight w:val="none"/>
          <w:lang w:val="en-US" w:eastAsia="zh-CN"/>
        </w:rPr>
      </w:pPr>
      <w:bookmarkStart w:id="878" w:name="_Toc246996993"/>
      <w:bookmarkEnd w:id="878"/>
      <w:bookmarkStart w:id="879" w:name="_Toc10106"/>
      <w:bookmarkEnd w:id="879"/>
      <w:bookmarkStart w:id="880" w:name="_Toc246996250"/>
      <w:bookmarkEnd w:id="880"/>
      <w:bookmarkStart w:id="881" w:name="_Toc179632625"/>
      <w:bookmarkEnd w:id="881"/>
      <w:bookmarkStart w:id="882" w:name="_Toc152042385"/>
      <w:bookmarkEnd w:id="882"/>
      <w:bookmarkStart w:id="883" w:name="_Toc25021"/>
      <w:bookmarkEnd w:id="883"/>
      <w:bookmarkStart w:id="884" w:name="_Toc247085765"/>
      <w:bookmarkEnd w:id="884"/>
      <w:bookmarkStart w:id="885" w:name="_Toc338840246"/>
      <w:bookmarkEnd w:id="885"/>
      <w:bookmarkStart w:id="886" w:name="_Toc31768"/>
      <w:bookmarkEnd w:id="886"/>
      <w:bookmarkStart w:id="887" w:name="_Toc13959"/>
      <w:bookmarkEnd w:id="887"/>
      <w:bookmarkStart w:id="888" w:name="_Toc152045607"/>
      <w:bookmarkEnd w:id="888"/>
      <w:bookmarkStart w:id="889" w:name="_Toc144974575"/>
      <w:r>
        <w:rPr>
          <w:rFonts w:hint="eastAsia" w:ascii="宋体" w:hAnsi="宋体" w:eastAsia="宋体" w:cs="宋体"/>
          <w:color w:val="auto"/>
          <w:sz w:val="21"/>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C8422FA">
      <w:pPr>
        <w:pStyle w:val="4"/>
        <w:keepLines w:val="0"/>
        <w:widowControl/>
        <w:spacing w:before="0" w:after="0" w:line="520" w:lineRule="exact"/>
        <w:rPr>
          <w:rFonts w:ascii="宋体"/>
          <w:color w:val="auto"/>
          <w:sz w:val="21"/>
          <w:szCs w:val="21"/>
          <w:highlight w:val="none"/>
        </w:rPr>
      </w:pPr>
      <w:r>
        <w:rPr>
          <w:rFonts w:hint="eastAsia" w:ascii="宋体" w:hAnsi="宋体"/>
          <w:color w:val="auto"/>
          <w:sz w:val="21"/>
          <w:szCs w:val="21"/>
          <w:highlight w:val="none"/>
        </w:rPr>
        <w:t xml:space="preserve">3.3 </w:t>
      </w:r>
      <w:bookmarkEnd w:id="889"/>
      <w:r>
        <w:rPr>
          <w:rFonts w:hint="eastAsia" w:ascii="宋体" w:hAnsi="宋体"/>
          <w:color w:val="auto"/>
          <w:sz w:val="21"/>
          <w:szCs w:val="21"/>
          <w:highlight w:val="none"/>
        </w:rPr>
        <w:t>投标文件的澄清和补正</w:t>
      </w:r>
    </w:p>
    <w:p w14:paraId="780F319A">
      <w:pPr>
        <w:spacing w:line="240" w:lineRule="auto"/>
        <w:ind w:firstLine="420" w:firstLineChars="200"/>
        <w:rPr>
          <w:rFonts w:ascii="宋体"/>
          <w:color w:val="auto"/>
          <w:highlight w:val="none"/>
        </w:rPr>
      </w:pPr>
      <w:r>
        <w:rPr>
          <w:rFonts w:hint="eastAsia" w:ascii="宋体" w:hAnsi="宋体"/>
          <w:color w:val="auto"/>
          <w:highlight w:val="none"/>
        </w:rPr>
        <w:t>3.3.1在评标过程中，评标委员会可以书面形式要求供应商对所提交投标文件中不明确的内容进行书面澄清或说明，或者对细微偏差进行补正。评标委员会不接受供应商主动提出的澄清、说明或补正。评标委员会拒绝供应商通过修正或撤消不符合要求的偏差，使之成为具有响应性的投标。</w:t>
      </w:r>
    </w:p>
    <w:p w14:paraId="3089EAF8">
      <w:pPr>
        <w:spacing w:line="240" w:lineRule="auto"/>
        <w:ind w:firstLine="420" w:firstLineChars="200"/>
        <w:rPr>
          <w:rFonts w:ascii="宋体"/>
          <w:color w:val="auto"/>
          <w:highlight w:val="none"/>
        </w:rPr>
      </w:pPr>
      <w:r>
        <w:rPr>
          <w:rFonts w:hint="eastAsia" w:ascii="宋体" w:hAnsi="宋体"/>
          <w:color w:val="auto"/>
          <w:highlight w:val="none"/>
        </w:rPr>
        <w:t>3.3.2 澄清、说明和补正不得改变投标文件的实质性内容。供应商的书面澄清、说明和补正属于投标文件的组成部分。</w:t>
      </w:r>
    </w:p>
    <w:p w14:paraId="2BAEB0AC">
      <w:pPr>
        <w:spacing w:line="240" w:lineRule="auto"/>
        <w:ind w:firstLine="420" w:firstLineChars="200"/>
        <w:rPr>
          <w:rFonts w:ascii="宋体"/>
          <w:color w:val="auto"/>
          <w:highlight w:val="none"/>
        </w:rPr>
      </w:pPr>
      <w:r>
        <w:rPr>
          <w:rFonts w:hint="eastAsia" w:ascii="宋体" w:hAnsi="宋体"/>
          <w:color w:val="auto"/>
          <w:highlight w:val="none"/>
        </w:rPr>
        <w:t>3.3.3 评标委员会对供应商提交的澄清、说明或补正有疑问的，可以要求供应商进一步澄清、说明或补正，直至满足评标委员会的要求。</w:t>
      </w:r>
    </w:p>
    <w:p w14:paraId="72BF4B2E">
      <w:pPr>
        <w:pStyle w:val="4"/>
        <w:keepLines w:val="0"/>
        <w:widowControl/>
        <w:spacing w:before="0" w:after="0" w:line="520" w:lineRule="exact"/>
        <w:rPr>
          <w:rFonts w:ascii="宋体"/>
          <w:color w:val="auto"/>
          <w:sz w:val="21"/>
          <w:szCs w:val="21"/>
          <w:highlight w:val="none"/>
        </w:rPr>
      </w:pPr>
      <w:bookmarkStart w:id="890" w:name="_Toc23081"/>
      <w:bookmarkEnd w:id="890"/>
      <w:bookmarkStart w:id="891" w:name="_Toc27282"/>
      <w:bookmarkEnd w:id="891"/>
      <w:bookmarkStart w:id="892" w:name="_Toc20620"/>
      <w:r>
        <w:rPr>
          <w:rFonts w:hint="eastAsia" w:ascii="宋体" w:hAnsi="宋体"/>
          <w:color w:val="auto"/>
          <w:sz w:val="21"/>
          <w:szCs w:val="21"/>
          <w:highlight w:val="none"/>
        </w:rPr>
        <w:t xml:space="preserve">3.4 </w:t>
      </w:r>
      <w:bookmarkEnd w:id="892"/>
      <w:r>
        <w:rPr>
          <w:rFonts w:hint="eastAsia" w:ascii="宋体" w:hAnsi="宋体"/>
          <w:color w:val="auto"/>
          <w:sz w:val="21"/>
          <w:szCs w:val="21"/>
          <w:highlight w:val="none"/>
        </w:rPr>
        <w:t>评标结果</w:t>
      </w:r>
    </w:p>
    <w:p w14:paraId="3A7C881A">
      <w:pPr>
        <w:spacing w:line="500" w:lineRule="exact"/>
        <w:ind w:firstLine="420" w:firstLineChars="200"/>
        <w:rPr>
          <w:rFonts w:hint="eastAsia" w:ascii="宋体" w:hAnsi="宋体"/>
          <w:color w:val="auto"/>
          <w:highlight w:val="none"/>
        </w:rPr>
      </w:pPr>
      <w:r>
        <w:rPr>
          <w:rFonts w:hint="eastAsia" w:ascii="宋体" w:hAnsi="宋体"/>
          <w:color w:val="auto"/>
          <w:highlight w:val="none"/>
        </w:rPr>
        <w:t>采购人可授权评标委员会直接确定成交人，也可由评标委员会按照报价排列名次推荐成交候选人3人。依法必须进行招标的项目，采购人应当确定排名第一的成交候选人为成交人。排名第一的成交候选人放弃中标、因不可抗力不能履行合同，或者被查实存在影响中标结果的违法行为等情形，不符合中标条件的，采购人可以按照评标委员会提出的成交候选人名单排序依次确定其他成交候选人为成交人，也可以重新招标。</w:t>
      </w:r>
    </w:p>
    <w:p w14:paraId="5BF05866">
      <w:pPr>
        <w:spacing w:line="500" w:lineRule="exact"/>
        <w:ind w:firstLine="420" w:firstLineChars="200"/>
        <w:rPr>
          <w:rFonts w:hint="eastAsia" w:ascii="宋体" w:hAnsi="宋体"/>
          <w:b/>
          <w:bCs/>
          <w:color w:val="auto"/>
          <w:kern w:val="44"/>
          <w:sz w:val="44"/>
          <w:szCs w:val="44"/>
          <w:highlight w:val="none"/>
        </w:rPr>
      </w:pPr>
      <w:r>
        <w:rPr>
          <w:rFonts w:hint="eastAsia" w:ascii="宋体" w:hAnsi="宋体"/>
          <w:color w:val="auto"/>
          <w:highlight w:val="none"/>
        </w:rPr>
        <w:t>评标委员会完成评标后，应当向采购人提交书面评标报告。</w:t>
      </w:r>
      <w:bookmarkStart w:id="893" w:name="_Toc3917"/>
      <w:bookmarkEnd w:id="893"/>
      <w:bookmarkStart w:id="894" w:name="_Toc3320"/>
      <w:bookmarkEnd w:id="894"/>
      <w:bookmarkStart w:id="895" w:name="_Toc4804"/>
      <w:bookmarkEnd w:id="895"/>
      <w:bookmarkStart w:id="896" w:name="_Toc21490"/>
    </w:p>
    <w:bookmarkEnd w:id="896"/>
    <w:p w14:paraId="78E55D36">
      <w:pPr>
        <w:pStyle w:val="39"/>
        <w:rPr>
          <w:rFonts w:hint="eastAsia" w:ascii="宋体" w:hAnsi="宋体"/>
          <w:b/>
          <w:bCs/>
          <w:color w:val="auto"/>
          <w:kern w:val="44"/>
          <w:sz w:val="44"/>
          <w:szCs w:val="44"/>
          <w:highlight w:val="none"/>
        </w:rPr>
      </w:pPr>
    </w:p>
    <w:p w14:paraId="2C8E816B">
      <w:pPr>
        <w:pStyle w:val="39"/>
        <w:jc w:val="center"/>
        <w:rPr>
          <w:rFonts w:hint="eastAsia" w:ascii="宋体" w:hAnsi="宋体"/>
          <w:b/>
          <w:bCs/>
          <w:color w:val="auto"/>
          <w:kern w:val="44"/>
          <w:sz w:val="44"/>
          <w:szCs w:val="44"/>
          <w:highlight w:val="none"/>
        </w:rPr>
      </w:pPr>
    </w:p>
    <w:p w14:paraId="788F843A">
      <w:pPr>
        <w:pStyle w:val="39"/>
        <w:jc w:val="center"/>
        <w:rPr>
          <w:rFonts w:hint="eastAsia" w:ascii="宋体" w:hAnsi="宋体"/>
          <w:b/>
          <w:bCs/>
          <w:color w:val="auto"/>
          <w:kern w:val="44"/>
          <w:sz w:val="44"/>
          <w:szCs w:val="44"/>
          <w:highlight w:val="none"/>
        </w:rPr>
      </w:pPr>
    </w:p>
    <w:p w14:paraId="749D041E">
      <w:pPr>
        <w:pStyle w:val="39"/>
        <w:jc w:val="center"/>
        <w:rPr>
          <w:rFonts w:hint="eastAsia" w:ascii="宋体" w:hAnsi="宋体"/>
          <w:b/>
          <w:bCs/>
          <w:color w:val="auto"/>
          <w:kern w:val="44"/>
          <w:sz w:val="44"/>
          <w:szCs w:val="44"/>
          <w:highlight w:val="none"/>
        </w:rPr>
      </w:pPr>
    </w:p>
    <w:p w14:paraId="149803FA">
      <w:pPr>
        <w:pStyle w:val="39"/>
        <w:jc w:val="center"/>
        <w:rPr>
          <w:rFonts w:hint="eastAsia" w:ascii="宋体" w:hAnsi="宋体"/>
          <w:b/>
          <w:bCs/>
          <w:color w:val="auto"/>
          <w:kern w:val="44"/>
          <w:sz w:val="44"/>
          <w:szCs w:val="44"/>
          <w:highlight w:val="none"/>
        </w:rPr>
      </w:pPr>
    </w:p>
    <w:p w14:paraId="7FF73DF2">
      <w:pPr>
        <w:pStyle w:val="39"/>
        <w:jc w:val="center"/>
        <w:rPr>
          <w:rFonts w:hint="eastAsia" w:ascii="宋体" w:hAnsi="宋体" w:cs="宋体"/>
          <w:color w:val="auto"/>
          <w:spacing w:val="1"/>
          <w:sz w:val="24"/>
          <w:szCs w:val="24"/>
          <w:highlight w:val="none"/>
        </w:rPr>
      </w:pPr>
      <w:r>
        <w:rPr>
          <w:rFonts w:hint="eastAsia" w:ascii="宋体" w:hAnsi="宋体"/>
          <w:b/>
          <w:bCs/>
          <w:color w:val="auto"/>
          <w:kern w:val="44"/>
          <w:sz w:val="44"/>
          <w:szCs w:val="44"/>
          <w:highlight w:val="none"/>
        </w:rPr>
        <w:t>第四部分招标任务书</w:t>
      </w:r>
    </w:p>
    <w:p w14:paraId="4DB41249">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一、</w:t>
      </w:r>
      <w:r>
        <w:rPr>
          <w:rFonts w:hint="eastAsia" w:ascii="宋体" w:hAnsi="宋体" w:eastAsia="宋体" w:cs="宋体"/>
          <w:b/>
          <w:color w:val="auto"/>
          <w:sz w:val="21"/>
          <w:szCs w:val="21"/>
          <w:highlight w:val="none"/>
        </w:rPr>
        <w:t>供货种类</w:t>
      </w:r>
    </w:p>
    <w:tbl>
      <w:tblPr>
        <w:tblStyle w:val="25"/>
        <w:tblW w:w="9150" w:type="dxa"/>
        <w:tblInd w:w="-306" w:type="dxa"/>
        <w:tblLayout w:type="fixed"/>
        <w:tblCellMar>
          <w:top w:w="0" w:type="dxa"/>
          <w:left w:w="108" w:type="dxa"/>
          <w:bottom w:w="0" w:type="dxa"/>
          <w:right w:w="108" w:type="dxa"/>
        </w:tblCellMar>
      </w:tblPr>
      <w:tblGrid>
        <w:gridCol w:w="1723"/>
        <w:gridCol w:w="7427"/>
      </w:tblGrid>
      <w:tr w14:paraId="010FA0F4">
        <w:tblPrEx>
          <w:tblCellMar>
            <w:top w:w="0" w:type="dxa"/>
            <w:left w:w="108" w:type="dxa"/>
            <w:bottom w:w="0" w:type="dxa"/>
            <w:right w:w="108" w:type="dxa"/>
          </w:tblCellMar>
        </w:tblPrEx>
        <w:trPr>
          <w:trHeight w:val="390" w:hRule="exact"/>
        </w:trPr>
        <w:tc>
          <w:tcPr>
            <w:tcW w:w="1723" w:type="dxa"/>
            <w:tcBorders>
              <w:top w:val="single" w:color="000000" w:sz="4" w:space="0"/>
              <w:left w:val="single" w:color="000000" w:sz="4" w:space="0"/>
              <w:bottom w:val="single" w:color="000000" w:sz="4" w:space="0"/>
              <w:right w:val="single" w:color="000000" w:sz="4" w:space="0"/>
            </w:tcBorders>
            <w:noWrap w:val="0"/>
            <w:vAlign w:val="center"/>
          </w:tcPr>
          <w:p w14:paraId="52EC094C">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7427" w:type="dxa"/>
            <w:tcBorders>
              <w:top w:val="single" w:color="000000" w:sz="4" w:space="0"/>
              <w:left w:val="single" w:color="000000" w:sz="4" w:space="0"/>
              <w:bottom w:val="single" w:color="000000" w:sz="4" w:space="0"/>
              <w:right w:val="single" w:color="000000" w:sz="4" w:space="0"/>
            </w:tcBorders>
            <w:noWrap w:val="0"/>
            <w:vAlign w:val="center"/>
          </w:tcPr>
          <w:p w14:paraId="68AAAD7A">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品类名称</w:t>
            </w:r>
          </w:p>
        </w:tc>
      </w:tr>
      <w:tr w14:paraId="6D4D7FBD">
        <w:tblPrEx>
          <w:tblCellMar>
            <w:top w:w="0" w:type="dxa"/>
            <w:left w:w="108" w:type="dxa"/>
            <w:bottom w:w="0" w:type="dxa"/>
            <w:right w:w="108" w:type="dxa"/>
          </w:tblCellMar>
        </w:tblPrEx>
        <w:trPr>
          <w:trHeight w:val="407" w:hRule="exact"/>
        </w:trPr>
        <w:tc>
          <w:tcPr>
            <w:tcW w:w="1723" w:type="dxa"/>
            <w:tcBorders>
              <w:top w:val="single" w:color="000000" w:sz="4" w:space="0"/>
              <w:left w:val="single" w:color="000000" w:sz="4" w:space="0"/>
              <w:bottom w:val="single" w:color="000000" w:sz="4" w:space="0"/>
              <w:right w:val="single" w:color="000000" w:sz="4" w:space="0"/>
            </w:tcBorders>
            <w:noWrap w:val="0"/>
            <w:vAlign w:val="center"/>
          </w:tcPr>
          <w:p w14:paraId="299D3ACA">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7427" w:type="dxa"/>
            <w:tcBorders>
              <w:top w:val="single" w:color="000000" w:sz="4" w:space="0"/>
              <w:left w:val="single" w:color="000000" w:sz="4" w:space="0"/>
              <w:bottom w:val="single" w:color="000000" w:sz="4" w:space="0"/>
              <w:right w:val="single" w:color="000000" w:sz="4" w:space="0"/>
            </w:tcBorders>
            <w:noWrap w:val="0"/>
            <w:vAlign w:val="center"/>
          </w:tcPr>
          <w:p w14:paraId="038885C8">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果蔬类</w:t>
            </w:r>
          </w:p>
        </w:tc>
      </w:tr>
      <w:tr w14:paraId="0192A50E">
        <w:tblPrEx>
          <w:tblCellMar>
            <w:top w:w="0" w:type="dxa"/>
            <w:left w:w="108" w:type="dxa"/>
            <w:bottom w:w="0" w:type="dxa"/>
            <w:right w:w="108" w:type="dxa"/>
          </w:tblCellMar>
        </w:tblPrEx>
        <w:trPr>
          <w:trHeight w:val="407" w:hRule="exact"/>
        </w:trPr>
        <w:tc>
          <w:tcPr>
            <w:tcW w:w="1723" w:type="dxa"/>
            <w:tcBorders>
              <w:top w:val="single" w:color="000000" w:sz="4" w:space="0"/>
              <w:left w:val="single" w:color="000000" w:sz="4" w:space="0"/>
              <w:bottom w:val="single" w:color="000000" w:sz="4" w:space="0"/>
              <w:right w:val="single" w:color="000000" w:sz="4" w:space="0"/>
            </w:tcBorders>
            <w:noWrap w:val="0"/>
            <w:vAlign w:val="center"/>
          </w:tcPr>
          <w:p w14:paraId="4530D790">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7427" w:type="dxa"/>
            <w:tcBorders>
              <w:top w:val="single" w:color="000000" w:sz="4" w:space="0"/>
              <w:left w:val="single" w:color="000000" w:sz="4" w:space="0"/>
              <w:bottom w:val="single" w:color="000000" w:sz="4" w:space="0"/>
              <w:right w:val="single" w:color="000000" w:sz="4" w:space="0"/>
            </w:tcBorders>
            <w:noWrap w:val="0"/>
            <w:vAlign w:val="center"/>
          </w:tcPr>
          <w:p w14:paraId="7D5F26DF">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畜肉类</w:t>
            </w:r>
          </w:p>
        </w:tc>
      </w:tr>
      <w:tr w14:paraId="01E62855">
        <w:tblPrEx>
          <w:tblCellMar>
            <w:top w:w="0" w:type="dxa"/>
            <w:left w:w="108" w:type="dxa"/>
            <w:bottom w:w="0" w:type="dxa"/>
            <w:right w:w="108" w:type="dxa"/>
          </w:tblCellMar>
        </w:tblPrEx>
        <w:trPr>
          <w:trHeight w:val="370" w:hRule="exact"/>
        </w:trPr>
        <w:tc>
          <w:tcPr>
            <w:tcW w:w="1723" w:type="dxa"/>
            <w:tcBorders>
              <w:top w:val="single" w:color="000000" w:sz="4" w:space="0"/>
              <w:left w:val="single" w:color="000000" w:sz="4" w:space="0"/>
              <w:bottom w:val="single" w:color="000000" w:sz="4" w:space="0"/>
              <w:right w:val="single" w:color="000000" w:sz="4" w:space="0"/>
            </w:tcBorders>
            <w:noWrap w:val="0"/>
            <w:vAlign w:val="center"/>
          </w:tcPr>
          <w:p w14:paraId="7703054D">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7427" w:type="dxa"/>
            <w:tcBorders>
              <w:top w:val="single" w:color="000000" w:sz="4" w:space="0"/>
              <w:left w:val="single" w:color="000000" w:sz="4" w:space="0"/>
              <w:bottom w:val="single" w:color="000000" w:sz="4" w:space="0"/>
              <w:right w:val="single" w:color="000000" w:sz="4" w:space="0"/>
            </w:tcBorders>
            <w:noWrap w:val="0"/>
            <w:vAlign w:val="center"/>
          </w:tcPr>
          <w:p w14:paraId="5B8509A8">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禽肉类</w:t>
            </w:r>
          </w:p>
        </w:tc>
      </w:tr>
      <w:tr w14:paraId="1B23AA47">
        <w:tblPrEx>
          <w:tblCellMar>
            <w:top w:w="0" w:type="dxa"/>
            <w:left w:w="108" w:type="dxa"/>
            <w:bottom w:w="0" w:type="dxa"/>
            <w:right w:w="108" w:type="dxa"/>
          </w:tblCellMar>
        </w:tblPrEx>
        <w:trPr>
          <w:trHeight w:val="437" w:hRule="exact"/>
        </w:trPr>
        <w:tc>
          <w:tcPr>
            <w:tcW w:w="1723" w:type="dxa"/>
            <w:tcBorders>
              <w:top w:val="single" w:color="000000" w:sz="4" w:space="0"/>
              <w:left w:val="single" w:color="000000" w:sz="4" w:space="0"/>
              <w:bottom w:val="single" w:color="000000" w:sz="4" w:space="0"/>
              <w:right w:val="single" w:color="000000" w:sz="4" w:space="0"/>
            </w:tcBorders>
            <w:noWrap w:val="0"/>
            <w:vAlign w:val="center"/>
          </w:tcPr>
          <w:p w14:paraId="71B7EB4A">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7427" w:type="dxa"/>
            <w:tcBorders>
              <w:top w:val="single" w:color="000000" w:sz="4" w:space="0"/>
              <w:left w:val="single" w:color="000000" w:sz="4" w:space="0"/>
              <w:bottom w:val="single" w:color="000000" w:sz="4" w:space="0"/>
              <w:right w:val="single" w:color="000000" w:sz="4" w:space="0"/>
            </w:tcBorders>
            <w:noWrap w:val="0"/>
            <w:vAlign w:val="center"/>
          </w:tcPr>
          <w:p w14:paraId="6F7C5046">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蛋类</w:t>
            </w:r>
          </w:p>
        </w:tc>
      </w:tr>
      <w:tr w14:paraId="6DA913F4">
        <w:tblPrEx>
          <w:tblCellMar>
            <w:top w:w="0" w:type="dxa"/>
            <w:left w:w="108" w:type="dxa"/>
            <w:bottom w:w="0" w:type="dxa"/>
            <w:right w:w="108" w:type="dxa"/>
          </w:tblCellMar>
        </w:tblPrEx>
        <w:trPr>
          <w:trHeight w:val="390" w:hRule="exact"/>
        </w:trPr>
        <w:tc>
          <w:tcPr>
            <w:tcW w:w="1723" w:type="dxa"/>
            <w:tcBorders>
              <w:top w:val="single" w:color="000000" w:sz="4" w:space="0"/>
              <w:left w:val="single" w:color="000000" w:sz="4" w:space="0"/>
              <w:bottom w:val="single" w:color="000000" w:sz="4" w:space="0"/>
              <w:right w:val="single" w:color="000000" w:sz="4" w:space="0"/>
            </w:tcBorders>
            <w:noWrap w:val="0"/>
            <w:vAlign w:val="center"/>
          </w:tcPr>
          <w:p w14:paraId="666A241C">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7427" w:type="dxa"/>
            <w:tcBorders>
              <w:top w:val="single" w:color="000000" w:sz="4" w:space="0"/>
              <w:left w:val="single" w:color="000000" w:sz="4" w:space="0"/>
              <w:bottom w:val="single" w:color="000000" w:sz="4" w:space="0"/>
              <w:right w:val="single" w:color="000000" w:sz="4" w:space="0"/>
            </w:tcBorders>
            <w:noWrap w:val="0"/>
            <w:vAlign w:val="center"/>
          </w:tcPr>
          <w:p w14:paraId="4AC89043">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水产类</w:t>
            </w:r>
          </w:p>
        </w:tc>
      </w:tr>
      <w:tr w14:paraId="0A3E6C49">
        <w:tblPrEx>
          <w:tblCellMar>
            <w:top w:w="0" w:type="dxa"/>
            <w:left w:w="108" w:type="dxa"/>
            <w:bottom w:w="0" w:type="dxa"/>
            <w:right w:w="108" w:type="dxa"/>
          </w:tblCellMar>
        </w:tblPrEx>
        <w:trPr>
          <w:trHeight w:val="407" w:hRule="exact"/>
        </w:trPr>
        <w:tc>
          <w:tcPr>
            <w:tcW w:w="1723" w:type="dxa"/>
            <w:tcBorders>
              <w:top w:val="single" w:color="000000" w:sz="4" w:space="0"/>
              <w:left w:val="single" w:color="000000" w:sz="4" w:space="0"/>
              <w:bottom w:val="single" w:color="auto" w:sz="4" w:space="0"/>
              <w:right w:val="single" w:color="000000" w:sz="4" w:space="0"/>
            </w:tcBorders>
            <w:noWrap w:val="0"/>
            <w:vAlign w:val="center"/>
          </w:tcPr>
          <w:p w14:paraId="4D10B23A">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c>
          <w:tcPr>
            <w:tcW w:w="7427" w:type="dxa"/>
            <w:tcBorders>
              <w:top w:val="single" w:color="000000" w:sz="4" w:space="0"/>
              <w:left w:val="single" w:color="000000" w:sz="4" w:space="0"/>
              <w:bottom w:val="single" w:color="auto" w:sz="4" w:space="0"/>
              <w:right w:val="single" w:color="000000" w:sz="4" w:space="0"/>
            </w:tcBorders>
            <w:noWrap w:val="0"/>
            <w:vAlign w:val="center"/>
          </w:tcPr>
          <w:p w14:paraId="4E2B3AAB">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干货调料类</w:t>
            </w:r>
          </w:p>
        </w:tc>
      </w:tr>
      <w:tr w14:paraId="5280E6A1">
        <w:tblPrEx>
          <w:tblCellMar>
            <w:top w:w="0" w:type="dxa"/>
            <w:left w:w="108" w:type="dxa"/>
            <w:bottom w:w="0" w:type="dxa"/>
            <w:right w:w="108" w:type="dxa"/>
          </w:tblCellMar>
        </w:tblPrEx>
        <w:trPr>
          <w:trHeight w:val="418" w:hRule="exact"/>
        </w:trPr>
        <w:tc>
          <w:tcPr>
            <w:tcW w:w="1723" w:type="dxa"/>
            <w:tcBorders>
              <w:top w:val="single" w:color="auto" w:sz="4" w:space="0"/>
              <w:left w:val="single" w:color="auto" w:sz="4" w:space="0"/>
              <w:bottom w:val="single" w:color="auto" w:sz="4" w:space="0"/>
              <w:right w:val="single" w:color="000000" w:sz="4" w:space="0"/>
            </w:tcBorders>
            <w:noWrap w:val="0"/>
            <w:vAlign w:val="center"/>
          </w:tcPr>
          <w:p w14:paraId="5BFC136F">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p>
          <w:p w14:paraId="117D2E57">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p>
        </w:tc>
        <w:tc>
          <w:tcPr>
            <w:tcW w:w="7427" w:type="dxa"/>
            <w:tcBorders>
              <w:top w:val="single" w:color="auto" w:sz="4" w:space="0"/>
              <w:left w:val="single" w:color="000000" w:sz="4" w:space="0"/>
              <w:bottom w:val="single" w:color="auto" w:sz="4" w:space="0"/>
              <w:right w:val="single" w:color="auto" w:sz="4" w:space="0"/>
            </w:tcBorders>
            <w:noWrap w:val="0"/>
            <w:vAlign w:val="center"/>
          </w:tcPr>
          <w:p w14:paraId="14D3A0E2">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豆制品</w:t>
            </w:r>
          </w:p>
        </w:tc>
      </w:tr>
    </w:tbl>
    <w:p w14:paraId="3B74F0EA">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二</w:t>
      </w:r>
      <w:r>
        <w:rPr>
          <w:rFonts w:hint="eastAsia" w:ascii="宋体" w:hAnsi="宋体" w:eastAsia="宋体" w:cs="宋体"/>
          <w:b/>
          <w:color w:val="auto"/>
          <w:sz w:val="21"/>
          <w:szCs w:val="21"/>
          <w:highlight w:val="none"/>
        </w:rPr>
        <w:t>、物品验收标准</w:t>
      </w:r>
    </w:p>
    <w:tbl>
      <w:tblPr>
        <w:tblStyle w:val="25"/>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075"/>
        <w:gridCol w:w="7440"/>
      </w:tblGrid>
      <w:tr w14:paraId="24B2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5C76846C">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序号</w:t>
            </w:r>
          </w:p>
        </w:tc>
        <w:tc>
          <w:tcPr>
            <w:tcW w:w="1075" w:type="dxa"/>
            <w:noWrap w:val="0"/>
            <w:vAlign w:val="center"/>
          </w:tcPr>
          <w:p w14:paraId="1B677184">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品类名称</w:t>
            </w:r>
          </w:p>
        </w:tc>
        <w:tc>
          <w:tcPr>
            <w:tcW w:w="7440" w:type="dxa"/>
            <w:noWrap w:val="0"/>
            <w:vAlign w:val="top"/>
          </w:tcPr>
          <w:p w14:paraId="53F460B7">
            <w:pPr>
              <w:keepNext w:val="0"/>
              <w:keepLines w:val="0"/>
              <w:pageBreakBefore w:val="0"/>
              <w:kinsoku/>
              <w:wordWrap/>
              <w:overflowPunct/>
              <w:topLinePunct w:val="0"/>
              <w:autoSpaceDE/>
              <w:autoSpaceDN/>
              <w:bidi w:val="0"/>
              <w:spacing w:beforeAutospacing="0" w:after="0" w:line="42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验收标准（技术标准及要求）</w:t>
            </w:r>
          </w:p>
        </w:tc>
      </w:tr>
      <w:tr w14:paraId="050B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314080AE">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1</w:t>
            </w:r>
          </w:p>
        </w:tc>
        <w:tc>
          <w:tcPr>
            <w:tcW w:w="1075" w:type="dxa"/>
            <w:noWrap w:val="0"/>
            <w:vAlign w:val="center"/>
          </w:tcPr>
          <w:p w14:paraId="1D57778D">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果蔬类</w:t>
            </w:r>
          </w:p>
        </w:tc>
        <w:tc>
          <w:tcPr>
            <w:tcW w:w="7440" w:type="dxa"/>
            <w:noWrap w:val="0"/>
            <w:vAlign w:val="top"/>
          </w:tcPr>
          <w:p w14:paraId="1415CEDB">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1.1所提供的物品必须符合国家有关标准，保证无异味、无霉烂变质。</w:t>
            </w:r>
          </w:p>
          <w:p w14:paraId="0232FAFE">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1.2瓜、果、蔬菜必须是优质货品，保证所供应的蔬菜符合卫生标准，卫生指标应符合我国无公害蔬菜的卫生指标规定，同时承担因所供应蔬菜问题引起的一切事故后果。个种蔬菜都应具有本品种固有的气 味、形态颜色、光泽及蔬菜的成熟度和鲜嫩程度，没有腐烂变质及其他异常味道，不能提供萎蔫、枯塌、损伤、病变、虫害等异常蔬菜。</w:t>
            </w:r>
          </w:p>
          <w:p w14:paraId="690E9962">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1.3叶菜类肉质鲜嫩、形态好、色泽度正常、茎基部削平，无黄叶、病叶、泥土、明显机械和病虫害，无烧心焦边、腐烂等现象，无抽薹，无畸形、异味，花椰菜类应新鲜洁白，不带叶麸、无畸形花。</w:t>
            </w:r>
          </w:p>
          <w:p w14:paraId="4F788191">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1.4茄果类等应果实整洁，成熟度适中，番茄花蒂不明显，无裂果及空洞现象，茄果不能有裂蒂及果 皮变硬现象，无腐烂、畸形、异味，无明显机械伤。</w:t>
            </w:r>
          </w:p>
          <w:p w14:paraId="414E4C4F">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1.5瓜果类等形状、色泽一致，瓜条均匀，无疤点，无断裂，无腐烂、畸形、异味，无明显机械伤。</w:t>
            </w:r>
          </w:p>
          <w:p w14:paraId="704A0074">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1.6根菜类等品种癖习光滑，大小均匀，肉质脆嫩、新鲜，无断裂，无腐烂、裂痕、糠心、异味、不带泥土、茎叶和须根。</w:t>
            </w:r>
          </w:p>
          <w:p w14:paraId="0695A416">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1.7薯芋类应色泽一致、不带泥土、茎叶和根须，不干瘪、无腐烂、畸形、异味、明显机械伤、病虫害斑，马铃薯等无发芽现象。</w:t>
            </w:r>
          </w:p>
          <w:p w14:paraId="22263D1E">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1.8葱蒜类不带老叶、枯叶，不带泥土，无腐烂、异味。 </w:t>
            </w:r>
          </w:p>
          <w:p w14:paraId="70D28829">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1.9豆类应形态完整，成熟度适中，无腐烂、畸形、异味。</w:t>
            </w:r>
          </w:p>
          <w:p w14:paraId="1CDF4B82">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1.10食用菌类应新鲜，无杂质，无腐烂、畸形、异味。</w:t>
            </w:r>
          </w:p>
        </w:tc>
      </w:tr>
      <w:tr w14:paraId="4DAD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10469206">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2</w:t>
            </w:r>
          </w:p>
        </w:tc>
        <w:tc>
          <w:tcPr>
            <w:tcW w:w="1075" w:type="dxa"/>
            <w:noWrap w:val="0"/>
            <w:vAlign w:val="center"/>
          </w:tcPr>
          <w:p w14:paraId="7969681A">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畜肉类</w:t>
            </w:r>
          </w:p>
        </w:tc>
        <w:tc>
          <w:tcPr>
            <w:tcW w:w="7440" w:type="dxa"/>
            <w:noWrap w:val="0"/>
            <w:vAlign w:val="top"/>
          </w:tcPr>
          <w:p w14:paraId="1F51A35C">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2.1所提供的物品必须符合国家有关标准，保证无异味、无霉烂变质。鲜肉、冷冻肉供货时需提供当批次有效的动物产品检疫合格证（扫描件）。</w:t>
            </w:r>
          </w:p>
          <w:p w14:paraId="707ECD9D">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2.2对货物（鲜肉、冷冻肉）的品质要求，必须符合国家，食品部门的有关标准和规定。</w:t>
            </w:r>
          </w:p>
          <w:p w14:paraId="63B5EEDE">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2.3每批鲜肉、骨应保持较好的外观和质量等级，符合国家食品部门的有关标准，保证无异味、无腐 烂变质。并提供当批次有效的动物产品检疫合格证（扫描件），分割的猪肉每次送货时均提供猪肉分割证，鲜肉确保每日新鲜、无异味，并标注保鲜期。</w:t>
            </w:r>
          </w:p>
          <w:p w14:paraId="5F659B92">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2.4其他肉类：冷冻肉要求肉体冻实而且坚硬，无化冻现象，肉质紧密而有弹性，色泽均匀，不粘手，交货时干净、新鲜、无异味。</w:t>
            </w:r>
          </w:p>
        </w:tc>
      </w:tr>
      <w:tr w14:paraId="4064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5CBE1302">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3</w:t>
            </w:r>
          </w:p>
        </w:tc>
        <w:tc>
          <w:tcPr>
            <w:tcW w:w="1075" w:type="dxa"/>
            <w:noWrap w:val="0"/>
            <w:vAlign w:val="center"/>
          </w:tcPr>
          <w:p w14:paraId="3552DBA3">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禽肉类</w:t>
            </w:r>
          </w:p>
        </w:tc>
        <w:tc>
          <w:tcPr>
            <w:tcW w:w="7440" w:type="dxa"/>
            <w:noWrap w:val="0"/>
            <w:vAlign w:val="top"/>
          </w:tcPr>
          <w:p w14:paraId="075E9A8D">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3.1所提供的物品必须符合国家有关标准，保证无异味、无霉烂变质。鲜肉、冷冻肉供货时需提供当批次有效的动物产品检疫合格证（扫描件）。</w:t>
            </w:r>
          </w:p>
          <w:p w14:paraId="2A4A31D7">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3.2对货物（鲜肉、冷冻肉）的品质要求，必须符合国家，食品部门的有关标准和规定。</w:t>
            </w:r>
          </w:p>
          <w:p w14:paraId="6216C491">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3.3每批货物应保持较好的外观和质量等级，符合国家食品部门的有关标准，保证无异味、无腐烂变质，鲜肉确保每日新鲜、无异味，并注明保鲜期。</w:t>
            </w:r>
          </w:p>
          <w:p w14:paraId="493CC899">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3.4其他肉类：冷冻肉要求肉体冻实而且坚硬，无化冻现象，肉质紧密而有弹性，色泽均匀，不沾手，交货时干净、新鲜、无异味。</w:t>
            </w:r>
          </w:p>
        </w:tc>
      </w:tr>
      <w:tr w14:paraId="6BC0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40A06C25">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4</w:t>
            </w:r>
          </w:p>
        </w:tc>
        <w:tc>
          <w:tcPr>
            <w:tcW w:w="1075" w:type="dxa"/>
            <w:noWrap w:val="0"/>
            <w:vAlign w:val="center"/>
          </w:tcPr>
          <w:p w14:paraId="4079B6CF">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蛋类</w:t>
            </w:r>
          </w:p>
        </w:tc>
        <w:tc>
          <w:tcPr>
            <w:tcW w:w="7440" w:type="dxa"/>
            <w:noWrap w:val="0"/>
            <w:vAlign w:val="top"/>
          </w:tcPr>
          <w:p w14:paraId="2832E5A8">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4.1所提供的物品必须符合国家有关标准，保证无异味、无霉烂变质。</w:t>
            </w:r>
          </w:p>
          <w:p w14:paraId="194F9006">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4.2对货物的品质要求，必须符合国家，食品部门的有关标准和规格要求。</w:t>
            </w:r>
          </w:p>
          <w:p w14:paraId="7B645AAB">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4.3蛋类应蛋壳清洁完整，色泽鲜明，无破损、裂纹，无霉斑，灯光透视时，整个蛋呈桔黄色至橙红色，蛋黄不见或略见阴影，没有霉味、酸味、臭味等不良气味，打开后蛋黄凸起、完整、有韧性，蛋白澄 清、透明、稀稠分明，无异味。鸡蛋要求在本地养鸡场配送确保新鲜；</w:t>
            </w:r>
          </w:p>
          <w:p w14:paraId="551B59C7">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4.4皮蛋应外表泥状包料完整、无霉斑，包料除掉后蛋壳完整无损，灯光透照蛋内容物凝固不动，打开观察，整个蛋凝固、不粘壳、清洁而有弹性，呈半透明的棕黄色，闻起来有芳香，无辛辣气。</w:t>
            </w:r>
          </w:p>
          <w:p w14:paraId="0D5BFCDC">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4.5咸蛋应蛋壳完整无损，无裂纹或霉斑，摇动时有轻度水荡漾感觉，灯光透视蛋黄凝结、呈橙黄色且靠近蛋壳，蛋清呈白色水样透明，生蛋打开可见蛋清稀薄透明，蛋黄呈红色或淡红色，浓缩粘度增强，但不硬固，煮熟后打开，可见蛋清白嫩，蛋黄口味有细沙感，富于油脂，品尝则有咸蛋固有的香味。</w:t>
            </w:r>
          </w:p>
        </w:tc>
      </w:tr>
      <w:tr w14:paraId="594C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26001FD1">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5</w:t>
            </w:r>
          </w:p>
        </w:tc>
        <w:tc>
          <w:tcPr>
            <w:tcW w:w="1075" w:type="dxa"/>
            <w:noWrap w:val="0"/>
            <w:vAlign w:val="center"/>
          </w:tcPr>
          <w:p w14:paraId="7F6B2198">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水产类</w:t>
            </w:r>
          </w:p>
        </w:tc>
        <w:tc>
          <w:tcPr>
            <w:tcW w:w="7440" w:type="dxa"/>
            <w:noWrap w:val="0"/>
            <w:vAlign w:val="top"/>
          </w:tcPr>
          <w:p w14:paraId="4DBDA018">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5.1所提供的物品必须符合国家相关标准，保证无异味、无霉烂变质。鲜肉、冷冻肉供货时需提供当批次有效的检疫合格证，原件备查。</w:t>
            </w:r>
          </w:p>
          <w:p w14:paraId="6B9BC1DC">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5.2对货物的品质要求，必须符合国家，食品部门的有关标准和规格要求。</w:t>
            </w:r>
          </w:p>
          <w:p w14:paraId="5CAF3F46">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5.3每批货物应保持较好的外观和质量等级，符合国家食品部门的有关标准，保证无异味、无腐烂变质，鲜肉确保每日新鲜、无异味。</w:t>
            </w:r>
          </w:p>
          <w:p w14:paraId="6C845CED">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5.4冷冻肉要求肉体冻实而且坚硬，无化冻现象，肉质紧密而有弹性，色泽均匀，不粘手，交货时干 净、新鲜、无异味。冷冻鱼类要求鱼眼睛清亮，角膜透明，鳞片色泽明显。所有冷冻食品均清晰列出产品 品牌、规格、类型、包装方式、包装净重、含冰量等相关参数。</w:t>
            </w:r>
          </w:p>
        </w:tc>
      </w:tr>
      <w:tr w14:paraId="697A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5F2C89F7">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6</w:t>
            </w:r>
          </w:p>
        </w:tc>
        <w:tc>
          <w:tcPr>
            <w:tcW w:w="1075" w:type="dxa"/>
            <w:noWrap w:val="0"/>
            <w:vAlign w:val="center"/>
          </w:tcPr>
          <w:p w14:paraId="76F1BCF9">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干货调料类</w:t>
            </w:r>
          </w:p>
        </w:tc>
        <w:tc>
          <w:tcPr>
            <w:tcW w:w="7440" w:type="dxa"/>
            <w:noWrap w:val="0"/>
            <w:vAlign w:val="top"/>
          </w:tcPr>
          <w:p w14:paraId="26897A5B">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6.1所提供的物品必须符合国家有关标准，且在质保期内，保证无异味、无霉烂变质。</w:t>
            </w:r>
          </w:p>
          <w:p w14:paraId="608DB384">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6.2所提供的物品指标要符合国家强制性标准要求，食品类产品，配送方必须清晰地列出产品品牌， 型号、包装类型、包装方式、包装净重量等相关参数，且包装箱上必须贴有SC标志。</w:t>
            </w:r>
          </w:p>
          <w:p w14:paraId="4FFE8DA6">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6.3对货物的品质要求，必须符合国家，食品部门的有关标准和规格要求。</w:t>
            </w:r>
          </w:p>
          <w:p w14:paraId="6A6E0618">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6.4货物必须符合卫生要求，不得有腐烂、变质、霉变、生虫、污秽不洁、混有异物或者其他感官性状异常，并可能对人体健康有害的物质。</w:t>
            </w:r>
          </w:p>
          <w:p w14:paraId="200F9656">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6.5货物应由正规生产厂家合格证书、提供SC认证、国家机关发出的产品检验合格证书。包装箱完整，同时包装箱要印有注册商标、生产厂家名称、厂址、生产日期、产品合格证、保质期限、产品成分、厂家电话号码等。</w:t>
            </w:r>
          </w:p>
          <w:p w14:paraId="664F46C9">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6.6散装类货物应提供生产厂家营业执照、卫生许可证、国家机关发出的产品检验合格证书。</w:t>
            </w:r>
          </w:p>
          <w:p w14:paraId="0CB6C242">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6.7配送方所提供的物品质量必须要符合行业标准要求，不得有掺假、变质、变味、过期等现象出现，严禁伪劣、假冒、无证不合格物品进入仓库。</w:t>
            </w:r>
          </w:p>
          <w:p w14:paraId="27D78A24">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6.8所提供的物品不得为转基因物品或转基因制成品，经查实所提供物品中具有转基因物品或转基因制成品立即终止合同，并有配送方将承担全部责任。</w:t>
            </w:r>
          </w:p>
          <w:p w14:paraId="6927C680">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6.9对照需求方要求检查所送物资品牌、规格是否符合要求，对有包装的食品，检查包装是否完整，有无破损，查看食品包装标签应符合《食品安全国家标准预包装食品标签通则》（GB7718）要求，包括食 品名称、配料表、净含量、规格、生产者（或）经销者的名称、地址和联系方式、生产日期和保质期、储 存条件、食品生产许可证编号、产品标准代号等内容。</w:t>
            </w:r>
          </w:p>
          <w:p w14:paraId="032E0F81">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6.10目前国家实行食品质量（SC）安全市场准入制的食品：大米、小麦粉、酱油、醋、肉制品、乳制品、饮料、味精、方便面、饼干、罐头食品、冷冻饮品、速冻面米食品、膨化食品、糖果制品、茶叶、葡萄酒、果酒、啤酒、黄酒、酱腌菜、蜜饯、炒货食品、蛋制品、可可制品、水产加工品、淀粉及淀粉制品（包括粉丝、粉条）等。</w:t>
            </w:r>
          </w:p>
          <w:p w14:paraId="4E5DCAE4">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通过感官鉴别包装内产品及无包装产品，依靠视觉、嗅觉、味觉、触觉等鉴定食品的外观形态、色泽、气味、滋味和硬度（稠度）是否符合质量要求。有保质期限的商品剩余保存期不得少于原有保质期的三分之二。</w:t>
            </w:r>
          </w:p>
          <w:p w14:paraId="71848B28">
            <w:pPr>
              <w:keepNext w:val="0"/>
              <w:keepLines w:val="0"/>
              <w:pageBreakBefore w:val="0"/>
              <w:kinsoku/>
              <w:wordWrap/>
              <w:overflowPunct/>
              <w:topLinePunct w:val="0"/>
              <w:autoSpaceDE/>
              <w:autoSpaceDN/>
              <w:bidi w:val="0"/>
              <w:spacing w:beforeAutospacing="0" w:after="0" w:line="420" w:lineRule="exact"/>
              <w:jc w:val="both"/>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6.12干货（干菜、木耳、银耳、菌菇等）色泽鲜艳干燥，无破损片、虫蛀、霉坏和泥土杂质。</w:t>
            </w:r>
          </w:p>
        </w:tc>
      </w:tr>
      <w:tr w14:paraId="14E6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3C4A3C96">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7</w:t>
            </w:r>
          </w:p>
        </w:tc>
        <w:tc>
          <w:tcPr>
            <w:tcW w:w="1075" w:type="dxa"/>
            <w:noWrap w:val="0"/>
            <w:vAlign w:val="center"/>
          </w:tcPr>
          <w:p w14:paraId="469554E1">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rPr>
              <w:t>豆制品</w:t>
            </w:r>
          </w:p>
        </w:tc>
        <w:tc>
          <w:tcPr>
            <w:tcW w:w="7440" w:type="dxa"/>
            <w:noWrap w:val="0"/>
            <w:vAlign w:val="top"/>
          </w:tcPr>
          <w:p w14:paraId="7086B9ED">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豆制品必须符合国家现行标准，并拥有“SC”食品质量安全认证或食品生产许可证编号。应当使用保温措施确保豆制品的保鲜，保质期应不低于保质期限的一半。</w:t>
            </w:r>
          </w:p>
        </w:tc>
      </w:tr>
      <w:tr w14:paraId="171F4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7CFA0E7D">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w:t>
            </w:r>
          </w:p>
        </w:tc>
        <w:tc>
          <w:tcPr>
            <w:tcW w:w="1075" w:type="dxa"/>
            <w:noWrap w:val="0"/>
            <w:vAlign w:val="center"/>
          </w:tcPr>
          <w:p w14:paraId="63584984">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面类</w:t>
            </w:r>
          </w:p>
        </w:tc>
        <w:tc>
          <w:tcPr>
            <w:tcW w:w="7440" w:type="dxa"/>
            <w:noWrap w:val="0"/>
            <w:vAlign w:val="top"/>
          </w:tcPr>
          <w:p w14:paraId="6ECEEF22">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省内外重点粮食生产加工企业生产的普通小麦精粉或上白粉，质量等级不低于国家规定技术等级标准（GB/T1355-2021），不添加国家规定以外任何添加剂成分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符合国家相关验收规范标准及招标人要求。</w:t>
            </w:r>
          </w:p>
        </w:tc>
      </w:tr>
      <w:tr w14:paraId="6AB6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5BDE06A6">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9</w:t>
            </w:r>
          </w:p>
        </w:tc>
        <w:tc>
          <w:tcPr>
            <w:tcW w:w="1075" w:type="dxa"/>
            <w:noWrap w:val="0"/>
            <w:vAlign w:val="center"/>
          </w:tcPr>
          <w:p w14:paraId="5FB14F26">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米类</w:t>
            </w:r>
          </w:p>
        </w:tc>
        <w:tc>
          <w:tcPr>
            <w:tcW w:w="7440" w:type="dxa"/>
            <w:noWrap w:val="0"/>
            <w:vAlign w:val="top"/>
          </w:tcPr>
          <w:p w14:paraId="27BF152D">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 大米为优质一级大米，当年新产大米。颗粒饱满，香味浓郁，色泽清白透明，符合国家相关验收规范标准及招标人要求</w:t>
            </w:r>
            <w:r>
              <w:rPr>
                <w:rFonts w:hint="eastAsia" w:ascii="宋体" w:hAnsi="宋体" w:eastAsia="宋体" w:cs="宋体"/>
                <w:color w:val="auto"/>
                <w:sz w:val="21"/>
                <w:szCs w:val="21"/>
                <w:highlight w:val="none"/>
                <w:lang w:eastAsia="zh-CN"/>
              </w:rPr>
              <w:t>。</w:t>
            </w:r>
          </w:p>
        </w:tc>
      </w:tr>
      <w:tr w14:paraId="48BA3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2453BBE3">
            <w:pPr>
              <w:pStyle w:val="88"/>
              <w:keepNext w:val="0"/>
              <w:keepLines w:val="0"/>
              <w:pageBreakBefore w:val="0"/>
              <w:kinsoku/>
              <w:wordWrap/>
              <w:overflowPunct/>
              <w:topLinePunct w:val="0"/>
              <w:autoSpaceDE/>
              <w:autoSpaceDN/>
              <w:bidi w:val="0"/>
              <w:spacing w:beforeAutospacing="0" w:line="4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w:t>
            </w:r>
          </w:p>
        </w:tc>
        <w:tc>
          <w:tcPr>
            <w:tcW w:w="1075" w:type="dxa"/>
            <w:noWrap w:val="0"/>
            <w:vAlign w:val="center"/>
          </w:tcPr>
          <w:p w14:paraId="5879AB6B">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粮油类</w:t>
            </w:r>
          </w:p>
        </w:tc>
        <w:tc>
          <w:tcPr>
            <w:tcW w:w="7440" w:type="dxa"/>
            <w:noWrap w:val="0"/>
            <w:vAlign w:val="top"/>
          </w:tcPr>
          <w:p w14:paraId="51E7E20E">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色拉油：GB1535-2003一级大豆色拉油 </w:t>
            </w:r>
          </w:p>
          <w:p w14:paraId="043E6524">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花生油：GB1534-2017 </w:t>
            </w:r>
          </w:p>
          <w:p w14:paraId="3E21B305">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大豆油：GB1535-2003 </w:t>
            </w:r>
          </w:p>
          <w:p w14:paraId="06D4B0E4">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葵花籽油：GB10464-201</w:t>
            </w:r>
            <w:r>
              <w:rPr>
                <w:rFonts w:hint="eastAsia" w:ascii="宋体" w:hAnsi="宋体" w:eastAsia="宋体" w:cs="宋体"/>
                <w:color w:val="auto"/>
                <w:sz w:val="21"/>
                <w:szCs w:val="21"/>
                <w:highlight w:val="none"/>
                <w:lang w:val="en-US" w:eastAsia="zh-CN"/>
              </w:rPr>
              <w:t>7</w:t>
            </w:r>
          </w:p>
          <w:p w14:paraId="47D36E6C">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油类质量标准： 霉变粒不得超过2％；真菌毒素：黄曲霉素B1（5ug/㎏～20 ug/㎏）、脱氧雪 腐镰刀菌烯醇（≤1000 ug/㎏）、玉米赤霉烯酮（≤60ug/㎏）；重金属污染物： 铅≤0.2㎎/㎏、镉（0.1㎎/㎏～0.2㎎/㎏）、汞（0.02㎎/㎏）、无机砷（0.1 ㎎/㎏～0.2㎎/㎏）；</w:t>
            </w:r>
          </w:p>
          <w:p w14:paraId="34F565D8">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农药：对磷化物、马拉硫磷等140余种农药规定了最大残留限量。</w:t>
            </w:r>
          </w:p>
        </w:tc>
      </w:tr>
      <w:tr w14:paraId="6730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noWrap w:val="0"/>
            <w:vAlign w:val="center"/>
          </w:tcPr>
          <w:p w14:paraId="38C6C4B0">
            <w:pPr>
              <w:pStyle w:val="88"/>
              <w:keepNext w:val="0"/>
              <w:keepLines w:val="0"/>
              <w:pageBreakBefore w:val="0"/>
              <w:kinsoku/>
              <w:wordWrap/>
              <w:overflowPunct/>
              <w:topLinePunct w:val="0"/>
              <w:autoSpaceDE/>
              <w:autoSpaceDN/>
              <w:bidi w:val="0"/>
              <w:spacing w:beforeAutospacing="0" w:line="42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11</w:t>
            </w:r>
          </w:p>
        </w:tc>
        <w:tc>
          <w:tcPr>
            <w:tcW w:w="1075" w:type="dxa"/>
            <w:noWrap w:val="0"/>
            <w:vAlign w:val="center"/>
          </w:tcPr>
          <w:p w14:paraId="350AACDD">
            <w:pPr>
              <w:pStyle w:val="88"/>
              <w:keepNext w:val="0"/>
              <w:keepLines w:val="0"/>
              <w:pageBreakBefore w:val="0"/>
              <w:kinsoku/>
              <w:wordWrap/>
              <w:overflowPunct/>
              <w:topLinePunct w:val="0"/>
              <w:autoSpaceDE/>
              <w:autoSpaceDN/>
              <w:bidi w:val="0"/>
              <w:spacing w:beforeAutospacing="0" w:line="4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半成品类</w:t>
            </w:r>
          </w:p>
        </w:tc>
        <w:tc>
          <w:tcPr>
            <w:tcW w:w="7440" w:type="dxa"/>
            <w:noWrap w:val="0"/>
            <w:vAlign w:val="top"/>
          </w:tcPr>
          <w:p w14:paraId="3609DF34">
            <w:pPr>
              <w:keepNext w:val="0"/>
              <w:keepLines w:val="0"/>
              <w:pageBreakBefore w:val="0"/>
              <w:kinsoku/>
              <w:wordWrap/>
              <w:overflowPunct/>
              <w:topLinePunct w:val="0"/>
              <w:autoSpaceDE/>
              <w:autoSpaceDN/>
              <w:bidi w:val="0"/>
              <w:spacing w:beforeAutospacing="0" w:after="0" w:line="42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食材包装必须符合国家和行业的有关规定，定型食材包装应具有SC标识，所有货物各 项质量技术指标完全符合国家有关质量检测、环保标准及产品出厂标准</w:t>
            </w:r>
          </w:p>
        </w:tc>
      </w:tr>
    </w:tbl>
    <w:p w14:paraId="3DCB33FD">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三、总体要求</w:t>
      </w:r>
    </w:p>
    <w:p w14:paraId="57C652C7">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1、所供商品有固定的、合法合规的产品来源，符合《中华人民共和国食品安全法》 及国家标准；食材须提供合格证、质检报告、检疫证明（如适用）及“SC”认证；禁止供应转基因、变质、过期或不符合法律、法规、规章要求和食品安全标准的食品。 </w:t>
      </w:r>
    </w:p>
    <w:p w14:paraId="5267E358">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2、如采购人验收中发现供应产品出现腐烂变质、无合格证明的伪劣产品等</w:t>
      </w:r>
      <w:r>
        <w:rPr>
          <w:rFonts w:hint="eastAsia" w:ascii="宋体" w:hAnsi="宋体" w:cs="宋体"/>
          <w:color w:val="auto"/>
          <w:sz w:val="21"/>
          <w:szCs w:val="21"/>
          <w:highlight w:val="none"/>
          <w:lang w:val="en-US" w:eastAsia="zh-CN"/>
        </w:rPr>
        <w:t>类似</w:t>
      </w:r>
      <w:r>
        <w:rPr>
          <w:rFonts w:hint="eastAsia" w:ascii="宋体" w:hAnsi="宋体" w:eastAsia="宋体" w:cs="宋体"/>
          <w:color w:val="auto"/>
          <w:sz w:val="21"/>
          <w:szCs w:val="21"/>
          <w:highlight w:val="none"/>
        </w:rPr>
        <w:t>情况，采购人</w:t>
      </w:r>
      <w:r>
        <w:rPr>
          <w:rFonts w:hint="eastAsia" w:ascii="宋体" w:hAnsi="宋体" w:cs="宋体"/>
          <w:color w:val="auto"/>
          <w:sz w:val="21"/>
          <w:szCs w:val="21"/>
          <w:highlight w:val="none"/>
          <w:lang w:val="en-US" w:eastAsia="zh-CN"/>
        </w:rPr>
        <w:t>有权拒绝接收。</w:t>
      </w:r>
      <w:r>
        <w:rPr>
          <w:rFonts w:hint="eastAsia" w:ascii="宋体" w:hAnsi="宋体" w:eastAsia="宋体" w:cs="宋体"/>
          <w:color w:val="auto"/>
          <w:sz w:val="21"/>
          <w:szCs w:val="21"/>
          <w:highlight w:val="none"/>
        </w:rPr>
        <w:t>在确保不影响采购单位正常的生活保障的情况下，供应商无条件给予退换并处以相应罚款</w:t>
      </w:r>
      <w:r>
        <w:rPr>
          <w:rFonts w:hint="eastAsia" w:ascii="宋体" w:hAnsi="宋体" w:cs="宋体"/>
          <w:color w:val="auto"/>
          <w:sz w:val="21"/>
          <w:szCs w:val="21"/>
          <w:highlight w:val="none"/>
          <w:lang w:eastAsia="zh-CN"/>
        </w:rPr>
        <w:t>。</w:t>
      </w:r>
    </w:p>
    <w:p w14:paraId="14F1B4A5">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3、副食品验收，一是对危及人身安全的商品问题采取零容忍措施，一经发现直接更换成交人。二是若抽查未发现问题，而在加工食用前发现产品质量问题，一经发现，当日送同批次产品全部退货并进行更换。 </w:t>
      </w:r>
    </w:p>
    <w:p w14:paraId="2BF8271B">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4、采购人应急采购的，供应商须按采购人指定时间送达； </w:t>
      </w:r>
    </w:p>
    <w:p w14:paraId="21E0A8AA">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、保质期：提供的商品剩余保质期不得少于商品本身保质期的三分之二。保质期内对有瑕疵或不能修复的食材负责免费更换。 </w:t>
      </w:r>
    </w:p>
    <w:p w14:paraId="7E725699">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四、服务要求 </w:t>
      </w:r>
    </w:p>
    <w:p w14:paraId="141E10BC">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 xml:space="preserve">地点：开封市鼓楼区机关事务中心指定地点。 </w:t>
      </w:r>
    </w:p>
    <w:p w14:paraId="2F21D648">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 xml:space="preserve">方式：按要求送货上门。 </w:t>
      </w:r>
    </w:p>
    <w:p w14:paraId="1E91B2F4">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3、交货时间及方式：按照采购计划按时送达。采购人提前将准确的订购品种、数量告知成交供应商。成交供应商在接到采购人订货通知后按约定时间免费运送货物到采 购人指定地点，由采购人仓管员验收并做记录，双方核算当日货款，双方同时保留相关单据。成交供应商提供货物如发现掺假、调包、虚假检验报告以及货物验收不合格、不在采购计划内、超量送货等采购人将予以拒收，由此导致的菜品不能按时出品，使正常用餐受到影响，由成交供应商承担相关的责任。紧急情况下，如采购人急需物资时，必须在接到通知1小时内将物资送达，待采购人验收、称重、核对、入库、签收后，供货才算完成。 </w:t>
      </w:r>
    </w:p>
    <w:p w14:paraId="37C2F3C7">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成交供应商在供应过程中，如果出现质量问题或造成食物中毒,如变质等情况，经查实后确属成交供应商责任，成交供应商应承担全部责任，主要包括食物中毒医疗费、误工费、事故处理费等，直至追究刑事责任。 </w:t>
      </w:r>
    </w:p>
    <w:p w14:paraId="6F372256">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5、所提供的物品必须符合国家行业生产及经营标准，货真价实，均能提供相应批次的合格检验证明； </w:t>
      </w:r>
    </w:p>
    <w:p w14:paraId="4E6633D9">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6、成交供应商必须负责成交货物的运输、交货质量检测、搬运等工作，所产生的费用由成交供应商负责。 </w:t>
      </w:r>
    </w:p>
    <w:p w14:paraId="4845A2DB">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7、成交供应商不得将中标项目转让分包给他人，一经发现,采购人有权终止合同, 由此产生的一切经济损失由成交供应商自行承担。</w:t>
      </w:r>
    </w:p>
    <w:p w14:paraId="4F66D40C">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8、成交供应商除不可抗力，不得因其他任何理由延迟送货。采购人如遇特殊情况 需推迟送货，应提前通知成交供应商。因成交供应商原因延误交货日期的（采购人要求 推迟的除外），采购人有权自行采购，并由成交供应商承担由此产生的一切损失和费用。 </w:t>
      </w:r>
    </w:p>
    <w:p w14:paraId="1EDDBAFC">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9、成交供应商须按供应货物的销售额开具采购人认可的正规发票，不得多开、虚开发票。 </w:t>
      </w:r>
    </w:p>
    <w:p w14:paraId="72F545BC">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10、采购人尽最大能力提供本次项目的所有必要信息，但不承担由于信息披露的缺陷所带来的任何责任。 </w:t>
      </w:r>
    </w:p>
    <w:p w14:paraId="59542CEF">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五、管理要求</w:t>
      </w:r>
    </w:p>
    <w:p w14:paraId="4C798CDD">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1、在合同执行期间，成交供应商须接受采购人有关管理部门的监督考核管理。 </w:t>
      </w:r>
    </w:p>
    <w:p w14:paraId="4B31E6BD">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2、违规处理成交供应商不按所承诺的价格、服务履行合同的，一经核实，采购人有权单方解除合同。 </w:t>
      </w:r>
    </w:p>
    <w:p w14:paraId="129FBC78">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2.1 在合同履行期限（服务期）间无正当理由拒绝为采购人提供服务的。 </w:t>
      </w:r>
    </w:p>
    <w:p w14:paraId="0387DE42">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2.2 在合同履行期限（服务期）间出现两次不按所承诺的价格、服务、质量履行合同的。 </w:t>
      </w:r>
    </w:p>
    <w:p w14:paraId="3C23E436">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2.3 成交供应商需确保响应资料的真实性，采购人将对成交候选人的实际情况实地考察核实，提供虚假材料者，将被取消成交资格。 </w:t>
      </w:r>
    </w:p>
    <w:p w14:paraId="160F99B0">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六、包装和发运 </w:t>
      </w:r>
    </w:p>
    <w:p w14:paraId="18572DF9">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1、货物的包装和发运须符合货物特性要求； </w:t>
      </w:r>
    </w:p>
    <w:p w14:paraId="2A40FFBF">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2、为了保证货物在运输和装卸过程中的安全，货物包装应符合国家或行业标准规定。由于包装不善导致货物腐烂、失缺或损坏等，由成交供应商承担一切责任。 </w:t>
      </w:r>
    </w:p>
    <w:p w14:paraId="6929E05C">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3、食品运输必须采用符合卫生标准的外包装和运输工具，保持清洁和定期消毒，车厢内无不良气味、异味。冷藏、冷冻食品必须用专用冷藏、冷冻载具运输，在运输过 程中保持安全的冷藏、冷冻温度，冷冻食品没有曾经解冻痕迹或软化现象，包装呈干爽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食品应清洁，无损伤、腐烂现象，外包装完整，无寄生虫或已受虫害现象，其中禽蛋类在运输过程中的破损率应≤2%。</w:t>
      </w:r>
    </w:p>
    <w:p w14:paraId="1431F5FD">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 4、成交供应商接到采购人订单后按照要求将货物按照约定的时间送至采购人指定的地点。每次送货，成交供应商须委派专人负责货物的运输、过秤，并协助采购人验收货品，待采购人验收后，才认定为供货完成</w:t>
      </w:r>
      <w:r>
        <w:rPr>
          <w:rFonts w:hint="eastAsia" w:ascii="宋体" w:hAnsi="宋体" w:eastAsia="宋体" w:cs="宋体"/>
          <w:color w:val="auto"/>
          <w:sz w:val="21"/>
          <w:szCs w:val="21"/>
          <w:highlight w:val="none"/>
          <w:lang w:eastAsia="zh-CN"/>
        </w:rPr>
        <w:t>。</w:t>
      </w:r>
    </w:p>
    <w:p w14:paraId="0F465461">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供货方式、货物配送要求、卸货要求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定价方式 </w:t>
      </w:r>
    </w:p>
    <w:p w14:paraId="01C862D3">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1、供货方式：招标人提前一天的17:00将准确的订购品种、数量告知中标人。 中标人在接到招标人订货通知后于每日上午10:00前免费运送货物到招标人指定地点，由招标人验收并做记录，保留相关单据。 </w:t>
      </w:r>
    </w:p>
    <w:p w14:paraId="57138B02">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2、货物配送要求： </w:t>
      </w:r>
    </w:p>
    <w:p w14:paraId="65671CFF">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（1）所提供的物品运输应有中标人负责，不得外包，必须采用符合卫生标准的外包装和运载工具，并且要保持清洁和定期消毒。运输车厢的内仓补货，包括地 面、墙面和顶，应使抗腐蚀、防潮，易清洁消毒的材料。车厢内无不良气味，异味。 </w:t>
      </w:r>
    </w:p>
    <w:p w14:paraId="32BF1EEE">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（2）整个运输过程中应科学合理，运输车辆应定期清洁，保持性能稳定，符合规定的温度要求，使运输食品处于恒定的环境中。 </w:t>
      </w:r>
    </w:p>
    <w:p w14:paraId="43A0C8A5">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（3）冷藏、冷冻食品必须用专用冷藏、冷冻载具运输，应当有必要的保温设备并在整个运输过程中保持安全的冷藏、冷冻温度。特别是对于长途运输的食品，保证食品在运输过程中处于合适的温度范围。 </w:t>
      </w:r>
    </w:p>
    <w:p w14:paraId="7899A3C3">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（4）物品达到目的地时外包装必须完整、箱干爽，无任何拆封、破损现象。 </w:t>
      </w:r>
    </w:p>
    <w:p w14:paraId="7ADD35FC">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卸货要求：送货车辆应保持清洁；食品堆放科学合理、避免造成食品的交叉污染；如对温度有要求的食品应确实确定食品的温度，记录送货车辆温度，并存档。在卸货过程中，应保证能冷藏食品脱离冷藏环境时间不得超过20分钟，冷冻食品脱离冷冻时间不得超过30分钟。 </w:t>
      </w:r>
    </w:p>
    <w:p w14:paraId="68EECD4A">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、定价方式 </w:t>
      </w:r>
    </w:p>
    <w:p w14:paraId="3F559A5A">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供应商所报价格</w:t>
      </w:r>
      <w:r>
        <w:rPr>
          <w:rFonts w:hint="eastAsia" w:ascii="宋体" w:hAnsi="宋体" w:eastAsia="宋体" w:cs="宋体"/>
          <w:color w:val="auto"/>
          <w:sz w:val="21"/>
          <w:szCs w:val="21"/>
          <w:highlight w:val="none"/>
        </w:rPr>
        <w:t>价格即为乙方将所需产品送至各指定地点的全部价。</w:t>
      </w:r>
    </w:p>
    <w:p w14:paraId="1AED8B61">
      <w:pPr>
        <w:keepNext w:val="0"/>
        <w:keepLines w:val="0"/>
        <w:pageBreakBefore w:val="0"/>
        <w:kinsoku/>
        <w:wordWrap/>
        <w:overflowPunct/>
        <w:topLinePunct w:val="0"/>
        <w:autoSpaceDE w:val="0"/>
        <w:autoSpaceDN/>
        <w:bidi w:val="0"/>
        <w:adjustRightInd w:val="0"/>
        <w:snapToGrid/>
        <w:spacing w:beforeAutospacing="0" w:after="0" w:line="46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4.2 采购人将会定期对采购货物进行市场询价，其中瓶装、桶装、袋装等市场波动较小的货物每</w:t>
      </w:r>
      <w:r>
        <w:rPr>
          <w:rFonts w:hint="eastAsia" w:ascii="宋体" w:hAnsi="宋体" w:cs="宋体"/>
          <w:color w:val="auto"/>
          <w:sz w:val="21"/>
          <w:szCs w:val="21"/>
          <w:highlight w:val="none"/>
          <w:lang w:val="en-US" w:eastAsia="zh-CN"/>
        </w:rPr>
        <w:t>月</w:t>
      </w:r>
      <w:r>
        <w:rPr>
          <w:rFonts w:hint="eastAsia" w:ascii="宋体" w:hAnsi="宋体" w:eastAsia="宋体" w:cs="宋体"/>
          <w:color w:val="auto"/>
          <w:sz w:val="21"/>
          <w:szCs w:val="21"/>
          <w:highlight w:val="none"/>
          <w:lang w:val="en-US" w:eastAsia="zh-CN"/>
        </w:rPr>
        <w:t>至少进行一次市场询价；价格波动±10%以内的不予调整。其他散装、生鲜、冷冻冷藏等货物采购人结合供应商报价及供货当日开封市农贸市场询价认可后由双方签字确认，若投标人所报价格高于采购人市场调研价格，则按照采购人提供的价格结算。投标人若不按照采购人要求执行，则采购人有权取消其中标资格或解除合同，并追究其相关责任。</w:t>
      </w:r>
    </w:p>
    <w:p w14:paraId="020F3B52">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val="en-US" w:eastAsia="zh-CN"/>
        </w:rPr>
        <w:t>折扣费率</w:t>
      </w:r>
      <w:r>
        <w:rPr>
          <w:rFonts w:hint="eastAsia" w:ascii="宋体" w:hAnsi="宋体" w:eastAsia="宋体" w:cs="宋体"/>
          <w:color w:val="auto"/>
          <w:sz w:val="21"/>
          <w:szCs w:val="21"/>
          <w:highlight w:val="none"/>
        </w:rPr>
        <w:t>进行报价的，最终的</w:t>
      </w:r>
      <w:r>
        <w:rPr>
          <w:rFonts w:hint="eastAsia" w:ascii="宋体" w:hAnsi="宋体" w:eastAsia="宋体" w:cs="宋体"/>
          <w:color w:val="auto"/>
          <w:sz w:val="21"/>
          <w:szCs w:val="21"/>
          <w:highlight w:val="none"/>
          <w:lang w:val="en-US" w:eastAsia="zh-CN"/>
        </w:rPr>
        <w:t>核</w:t>
      </w:r>
      <w:r>
        <w:rPr>
          <w:rFonts w:hint="eastAsia" w:ascii="宋体" w:hAnsi="宋体" w:eastAsia="宋体" w:cs="宋体"/>
          <w:color w:val="auto"/>
          <w:sz w:val="21"/>
          <w:szCs w:val="21"/>
          <w:highlight w:val="none"/>
        </w:rPr>
        <w:t>算金额以当日</w:t>
      </w:r>
      <w:r>
        <w:rPr>
          <w:rFonts w:hint="eastAsia" w:ascii="宋体" w:hAnsi="宋体" w:cs="宋体"/>
          <w:color w:val="auto"/>
          <w:sz w:val="21"/>
          <w:szCs w:val="21"/>
          <w:highlight w:val="none"/>
          <w:lang w:val="en-US" w:eastAsia="zh-CN"/>
        </w:rPr>
        <w:t>中标</w:t>
      </w:r>
      <w:r>
        <w:rPr>
          <w:rFonts w:hint="eastAsia" w:ascii="宋体" w:hAnsi="宋体" w:eastAsia="宋体" w:cs="宋体"/>
          <w:color w:val="auto"/>
          <w:sz w:val="21"/>
          <w:szCs w:val="21"/>
          <w:highlight w:val="none"/>
          <w:lang w:val="en-US" w:eastAsia="zh-CN"/>
        </w:rPr>
        <w:t>人及采购人双方确定的价格</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中标价</w:t>
      </w:r>
      <w:r>
        <w:rPr>
          <w:rFonts w:hint="eastAsia" w:ascii="宋体" w:hAnsi="宋体" w:eastAsia="宋体" w:cs="宋体"/>
          <w:color w:val="auto"/>
          <w:sz w:val="21"/>
          <w:szCs w:val="21"/>
          <w:highlight w:val="none"/>
        </w:rPr>
        <w:t xml:space="preserve">*实际采购量进行结算。 </w:t>
      </w:r>
    </w:p>
    <w:p w14:paraId="42042198">
      <w:pPr>
        <w:keepNext w:val="0"/>
        <w:keepLines w:val="0"/>
        <w:pageBreakBefore w:val="0"/>
        <w:widowControl w:val="0"/>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注：当日采购计划中的产品在</w:t>
      </w:r>
      <w:r>
        <w:rPr>
          <w:rFonts w:hint="eastAsia" w:ascii="宋体" w:hAnsi="宋体" w:eastAsia="宋体" w:cs="宋体"/>
          <w:color w:val="auto"/>
          <w:sz w:val="21"/>
          <w:szCs w:val="21"/>
          <w:highlight w:val="none"/>
          <w:lang w:val="en-US" w:eastAsia="zh-CN"/>
        </w:rPr>
        <w:t>开封市大型批发市场</w:t>
      </w:r>
      <w:r>
        <w:rPr>
          <w:rFonts w:hint="eastAsia" w:ascii="宋体" w:hAnsi="宋体" w:eastAsia="宋体" w:cs="宋体"/>
          <w:color w:val="auto"/>
          <w:sz w:val="21"/>
          <w:szCs w:val="21"/>
          <w:highlight w:val="none"/>
        </w:rPr>
        <w:t xml:space="preserve">发布的市场零售价未公布价格的，以就近农贸市场价格为准或由采购人、成交人双方实地询价并签字确认后的价格为准。 </w:t>
      </w:r>
    </w:p>
    <w:p w14:paraId="08E987B2">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bidi="ar-SA"/>
        </w:rPr>
        <w:t>八、</w:t>
      </w:r>
      <w:r>
        <w:rPr>
          <w:rFonts w:hint="eastAsia" w:ascii="宋体" w:hAnsi="宋体" w:eastAsia="宋体" w:cs="宋体"/>
          <w:color w:val="auto"/>
          <w:sz w:val="21"/>
          <w:szCs w:val="21"/>
          <w:highlight w:val="none"/>
        </w:rPr>
        <w:t xml:space="preserve">售后服务 </w:t>
      </w:r>
    </w:p>
    <w:p w14:paraId="7CF897E0">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中标人在供应过程中，如果发生出现质量问题或造成食物中毒，如变质等情况，经查实后确属中标人责任，中标人应承担全部责任，主要包括食物中毒人员医疗费、误工费、处理事故所产生的费用等，报执法部门追究相关刑事责任。 </w:t>
      </w:r>
    </w:p>
    <w:p w14:paraId="1EFFDC96">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2、质保期内，非招标人的人为原因而出现产品质量问题，由中标人负责包换或包退，并承担因此而产生的一切费用。 </w:t>
      </w:r>
    </w:p>
    <w:p w14:paraId="0EBF893A">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九、</w:t>
      </w:r>
      <w:r>
        <w:rPr>
          <w:rFonts w:hint="eastAsia" w:ascii="宋体" w:hAnsi="宋体" w:eastAsia="宋体" w:cs="宋体"/>
          <w:color w:val="auto"/>
          <w:sz w:val="21"/>
          <w:szCs w:val="21"/>
          <w:highlight w:val="none"/>
        </w:rPr>
        <w:t xml:space="preserve">保密条款 </w:t>
      </w:r>
    </w:p>
    <w:p w14:paraId="2817CB03">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中标人在实施货物供货期间，不得将供货的实际数量及供货地点泄露给其他企业或者个人，中标人必须指派相对固定的人员完成货物配送服务，并需将配送人员的详细资料报招标人备案，货物配送人员必须遵纪守法、品行良好，无违法犯罪记录，如需要更换配送人员，必须事先通知招标人，并将其个人资料送招标人审核，审核合格者才能更换。 </w:t>
      </w:r>
      <w:r>
        <w:rPr>
          <w:rFonts w:hint="eastAsia" w:ascii="宋体" w:hAnsi="宋体" w:eastAsia="宋体" w:cs="宋体"/>
          <w:color w:val="auto"/>
          <w:sz w:val="21"/>
          <w:szCs w:val="21"/>
          <w:highlight w:val="none"/>
          <w:lang w:val="en-US" w:eastAsia="zh-CN"/>
        </w:rPr>
        <w:t xml:space="preserve">          </w:t>
      </w:r>
    </w:p>
    <w:p w14:paraId="122D3684">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十、其他</w:t>
      </w:r>
      <w:r>
        <w:rPr>
          <w:rFonts w:hint="eastAsia" w:ascii="宋体" w:hAnsi="宋体" w:eastAsia="宋体" w:cs="宋体"/>
          <w:color w:val="auto"/>
          <w:sz w:val="21"/>
          <w:szCs w:val="21"/>
          <w:highlight w:val="none"/>
        </w:rPr>
        <w:t xml:space="preserve">要求 </w:t>
      </w:r>
    </w:p>
    <w:p w14:paraId="6361C818">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bidi="ar-SA"/>
        </w:rPr>
        <w:t>1.</w:t>
      </w:r>
      <w:r>
        <w:rPr>
          <w:rFonts w:hint="eastAsia" w:ascii="宋体" w:hAnsi="宋体" w:eastAsia="宋体" w:cs="宋体"/>
          <w:color w:val="auto"/>
          <w:sz w:val="21"/>
          <w:szCs w:val="21"/>
          <w:highlight w:val="none"/>
        </w:rPr>
        <w:t xml:space="preserve">组成本项目合同的各项文件为招标文件、投标文件、合同文件，且各项文件均具有法律效力。 </w:t>
      </w:r>
    </w:p>
    <w:p w14:paraId="709C269F">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2.乙方所提供的产品名称、规格、数量、品牌、价格和质量等不符合招标文件要求的，甲方有权拒绝使用，同时要求乙方提供满足招标文件要求的产品，并保留要求赔偿和追究法律责任的权利。</w:t>
      </w:r>
    </w:p>
    <w:p w14:paraId="1AD62E24">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340" w:leftChars="162"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3.存在供应商消极应付、未按时送达的，影响正常保障的情况，除要求供应商尽快送达外，根据发生情况处理：①第一次发现，扣除当日5%的货款；</w:t>
      </w:r>
    </w:p>
    <w:p w14:paraId="6F5BDC62">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②第二次发现，扣除本周5%的货款；</w:t>
      </w:r>
    </w:p>
    <w:p w14:paraId="66276DCA">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③第三次发现，扣除当月5%的货款，并立即终止合同，且2年内不得参与采购人单位的副食品招投标。 </w:t>
      </w:r>
    </w:p>
    <w:p w14:paraId="508B9BB0">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bidi="ar-SA"/>
        </w:rPr>
        <w:t>4</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sz w:val="21"/>
          <w:szCs w:val="21"/>
          <w:highlight w:val="none"/>
        </w:rPr>
        <w:t>有下列情形之一的，采购人有权单方面中止与投标人签订的配送协议：</w:t>
      </w:r>
    </w:p>
    <w:p w14:paraId="34696CA8">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因配送的食品质量问题引发食品安全事故的；</w:t>
      </w:r>
    </w:p>
    <w:p w14:paraId="1585831E">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（2）配送满意度测评连续三个月达不到60%（含60%）的；</w:t>
      </w:r>
    </w:p>
    <w:p w14:paraId="3239E315">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（3）配送的副食品有假冒伪劣产品两次以上（含两次）的； </w:t>
      </w:r>
    </w:p>
    <w:p w14:paraId="180E8330">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（4）配送的副食品价格与中标费率不符的；</w:t>
      </w:r>
    </w:p>
    <w:p w14:paraId="497B935F">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（5）因存在不廉洁行为和安全隐患等 造成不良社会影响的。 </w:t>
      </w:r>
    </w:p>
    <w:p w14:paraId="66428D94">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未经甲方书面授权或同意，乙方不得以任何方式将项目转交第三方或由第三方提供相关服务，否则，乙方承担一切后果。</w:t>
      </w:r>
    </w:p>
    <w:p w14:paraId="3E7A588E">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所有货物及服务必须满足国家相关部门的规定要求。</w:t>
      </w:r>
    </w:p>
    <w:p w14:paraId="72B92028">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投标人供货产品必须为原厂正品。若供货时，某种产品生产企业暂停了或调整了某种产品规格型号的生产，采购人可视情况调整采购计划。</w:t>
      </w:r>
    </w:p>
    <w:p w14:paraId="217FEA54">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8</w:t>
      </w:r>
      <w:r>
        <w:rPr>
          <w:rFonts w:hint="eastAsia" w:ascii="宋体" w:hAnsi="宋体" w:eastAsia="宋体" w:cs="宋体"/>
          <w:color w:val="auto"/>
          <w:sz w:val="21"/>
          <w:szCs w:val="21"/>
          <w:highlight w:val="none"/>
          <w:lang w:val="en-US" w:eastAsia="zh-CN" w:bidi="ar-SA"/>
        </w:rPr>
        <w:t>.配送方案（包含但不限于：配送人员配备、配送台账、产品运输的储存保证措施，卫生、防潮、防腐等保障供应及伴随服务）。</w:t>
      </w:r>
    </w:p>
    <w:p w14:paraId="12181B50">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9</w:t>
      </w:r>
      <w:r>
        <w:rPr>
          <w:rFonts w:hint="eastAsia" w:ascii="宋体" w:hAnsi="宋体" w:eastAsia="宋体" w:cs="宋体"/>
          <w:color w:val="auto"/>
          <w:sz w:val="21"/>
          <w:szCs w:val="21"/>
          <w:highlight w:val="none"/>
          <w:lang w:val="en-US" w:eastAsia="zh-CN" w:bidi="ar-SA"/>
        </w:rPr>
        <w:t>.货物安全保障方案（包括但不限于：货品安全、卫生、无毒无公害保障措施及常见质量问题的控制方案、检验检测、包装质量保障措施方案、食品留样及追根溯源的保障措施等）确保食材新鲜无发霉、腐烂、异味等。</w:t>
      </w:r>
    </w:p>
    <w:p w14:paraId="0A183463">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10</w:t>
      </w:r>
      <w:r>
        <w:rPr>
          <w:rFonts w:hint="eastAsia" w:ascii="宋体" w:hAnsi="宋体" w:eastAsia="宋体" w:cs="宋体"/>
          <w:color w:val="auto"/>
          <w:sz w:val="21"/>
          <w:szCs w:val="21"/>
          <w:highlight w:val="none"/>
          <w:lang w:val="en-US" w:eastAsia="zh-CN" w:bidi="ar-SA"/>
        </w:rPr>
        <w:t>.供货方案（包括但不限于：货源组织能力、运输方案、验收方案等方面，明确所投货物的来源和渠道，产品供应的管理制度、对仓储货源充足保证确保按时供货、正常验收）。</w:t>
      </w:r>
    </w:p>
    <w:p w14:paraId="3C1C1DE7">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w:t>
      </w:r>
      <w:r>
        <w:rPr>
          <w:rFonts w:hint="eastAsia" w:ascii="宋体" w:hAnsi="宋体" w:cs="宋体"/>
          <w:color w:val="auto"/>
          <w:sz w:val="21"/>
          <w:szCs w:val="21"/>
          <w:highlight w:val="none"/>
          <w:lang w:val="en-US" w:eastAsia="zh-CN" w:bidi="ar-SA"/>
        </w:rPr>
        <w:t>1</w:t>
      </w:r>
      <w:r>
        <w:rPr>
          <w:rFonts w:hint="eastAsia" w:ascii="宋体" w:hAnsi="宋体" w:eastAsia="宋体" w:cs="宋体"/>
          <w:color w:val="auto"/>
          <w:sz w:val="21"/>
          <w:szCs w:val="21"/>
          <w:highlight w:val="none"/>
          <w:lang w:val="en-US" w:eastAsia="zh-CN" w:bidi="ar-SA"/>
        </w:rPr>
        <w:t>.服务方案（包括但不限于临时安排人员、车辆、确保物资质量和及时送达验收使用，有服务管理机构、人员联系方式等等），在供货过程中发生不可预见情况后做出的应急性弥补措施等。</w:t>
      </w:r>
    </w:p>
    <w:p w14:paraId="02A752C1">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w:t>
      </w:r>
      <w:r>
        <w:rPr>
          <w:rFonts w:hint="eastAsia" w:ascii="宋体" w:hAnsi="宋体" w:cs="宋体"/>
          <w:color w:val="auto"/>
          <w:sz w:val="21"/>
          <w:szCs w:val="21"/>
          <w:highlight w:val="none"/>
          <w:lang w:val="en-US" w:eastAsia="zh-CN" w:bidi="ar-SA"/>
        </w:rPr>
        <w:t>2</w:t>
      </w:r>
      <w:r>
        <w:rPr>
          <w:rFonts w:hint="eastAsia" w:ascii="宋体" w:hAnsi="宋体" w:eastAsia="宋体" w:cs="宋体"/>
          <w:color w:val="auto"/>
          <w:sz w:val="21"/>
          <w:szCs w:val="21"/>
          <w:highlight w:val="none"/>
          <w:lang w:val="en-US" w:eastAsia="zh-CN" w:bidi="ar-SA"/>
        </w:rPr>
        <w:t>.货源保证方案（包括但不限于：对仓储货源充足保证措施；食材原材料货源充足方案；补货、换货及配送货品的多样性和季节性货源保证方案；绿色食品安全保证方案）。</w:t>
      </w:r>
    </w:p>
    <w:p w14:paraId="5580E537">
      <w:pPr>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line="420" w:lineRule="exact"/>
        <w:ind w:left="0" w:leftChars="0" w:firstLine="420" w:firstLineChars="200"/>
        <w:jc w:val="both"/>
        <w:textAlignment w:val="auto"/>
        <w:rPr>
          <w:rFonts w:hint="eastAsia"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13</w:t>
      </w:r>
      <w:r>
        <w:rPr>
          <w:rFonts w:hint="eastAsia" w:ascii="宋体" w:hAnsi="宋体" w:eastAsia="宋体" w:cs="宋体"/>
          <w:color w:val="auto"/>
          <w:sz w:val="21"/>
          <w:szCs w:val="21"/>
          <w:highlight w:val="none"/>
          <w:lang w:val="en-US" w:eastAsia="zh-CN" w:bidi="ar-SA"/>
        </w:rPr>
        <w:t>.应急处理方案，包含但不限于（1）应急预案响应；（2）解决问题时效（发生食材问题时，到达现场处理时间）（3）危机处理能力及处理预案、措施。</w:t>
      </w:r>
    </w:p>
    <w:p w14:paraId="52510ECD">
      <w:pPr>
        <w:pStyle w:val="34"/>
        <w:jc w:val="center"/>
        <w:rPr>
          <w:rFonts w:hint="eastAsia" w:hAnsi="宋体" w:cs="Times New Roman"/>
          <w:b/>
          <w:bCs/>
          <w:color w:val="auto"/>
          <w:kern w:val="44"/>
          <w:sz w:val="44"/>
          <w:szCs w:val="44"/>
          <w:highlight w:val="none"/>
        </w:rPr>
      </w:pPr>
    </w:p>
    <w:p w14:paraId="728091BE">
      <w:pPr>
        <w:pStyle w:val="34"/>
        <w:jc w:val="center"/>
        <w:rPr>
          <w:color w:val="auto"/>
          <w:highlight w:val="none"/>
        </w:rPr>
      </w:pPr>
      <w:r>
        <w:rPr>
          <w:rFonts w:hint="eastAsia" w:hAnsi="宋体" w:cs="Times New Roman"/>
          <w:b/>
          <w:bCs/>
          <w:color w:val="auto"/>
          <w:kern w:val="44"/>
          <w:sz w:val="44"/>
          <w:szCs w:val="44"/>
          <w:highlight w:val="none"/>
        </w:rPr>
        <w:t>第五部分合同条款及格式</w:t>
      </w:r>
    </w:p>
    <w:tbl>
      <w:tblPr>
        <w:tblStyle w:val="25"/>
        <w:tblW w:w="9404" w:type="dxa"/>
        <w:tblInd w:w="-145" w:type="dxa"/>
        <w:tblLayout w:type="fixed"/>
        <w:tblCellMar>
          <w:top w:w="0" w:type="dxa"/>
          <w:left w:w="108" w:type="dxa"/>
          <w:bottom w:w="0" w:type="dxa"/>
          <w:right w:w="108" w:type="dxa"/>
        </w:tblCellMar>
      </w:tblPr>
      <w:tblGrid>
        <w:gridCol w:w="9404"/>
      </w:tblGrid>
      <w:tr w14:paraId="1E1B4B9E">
        <w:tblPrEx>
          <w:tblCellMar>
            <w:top w:w="0" w:type="dxa"/>
            <w:left w:w="108" w:type="dxa"/>
            <w:bottom w:w="0" w:type="dxa"/>
            <w:right w:w="108" w:type="dxa"/>
          </w:tblCellMar>
        </w:tblPrEx>
        <w:trPr>
          <w:trHeight w:val="1106" w:hRule="atLeast"/>
        </w:trPr>
        <w:tc>
          <w:tcPr>
            <w:tcW w:w="9404" w:type="dxa"/>
            <w:tcBorders>
              <w:top w:val="single" w:color="000000" w:sz="4" w:space="0"/>
              <w:left w:val="single" w:color="000000" w:sz="4" w:space="0"/>
              <w:bottom w:val="single" w:color="000000" w:sz="4" w:space="0"/>
              <w:right w:val="single" w:color="000000" w:sz="4" w:space="0"/>
            </w:tcBorders>
          </w:tcPr>
          <w:p w14:paraId="5C85FD74">
            <w:pPr>
              <w:pStyle w:val="22"/>
              <w:widowControl w:val="0"/>
              <w:autoSpaceDE w:val="0"/>
              <w:autoSpaceDN w:val="0"/>
              <w:adjustRightInd w:val="0"/>
              <w:spacing w:before="0" w:beforeAutospacing="0" w:after="0" w:afterAutospacing="0" w:line="360" w:lineRule="auto"/>
              <w:rPr>
                <w:color w:val="auto"/>
                <w:sz w:val="21"/>
                <w:szCs w:val="21"/>
                <w:highlight w:val="none"/>
              </w:rPr>
            </w:pPr>
            <w:r>
              <w:rPr>
                <w:rFonts w:hint="eastAsia"/>
                <w:color w:val="auto"/>
                <w:sz w:val="21"/>
                <w:szCs w:val="21"/>
                <w:highlight w:val="none"/>
              </w:rPr>
              <w:t>注释： </w:t>
            </w:r>
          </w:p>
          <w:p w14:paraId="5AFB37BE">
            <w:pPr>
              <w:pStyle w:val="22"/>
              <w:widowControl w:val="0"/>
              <w:autoSpaceDE w:val="0"/>
              <w:autoSpaceDN w:val="0"/>
              <w:adjustRightInd w:val="0"/>
              <w:spacing w:before="0" w:beforeAutospacing="0" w:after="0" w:afterAutospacing="0" w:line="360" w:lineRule="auto"/>
              <w:rPr>
                <w:color w:val="auto"/>
                <w:sz w:val="21"/>
                <w:szCs w:val="21"/>
                <w:highlight w:val="none"/>
              </w:rPr>
            </w:pPr>
            <w:r>
              <w:rPr>
                <w:color w:val="auto"/>
                <w:sz w:val="21"/>
                <w:szCs w:val="21"/>
                <w:highlight w:val="none"/>
              </w:rPr>
              <w:t>本合同协议书格式条款作为双方签订合同的参考。双方为阐明各方的权利和义务，经协商可增加或减少条款。 但不得与</w:t>
            </w:r>
            <w:r>
              <w:rPr>
                <w:rFonts w:hint="eastAsia"/>
                <w:color w:val="auto"/>
                <w:sz w:val="21"/>
                <w:szCs w:val="21"/>
                <w:highlight w:val="none"/>
              </w:rPr>
              <w:t>磋商文件</w:t>
            </w:r>
            <w:r>
              <w:rPr>
                <w:color w:val="auto"/>
                <w:sz w:val="21"/>
                <w:szCs w:val="21"/>
                <w:highlight w:val="none"/>
              </w:rPr>
              <w:t>、</w:t>
            </w:r>
            <w:r>
              <w:rPr>
                <w:rFonts w:hint="eastAsia"/>
                <w:color w:val="auto"/>
                <w:sz w:val="21"/>
                <w:szCs w:val="21"/>
                <w:highlight w:val="none"/>
              </w:rPr>
              <w:t>响应文件</w:t>
            </w:r>
            <w:r>
              <w:rPr>
                <w:color w:val="auto"/>
                <w:sz w:val="21"/>
                <w:szCs w:val="21"/>
                <w:highlight w:val="none"/>
              </w:rPr>
              <w:t>的实质性内容相背离。</w:t>
            </w:r>
          </w:p>
        </w:tc>
      </w:tr>
    </w:tbl>
    <w:p w14:paraId="79D139F9">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w:t>
      </w:r>
      <w:r>
        <w:rPr>
          <w:rFonts w:hint="eastAsia" w:ascii="宋体" w:hAnsi="宋体" w:eastAsia="宋体" w:cs="宋体"/>
          <w:color w:val="auto"/>
          <w:sz w:val="21"/>
          <w:szCs w:val="21"/>
          <w:highlight w:val="none"/>
          <w:u w:val="single"/>
        </w:rPr>
        <w:t xml:space="preserve">                  </w:t>
      </w:r>
    </w:p>
    <w:p w14:paraId="54E5BFD7">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w:t>
      </w:r>
      <w:r>
        <w:rPr>
          <w:rFonts w:hint="eastAsia" w:ascii="宋体" w:hAnsi="宋体" w:eastAsia="宋体" w:cs="宋体"/>
          <w:color w:val="auto"/>
          <w:sz w:val="21"/>
          <w:szCs w:val="21"/>
          <w:highlight w:val="none"/>
          <w:u w:val="single"/>
        </w:rPr>
        <w:t xml:space="preserve">                  </w:t>
      </w:r>
    </w:p>
    <w:p w14:paraId="7EC93A7B">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甲方将项目承包给乙方。为确保该项目工作的顺利进行，保护甲、乙双方的利益，根据《民法典》等法律法规相关规定，本着公平、公正，平等互利的原则，经甲、乙双方友好协商，特签订本合同。</w:t>
      </w:r>
    </w:p>
    <w:p w14:paraId="569FA724">
      <w:pPr>
        <w:pStyle w:val="88"/>
        <w:keepNext w:val="0"/>
        <w:keepLines w:val="0"/>
        <w:pageBreakBefore w:val="0"/>
        <w:tabs>
          <w:tab w:val="left" w:pos="0"/>
        </w:tabs>
        <w:kinsoku/>
        <w:wordWrap/>
        <w:overflowPunct/>
        <w:topLinePunct w:val="0"/>
        <w:autoSpaceDE/>
        <w:autoSpaceDN/>
        <w:bidi w:val="0"/>
        <w:spacing w:beforeAutospacing="0" w:line="420" w:lineRule="exact"/>
        <w:ind w:firstLine="422" w:firstLineChars="20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第一条：采购内容及履行期限</w:t>
      </w:r>
    </w:p>
    <w:p w14:paraId="1BD4DAD2">
      <w:pPr>
        <w:pStyle w:val="88"/>
        <w:keepNext w:val="0"/>
        <w:keepLines w:val="0"/>
        <w:pageBreakBefore w:val="0"/>
        <w:tabs>
          <w:tab w:val="left" w:pos="0"/>
          <w:tab w:val="left" w:pos="315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为保障甲方食堂的正常运行，乙方按照协议规定向甲方提供果蔬类、畜肉类、禽肉类、蛋类、水产类、干货调料类、豆制品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米、面、油</w:t>
      </w:r>
      <w:r>
        <w:rPr>
          <w:rFonts w:hint="eastAsia" w:ascii="宋体" w:hAnsi="宋体" w:eastAsia="宋体" w:cs="宋体"/>
          <w:color w:val="auto"/>
          <w:sz w:val="21"/>
          <w:szCs w:val="21"/>
          <w:highlight w:val="none"/>
        </w:rPr>
        <w:t>等货物。</w:t>
      </w:r>
    </w:p>
    <w:p w14:paraId="55F8C329">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服务期限为：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8AE8D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2.包装标准及要求：</w:t>
      </w:r>
      <w:r>
        <w:rPr>
          <w:rFonts w:hint="eastAsia" w:ascii="宋体" w:hAnsi="宋体" w:eastAsia="宋体" w:cs="宋体"/>
          <w:color w:val="auto"/>
          <w:kern w:val="0"/>
          <w:sz w:val="21"/>
          <w:szCs w:val="21"/>
          <w:highlight w:val="none"/>
          <w:lang w:val="en-US" w:eastAsia="zh-CN" w:bidi="ar"/>
        </w:rPr>
        <w:t xml:space="preserve">（1）袋装或桶装；（2）箱装 （3）散装，须过称方能进入仓库。 </w:t>
      </w:r>
    </w:p>
    <w:p w14:paraId="0D93B2F2">
      <w:pPr>
        <w:pStyle w:val="88"/>
        <w:keepNext w:val="0"/>
        <w:keepLines w:val="0"/>
        <w:pageBreakBefore w:val="0"/>
        <w:tabs>
          <w:tab w:val="left" w:pos="0"/>
        </w:tabs>
        <w:kinsoku/>
        <w:wordWrap/>
        <w:overflowPunct/>
        <w:topLinePunct w:val="0"/>
        <w:autoSpaceDE/>
        <w:autoSpaceDN/>
        <w:bidi w:val="0"/>
        <w:spacing w:beforeAutospacing="0" w:line="420" w:lineRule="exact"/>
        <w:ind w:firstLine="422" w:firstLineChars="20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第二条：批次订货与临时订货</w:t>
      </w:r>
    </w:p>
    <w:p w14:paraId="0B17EB1C">
      <w:pPr>
        <w:pStyle w:val="88"/>
        <w:keepNext w:val="0"/>
        <w:keepLines w:val="0"/>
        <w:pageBreakBefore w:val="0"/>
        <w:tabs>
          <w:tab w:val="left" w:pos="0"/>
        </w:tabs>
        <w:kinsoku/>
        <w:wordWrap/>
        <w:overflowPunct/>
        <w:topLinePunct w:val="0"/>
        <w:autoSpaceDE/>
        <w:autoSpaceDN/>
        <w:bidi w:val="0"/>
        <w:spacing w:beforeAutospacing="0" w:line="420" w:lineRule="exact"/>
        <w:ind w:firstLine="42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批次订货：</w:t>
      </w:r>
      <w:r>
        <w:rPr>
          <w:rFonts w:hint="eastAsia" w:ascii="宋体" w:hAnsi="宋体" w:eastAsia="宋体" w:cs="宋体"/>
          <w:color w:val="auto"/>
          <w:sz w:val="21"/>
          <w:szCs w:val="21"/>
          <w:highlight w:val="none"/>
        </w:rPr>
        <w:t>甲方收到货后，乙方填写《报价表》报给甲方审核，一批次一报，同时乙方取得甲方收货确认单据，做为结算依据。</w:t>
      </w:r>
    </w:p>
    <w:p w14:paraId="51B52F5F">
      <w:pPr>
        <w:pStyle w:val="88"/>
        <w:keepNext w:val="0"/>
        <w:keepLines w:val="0"/>
        <w:pageBreakBefore w:val="0"/>
        <w:tabs>
          <w:tab w:val="left" w:pos="0"/>
        </w:tabs>
        <w:kinsoku/>
        <w:wordWrap/>
        <w:overflowPunct/>
        <w:topLinePunct w:val="0"/>
        <w:autoSpaceDE/>
        <w:autoSpaceDN/>
        <w:bidi w:val="0"/>
        <w:spacing w:beforeAutospacing="0" w:line="420" w:lineRule="exact"/>
        <w:ind w:firstLine="42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临时订货：</w:t>
      </w:r>
      <w:r>
        <w:rPr>
          <w:rFonts w:hint="eastAsia" w:ascii="宋体" w:hAnsi="宋体" w:eastAsia="宋体" w:cs="宋体"/>
          <w:color w:val="auto"/>
          <w:sz w:val="21"/>
          <w:szCs w:val="21"/>
          <w:highlight w:val="none"/>
        </w:rPr>
        <w:t>甲方因临时需要，有权在批次订货时间以外临时向乙方订货，订货方式可以是书面方式、微信形式通知甲方，如果是临时口头订货，乙方在送货时有权要求甲方以书面方式或微信形式予以确认。</w:t>
      </w:r>
    </w:p>
    <w:p w14:paraId="33B37E1F">
      <w:pPr>
        <w:pStyle w:val="88"/>
        <w:keepNext w:val="0"/>
        <w:keepLines w:val="0"/>
        <w:pageBreakBefore w:val="0"/>
        <w:tabs>
          <w:tab w:val="left" w:pos="0"/>
        </w:tabs>
        <w:kinsoku/>
        <w:wordWrap/>
        <w:overflowPunct/>
        <w:topLinePunct w:val="0"/>
        <w:autoSpaceDE/>
        <w:autoSpaceDN/>
        <w:bidi w:val="0"/>
        <w:spacing w:beforeAutospacing="0" w:line="420" w:lineRule="exact"/>
        <w:ind w:firstLine="422" w:firstLineChars="20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第三条：交货时间及地点</w:t>
      </w:r>
    </w:p>
    <w:p w14:paraId="37BF7F53">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批次订货以订货单为准，临时订货以通知为准。</w:t>
      </w:r>
    </w:p>
    <w:p w14:paraId="72145C03">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乙方保证按照约定时间将甲方所订的货物送至甲方指定地点。如果因送货地点错误、送货时间延误而造成甲方工作不便，乙方承担违约责任。</w:t>
      </w:r>
    </w:p>
    <w:p w14:paraId="250E0157">
      <w:pPr>
        <w:pStyle w:val="88"/>
        <w:keepNext w:val="0"/>
        <w:keepLines w:val="0"/>
        <w:pageBreakBefore w:val="0"/>
        <w:tabs>
          <w:tab w:val="left" w:pos="0"/>
        </w:tabs>
        <w:kinsoku/>
        <w:wordWrap/>
        <w:overflowPunct/>
        <w:topLinePunct w:val="0"/>
        <w:autoSpaceDE/>
        <w:autoSpaceDN/>
        <w:bidi w:val="0"/>
        <w:spacing w:beforeAutospacing="0" w:line="420" w:lineRule="exact"/>
        <w:ind w:firstLine="422" w:firstLineChars="20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第四条：价格确定</w:t>
      </w:r>
    </w:p>
    <w:p w14:paraId="572C9351">
      <w:pPr>
        <w:keepNext w:val="0"/>
        <w:keepLines w:val="0"/>
        <w:pageBreakBefore w:val="0"/>
        <w:kinsoku/>
        <w:wordWrap/>
        <w:overflowPunct/>
        <w:topLinePunct w:val="0"/>
        <w:autoSpaceDE w:val="0"/>
        <w:autoSpaceDN/>
        <w:bidi w:val="0"/>
        <w:adjustRightInd w:val="0"/>
        <w:snapToGrid/>
        <w:spacing w:beforeAutospacing="0" w:after="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批次订货和临时订货：乙方就</w:t>
      </w:r>
      <w:r>
        <w:rPr>
          <w:rFonts w:hint="eastAsia" w:ascii="宋体" w:hAnsi="宋体" w:eastAsia="宋体" w:cs="宋体"/>
          <w:color w:val="auto"/>
          <w:sz w:val="21"/>
          <w:szCs w:val="21"/>
          <w:highlight w:val="none"/>
          <w:lang w:val="en-US" w:eastAsia="zh-CN"/>
        </w:rPr>
        <w:t>供货时提供的</w:t>
      </w:r>
      <w:r>
        <w:rPr>
          <w:rFonts w:hint="eastAsia" w:ascii="宋体" w:hAnsi="宋体" w:eastAsia="宋体" w:cs="宋体"/>
          <w:color w:val="auto"/>
          <w:sz w:val="21"/>
          <w:szCs w:val="21"/>
          <w:highlight w:val="none"/>
        </w:rPr>
        <w:t>《报价表》中所供货物的价格向甲方确认。以</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确认的价格作为该批次订货的结算价格。</w:t>
      </w:r>
    </w:p>
    <w:p w14:paraId="7B31DE58">
      <w:pPr>
        <w:keepNext w:val="0"/>
        <w:keepLines w:val="0"/>
        <w:pageBreakBefore w:val="0"/>
        <w:kinsoku/>
        <w:wordWrap/>
        <w:overflowPunct/>
        <w:topLinePunct w:val="0"/>
        <w:autoSpaceDE w:val="0"/>
        <w:autoSpaceDN/>
        <w:bidi w:val="0"/>
        <w:adjustRightInd w:val="0"/>
        <w:snapToGrid/>
        <w:spacing w:beforeAutospacing="0" w:after="0" w:line="4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甲方将会定期对采购货物进行市场询价，其中瓶装、桶装、袋装等市场波动较小的货物每</w:t>
      </w:r>
      <w:r>
        <w:rPr>
          <w:rFonts w:hint="eastAsia" w:ascii="宋体" w:hAnsi="宋体" w:cs="宋体"/>
          <w:color w:val="auto"/>
          <w:sz w:val="21"/>
          <w:szCs w:val="21"/>
          <w:highlight w:val="none"/>
          <w:lang w:val="en-US" w:eastAsia="zh-CN"/>
        </w:rPr>
        <w:t>月</w:t>
      </w:r>
      <w:r>
        <w:rPr>
          <w:rFonts w:hint="eastAsia" w:ascii="宋体" w:hAnsi="宋体" w:eastAsia="宋体" w:cs="宋体"/>
          <w:color w:val="auto"/>
          <w:sz w:val="21"/>
          <w:szCs w:val="21"/>
          <w:highlight w:val="none"/>
          <w:lang w:val="en-US" w:eastAsia="zh-CN"/>
        </w:rPr>
        <w:t>至少进行一次市场询价；价格波动±10%以内的不予调整。其他散装、生鲜、冷冻冷藏等货物甲方结合供应商报价及供货当日开封市农贸市场询价认可后由双方签字确认，若乙方所报价格高于甲方市场调研价格，则按照甲方提供的价格结算。乙方若不按照甲方要求执行，则甲方有权解除合同，并追究其相关责任。</w:t>
      </w:r>
    </w:p>
    <w:p w14:paraId="7B753FE9">
      <w:pPr>
        <w:pStyle w:val="88"/>
        <w:keepNext w:val="0"/>
        <w:keepLines w:val="0"/>
        <w:pageBreakBefore w:val="0"/>
        <w:tabs>
          <w:tab w:val="left" w:pos="0"/>
        </w:tabs>
        <w:kinsoku/>
        <w:wordWrap/>
        <w:overflowPunct/>
        <w:topLinePunct w:val="0"/>
        <w:autoSpaceDE/>
        <w:autoSpaceDN/>
        <w:bidi w:val="0"/>
        <w:spacing w:beforeAutospacing="0" w:line="420" w:lineRule="exact"/>
        <w:ind w:firstLine="422" w:firstLineChars="20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第五条：食品质量、卫生与安全</w:t>
      </w:r>
    </w:p>
    <w:p w14:paraId="68BEE707">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乙方保证提供的货物及服务均符合</w:t>
      </w:r>
      <w:r>
        <w:rPr>
          <w:rFonts w:hint="eastAsia" w:ascii="宋体" w:hAnsi="宋体" w:eastAsia="宋体" w:cs="宋体"/>
          <w:b/>
          <w:bCs/>
          <w:color w:val="auto"/>
          <w:sz w:val="21"/>
          <w:szCs w:val="21"/>
          <w:highlight w:val="none"/>
        </w:rPr>
        <w:t>《中华人民共和国食品安全法》和《动物检疫法》</w:t>
      </w:r>
      <w:r>
        <w:rPr>
          <w:rFonts w:hint="eastAsia" w:ascii="宋体" w:hAnsi="宋体" w:eastAsia="宋体" w:cs="宋体"/>
          <w:color w:val="auto"/>
          <w:sz w:val="21"/>
          <w:szCs w:val="21"/>
          <w:highlight w:val="none"/>
        </w:rPr>
        <w:t>等国家法律法规及地方政府有关规定。乙方对提供货物的质量、卫生、食品安全承担全部责任。乙方保证提供的货物均符合国家规定的质量、卫生、安全标准。乙方提供的货物属于实行生产许可证管理的，所供货物必须经过SC质量认证。</w:t>
      </w:r>
    </w:p>
    <w:p w14:paraId="1599AD01">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禁止乙方向甲方提供以下食品及食品原辅材料(包括但不限于)：</w:t>
      </w:r>
    </w:p>
    <w:p w14:paraId="6D27F0D4">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腐败变质、油脂酸败、霉变、生虫、污秽不洁、混有异物或者其他感官性状异常，可能对人体健康有害的；含有毒、有害物质或者被有毒、有害物质污染，可能对人体健康有害的；</w:t>
      </w:r>
    </w:p>
    <w:p w14:paraId="71B736E7">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含有致病性寄生虫、微生物的，或者微生物毒素含量超过国家限定标准的；</w:t>
      </w:r>
    </w:p>
    <w:p w14:paraId="1886DFC1">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含有昆虫或其它异物的；</w:t>
      </w:r>
    </w:p>
    <w:p w14:paraId="3485515D">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病死、毒死或死因不明的禽、畜、兽、水产动物及其制品；</w:t>
      </w:r>
    </w:p>
    <w:p w14:paraId="662AD527">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容器包装污秽不洁，严重破损或运输工具不洁造成污染的；</w:t>
      </w:r>
    </w:p>
    <w:p w14:paraId="6F443631">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掺假、掺杂、伪造，影响营养、卫生的；超过保质期限的；</w:t>
      </w:r>
    </w:p>
    <w:p w14:paraId="56161087">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为防病等特殊需要，国务院卫生行政部门或者省、自治区、直辖市人民政府专门规定禁止出售的；</w:t>
      </w:r>
    </w:p>
    <w:p w14:paraId="30D84B46">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含有未经国务院卫生行政部门批准使用的添加剂的或者农药残留超过国家规定容许量的；</w:t>
      </w:r>
    </w:p>
    <w:p w14:paraId="6B704732">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擅自加入药物的食品及食品原料；</w:t>
      </w:r>
    </w:p>
    <w:p w14:paraId="0531A6CF">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未经卫生部批准的新资源食品；</w:t>
      </w:r>
    </w:p>
    <w:p w14:paraId="3647EB47">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未经检验或检验不合格出厂的食品及食品原辅材料；</w:t>
      </w:r>
    </w:p>
    <w:p w14:paraId="4A131C94">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未按规定索证的食品及食品原辅材料；</w:t>
      </w:r>
    </w:p>
    <w:p w14:paraId="39EBC5A2">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不符合国家卫生标准或者卫生管理办法的进口食品及食品原辅材料；</w:t>
      </w:r>
    </w:p>
    <w:p w14:paraId="6DBAC155">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其他不符合食品卫生标准和要求的食品及食品原辅材料。</w:t>
      </w:r>
    </w:p>
    <w:p w14:paraId="6B892A76">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凡甲方指定品牌/生产商/产地的货物，乙方必须保证货物的品牌/生产商/产地与甲方要求一致。</w:t>
      </w:r>
    </w:p>
    <w:p w14:paraId="34F54FF5">
      <w:pPr>
        <w:pStyle w:val="88"/>
        <w:keepNext w:val="0"/>
        <w:keepLines w:val="0"/>
        <w:pageBreakBefore w:val="0"/>
        <w:tabs>
          <w:tab w:val="left" w:pos="0"/>
        </w:tabs>
        <w:kinsoku/>
        <w:wordWrap/>
        <w:overflowPunct/>
        <w:topLinePunct w:val="0"/>
        <w:autoSpaceDE/>
        <w:autoSpaceDN/>
        <w:bidi w:val="0"/>
        <w:spacing w:beforeAutospacing="0" w:line="420" w:lineRule="exact"/>
        <w:ind w:firstLine="422" w:firstLineChars="20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第六条：货物装运</w:t>
      </w:r>
    </w:p>
    <w:p w14:paraId="293EB2AB">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除甲方临时订货外，乙方所供货物必须使用厢式食品专用冷藏车辆运输，不得敞露运输。</w:t>
      </w:r>
    </w:p>
    <w:p w14:paraId="1A4B998F">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乙方尽量避免将肉类、水果和蔬菜拼箱混装；如果采取拼箱混装方式运输，乙方必须采取措施保证不发生冻害、腐败、串味、脱水、变色、失去鲜度等问题。</w:t>
      </w:r>
    </w:p>
    <w:p w14:paraId="0278F6D1">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14:paraId="7F0BE56A">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货物装卸必须做到轻装轻卸。</w:t>
      </w:r>
    </w:p>
    <w:p w14:paraId="3BC2C99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乙方负责将所有货物运至甲方指定地点，负责卸货并搬运至甲方指定堆放场地。</w:t>
      </w:r>
    </w:p>
    <w:p w14:paraId="4762B9C2">
      <w:pPr>
        <w:pStyle w:val="88"/>
        <w:keepNext w:val="0"/>
        <w:keepLines w:val="0"/>
        <w:pageBreakBefore w:val="0"/>
        <w:tabs>
          <w:tab w:val="left" w:pos="0"/>
        </w:tabs>
        <w:kinsoku/>
        <w:wordWrap/>
        <w:overflowPunct/>
        <w:topLinePunct w:val="0"/>
        <w:autoSpaceDE/>
        <w:autoSpaceDN/>
        <w:bidi w:val="0"/>
        <w:spacing w:beforeAutospacing="0" w:line="420" w:lineRule="exact"/>
        <w:ind w:firstLine="42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第七条：验收与检查</w:t>
      </w:r>
    </w:p>
    <w:p w14:paraId="03AEFA2F">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供货方式：甲方提前1天通知乙方需要供应的货物品种、数量及供货时间，乙方必须根据甲方的质量标准、需求计划和指定地点保证按质、按量、按时送货上门。 </w:t>
      </w:r>
    </w:p>
    <w:p w14:paraId="6A1430D8">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乙方按照甲方订单将货物运至甲方指定地点后，甲方人员应及时对乙方货物进行验收，甲方不得无故拖延。</w:t>
      </w:r>
    </w:p>
    <w:p w14:paraId="5751F890">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交货验收程序如下：</w:t>
      </w:r>
    </w:p>
    <w:p w14:paraId="3F2AA996">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甲乙双方人员核对订货单据；</w:t>
      </w:r>
    </w:p>
    <w:p w14:paraId="0F2D0C57">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运输车辆检查，车辆检查不合格的，甲方有权拒收该批次货物，做退货处理；</w:t>
      </w:r>
    </w:p>
    <w:p w14:paraId="20783B18">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数量检查，数量短缺的，乙方必须按照订单补齐货物并承担延迟交货责任；</w:t>
      </w:r>
    </w:p>
    <w:p w14:paraId="4E54C0A2">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送货数量超出订货数量的，超出部金甲方有权拒收，乙方自行将多余货物清运出甲方场所，也可沟通协商处理：</w:t>
      </w:r>
    </w:p>
    <w:p w14:paraId="3F5319B4">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验收方法：按第二条质量要求进行验收、计重，并向乙方开据收货凭据，若乙方未经甲方许可擅自更换供货品种或数量，甲方不予验收； 货物验收合格后，甲乙双方签字确认；</w:t>
      </w:r>
    </w:p>
    <w:p w14:paraId="008ECF30">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人员检查，乙方人员离开甲方指定交货地点时，为避免夹带事件的发生，甲方验收人员有权检查乙方人员的物品，乙方人员应予配合，但甲方人员不得侵害乙方人员人身权利；</w:t>
      </w:r>
    </w:p>
    <w:p w14:paraId="26F16C87">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甲乙双方对验收结果或货物质量持有异议的，乙方应先应甲方要求对货物进行更换或退货。经检验不合格的，乙方自行承担损失。</w:t>
      </w:r>
    </w:p>
    <w:p w14:paraId="47C6B58D">
      <w:pPr>
        <w:pStyle w:val="32"/>
        <w:keepNext w:val="0"/>
        <w:keepLines w:val="0"/>
        <w:pageBreakBefore w:val="0"/>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验收期限：如对产品质量有异议，甲方必须在2日内以书面形式通知乙方； </w:t>
      </w:r>
    </w:p>
    <w:p w14:paraId="1B0C266B">
      <w:pPr>
        <w:pStyle w:val="32"/>
        <w:keepNext w:val="0"/>
        <w:keepLines w:val="0"/>
        <w:pageBreakBefore w:val="0"/>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 xml:space="preserve">每批商品在供货时应提供该批次产品的质量合格检验证明及相关检验证明。 </w:t>
      </w:r>
    </w:p>
    <w:p w14:paraId="589443B9">
      <w:pPr>
        <w:pStyle w:val="88"/>
        <w:keepNext w:val="0"/>
        <w:keepLines w:val="0"/>
        <w:pageBreakBefore w:val="0"/>
        <w:tabs>
          <w:tab w:val="left" w:pos="0"/>
        </w:tabs>
        <w:kinsoku/>
        <w:wordWrap/>
        <w:overflowPunct/>
        <w:topLinePunct w:val="0"/>
        <w:autoSpaceDE/>
        <w:autoSpaceDN/>
        <w:bidi w:val="0"/>
        <w:spacing w:beforeAutospacing="0" w:line="420" w:lineRule="exact"/>
        <w:ind w:firstLine="422" w:firstLineChars="200"/>
        <w:jc w:val="both"/>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第八条：</w:t>
      </w:r>
      <w:r>
        <w:rPr>
          <w:rFonts w:hint="eastAsia" w:ascii="宋体" w:hAnsi="宋体" w:eastAsia="宋体" w:cs="宋体"/>
          <w:b/>
          <w:bCs/>
          <w:color w:val="auto"/>
          <w:sz w:val="21"/>
          <w:szCs w:val="21"/>
          <w:highlight w:val="none"/>
          <w:lang w:val="en-US" w:eastAsia="zh-CN"/>
        </w:rPr>
        <w:t>履约保证金及付款方法</w:t>
      </w:r>
    </w:p>
    <w:p w14:paraId="70048E2E">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1.履约保证金</w:t>
      </w:r>
    </w:p>
    <w:p w14:paraId="7D84C6FB">
      <w:pPr>
        <w:numPr>
          <w:ilvl w:val="0"/>
          <w:numId w:val="0"/>
        </w:numPr>
        <w:autoSpaceDE w:val="0"/>
        <w:spacing w:beforeAutospacing="0" w:after="0" w:line="42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履约保证金</w:t>
      </w:r>
      <w:r>
        <w:rPr>
          <w:rFonts w:hint="eastAsia" w:ascii="宋体" w:hAnsi="宋体" w:eastAsia="宋体" w:cs="宋体"/>
          <w:color w:val="auto"/>
          <w:sz w:val="21"/>
          <w:szCs w:val="21"/>
          <w:highlight w:val="none"/>
          <w:lang w:val="en-US" w:eastAsia="zh-CN"/>
        </w:rPr>
        <w:t>金额：为乙方合同金额的</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%（小写</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元）；</w:t>
      </w:r>
      <w:r>
        <w:rPr>
          <w:rFonts w:hint="eastAsia" w:ascii="宋体" w:hAnsi="宋体" w:eastAsia="宋体" w:cs="宋体"/>
          <w:color w:val="auto"/>
          <w:sz w:val="21"/>
          <w:szCs w:val="21"/>
          <w:highlight w:val="none"/>
          <w:lang w:eastAsia="zh-CN"/>
        </w:rPr>
        <w:t>以保函的形式递交。</w:t>
      </w:r>
    </w:p>
    <w:p w14:paraId="09DB50DF">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2)履约保证金的期限：有效期1年（特殊情况除外），但服务到期后仍存在协议争议且未能解决，则履约保证金的有效期应延长到上述争议最终解决且理赔完毕后。</w:t>
      </w:r>
    </w:p>
    <w:p w14:paraId="31E72807">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3)履约保证金退还：合同期满后，</w:t>
      </w:r>
      <w:r>
        <w:rPr>
          <w:rFonts w:hint="eastAsia" w:ascii="宋体" w:hAnsi="宋体" w:eastAsia="宋体" w:cs="宋体"/>
          <w:color w:val="auto"/>
          <w:sz w:val="21"/>
          <w:szCs w:val="21"/>
          <w:highlight w:val="none"/>
          <w:lang w:val="en-US" w:eastAsia="zh-CN"/>
        </w:rPr>
        <w:t>乙方</w:t>
      </w:r>
      <w:r>
        <w:rPr>
          <w:rFonts w:hint="default" w:ascii="宋体" w:hAnsi="宋体" w:eastAsia="宋体" w:cs="宋体"/>
          <w:color w:val="auto"/>
          <w:sz w:val="21"/>
          <w:szCs w:val="21"/>
          <w:highlight w:val="none"/>
          <w:lang w:val="en-US" w:eastAsia="zh-CN"/>
        </w:rPr>
        <w:t>按照</w:t>
      </w:r>
      <w:r>
        <w:rPr>
          <w:rFonts w:hint="eastAsia" w:ascii="宋体" w:hAnsi="宋体" w:eastAsia="宋体" w:cs="宋体"/>
          <w:color w:val="auto"/>
          <w:sz w:val="21"/>
          <w:szCs w:val="21"/>
          <w:highlight w:val="none"/>
          <w:lang w:val="en-US" w:eastAsia="zh-CN"/>
        </w:rPr>
        <w:t>甲方</w:t>
      </w:r>
      <w:r>
        <w:rPr>
          <w:rFonts w:hint="default" w:ascii="宋体" w:hAnsi="宋体" w:eastAsia="宋体" w:cs="宋体"/>
          <w:color w:val="auto"/>
          <w:sz w:val="21"/>
          <w:szCs w:val="21"/>
          <w:highlight w:val="none"/>
          <w:lang w:val="en-US" w:eastAsia="zh-CN"/>
        </w:rPr>
        <w:t>要求完成并达到</w:t>
      </w:r>
      <w:r>
        <w:rPr>
          <w:rFonts w:hint="eastAsia" w:ascii="宋体" w:hAnsi="宋体" w:eastAsia="宋体" w:cs="宋体"/>
          <w:color w:val="auto"/>
          <w:sz w:val="21"/>
          <w:szCs w:val="21"/>
          <w:highlight w:val="none"/>
          <w:lang w:val="en-US" w:eastAsia="zh-CN"/>
        </w:rPr>
        <w:t>甲方</w:t>
      </w:r>
      <w:r>
        <w:rPr>
          <w:rFonts w:hint="default" w:ascii="宋体" w:hAnsi="宋体" w:eastAsia="宋体" w:cs="宋体"/>
          <w:color w:val="auto"/>
          <w:sz w:val="21"/>
          <w:szCs w:val="21"/>
          <w:highlight w:val="none"/>
          <w:lang w:val="en-US" w:eastAsia="zh-CN"/>
        </w:rPr>
        <w:t>要求，且</w:t>
      </w:r>
      <w:r>
        <w:rPr>
          <w:rFonts w:hint="eastAsia" w:ascii="宋体" w:hAnsi="宋体" w:eastAsia="宋体" w:cs="宋体"/>
          <w:color w:val="auto"/>
          <w:sz w:val="21"/>
          <w:szCs w:val="21"/>
          <w:highlight w:val="none"/>
          <w:lang w:val="en-US" w:eastAsia="zh-CN"/>
        </w:rPr>
        <w:t>乙方</w:t>
      </w:r>
      <w:r>
        <w:rPr>
          <w:rFonts w:hint="default" w:ascii="宋体" w:hAnsi="宋体" w:eastAsia="宋体" w:cs="宋体"/>
          <w:color w:val="auto"/>
          <w:sz w:val="21"/>
          <w:szCs w:val="21"/>
          <w:highlight w:val="none"/>
          <w:lang w:val="en-US" w:eastAsia="zh-CN"/>
        </w:rPr>
        <w:t>没有违反任何合同及其附件有关约定的情况下，由</w:t>
      </w:r>
      <w:r>
        <w:rPr>
          <w:rFonts w:hint="eastAsia" w:ascii="宋体" w:hAnsi="宋体" w:eastAsia="宋体" w:cs="宋体"/>
          <w:color w:val="auto"/>
          <w:sz w:val="21"/>
          <w:szCs w:val="21"/>
          <w:highlight w:val="none"/>
          <w:lang w:val="en-US" w:eastAsia="zh-CN"/>
        </w:rPr>
        <w:t>甲方</w:t>
      </w:r>
      <w:r>
        <w:rPr>
          <w:rFonts w:hint="default" w:ascii="宋体" w:hAnsi="宋体" w:eastAsia="宋体" w:cs="宋体"/>
          <w:color w:val="auto"/>
          <w:sz w:val="21"/>
          <w:szCs w:val="21"/>
          <w:highlight w:val="none"/>
          <w:lang w:val="en-US" w:eastAsia="zh-CN"/>
        </w:rPr>
        <w:t xml:space="preserve">认可后，在扣除违约金、赔偿款（如有）后将剩余的履约保证金无息退还。 </w:t>
      </w:r>
    </w:p>
    <w:p w14:paraId="2F5719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2.付款方法</w:t>
      </w:r>
    </w:p>
    <w:p w14:paraId="0274884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货款采用按月核算。乙方凭收货凭据、验收单、有效发票于下月送货时同甲方核算货款。甲方通过银行转帐的方式将货款支付给乙方。</w:t>
      </w:r>
    </w:p>
    <w:p w14:paraId="6A345AD6">
      <w:pPr>
        <w:keepNext w:val="0"/>
        <w:keepLines w:val="0"/>
        <w:pageBreakBefore w:val="0"/>
        <w:kinsoku/>
        <w:wordWrap/>
        <w:overflowPunct/>
        <w:topLinePunct w:val="0"/>
        <w:autoSpaceDE/>
        <w:autoSpaceDN/>
        <w:bidi w:val="0"/>
        <w:spacing w:beforeAutospacing="0" w:after="0" w:line="420" w:lineRule="exact"/>
        <w:ind w:firstLine="420" w:firstLineChars="200"/>
        <w:jc w:val="both"/>
        <w:textAlignment w:val="auto"/>
        <w:rPr>
          <w:rFonts w:hint="eastAsia" w:ascii="宋体" w:hAnsi="宋体" w:eastAsia="宋体" w:cs="宋体"/>
          <w:color w:val="auto"/>
          <w:sz w:val="21"/>
          <w:szCs w:val="21"/>
          <w:highlight w:val="none"/>
          <w:lang w:bidi="hi-IN"/>
        </w:rPr>
      </w:pPr>
      <w:r>
        <w:rPr>
          <w:rFonts w:hint="eastAsia" w:ascii="宋体" w:hAnsi="宋体" w:eastAsia="宋体" w:cs="宋体"/>
          <w:color w:val="auto"/>
          <w:sz w:val="21"/>
          <w:szCs w:val="21"/>
          <w:highlight w:val="none"/>
          <w:lang w:bidi="hi-IN"/>
        </w:rPr>
        <w:t>乙方收款账号：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bidi="hi-IN"/>
        </w:rPr>
        <w:t>。</w:t>
      </w:r>
    </w:p>
    <w:p w14:paraId="068F07DC">
      <w:pPr>
        <w:keepNext w:val="0"/>
        <w:keepLines w:val="0"/>
        <w:pageBreakBefore w:val="0"/>
        <w:kinsoku/>
        <w:wordWrap/>
        <w:overflowPunct/>
        <w:topLinePunct w:val="0"/>
        <w:autoSpaceDE/>
        <w:autoSpaceDN/>
        <w:bidi w:val="0"/>
        <w:spacing w:beforeAutospacing="0" w:after="0" w:line="420" w:lineRule="exact"/>
        <w:ind w:firstLine="420" w:firstLineChars="200"/>
        <w:jc w:val="both"/>
        <w:textAlignment w:val="auto"/>
        <w:rPr>
          <w:rFonts w:hint="eastAsia" w:ascii="宋体" w:hAnsi="宋体" w:eastAsia="宋体" w:cs="宋体"/>
          <w:color w:val="auto"/>
          <w:sz w:val="21"/>
          <w:szCs w:val="21"/>
          <w:highlight w:val="none"/>
          <w:lang w:bidi="hi-IN"/>
        </w:rPr>
      </w:pPr>
      <w:r>
        <w:rPr>
          <w:rFonts w:hint="eastAsia" w:ascii="宋体" w:hAnsi="宋体" w:eastAsia="宋体" w:cs="宋体"/>
          <w:color w:val="auto"/>
          <w:sz w:val="21"/>
          <w:szCs w:val="21"/>
          <w:highlight w:val="none"/>
          <w:lang w:bidi="hi-IN"/>
        </w:rPr>
        <w:t>名  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bidi="hi-IN"/>
        </w:rPr>
        <w:t>。</w:t>
      </w:r>
    </w:p>
    <w:p w14:paraId="0D6FFDA0">
      <w:pPr>
        <w:keepNext w:val="0"/>
        <w:keepLines w:val="0"/>
        <w:pageBreakBefore w:val="0"/>
        <w:kinsoku/>
        <w:wordWrap/>
        <w:overflowPunct/>
        <w:topLinePunct w:val="0"/>
        <w:autoSpaceDE/>
        <w:autoSpaceDN/>
        <w:bidi w:val="0"/>
        <w:spacing w:beforeAutospacing="0" w:after="0" w:line="420" w:lineRule="exact"/>
        <w:ind w:firstLine="420" w:firstLineChars="200"/>
        <w:jc w:val="both"/>
        <w:textAlignment w:val="auto"/>
        <w:rPr>
          <w:rFonts w:hint="eastAsia" w:ascii="宋体" w:hAnsi="宋体" w:eastAsia="宋体" w:cs="宋体"/>
          <w:color w:val="auto"/>
          <w:sz w:val="21"/>
          <w:szCs w:val="21"/>
          <w:highlight w:val="none"/>
          <w:lang w:bidi="hi-IN"/>
        </w:rPr>
      </w:pPr>
      <w:r>
        <w:rPr>
          <w:rFonts w:hint="eastAsia" w:ascii="宋体" w:hAnsi="宋体" w:eastAsia="宋体" w:cs="宋体"/>
          <w:color w:val="auto"/>
          <w:sz w:val="21"/>
          <w:szCs w:val="21"/>
          <w:highlight w:val="none"/>
          <w:lang w:bidi="hi-IN"/>
        </w:rPr>
        <w:t>开户行：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bidi="hi-IN"/>
        </w:rPr>
        <w:t>。</w:t>
      </w:r>
    </w:p>
    <w:p w14:paraId="19E102B7">
      <w:pPr>
        <w:keepNext w:val="0"/>
        <w:keepLines w:val="0"/>
        <w:pageBreakBefore w:val="0"/>
        <w:kinsoku/>
        <w:wordWrap/>
        <w:overflowPunct/>
        <w:topLinePunct w:val="0"/>
        <w:autoSpaceDE/>
        <w:autoSpaceDN/>
        <w:bidi w:val="0"/>
        <w:spacing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hi-IN"/>
        </w:rPr>
        <w:t>账  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bidi="hi-IN"/>
        </w:rPr>
        <w:t>。</w:t>
      </w:r>
    </w:p>
    <w:p w14:paraId="556760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 xml:space="preserve">第九条：双方的权利及义务 </w:t>
      </w:r>
    </w:p>
    <w:p w14:paraId="37542A03">
      <w:pPr>
        <w:keepNext w:val="0"/>
        <w:keepLines w:val="0"/>
        <w:pageBreakBefore w:val="0"/>
        <w:kinsoku/>
        <w:wordWrap/>
        <w:overflowPunct/>
        <w:topLinePunct w:val="0"/>
        <w:autoSpaceDE/>
        <w:autoSpaceDN/>
        <w:bidi w:val="0"/>
        <w:adjustRightInd w:val="0"/>
        <w:spacing w:before="0" w:beforeAutospacing="0" w:after="0" w:line="420" w:lineRule="exact"/>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1.甲方对乙方供应</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lang w:val="en-US" w:eastAsia="zh-CN"/>
        </w:rPr>
        <w:t>商品</w:t>
      </w:r>
      <w:r>
        <w:rPr>
          <w:rFonts w:hint="eastAsia" w:ascii="宋体" w:hAnsi="宋体" w:eastAsia="宋体" w:cs="宋体"/>
          <w:color w:val="auto"/>
          <w:sz w:val="21"/>
          <w:szCs w:val="21"/>
          <w:highlight w:val="none"/>
          <w:lang w:eastAsia="zh-CN"/>
        </w:rPr>
        <w:t>的生产来源地、进货渠道</w:t>
      </w:r>
      <w:r>
        <w:rPr>
          <w:rFonts w:hint="eastAsia" w:ascii="宋体" w:hAnsi="宋体" w:eastAsia="宋体" w:cs="宋体"/>
          <w:color w:val="auto"/>
          <w:sz w:val="21"/>
          <w:szCs w:val="21"/>
          <w:highlight w:val="none"/>
        </w:rPr>
        <w:t>进行监督</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确保商品采购来源源头可溯；有权对所配送商品进行定期（或不定期）抽查，并</w:t>
      </w:r>
      <w:r>
        <w:rPr>
          <w:rFonts w:hint="eastAsia" w:ascii="宋体" w:hAnsi="宋体" w:eastAsia="宋体" w:cs="宋体"/>
          <w:color w:val="auto"/>
          <w:sz w:val="21"/>
          <w:szCs w:val="21"/>
          <w:highlight w:val="none"/>
          <w:lang w:eastAsia="zh-CN"/>
        </w:rPr>
        <w:t>根据</w:t>
      </w:r>
      <w:r>
        <w:rPr>
          <w:rFonts w:hint="eastAsia" w:ascii="宋体" w:hAnsi="宋体" w:eastAsia="宋体" w:cs="宋体"/>
          <w:color w:val="auto"/>
          <w:sz w:val="21"/>
          <w:szCs w:val="21"/>
          <w:highlight w:val="none"/>
          <w:lang w:val="en-US" w:eastAsia="zh-CN"/>
        </w:rPr>
        <w:t>实际</w:t>
      </w:r>
      <w:r>
        <w:rPr>
          <w:rFonts w:hint="eastAsia" w:ascii="宋体" w:hAnsi="宋体" w:eastAsia="宋体" w:cs="宋体"/>
          <w:color w:val="auto"/>
          <w:sz w:val="21"/>
          <w:szCs w:val="21"/>
          <w:highlight w:val="none"/>
          <w:lang w:eastAsia="zh-CN"/>
        </w:rPr>
        <w:t>需要对上述</w:t>
      </w:r>
      <w:r>
        <w:rPr>
          <w:rFonts w:hint="eastAsia" w:ascii="宋体" w:hAnsi="宋体" w:eastAsia="宋体" w:cs="宋体"/>
          <w:color w:val="auto"/>
          <w:sz w:val="21"/>
          <w:szCs w:val="21"/>
          <w:highlight w:val="none"/>
          <w:lang w:val="en-US" w:eastAsia="zh-CN"/>
        </w:rPr>
        <w:t>商品</w:t>
      </w:r>
      <w:r>
        <w:rPr>
          <w:rFonts w:hint="eastAsia" w:ascii="宋体" w:hAnsi="宋体" w:eastAsia="宋体" w:cs="宋体"/>
          <w:color w:val="auto"/>
          <w:sz w:val="21"/>
          <w:szCs w:val="21"/>
          <w:highlight w:val="none"/>
          <w:lang w:eastAsia="zh-CN"/>
        </w:rPr>
        <w:t>进行</w:t>
      </w:r>
      <w:r>
        <w:rPr>
          <w:rFonts w:hint="eastAsia" w:ascii="宋体" w:hAnsi="宋体" w:eastAsia="宋体" w:cs="宋体"/>
          <w:color w:val="auto"/>
          <w:sz w:val="21"/>
          <w:szCs w:val="21"/>
          <w:highlight w:val="none"/>
          <w:lang w:val="en-US" w:eastAsia="zh-CN"/>
        </w:rPr>
        <w:t>抽检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为保证食品的品质，</w:t>
      </w:r>
      <w:r>
        <w:rPr>
          <w:rFonts w:hint="eastAsia" w:ascii="宋体" w:hAnsi="宋体" w:eastAsia="宋体" w:cs="宋体"/>
          <w:color w:val="auto"/>
          <w:sz w:val="21"/>
          <w:szCs w:val="21"/>
          <w:highlight w:val="none"/>
          <w:lang w:val="en-US" w:eastAsia="zh-CN"/>
        </w:rPr>
        <w:t>必要时甲方有权要求乙方</w:t>
      </w:r>
      <w:r>
        <w:rPr>
          <w:rFonts w:hint="eastAsia" w:ascii="宋体" w:hAnsi="宋体" w:eastAsia="宋体" w:cs="宋体"/>
          <w:color w:val="auto"/>
          <w:sz w:val="21"/>
          <w:szCs w:val="21"/>
          <w:highlight w:val="none"/>
        </w:rPr>
        <w:t>按照国家及地方标准提供相应</w:t>
      </w:r>
      <w:r>
        <w:rPr>
          <w:rFonts w:hint="eastAsia" w:ascii="宋体" w:hAnsi="宋体" w:eastAsia="宋体" w:cs="宋体"/>
          <w:color w:val="auto"/>
          <w:sz w:val="21"/>
          <w:szCs w:val="21"/>
          <w:highlight w:val="none"/>
          <w:lang w:eastAsia="zh-CN"/>
        </w:rPr>
        <w:t>商品</w:t>
      </w:r>
      <w:r>
        <w:rPr>
          <w:rFonts w:hint="eastAsia" w:ascii="宋体" w:hAnsi="宋体" w:eastAsia="宋体" w:cs="宋体"/>
          <w:color w:val="auto"/>
          <w:sz w:val="21"/>
          <w:szCs w:val="21"/>
          <w:highlight w:val="none"/>
        </w:rPr>
        <w:t>的所需合格证明，同时须接受和配合</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食品</w:t>
      </w:r>
      <w:r>
        <w:rPr>
          <w:rFonts w:hint="eastAsia" w:ascii="宋体" w:hAnsi="宋体" w:eastAsia="宋体" w:cs="宋体"/>
          <w:color w:val="auto"/>
          <w:sz w:val="21"/>
          <w:szCs w:val="21"/>
          <w:highlight w:val="none"/>
        </w:rPr>
        <w:t>质量的检查</w:t>
      </w:r>
      <w:r>
        <w:rPr>
          <w:rFonts w:hint="eastAsia" w:ascii="宋体" w:hAnsi="宋体" w:eastAsia="宋体" w:cs="宋体"/>
          <w:color w:val="auto"/>
          <w:sz w:val="21"/>
          <w:szCs w:val="21"/>
          <w:highlight w:val="none"/>
          <w:lang w:eastAsia="zh-CN"/>
        </w:rPr>
        <w:t>。</w:t>
      </w:r>
    </w:p>
    <w:p w14:paraId="298BEF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2.甲方按照结算价格向乙方支付货款，除此之外发生的所有费用和运输、装卸过程中发生的安全事故、损毁等风险，均由乙方承担。 </w:t>
      </w:r>
    </w:p>
    <w:p w14:paraId="3E83C0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3.甲方有权对每批商品进行检查，对不符合质量和包装要求的，甲方有权拒收，因此造成的损失及所发生的相关费用均由乙方负担。 </w:t>
      </w:r>
    </w:p>
    <w:p w14:paraId="468B0B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4.乙方不得擅自更换商品品种或不按甲方需求计划数量供货，否则甲方将予拒收，由此造成的损失及所发生的相关费用由乙方承担。 </w:t>
      </w:r>
    </w:p>
    <w:p w14:paraId="1DEC353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5.甲方在验收或食用过程中发现属于乙方原因的质量问题，乙方要及时到现场解决，若属于乙方责任的，甲方有权要求乙方退货或调换。双方对质量有争议，无法达成一致意见的，留样封存后于2日内交由甲方所在地的质量检验机构检验，经检验不合格的，因此造成的损失及所发生的相关费用均由乙方负担。若因乙方的商品质量问题，给甲方造成经济损失和政治影响的，乙方应承担因此给甲方造成的全部经济和法律责任。 </w:t>
      </w:r>
    </w:p>
    <w:p w14:paraId="6B492C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 xml:space="preserve">第十条：违约责任 </w:t>
      </w:r>
    </w:p>
    <w:p w14:paraId="3DCEEE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1.甲方在合同执行中违约退货的，应偿付乙方退货部分货款总值10%的违约金。因此造成乙方损失的，还应根据实际情况赔偿其损失； </w:t>
      </w:r>
    </w:p>
    <w:p w14:paraId="6CBB70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2.甲方无故拒收乙方送来的商品，应向乙方偿付被拒收货款总值20%的违约金，并承担因此而造成的损失； </w:t>
      </w:r>
    </w:p>
    <w:p w14:paraId="7DBAF8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3.甲方未按合同规定期限付款的，应根据银行有关延期付款的规定，向乙方偿还延期付款违约金。 </w:t>
      </w:r>
    </w:p>
    <w:p w14:paraId="2E02B9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4.乙方不按甲方要求的时间、地点、数量、质量供货的，每次按供货商品总值的20%支付给甲方违约金。乙方拒绝供货或擅自终止合同的，甲方有权不予支付剩余货款。 </w:t>
      </w:r>
    </w:p>
    <w:p w14:paraId="6BA343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5.乙方供应的产品没有达到质量标准，甲方发现后可无条件要求乙方不予发放，期间发生的一切费用由乙方负责。 </w:t>
      </w:r>
    </w:p>
    <w:p w14:paraId="1299C0C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6.乙方供货的包装不符合合同中有关规定，发货前需返修或重新包装的，乙方应负责 返修或重新包装，并承担因此而需要的一切费用。因包装不合格给甲方造成损失的，乙方应负责赔偿。 </w:t>
      </w:r>
    </w:p>
    <w:p w14:paraId="26C068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7.乙方供货包装重量不符合国家标准的，每查出一次，乙方所供的该批次商品均以重量不足计，乙方除按缺失量补足外，还要按缺失价值的 100%向甲方支付违约金。 </w:t>
      </w:r>
    </w:p>
    <w:p w14:paraId="3105B3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8.甲方没有通知乙方送货，而乙方自行向甲方供货时，甲方可拒收，由此而造成的一切损失由乙方自行负责。 </w:t>
      </w:r>
    </w:p>
    <w:p w14:paraId="01F395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9.乙方</w:t>
      </w:r>
      <w:r>
        <w:rPr>
          <w:rFonts w:hint="eastAsia" w:ascii="宋体" w:hAnsi="宋体" w:eastAsia="宋体" w:cs="宋体"/>
          <w:color w:val="auto"/>
          <w:sz w:val="21"/>
          <w:szCs w:val="21"/>
          <w:highlight w:val="none"/>
        </w:rPr>
        <w:t>必须遵守国家和地方有关环境和卫生标准，严禁供应腐烂、变质有毒食物，如有发生食物中毒，承包方应第一时间对留验食品进行封存化验</w:t>
      </w:r>
      <w:r>
        <w:rPr>
          <w:rFonts w:hint="eastAsia" w:ascii="宋体" w:hAnsi="宋体" w:eastAsia="宋体" w:cs="宋体"/>
          <w:color w:val="auto"/>
          <w:sz w:val="21"/>
          <w:szCs w:val="21"/>
          <w:highlight w:val="none"/>
          <w:lang w:eastAsia="zh-CN"/>
        </w:rPr>
        <w:t>及将所涉及人员及时就医</w:t>
      </w:r>
      <w:r>
        <w:rPr>
          <w:rFonts w:hint="eastAsia" w:ascii="宋体" w:hAnsi="宋体" w:eastAsia="宋体" w:cs="宋体"/>
          <w:color w:val="auto"/>
          <w:sz w:val="21"/>
          <w:szCs w:val="21"/>
          <w:highlight w:val="none"/>
        </w:rPr>
        <w:t>，并承担</w:t>
      </w:r>
      <w:r>
        <w:rPr>
          <w:rFonts w:hint="eastAsia" w:ascii="宋体" w:hAnsi="宋体" w:eastAsia="宋体" w:cs="宋体"/>
          <w:color w:val="auto"/>
          <w:sz w:val="21"/>
          <w:szCs w:val="21"/>
          <w:highlight w:val="none"/>
          <w:lang w:eastAsia="zh-CN"/>
        </w:rPr>
        <w:t>因食物中毒造成</w:t>
      </w:r>
      <w:r>
        <w:rPr>
          <w:rFonts w:hint="eastAsia" w:ascii="宋体" w:hAnsi="宋体" w:eastAsia="宋体" w:cs="宋体"/>
          <w:color w:val="auto"/>
          <w:sz w:val="21"/>
          <w:szCs w:val="21"/>
          <w:highlight w:val="none"/>
        </w:rPr>
        <w:t>所有损失和责任。</w:t>
      </w:r>
    </w:p>
    <w:p w14:paraId="5F197F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 xml:space="preserve">第十一条：安全责任 </w:t>
      </w:r>
    </w:p>
    <w:p w14:paraId="7AC23F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1.合同期内，乙方运输车辆必须具有《道路运输经营许可证》，并有专职司机持证驾驶。 </w:t>
      </w:r>
    </w:p>
    <w:p w14:paraId="795EEC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2.乙方人员进出甲方办公大门必须要严格遵守甲方各项安全管理规定和甲方的劳动生产作业时间规定，不准将火种、录像录音器材及危险品、违禁品、违规品带入甲方工作区域。 </w:t>
      </w:r>
    </w:p>
    <w:p w14:paraId="2C441FB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3.非甲方原因造成的一切事故，均有乙方承担一切责任、损失和费用。 </w:t>
      </w:r>
    </w:p>
    <w:p w14:paraId="1355AD41">
      <w:pPr>
        <w:pStyle w:val="18"/>
        <w:keepNext w:val="0"/>
        <w:keepLines w:val="0"/>
        <w:pageBreakBefore w:val="0"/>
        <w:kinsoku/>
        <w:wordWrap/>
        <w:overflowPunct/>
        <w:topLinePunct w:val="0"/>
        <w:autoSpaceDE/>
        <w:autoSpaceDN/>
        <w:bidi w:val="0"/>
        <w:adjustRightInd w:val="0"/>
        <w:spacing w:beforeAutospacing="0" w:after="0" w:line="420" w:lineRule="exact"/>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sz w:val="21"/>
          <w:szCs w:val="21"/>
          <w:highlight w:val="none"/>
        </w:rPr>
        <w:t>为保证服务质量，</w:t>
      </w:r>
      <w:r>
        <w:rPr>
          <w:rFonts w:hint="eastAsia" w:ascii="宋体" w:hAnsi="宋体" w:eastAsia="宋体" w:cs="宋体"/>
          <w:color w:val="auto"/>
          <w:sz w:val="21"/>
          <w:szCs w:val="21"/>
          <w:highlight w:val="none"/>
          <w:lang w:val="en-US" w:eastAsia="zh-CN"/>
        </w:rPr>
        <w:t>乙方须</w:t>
      </w:r>
      <w:r>
        <w:rPr>
          <w:rFonts w:hint="eastAsia" w:ascii="宋体" w:hAnsi="宋体" w:eastAsia="宋体" w:cs="宋体"/>
          <w:color w:val="auto"/>
          <w:sz w:val="21"/>
          <w:szCs w:val="21"/>
          <w:highlight w:val="none"/>
        </w:rPr>
        <w:t>保持人员稳定，必须保证</w:t>
      </w:r>
      <w:r>
        <w:rPr>
          <w:rFonts w:hint="eastAsia" w:ascii="宋体" w:hAnsi="宋体" w:eastAsia="宋体" w:cs="宋体"/>
          <w:color w:val="auto"/>
          <w:sz w:val="21"/>
          <w:szCs w:val="21"/>
          <w:highlight w:val="none"/>
          <w:lang w:val="en-US" w:eastAsia="zh-CN"/>
        </w:rPr>
        <w:t>发放</w:t>
      </w:r>
      <w:r>
        <w:rPr>
          <w:rFonts w:hint="eastAsia" w:ascii="宋体" w:hAnsi="宋体" w:eastAsia="宋体" w:cs="宋体"/>
          <w:color w:val="auto"/>
          <w:sz w:val="21"/>
          <w:szCs w:val="21"/>
          <w:highlight w:val="none"/>
        </w:rPr>
        <w:t>人数不得少于</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男、女均有，提供人员名单及身份信息复印件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lang w:val="en-US" w:eastAsia="zh-CN"/>
        </w:rPr>
        <w:t>乙方的配送及发放人员须固定，不得随意更换，所有工作人员的调换，须报经甲方书面同意，乙方不得随意变更，并严格遵守采购人单位的规章制度及相关规定，否则后果自负。</w:t>
      </w:r>
    </w:p>
    <w:p w14:paraId="380459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2"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 xml:space="preserve">第十二条：合同的变更与解除 </w:t>
      </w:r>
    </w:p>
    <w:p w14:paraId="6785D7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甲、乙双方任何一方要求解除或变更合同时，应及时通知对方。甲、乙双方一方接到另一方要求解除或变更合同的建议后，应在收到书面通知之日起15天内做出答复。甲、乙双方另有约定的，按约定期限答复，逾期不答复的，视为默认。</w:t>
      </w:r>
    </w:p>
    <w:p w14:paraId="16E13AA0">
      <w:pPr>
        <w:pStyle w:val="22"/>
        <w:keepNext w:val="0"/>
        <w:keepLines w:val="0"/>
        <w:pageBreakBefore w:val="0"/>
        <w:widowControl/>
        <w:kinsoku/>
        <w:wordWrap/>
        <w:overflowPunct/>
        <w:topLinePunct w:val="0"/>
        <w:autoSpaceDE/>
        <w:autoSpaceDN/>
        <w:bidi w:val="0"/>
        <w:adjustRightInd w:val="0"/>
        <w:snapToGrid w:val="0"/>
        <w:spacing w:beforeAutospacing="0" w:after="0" w:after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2.服务</w:t>
      </w:r>
      <w:r>
        <w:rPr>
          <w:rFonts w:hint="eastAsia" w:ascii="宋体" w:hAnsi="宋体" w:eastAsia="宋体" w:cs="宋体"/>
          <w:color w:val="auto"/>
          <w:sz w:val="21"/>
          <w:szCs w:val="21"/>
          <w:highlight w:val="none"/>
        </w:rPr>
        <w:t>期内，乙方必须自行经营管理，不得或明或暗擅自转包他人</w:t>
      </w:r>
      <w:r>
        <w:rPr>
          <w:rFonts w:hint="eastAsia" w:ascii="宋体" w:hAnsi="宋体" w:eastAsia="宋体" w:cs="宋体"/>
          <w:color w:val="auto"/>
          <w:sz w:val="21"/>
          <w:szCs w:val="21"/>
          <w:highlight w:val="none"/>
          <w:lang w:eastAsia="zh-CN"/>
        </w:rPr>
        <w:t>，不得在经营或代加工其他食品</w:t>
      </w:r>
      <w:r>
        <w:rPr>
          <w:rFonts w:hint="eastAsia" w:ascii="宋体" w:hAnsi="宋体" w:eastAsia="宋体" w:cs="宋体"/>
          <w:color w:val="auto"/>
          <w:sz w:val="21"/>
          <w:szCs w:val="21"/>
          <w:highlight w:val="none"/>
        </w:rPr>
        <w:t>；否则甲方有权单方解除合同，并没收</w:t>
      </w:r>
      <w:r>
        <w:rPr>
          <w:rFonts w:hint="eastAsia" w:ascii="宋体" w:hAnsi="宋体" w:eastAsia="宋体" w:cs="宋体"/>
          <w:color w:val="auto"/>
          <w:sz w:val="21"/>
          <w:szCs w:val="21"/>
          <w:highlight w:val="none"/>
          <w:lang w:val="en-US" w:eastAsia="zh-CN"/>
        </w:rPr>
        <w:t>未支付剩余款项</w:t>
      </w:r>
      <w:r>
        <w:rPr>
          <w:rFonts w:hint="eastAsia" w:ascii="宋体" w:hAnsi="宋体" w:eastAsia="宋体" w:cs="宋体"/>
          <w:color w:val="auto"/>
          <w:sz w:val="21"/>
          <w:szCs w:val="21"/>
          <w:highlight w:val="none"/>
        </w:rPr>
        <w:t>。签约期间无正当理由双方不得随意终止合同，否则按违约处理，违约方支付对方违约金伍万元及负责一切损失。</w:t>
      </w:r>
    </w:p>
    <w:p w14:paraId="6632C1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sz w:val="21"/>
          <w:szCs w:val="21"/>
          <w:highlight w:val="none"/>
          <w:lang w:val="en-US" w:eastAsia="zh-CN"/>
        </w:rPr>
        <w:t>乙方必须遵纪守法，不得进行其他违规、违法性的经营活动，服从甲方管理，</w:t>
      </w:r>
      <w:r>
        <w:rPr>
          <w:rFonts w:hint="eastAsia" w:ascii="宋体" w:hAnsi="宋体" w:eastAsia="宋体" w:cs="宋体"/>
          <w:color w:val="auto"/>
          <w:sz w:val="21"/>
          <w:szCs w:val="21"/>
          <w:highlight w:val="none"/>
        </w:rPr>
        <w:t>在经营、管理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商品质量问题</w:t>
      </w:r>
      <w:r>
        <w:rPr>
          <w:rFonts w:hint="eastAsia" w:ascii="宋体" w:hAnsi="宋体" w:eastAsia="宋体" w:cs="宋体"/>
          <w:color w:val="auto"/>
          <w:sz w:val="21"/>
          <w:szCs w:val="21"/>
          <w:highlight w:val="none"/>
        </w:rPr>
        <w:t>等工作受到省、市相关部门处罚</w:t>
      </w:r>
      <w:r>
        <w:rPr>
          <w:rFonts w:hint="eastAsia" w:ascii="宋体" w:hAnsi="宋体" w:eastAsia="宋体" w:cs="宋体"/>
          <w:color w:val="auto"/>
          <w:sz w:val="21"/>
          <w:szCs w:val="21"/>
          <w:highlight w:val="none"/>
          <w:lang w:eastAsia="zh-CN"/>
        </w:rPr>
        <w:t>以及</w:t>
      </w:r>
      <w:r>
        <w:rPr>
          <w:rFonts w:hint="eastAsia" w:ascii="宋体" w:hAnsi="宋体" w:eastAsia="宋体" w:cs="宋体"/>
          <w:color w:val="auto"/>
          <w:sz w:val="21"/>
          <w:szCs w:val="21"/>
          <w:highlight w:val="none"/>
        </w:rPr>
        <w:t>因乙方原因导致甲方受到有关部门处罚的，费用</w:t>
      </w:r>
      <w:r>
        <w:rPr>
          <w:rFonts w:hint="eastAsia" w:ascii="宋体" w:hAnsi="宋体" w:eastAsia="宋体" w:cs="宋体"/>
          <w:color w:val="auto"/>
          <w:sz w:val="21"/>
          <w:szCs w:val="21"/>
          <w:highlight w:val="none"/>
          <w:lang w:eastAsia="zh-CN"/>
        </w:rPr>
        <w:t>由</w:t>
      </w:r>
      <w:r>
        <w:rPr>
          <w:rFonts w:hint="eastAsia" w:ascii="宋体" w:hAnsi="宋体" w:eastAsia="宋体" w:cs="宋体"/>
          <w:color w:val="auto"/>
          <w:sz w:val="21"/>
          <w:szCs w:val="21"/>
          <w:highlight w:val="none"/>
        </w:rPr>
        <w:t>乙方承担</w:t>
      </w:r>
      <w:r>
        <w:rPr>
          <w:rFonts w:hint="eastAsia" w:ascii="宋体" w:hAnsi="宋体" w:eastAsia="宋体" w:cs="宋体"/>
          <w:color w:val="auto"/>
          <w:sz w:val="21"/>
          <w:szCs w:val="21"/>
          <w:highlight w:val="none"/>
          <w:lang w:eastAsia="zh-CN"/>
        </w:rPr>
        <w:t>。</w:t>
      </w:r>
    </w:p>
    <w:p w14:paraId="7BC35732">
      <w:pPr>
        <w:pStyle w:val="22"/>
        <w:keepNext w:val="0"/>
        <w:keepLines w:val="0"/>
        <w:pageBreakBefore w:val="0"/>
        <w:widowControl/>
        <w:kinsoku/>
        <w:wordWrap/>
        <w:overflowPunct/>
        <w:topLinePunct w:val="0"/>
        <w:autoSpaceDE/>
        <w:autoSpaceDN/>
        <w:bidi w:val="0"/>
        <w:adjustRightInd w:val="0"/>
        <w:snapToGrid w:val="0"/>
        <w:spacing w:beforeAutospacing="0" w:after="0" w:afterAutospacing="0" w:line="420" w:lineRule="exact"/>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4.非不可抗力之原因并未经甲方同意，</w:t>
      </w:r>
      <w:r>
        <w:rPr>
          <w:rFonts w:hint="eastAsia" w:ascii="宋体" w:hAnsi="宋体" w:eastAsia="宋体" w:cs="宋体"/>
          <w:color w:val="auto"/>
          <w:sz w:val="21"/>
          <w:szCs w:val="21"/>
          <w:highlight w:val="none"/>
        </w:rPr>
        <w:t>乙方不得以任何理由擅自停业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如乙方擅自停业</w:t>
      </w:r>
      <w:r>
        <w:rPr>
          <w:rFonts w:hint="eastAsia" w:ascii="宋体" w:hAnsi="宋体" w:eastAsia="宋体" w:cs="宋体"/>
          <w:color w:val="auto"/>
          <w:sz w:val="21"/>
          <w:szCs w:val="21"/>
          <w:highlight w:val="none"/>
          <w:lang w:val="en-US" w:eastAsia="zh-CN"/>
        </w:rPr>
        <w:t>或不遵守甲方特殊情况时间安排的，甲方有权单方面解除本合同，并扣除相应款项，</w:t>
      </w:r>
      <w:r>
        <w:rPr>
          <w:rFonts w:hint="eastAsia" w:ascii="宋体" w:hAnsi="宋体" w:eastAsia="宋体" w:cs="宋体"/>
          <w:color w:val="auto"/>
          <w:sz w:val="21"/>
          <w:szCs w:val="21"/>
          <w:highlight w:val="none"/>
        </w:rPr>
        <w:t>由此产生的一切责任和损失由乙方承担</w:t>
      </w:r>
      <w:r>
        <w:rPr>
          <w:rFonts w:hint="eastAsia" w:ascii="宋体" w:hAnsi="宋体" w:eastAsia="宋体" w:cs="宋体"/>
          <w:color w:val="auto"/>
          <w:sz w:val="21"/>
          <w:szCs w:val="21"/>
          <w:highlight w:val="none"/>
          <w:lang w:val="en-US" w:eastAsia="zh-CN"/>
        </w:rPr>
        <w:t>。</w:t>
      </w:r>
    </w:p>
    <w:p w14:paraId="1FD4020D">
      <w:pPr>
        <w:pStyle w:val="22"/>
        <w:keepNext w:val="0"/>
        <w:keepLines w:val="0"/>
        <w:pageBreakBefore w:val="0"/>
        <w:widowControl/>
        <w:kinsoku/>
        <w:wordWrap/>
        <w:overflowPunct/>
        <w:topLinePunct w:val="0"/>
        <w:autoSpaceDE/>
        <w:autoSpaceDN/>
        <w:bidi w:val="0"/>
        <w:adjustRightInd w:val="0"/>
        <w:snapToGrid w:val="0"/>
        <w:spacing w:beforeAutospacing="0" w:after="0" w:after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乙方因自身原因需提前解除合</w:t>
      </w:r>
      <w:r>
        <w:rPr>
          <w:rFonts w:hint="eastAsia" w:ascii="宋体" w:hAnsi="宋体" w:eastAsia="宋体" w:cs="宋体"/>
          <w:color w:val="auto"/>
          <w:sz w:val="21"/>
          <w:szCs w:val="21"/>
          <w:highlight w:val="none"/>
          <w:lang w:eastAsia="zh-CN"/>
        </w:rPr>
        <w:t>同</w:t>
      </w:r>
      <w:r>
        <w:rPr>
          <w:rFonts w:hint="eastAsia" w:ascii="宋体" w:hAnsi="宋体" w:eastAsia="宋体" w:cs="宋体"/>
          <w:color w:val="auto"/>
          <w:sz w:val="21"/>
          <w:szCs w:val="21"/>
          <w:highlight w:val="none"/>
        </w:rPr>
        <w:t>的，需提前2个月书面通知</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，经协商一致后办理解除</w:t>
      </w:r>
      <w:r>
        <w:rPr>
          <w:rFonts w:hint="eastAsia" w:ascii="宋体" w:hAnsi="宋体" w:eastAsia="宋体" w:cs="宋体"/>
          <w:color w:val="auto"/>
          <w:sz w:val="21"/>
          <w:szCs w:val="21"/>
          <w:highlight w:val="none"/>
          <w:lang w:val="en-US" w:eastAsia="zh-CN"/>
        </w:rPr>
        <w:t>配送</w:t>
      </w:r>
      <w:r>
        <w:rPr>
          <w:rFonts w:hint="eastAsia" w:ascii="宋体" w:hAnsi="宋体" w:eastAsia="宋体" w:cs="宋体"/>
          <w:color w:val="auto"/>
          <w:sz w:val="21"/>
          <w:szCs w:val="21"/>
          <w:highlight w:val="none"/>
        </w:rPr>
        <w:t>手续，对甲方造成损失的，甲方有权要求乙方赔偿。</w:t>
      </w:r>
    </w:p>
    <w:p w14:paraId="6496EFE8">
      <w:pPr>
        <w:keepNext w:val="0"/>
        <w:keepLines w:val="0"/>
        <w:pageBreakBefore w:val="0"/>
        <w:kinsoku/>
        <w:wordWrap/>
        <w:overflowPunct/>
        <w:topLinePunct w:val="0"/>
        <w:autoSpaceDE/>
        <w:autoSpaceDN/>
        <w:bidi w:val="0"/>
        <w:adjustRightInd w:val="0"/>
        <w:spacing w:before="0" w:beforeAutospacing="0" w:after="0" w:line="420" w:lineRule="exact"/>
        <w:ind w:left="0"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 xml:space="preserve">6.乙方所提供的商品不能有假冒伪劣及过期商品、三无商品等。如发现商品的名称、规格、品牌、质量等不符合规定要求的，有权拒收并作出相应处理，若乙方拒绝配合，甲方将对乙方商品拒收并按违约行为处理，否则甲方有权利解除合同。 </w:t>
      </w:r>
    </w:p>
    <w:p w14:paraId="42F837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 xml:space="preserve">第十三条：其他约定 </w:t>
      </w:r>
    </w:p>
    <w:p w14:paraId="2183F5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甲、乙双方的任何一方由于不可抗拒的原因不能履行或不能完全履行合同时，应尽快书面向对方通报，并经有关主管机关证明后，可允许延期履行、部分履行或不履行，并可根据情况部分或全部免予承担违约责任。 </w:t>
      </w:r>
    </w:p>
    <w:p w14:paraId="049ADC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2.合同期内，若遇到甲方上级主管部门政策调整，甲方有权随时终止合同或对本合同进行变更调整，且不属甲方违约。 </w:t>
      </w:r>
    </w:p>
    <w:p w14:paraId="3EA0F6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3.合同期内，若甲方上级主管部门对部分商品统一供货并确定供应商后，甲方有权随时终止乙方供应该类商品，且不属于甲方违约。</w:t>
      </w:r>
    </w:p>
    <w:p w14:paraId="47487FAC">
      <w:pPr>
        <w:keepNext w:val="0"/>
        <w:keepLines w:val="0"/>
        <w:pageBreakBefore w:val="0"/>
        <w:kinsoku/>
        <w:wordWrap/>
        <w:overflowPunct/>
        <w:topLinePunct w:val="0"/>
        <w:autoSpaceDE/>
        <w:autoSpaceDN/>
        <w:bidi w:val="0"/>
        <w:adjustRightInd w:val="0"/>
        <w:spacing w:before="0" w:beforeAutospacing="0" w:after="0" w:line="420" w:lineRule="exact"/>
        <w:ind w:left="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4.</w:t>
      </w:r>
      <w:r>
        <w:rPr>
          <w:rFonts w:hint="eastAsia" w:ascii="宋体" w:hAnsi="宋体" w:eastAsia="宋体" w:cs="宋体"/>
          <w:color w:val="auto"/>
          <w:sz w:val="21"/>
          <w:szCs w:val="21"/>
          <w:highlight w:val="none"/>
          <w:lang w:val="en-US" w:eastAsia="zh-CN"/>
        </w:rPr>
        <w:t>乙方所</w:t>
      </w:r>
      <w:r>
        <w:rPr>
          <w:rFonts w:hint="eastAsia" w:ascii="宋体" w:hAnsi="宋体" w:eastAsia="宋体" w:cs="宋体"/>
          <w:color w:val="auto"/>
          <w:sz w:val="21"/>
          <w:szCs w:val="21"/>
          <w:highlight w:val="none"/>
        </w:rPr>
        <w:t>供货</w:t>
      </w:r>
      <w:r>
        <w:rPr>
          <w:rFonts w:hint="eastAsia" w:ascii="宋体" w:hAnsi="宋体" w:eastAsia="宋体" w:cs="宋体"/>
          <w:color w:val="auto"/>
          <w:sz w:val="21"/>
          <w:szCs w:val="21"/>
          <w:highlight w:val="none"/>
          <w:lang w:eastAsia="zh-CN"/>
        </w:rPr>
        <w:t>商品</w:t>
      </w:r>
      <w:r>
        <w:rPr>
          <w:rFonts w:hint="eastAsia" w:ascii="宋体" w:hAnsi="宋体" w:eastAsia="宋体" w:cs="宋体"/>
          <w:color w:val="auto"/>
          <w:sz w:val="21"/>
          <w:szCs w:val="21"/>
          <w:highlight w:val="none"/>
        </w:rPr>
        <w:t>必须为</w:t>
      </w:r>
      <w:r>
        <w:rPr>
          <w:rFonts w:hint="eastAsia" w:ascii="宋体" w:hAnsi="宋体" w:eastAsia="宋体" w:cs="宋体"/>
          <w:color w:val="auto"/>
          <w:sz w:val="21"/>
          <w:szCs w:val="21"/>
          <w:highlight w:val="none"/>
          <w:lang w:val="en-US" w:eastAsia="zh-CN"/>
        </w:rPr>
        <w:t>保证</w:t>
      </w:r>
      <w:r>
        <w:rPr>
          <w:rFonts w:hint="eastAsia" w:ascii="宋体" w:hAnsi="宋体" w:eastAsia="宋体" w:cs="宋体"/>
          <w:color w:val="auto"/>
          <w:sz w:val="21"/>
          <w:szCs w:val="21"/>
          <w:highlight w:val="none"/>
        </w:rPr>
        <w:t>原厂正品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品牌须</w:t>
      </w:r>
      <w:r>
        <w:rPr>
          <w:rFonts w:hint="eastAsia" w:ascii="宋体" w:hAnsi="宋体" w:eastAsia="宋体" w:cs="宋体"/>
          <w:color w:val="auto"/>
          <w:sz w:val="21"/>
          <w:szCs w:val="21"/>
          <w:highlight w:val="none"/>
          <w:lang w:eastAsia="zh-CN"/>
        </w:rPr>
        <w:t>经</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认可的市场知名品牌，</w:t>
      </w:r>
      <w:r>
        <w:rPr>
          <w:rFonts w:hint="eastAsia" w:ascii="宋体" w:hAnsi="宋体" w:eastAsia="宋体" w:cs="宋体"/>
          <w:color w:val="auto"/>
          <w:sz w:val="21"/>
          <w:szCs w:val="21"/>
          <w:highlight w:val="none"/>
        </w:rPr>
        <w:t>所有</w:t>
      </w:r>
      <w:r>
        <w:rPr>
          <w:rFonts w:hint="eastAsia" w:ascii="宋体" w:hAnsi="宋体" w:eastAsia="宋体" w:cs="宋体"/>
          <w:color w:val="auto"/>
          <w:sz w:val="21"/>
          <w:szCs w:val="21"/>
          <w:highlight w:val="none"/>
          <w:lang w:val="en-US" w:eastAsia="zh-CN"/>
        </w:rPr>
        <w:t>商品</w:t>
      </w:r>
      <w:r>
        <w:rPr>
          <w:rFonts w:hint="eastAsia" w:ascii="宋体" w:hAnsi="宋体" w:eastAsia="宋体" w:cs="宋体"/>
          <w:color w:val="auto"/>
          <w:sz w:val="21"/>
          <w:szCs w:val="21"/>
          <w:highlight w:val="none"/>
        </w:rPr>
        <w:t>必须满足国家相关部门的规定要求</w:t>
      </w:r>
      <w:r>
        <w:rPr>
          <w:rFonts w:hint="eastAsia" w:ascii="宋体" w:hAnsi="宋体" w:eastAsia="宋体" w:cs="宋体"/>
          <w:color w:val="auto"/>
          <w:sz w:val="21"/>
          <w:szCs w:val="21"/>
          <w:highlight w:val="none"/>
          <w:lang w:val="en-US" w:eastAsia="zh-CN"/>
        </w:rPr>
        <w:t>及标准</w:t>
      </w:r>
      <w:r>
        <w:rPr>
          <w:rFonts w:hint="eastAsia" w:ascii="宋体" w:hAnsi="宋体" w:eastAsia="宋体" w:cs="宋体"/>
          <w:color w:val="auto"/>
          <w:sz w:val="21"/>
          <w:szCs w:val="21"/>
          <w:highlight w:val="none"/>
        </w:rPr>
        <w:t>。</w:t>
      </w:r>
    </w:p>
    <w:p w14:paraId="1BC0CF13">
      <w:pPr>
        <w:keepNext w:val="0"/>
        <w:keepLines w:val="0"/>
        <w:pageBreakBefore w:val="0"/>
        <w:widowControl/>
        <w:kinsoku/>
        <w:wordWrap/>
        <w:overflowPunct/>
        <w:topLinePunct w:val="0"/>
        <w:autoSpaceDE/>
        <w:autoSpaceDN/>
        <w:bidi w:val="0"/>
        <w:adjustRightInd w:val="0"/>
        <w:snapToGrid w:val="0"/>
        <w:spacing w:before="0"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如果货物的质量、规格、数量、重量等与合同或样品及样品小样不符，或在质量保证期内证实货物存有缺陷，包括潜在的缺陷或使用不符合要求的材料等，甲方有权根据有资质的权威质检机构的检验结果向乙方提出索赔(但责任应由保险公司或运输部门承担的除外)。</w:t>
      </w:r>
    </w:p>
    <w:p w14:paraId="471E210C">
      <w:pPr>
        <w:keepNext w:val="0"/>
        <w:keepLines w:val="0"/>
        <w:pageBreakBefore w:val="0"/>
        <w:kinsoku/>
        <w:wordWrap/>
        <w:overflowPunct/>
        <w:topLinePunct w:val="0"/>
        <w:autoSpaceDE/>
        <w:autoSpaceDN/>
        <w:bidi w:val="0"/>
        <w:spacing w:beforeAutospacing="0" w:after="0" w:line="420" w:lineRule="exact"/>
        <w:ind w:firstLine="422" w:firstLineChars="200"/>
        <w:jc w:val="both"/>
        <w:textAlignment w:val="auto"/>
        <w:rPr>
          <w:rFonts w:hint="eastAsia" w:ascii="宋体" w:hAnsi="宋体" w:eastAsia="宋体" w:cs="宋体"/>
          <w:b/>
          <w:bCs/>
          <w:color w:val="auto"/>
          <w:sz w:val="21"/>
          <w:szCs w:val="21"/>
          <w:highlight w:val="none"/>
          <w:lang w:bidi="hi-IN"/>
        </w:rPr>
      </w:pPr>
      <w:r>
        <w:rPr>
          <w:rFonts w:hint="eastAsia" w:ascii="宋体" w:hAnsi="宋体" w:eastAsia="宋体" w:cs="宋体"/>
          <w:b/>
          <w:bCs/>
          <w:color w:val="auto"/>
          <w:sz w:val="21"/>
          <w:szCs w:val="21"/>
          <w:highlight w:val="none"/>
          <w:lang w:bidi="hi-IN"/>
        </w:rPr>
        <w:t>第</w:t>
      </w:r>
      <w:r>
        <w:rPr>
          <w:rFonts w:hint="eastAsia" w:ascii="宋体" w:hAnsi="宋体" w:eastAsia="宋体" w:cs="宋体"/>
          <w:b/>
          <w:bCs/>
          <w:color w:val="auto"/>
          <w:sz w:val="21"/>
          <w:szCs w:val="21"/>
          <w:highlight w:val="none"/>
          <w:lang w:val="en-US" w:eastAsia="zh-CN" w:bidi="hi-IN"/>
        </w:rPr>
        <w:t>十四</w:t>
      </w:r>
      <w:r>
        <w:rPr>
          <w:rFonts w:hint="eastAsia" w:ascii="宋体" w:hAnsi="宋体" w:eastAsia="宋体" w:cs="宋体"/>
          <w:b/>
          <w:bCs/>
          <w:color w:val="auto"/>
          <w:sz w:val="21"/>
          <w:szCs w:val="21"/>
          <w:highlight w:val="none"/>
          <w:lang w:bidi="hi-IN"/>
        </w:rPr>
        <w:t>条：争议的解决方式</w:t>
      </w:r>
    </w:p>
    <w:p w14:paraId="4FE33EDD">
      <w:pPr>
        <w:keepNext w:val="0"/>
        <w:keepLines w:val="0"/>
        <w:pageBreakBefore w:val="0"/>
        <w:kinsoku/>
        <w:wordWrap/>
        <w:overflowPunct/>
        <w:topLinePunct w:val="0"/>
        <w:autoSpaceDE/>
        <w:autoSpaceDN/>
        <w:bidi w:val="0"/>
        <w:spacing w:beforeAutospacing="0" w:after="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hi-IN"/>
        </w:rPr>
        <w:t>在履行本合同过程中发生的争议，由双方协商解决，协商或调解不成的，可依法向甲方所在地人民法院起诉。</w:t>
      </w:r>
    </w:p>
    <w:p w14:paraId="7DC3FE68">
      <w:pPr>
        <w:keepNext w:val="0"/>
        <w:keepLines w:val="0"/>
        <w:pageBreakBefore w:val="0"/>
        <w:kinsoku/>
        <w:wordWrap/>
        <w:overflowPunct/>
        <w:topLinePunct w:val="0"/>
        <w:autoSpaceDE/>
        <w:autoSpaceDN/>
        <w:bidi w:val="0"/>
        <w:spacing w:beforeAutospacing="0" w:after="0" w:line="420" w:lineRule="exact"/>
        <w:ind w:firstLine="422" w:firstLineChars="200"/>
        <w:jc w:val="both"/>
        <w:textAlignment w:val="auto"/>
        <w:rPr>
          <w:rFonts w:hint="eastAsia" w:ascii="宋体" w:hAnsi="宋体" w:eastAsia="宋体" w:cs="宋体"/>
          <w:b/>
          <w:bCs/>
          <w:color w:val="auto"/>
          <w:sz w:val="21"/>
          <w:szCs w:val="21"/>
          <w:highlight w:val="none"/>
          <w:lang w:bidi="hi-IN"/>
        </w:rPr>
      </w:pPr>
      <w:r>
        <w:rPr>
          <w:rFonts w:hint="eastAsia" w:ascii="宋体" w:hAnsi="宋体" w:eastAsia="宋体" w:cs="宋体"/>
          <w:b/>
          <w:bCs/>
          <w:color w:val="auto"/>
          <w:sz w:val="21"/>
          <w:szCs w:val="21"/>
          <w:highlight w:val="none"/>
          <w:lang w:bidi="hi-IN"/>
        </w:rPr>
        <w:t>第十</w:t>
      </w:r>
      <w:r>
        <w:rPr>
          <w:rFonts w:hint="eastAsia" w:ascii="宋体" w:hAnsi="宋体" w:eastAsia="宋体" w:cs="宋体"/>
          <w:b/>
          <w:bCs/>
          <w:color w:val="auto"/>
          <w:sz w:val="21"/>
          <w:szCs w:val="21"/>
          <w:highlight w:val="none"/>
          <w:lang w:val="en-US" w:eastAsia="zh-CN" w:bidi="hi-IN"/>
        </w:rPr>
        <w:t>五</w:t>
      </w:r>
      <w:r>
        <w:rPr>
          <w:rFonts w:hint="eastAsia" w:ascii="宋体" w:hAnsi="宋体" w:eastAsia="宋体" w:cs="宋体"/>
          <w:b/>
          <w:bCs/>
          <w:color w:val="auto"/>
          <w:sz w:val="21"/>
          <w:szCs w:val="21"/>
          <w:highlight w:val="none"/>
          <w:lang w:bidi="hi-IN"/>
        </w:rPr>
        <w:t>条：协议生效</w:t>
      </w:r>
    </w:p>
    <w:p w14:paraId="04B9DA4E">
      <w:pPr>
        <w:pStyle w:val="32"/>
        <w:keepNext w:val="0"/>
        <w:keepLines w:val="0"/>
        <w:pageBreakBefore w:val="0"/>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1、本协议由双方代表于</w:t>
      </w:r>
      <w:r>
        <w:rPr>
          <w:rFonts w:hint="eastAsia" w:ascii="宋体" w:hAnsi="宋体" w:eastAsia="宋体" w:cs="宋体"/>
          <w:color w:val="auto"/>
          <w:sz w:val="21"/>
          <w:szCs w:val="21"/>
          <w:highlight w:val="none"/>
          <w:u w:val="single"/>
        </w:rPr>
        <w:t xml:space="preserve">   年    月    日</w:t>
      </w:r>
      <w:r>
        <w:rPr>
          <w:rFonts w:hint="eastAsia" w:ascii="宋体" w:hAnsi="宋体" w:eastAsia="宋体" w:cs="宋体"/>
          <w:color w:val="auto"/>
          <w:sz w:val="21"/>
          <w:szCs w:val="21"/>
          <w:highlight w:val="none"/>
        </w:rPr>
        <w:t>签定，自签定之日起生效，合同期限：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F8525D2">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2、本合同一式肆份，甲方执贰份，乙方执贰份，双方盖章后生效，具有同等法律效力。</w:t>
      </w:r>
    </w:p>
    <w:p w14:paraId="2B80A3F2">
      <w:pPr>
        <w:keepNext w:val="0"/>
        <w:keepLines w:val="0"/>
        <w:pageBreakBefore w:val="0"/>
        <w:kinsoku/>
        <w:wordWrap/>
        <w:overflowPunct/>
        <w:topLinePunct w:val="0"/>
        <w:autoSpaceDE/>
        <w:autoSpaceDN/>
        <w:bidi w:val="0"/>
        <w:spacing w:beforeAutospacing="0" w:after="0" w:line="420" w:lineRule="exact"/>
        <w:ind w:firstLine="422" w:firstLineChars="200"/>
        <w:jc w:val="both"/>
        <w:textAlignment w:val="auto"/>
        <w:rPr>
          <w:rFonts w:hint="eastAsia" w:ascii="宋体" w:hAnsi="宋体" w:eastAsia="宋体" w:cs="宋体"/>
          <w:b/>
          <w:bCs/>
          <w:color w:val="auto"/>
          <w:sz w:val="21"/>
          <w:szCs w:val="21"/>
          <w:highlight w:val="none"/>
          <w:lang w:bidi="hi-IN"/>
        </w:rPr>
      </w:pPr>
      <w:r>
        <w:rPr>
          <w:rFonts w:hint="eastAsia" w:ascii="宋体" w:hAnsi="宋体" w:eastAsia="宋体" w:cs="宋体"/>
          <w:b/>
          <w:bCs/>
          <w:color w:val="auto"/>
          <w:sz w:val="21"/>
          <w:szCs w:val="21"/>
          <w:highlight w:val="none"/>
          <w:lang w:val="en-US" w:eastAsia="zh-CN" w:bidi="hi-IN"/>
        </w:rPr>
        <w:t xml:space="preserve">第十六条：合同附件 </w:t>
      </w:r>
    </w:p>
    <w:p w14:paraId="329C68B8">
      <w:pPr>
        <w:pStyle w:val="88"/>
        <w:keepNext w:val="0"/>
        <w:keepLines w:val="0"/>
        <w:pageBreakBefore w:val="0"/>
        <w:tabs>
          <w:tab w:val="left" w:pos="0"/>
        </w:tabs>
        <w:kinsoku/>
        <w:wordWrap/>
        <w:overflowPunct/>
        <w:topLinePunct w:val="0"/>
        <w:autoSpaceDE/>
        <w:autoSpaceDN/>
        <w:bidi w:val="0"/>
        <w:spacing w:beforeAutospacing="0" w:line="420" w:lineRule="exact"/>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本招标文件、在招标过程中的书面答疑、乙方投标文件，均作为本合同的有效附件，与合同同时产生法律效力。</w:t>
      </w:r>
    </w:p>
    <w:p w14:paraId="20F7BA0D">
      <w:pPr>
        <w:pStyle w:val="88"/>
        <w:keepNext w:val="0"/>
        <w:keepLines w:val="0"/>
        <w:pageBreakBefore w:val="0"/>
        <w:tabs>
          <w:tab w:val="left" w:pos="0"/>
        </w:tabs>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sz w:val="21"/>
          <w:szCs w:val="21"/>
          <w:highlight w:val="none"/>
        </w:rPr>
      </w:pPr>
    </w:p>
    <w:p w14:paraId="44B669AE">
      <w:pPr>
        <w:pStyle w:val="88"/>
        <w:keepNext w:val="0"/>
        <w:keepLines w:val="0"/>
        <w:pageBreakBefore w:val="0"/>
        <w:tabs>
          <w:tab w:val="left" w:pos="0"/>
        </w:tabs>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                                    乙方：</w:t>
      </w:r>
    </w:p>
    <w:p w14:paraId="212C0713">
      <w:pPr>
        <w:pStyle w:val="88"/>
        <w:keepNext w:val="0"/>
        <w:keepLines w:val="0"/>
        <w:pageBreakBefore w:val="0"/>
        <w:tabs>
          <w:tab w:val="left" w:pos="0"/>
        </w:tabs>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（盖章）                               （盖章）</w:t>
      </w:r>
    </w:p>
    <w:p w14:paraId="559A810F">
      <w:pPr>
        <w:pStyle w:val="88"/>
        <w:keepNext w:val="0"/>
        <w:keepLines w:val="0"/>
        <w:pageBreakBefore w:val="0"/>
        <w:tabs>
          <w:tab w:val="left" w:pos="0"/>
        </w:tabs>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法人或委托代理人：                    法人或委托代理人：</w:t>
      </w:r>
    </w:p>
    <w:p w14:paraId="3FCE4F92">
      <w:pPr>
        <w:pStyle w:val="88"/>
        <w:keepNext w:val="0"/>
        <w:keepLines w:val="0"/>
        <w:pageBreakBefore w:val="0"/>
        <w:tabs>
          <w:tab w:val="left" w:pos="0"/>
        </w:tabs>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                        （签字或盖章）</w:t>
      </w:r>
    </w:p>
    <w:p w14:paraId="446707A5">
      <w:pPr>
        <w:pStyle w:val="88"/>
        <w:keepNext w:val="0"/>
        <w:keepLines w:val="0"/>
        <w:pageBreakBefore w:val="0"/>
        <w:tabs>
          <w:tab w:val="left" w:pos="0"/>
        </w:tabs>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                            开户银行：</w:t>
      </w:r>
    </w:p>
    <w:p w14:paraId="0018A84F">
      <w:pPr>
        <w:pStyle w:val="88"/>
        <w:keepNext w:val="0"/>
        <w:keepLines w:val="0"/>
        <w:pageBreakBefore w:val="0"/>
        <w:tabs>
          <w:tab w:val="left" w:pos="0"/>
        </w:tabs>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                                账号：</w:t>
      </w:r>
    </w:p>
    <w:p w14:paraId="021FDF76">
      <w:pPr>
        <w:pStyle w:val="88"/>
        <w:keepNext w:val="0"/>
        <w:keepLines w:val="0"/>
        <w:pageBreakBefore w:val="0"/>
        <w:tabs>
          <w:tab w:val="left" w:pos="0"/>
        </w:tabs>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联系人电话                            联系人电话</w:t>
      </w:r>
    </w:p>
    <w:p w14:paraId="0D65852C">
      <w:pPr>
        <w:pStyle w:val="88"/>
        <w:keepNext w:val="0"/>
        <w:keepLines w:val="0"/>
        <w:pageBreakBefore w:val="0"/>
        <w:tabs>
          <w:tab w:val="left" w:pos="0"/>
        </w:tabs>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地址：                                地址： </w:t>
      </w:r>
    </w:p>
    <w:p w14:paraId="3F11F4DE">
      <w:pPr>
        <w:pStyle w:val="88"/>
        <w:keepNext w:val="0"/>
        <w:keepLines w:val="0"/>
        <w:pageBreakBefore w:val="0"/>
        <w:tabs>
          <w:tab w:val="left" w:pos="0"/>
        </w:tabs>
        <w:kinsoku/>
        <w:wordWrap/>
        <w:overflowPunct/>
        <w:topLinePunct w:val="0"/>
        <w:autoSpaceDE/>
        <w:autoSpaceDN/>
        <w:bidi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年    月    日</w:t>
      </w:r>
      <w:r>
        <w:rPr>
          <w:rFonts w:hint="eastAsia" w:ascii="宋体" w:hAnsi="宋体" w:eastAsia="宋体" w:cs="宋体"/>
          <w:color w:val="auto"/>
          <w:sz w:val="21"/>
          <w:szCs w:val="21"/>
          <w:highlight w:val="none"/>
        </w:rPr>
        <w:t xml:space="preserve">            日期：</w:t>
      </w:r>
      <w:r>
        <w:rPr>
          <w:rFonts w:hint="eastAsia" w:ascii="宋体" w:hAnsi="宋体" w:eastAsia="宋体" w:cs="宋体"/>
          <w:color w:val="auto"/>
          <w:sz w:val="21"/>
          <w:szCs w:val="21"/>
          <w:highlight w:val="none"/>
          <w:u w:val="single"/>
        </w:rPr>
        <w:t xml:space="preserve">      年    月    日</w:t>
      </w:r>
    </w:p>
    <w:p w14:paraId="69B4C663">
      <w:pPr>
        <w:spacing w:line="360" w:lineRule="auto"/>
        <w:rPr>
          <w:rFonts w:hint="eastAsia" w:ascii="宋体" w:hAnsi="宋体"/>
          <w:b/>
          <w:bCs/>
          <w:color w:val="auto"/>
          <w:sz w:val="40"/>
          <w:szCs w:val="40"/>
          <w:highlight w:val="none"/>
          <w:u w:val="single"/>
          <w:shd w:val="clear" w:color="auto" w:fill="FFFFFF"/>
        </w:rPr>
      </w:pPr>
    </w:p>
    <w:p w14:paraId="33337F87">
      <w:pPr>
        <w:pStyle w:val="2"/>
        <w:spacing w:before="0" w:beforeAutospacing="0" w:after="0" w:afterAutospacing="0" w:line="240" w:lineRule="auto"/>
        <w:ind w:left="0" w:firstLine="0"/>
        <w:jc w:val="center"/>
        <w:rPr>
          <w:rFonts w:hint="eastAsia" w:ascii="宋体" w:hAnsi="宋体"/>
          <w:color w:val="auto"/>
          <w:highlight w:val="none"/>
        </w:rPr>
      </w:pPr>
    </w:p>
    <w:p w14:paraId="2CA6530D">
      <w:pPr>
        <w:pStyle w:val="2"/>
        <w:spacing w:before="0" w:beforeAutospacing="0" w:after="0" w:afterAutospacing="0" w:line="240" w:lineRule="auto"/>
        <w:ind w:left="0" w:firstLine="0"/>
        <w:jc w:val="center"/>
        <w:rPr>
          <w:rFonts w:hint="eastAsia" w:ascii="宋体" w:hAnsi="宋体"/>
          <w:color w:val="auto"/>
          <w:highlight w:val="none"/>
        </w:rPr>
      </w:pPr>
    </w:p>
    <w:p w14:paraId="7D725767">
      <w:pPr>
        <w:pStyle w:val="2"/>
        <w:spacing w:before="0" w:beforeAutospacing="0" w:after="0" w:afterAutospacing="0" w:line="240" w:lineRule="auto"/>
        <w:ind w:left="0" w:firstLine="0"/>
        <w:jc w:val="center"/>
        <w:rPr>
          <w:rFonts w:hint="eastAsia" w:ascii="宋体" w:hAnsi="宋体"/>
          <w:color w:val="auto"/>
          <w:highlight w:val="none"/>
        </w:rPr>
      </w:pPr>
    </w:p>
    <w:p w14:paraId="04ED5607">
      <w:pPr>
        <w:pStyle w:val="2"/>
        <w:spacing w:before="0" w:beforeAutospacing="0" w:after="0" w:afterAutospacing="0" w:line="240" w:lineRule="auto"/>
        <w:ind w:left="0" w:firstLine="0"/>
        <w:jc w:val="center"/>
        <w:rPr>
          <w:rFonts w:hint="eastAsia" w:ascii="宋体" w:hAnsi="宋体"/>
          <w:color w:val="auto"/>
          <w:highlight w:val="none"/>
        </w:rPr>
      </w:pPr>
    </w:p>
    <w:p w14:paraId="6F793C73">
      <w:pPr>
        <w:pStyle w:val="2"/>
        <w:spacing w:before="0" w:beforeAutospacing="0" w:after="0" w:afterAutospacing="0" w:line="240" w:lineRule="auto"/>
        <w:ind w:left="0" w:firstLine="0"/>
        <w:jc w:val="center"/>
        <w:rPr>
          <w:rFonts w:hint="eastAsia" w:ascii="宋体" w:hAnsi="宋体"/>
          <w:color w:val="auto"/>
          <w:highlight w:val="none"/>
        </w:rPr>
      </w:pPr>
    </w:p>
    <w:p w14:paraId="3ED3BDB7">
      <w:pPr>
        <w:rPr>
          <w:rFonts w:hint="eastAsia" w:ascii="宋体" w:hAnsi="宋体"/>
          <w:color w:val="auto"/>
          <w:highlight w:val="none"/>
        </w:rPr>
      </w:pPr>
    </w:p>
    <w:p w14:paraId="534C505E">
      <w:pPr>
        <w:rPr>
          <w:rFonts w:hint="eastAsia" w:ascii="宋体" w:hAnsi="宋体"/>
          <w:color w:val="auto"/>
          <w:highlight w:val="none"/>
        </w:rPr>
      </w:pPr>
    </w:p>
    <w:p w14:paraId="23A23A97">
      <w:pPr>
        <w:rPr>
          <w:rFonts w:hint="eastAsia" w:ascii="宋体" w:hAnsi="宋体"/>
          <w:color w:val="auto"/>
          <w:highlight w:val="none"/>
        </w:rPr>
      </w:pPr>
    </w:p>
    <w:p w14:paraId="3976B9C9">
      <w:pPr>
        <w:rPr>
          <w:rFonts w:hint="eastAsia" w:ascii="宋体" w:hAnsi="宋体"/>
          <w:color w:val="auto"/>
          <w:highlight w:val="none"/>
        </w:rPr>
      </w:pPr>
    </w:p>
    <w:p w14:paraId="5C45F9F9">
      <w:pPr>
        <w:rPr>
          <w:rFonts w:hint="eastAsia" w:ascii="宋体" w:hAnsi="宋体"/>
          <w:color w:val="auto"/>
          <w:highlight w:val="none"/>
        </w:rPr>
      </w:pPr>
    </w:p>
    <w:p w14:paraId="27F3C350">
      <w:pPr>
        <w:rPr>
          <w:rFonts w:hint="eastAsia" w:ascii="宋体" w:hAnsi="宋体"/>
          <w:color w:val="auto"/>
          <w:highlight w:val="none"/>
        </w:rPr>
      </w:pPr>
    </w:p>
    <w:p w14:paraId="0EEC63CE">
      <w:pPr>
        <w:rPr>
          <w:rFonts w:hint="eastAsia" w:ascii="宋体" w:hAnsi="宋体"/>
          <w:color w:val="auto"/>
          <w:highlight w:val="none"/>
        </w:rPr>
      </w:pPr>
    </w:p>
    <w:p w14:paraId="094AA8BD">
      <w:pPr>
        <w:rPr>
          <w:rFonts w:hint="eastAsia" w:ascii="宋体" w:hAnsi="宋体"/>
          <w:color w:val="auto"/>
          <w:highlight w:val="none"/>
        </w:rPr>
      </w:pPr>
    </w:p>
    <w:p w14:paraId="494B511A">
      <w:pPr>
        <w:rPr>
          <w:rFonts w:hint="eastAsia" w:ascii="宋体" w:hAnsi="宋体"/>
          <w:color w:val="auto"/>
          <w:highlight w:val="none"/>
        </w:rPr>
      </w:pPr>
    </w:p>
    <w:p w14:paraId="6BD8EF2F">
      <w:pPr>
        <w:rPr>
          <w:rFonts w:hint="eastAsia" w:ascii="宋体" w:hAnsi="宋体"/>
          <w:color w:val="auto"/>
          <w:highlight w:val="none"/>
        </w:rPr>
      </w:pPr>
    </w:p>
    <w:p w14:paraId="15729EA2">
      <w:pPr>
        <w:rPr>
          <w:rFonts w:hint="eastAsia" w:ascii="宋体" w:hAnsi="宋体"/>
          <w:color w:val="auto"/>
          <w:highlight w:val="none"/>
        </w:rPr>
      </w:pPr>
    </w:p>
    <w:p w14:paraId="390DA2A1">
      <w:pPr>
        <w:rPr>
          <w:rFonts w:hint="eastAsia" w:ascii="宋体" w:hAnsi="宋体"/>
          <w:color w:val="auto"/>
          <w:highlight w:val="none"/>
        </w:rPr>
      </w:pPr>
    </w:p>
    <w:p w14:paraId="79AA6604">
      <w:pPr>
        <w:rPr>
          <w:rFonts w:hint="eastAsia" w:ascii="宋体" w:hAnsi="宋体"/>
          <w:color w:val="auto"/>
          <w:highlight w:val="none"/>
        </w:rPr>
      </w:pPr>
    </w:p>
    <w:p w14:paraId="4F413D35">
      <w:pPr>
        <w:rPr>
          <w:rFonts w:hint="eastAsia" w:ascii="宋体" w:hAnsi="宋体"/>
          <w:color w:val="auto"/>
          <w:highlight w:val="none"/>
        </w:rPr>
      </w:pPr>
    </w:p>
    <w:p w14:paraId="13007532">
      <w:pPr>
        <w:rPr>
          <w:rFonts w:hint="eastAsia" w:ascii="宋体" w:hAnsi="宋体"/>
          <w:color w:val="auto"/>
          <w:highlight w:val="none"/>
        </w:rPr>
      </w:pPr>
    </w:p>
    <w:p w14:paraId="65E374BC">
      <w:pPr>
        <w:rPr>
          <w:rFonts w:hint="eastAsia" w:ascii="宋体" w:hAnsi="宋体"/>
          <w:color w:val="auto"/>
          <w:highlight w:val="none"/>
        </w:rPr>
      </w:pPr>
    </w:p>
    <w:p w14:paraId="3A7DE955">
      <w:pPr>
        <w:rPr>
          <w:rFonts w:hint="eastAsia" w:ascii="宋体" w:hAnsi="宋体"/>
          <w:color w:val="auto"/>
          <w:highlight w:val="none"/>
        </w:rPr>
      </w:pPr>
    </w:p>
    <w:p w14:paraId="668E3913">
      <w:pPr>
        <w:pStyle w:val="2"/>
        <w:spacing w:before="0" w:beforeAutospacing="0" w:after="0" w:afterAutospacing="0" w:line="240" w:lineRule="auto"/>
        <w:ind w:left="0" w:firstLine="0"/>
        <w:jc w:val="center"/>
        <w:rPr>
          <w:rFonts w:hint="eastAsia" w:ascii="宋体" w:hAnsi="宋体"/>
          <w:color w:val="auto"/>
          <w:highlight w:val="none"/>
        </w:rPr>
      </w:pPr>
    </w:p>
    <w:p w14:paraId="5E939ECE">
      <w:pPr>
        <w:rPr>
          <w:rFonts w:hint="eastAsia"/>
          <w:color w:val="auto"/>
          <w:highlight w:val="none"/>
        </w:rPr>
      </w:pPr>
    </w:p>
    <w:p w14:paraId="470E5A91">
      <w:pPr>
        <w:pStyle w:val="2"/>
        <w:spacing w:before="0" w:beforeAutospacing="0" w:after="0" w:afterAutospacing="0" w:line="240" w:lineRule="auto"/>
        <w:ind w:left="0" w:firstLine="0"/>
        <w:jc w:val="center"/>
        <w:rPr>
          <w:rFonts w:ascii="宋体"/>
          <w:color w:val="auto"/>
          <w:highlight w:val="none"/>
        </w:rPr>
      </w:pPr>
      <w:r>
        <w:rPr>
          <w:rFonts w:hint="eastAsia" w:ascii="宋体" w:hAnsi="宋体"/>
          <w:color w:val="auto"/>
          <w:highlight w:val="none"/>
        </w:rPr>
        <w:t>第六部分</w:t>
      </w:r>
      <w:bookmarkStart w:id="897" w:name="_Hlt130807883"/>
      <w:r>
        <w:rPr>
          <w:rFonts w:hint="eastAsia" w:ascii="宋体" w:hAnsi="宋体"/>
          <w:color w:val="auto"/>
          <w:highlight w:val="none"/>
        </w:rPr>
        <w:t>投标文件格式</w:t>
      </w:r>
      <w:bookmarkEnd w:id="897"/>
    </w:p>
    <w:p w14:paraId="42381298">
      <w:pPr>
        <w:spacing w:line="360" w:lineRule="auto"/>
        <w:ind w:firstLine="803" w:firstLineChars="200"/>
        <w:rPr>
          <w:rFonts w:hint="eastAsia" w:ascii="宋体" w:hAnsi="宋体"/>
          <w:b/>
          <w:bCs/>
          <w:color w:val="auto"/>
          <w:sz w:val="40"/>
          <w:szCs w:val="40"/>
          <w:highlight w:val="none"/>
          <w:u w:val="single"/>
          <w:shd w:val="clear" w:color="auto" w:fill="FFFFFF"/>
        </w:rPr>
      </w:pPr>
    </w:p>
    <w:p w14:paraId="65BC48A2">
      <w:pPr>
        <w:spacing w:line="360" w:lineRule="auto"/>
        <w:ind w:firstLine="803" w:firstLineChars="200"/>
        <w:rPr>
          <w:rFonts w:ascii="宋体" w:cs="宋体"/>
          <w:color w:val="auto"/>
          <w:sz w:val="36"/>
          <w:szCs w:val="36"/>
          <w:highlight w:val="none"/>
          <w:shd w:val="clear" w:color="auto" w:fill="FFFFFF"/>
        </w:rPr>
      </w:pPr>
      <w:r>
        <w:rPr>
          <w:rFonts w:hint="eastAsia" w:ascii="宋体" w:hAnsi="宋体"/>
          <w:b/>
          <w:bCs/>
          <w:color w:val="auto"/>
          <w:sz w:val="40"/>
          <w:szCs w:val="40"/>
          <w:highlight w:val="none"/>
          <w:u w:val="single"/>
          <w:shd w:val="clear" w:color="auto" w:fill="FFFFFF"/>
        </w:rPr>
        <w:t xml:space="preserve">                          </w:t>
      </w:r>
      <w:r>
        <w:rPr>
          <w:rFonts w:hint="eastAsia" w:ascii="宋体" w:hAnsi="宋体"/>
          <w:b/>
          <w:bCs/>
          <w:color w:val="auto"/>
          <w:sz w:val="40"/>
          <w:szCs w:val="40"/>
          <w:highlight w:val="none"/>
          <w:shd w:val="clear" w:color="auto" w:fill="FFFFFF"/>
        </w:rPr>
        <w:t>（项目名称）</w:t>
      </w:r>
    </w:p>
    <w:p w14:paraId="779F9AD3">
      <w:pPr>
        <w:spacing w:line="360" w:lineRule="auto"/>
        <w:ind w:firstLine="3360" w:firstLineChars="1200"/>
        <w:rPr>
          <w:rFonts w:ascii="宋体"/>
          <w:color w:val="auto"/>
          <w:sz w:val="28"/>
          <w:szCs w:val="28"/>
          <w:highlight w:val="none"/>
        </w:rPr>
      </w:pPr>
    </w:p>
    <w:p w14:paraId="14ED7E31">
      <w:pPr>
        <w:spacing w:line="360" w:lineRule="auto"/>
        <w:ind w:firstLine="803" w:firstLineChars="200"/>
        <w:jc w:val="center"/>
        <w:rPr>
          <w:rFonts w:hint="eastAsia" w:ascii="宋体" w:hAnsi="宋体"/>
          <w:b/>
          <w:bCs/>
          <w:color w:val="auto"/>
          <w:sz w:val="40"/>
          <w:szCs w:val="40"/>
          <w:highlight w:val="none"/>
          <w:shd w:val="clear" w:color="auto" w:fill="FFFFFF"/>
        </w:rPr>
      </w:pPr>
    </w:p>
    <w:p w14:paraId="042A74AD">
      <w:pPr>
        <w:spacing w:line="360" w:lineRule="auto"/>
        <w:rPr>
          <w:rFonts w:ascii="宋体"/>
          <w:color w:val="auto"/>
          <w:sz w:val="28"/>
          <w:szCs w:val="28"/>
          <w:highlight w:val="none"/>
        </w:rPr>
      </w:pPr>
    </w:p>
    <w:p w14:paraId="5041EB3B">
      <w:pPr>
        <w:spacing w:line="360" w:lineRule="auto"/>
        <w:rPr>
          <w:rFonts w:ascii="宋体"/>
          <w:color w:val="auto"/>
          <w:sz w:val="28"/>
          <w:szCs w:val="28"/>
          <w:highlight w:val="none"/>
        </w:rPr>
      </w:pPr>
    </w:p>
    <w:p w14:paraId="1B855C21">
      <w:pPr>
        <w:pStyle w:val="24"/>
        <w:ind w:firstLine="560"/>
        <w:rPr>
          <w:rFonts w:ascii="宋体"/>
          <w:color w:val="auto"/>
          <w:sz w:val="28"/>
          <w:szCs w:val="28"/>
          <w:highlight w:val="none"/>
        </w:rPr>
      </w:pPr>
    </w:p>
    <w:p w14:paraId="2C4FAE72">
      <w:pPr>
        <w:rPr>
          <w:rFonts w:ascii="宋体"/>
          <w:color w:val="auto"/>
          <w:sz w:val="28"/>
          <w:szCs w:val="28"/>
          <w:highlight w:val="none"/>
        </w:rPr>
      </w:pPr>
    </w:p>
    <w:p w14:paraId="6A336701">
      <w:pPr>
        <w:pStyle w:val="24"/>
        <w:rPr>
          <w:color w:val="auto"/>
          <w:highlight w:val="none"/>
        </w:rPr>
      </w:pPr>
    </w:p>
    <w:p w14:paraId="172C979B">
      <w:pPr>
        <w:spacing w:line="360" w:lineRule="auto"/>
        <w:jc w:val="center"/>
        <w:rPr>
          <w:rFonts w:ascii="宋体"/>
          <w:color w:val="auto"/>
          <w:sz w:val="28"/>
          <w:szCs w:val="28"/>
          <w:highlight w:val="none"/>
        </w:rPr>
      </w:pPr>
      <w:r>
        <w:rPr>
          <w:rFonts w:hint="eastAsia" w:ascii="新宋体" w:hAnsi="新宋体" w:eastAsia="新宋体" w:cs="黑体"/>
          <w:b/>
          <w:bCs/>
          <w:color w:val="auto"/>
          <w:spacing w:val="60"/>
          <w:kern w:val="0"/>
          <w:sz w:val="70"/>
          <w:szCs w:val="70"/>
          <w:highlight w:val="none"/>
        </w:rPr>
        <w:t>投标文件</w:t>
      </w:r>
    </w:p>
    <w:p w14:paraId="35DFBA49">
      <w:pPr>
        <w:spacing w:line="360" w:lineRule="auto"/>
        <w:rPr>
          <w:rFonts w:ascii="宋体"/>
          <w:color w:val="auto"/>
          <w:sz w:val="28"/>
          <w:szCs w:val="28"/>
          <w:highlight w:val="none"/>
        </w:rPr>
      </w:pPr>
    </w:p>
    <w:p w14:paraId="22A12491">
      <w:pPr>
        <w:spacing w:line="360" w:lineRule="auto"/>
        <w:rPr>
          <w:rFonts w:ascii="宋体"/>
          <w:color w:val="auto"/>
          <w:sz w:val="28"/>
          <w:szCs w:val="28"/>
          <w:highlight w:val="none"/>
        </w:rPr>
      </w:pPr>
    </w:p>
    <w:p w14:paraId="3759F54A">
      <w:pPr>
        <w:spacing w:line="360" w:lineRule="auto"/>
        <w:rPr>
          <w:rFonts w:ascii="宋体"/>
          <w:color w:val="auto"/>
          <w:sz w:val="28"/>
          <w:szCs w:val="28"/>
          <w:highlight w:val="none"/>
        </w:rPr>
      </w:pPr>
    </w:p>
    <w:p w14:paraId="09E58152">
      <w:pPr>
        <w:spacing w:line="360" w:lineRule="auto"/>
        <w:rPr>
          <w:rFonts w:ascii="宋体"/>
          <w:color w:val="auto"/>
          <w:sz w:val="28"/>
          <w:szCs w:val="28"/>
          <w:highlight w:val="none"/>
        </w:rPr>
      </w:pPr>
    </w:p>
    <w:p w14:paraId="2A0DFDE4">
      <w:pPr>
        <w:spacing w:line="360" w:lineRule="auto"/>
        <w:rPr>
          <w:rFonts w:ascii="宋体"/>
          <w:color w:val="auto"/>
          <w:sz w:val="28"/>
          <w:szCs w:val="28"/>
          <w:highlight w:val="none"/>
        </w:rPr>
      </w:pPr>
    </w:p>
    <w:p w14:paraId="41028B4A">
      <w:pPr>
        <w:pStyle w:val="34"/>
        <w:rPr>
          <w:color w:val="auto"/>
          <w:sz w:val="28"/>
          <w:szCs w:val="28"/>
          <w:highlight w:val="none"/>
        </w:rPr>
      </w:pPr>
    </w:p>
    <w:p w14:paraId="169B1A15">
      <w:pPr>
        <w:pStyle w:val="34"/>
        <w:rPr>
          <w:color w:val="auto"/>
          <w:sz w:val="28"/>
          <w:szCs w:val="28"/>
          <w:highlight w:val="none"/>
        </w:rPr>
      </w:pPr>
    </w:p>
    <w:p w14:paraId="0AF28E49">
      <w:pPr>
        <w:pStyle w:val="34"/>
        <w:rPr>
          <w:color w:val="auto"/>
          <w:sz w:val="28"/>
          <w:szCs w:val="28"/>
          <w:highlight w:val="none"/>
        </w:rPr>
      </w:pPr>
    </w:p>
    <w:p w14:paraId="6CC11AB9">
      <w:pPr>
        <w:spacing w:line="360" w:lineRule="auto"/>
        <w:jc w:val="center"/>
        <w:rPr>
          <w:rFonts w:ascii="宋体" w:cs="宋体"/>
          <w:color w:val="auto"/>
          <w:sz w:val="28"/>
          <w:szCs w:val="28"/>
          <w:highlight w:val="none"/>
          <w:u w:val="single"/>
          <w:shd w:val="clear" w:color="auto" w:fill="FFFFFF"/>
        </w:rPr>
      </w:pPr>
      <w:r>
        <w:rPr>
          <w:rFonts w:hint="eastAsia" w:ascii="宋体" w:hAnsi="宋体" w:cs="宋体"/>
          <w:color w:val="auto"/>
          <w:sz w:val="28"/>
          <w:szCs w:val="28"/>
          <w:highlight w:val="none"/>
          <w:shd w:val="clear" w:color="auto" w:fill="FFFFFF"/>
        </w:rPr>
        <w:t>供应商：</w:t>
      </w:r>
      <w:r>
        <w:rPr>
          <w:rFonts w:hint="eastAsia" w:ascii="宋体" w:hAnsi="宋体" w:cs="宋体"/>
          <w:color w:val="auto"/>
          <w:sz w:val="28"/>
          <w:szCs w:val="28"/>
          <w:highlight w:val="none"/>
          <w:u w:val="single"/>
          <w:shd w:val="clear" w:color="auto" w:fill="FFFFFF"/>
        </w:rPr>
        <w:t xml:space="preserve">                      </w:t>
      </w:r>
      <w:r>
        <w:rPr>
          <w:rFonts w:hint="eastAsia" w:ascii="宋体" w:hAnsi="宋体" w:cs="宋体"/>
          <w:color w:val="auto"/>
          <w:sz w:val="28"/>
          <w:szCs w:val="28"/>
          <w:highlight w:val="none"/>
          <w:shd w:val="clear" w:color="auto" w:fill="FFFFFF"/>
        </w:rPr>
        <w:t>（企业电子签章）</w:t>
      </w:r>
    </w:p>
    <w:p w14:paraId="4F0AF139">
      <w:pPr>
        <w:spacing w:line="360" w:lineRule="auto"/>
        <w:jc w:val="center"/>
        <w:rPr>
          <w:rFonts w:ascii="宋体" w:cs="宋体"/>
          <w:color w:val="auto"/>
          <w:sz w:val="28"/>
          <w:szCs w:val="28"/>
          <w:highlight w:val="none"/>
          <w:shd w:val="clear" w:color="auto" w:fill="FFFFFF"/>
        </w:rPr>
      </w:pPr>
      <w:r>
        <w:rPr>
          <w:rFonts w:hint="eastAsia" w:ascii="宋体" w:hAnsi="宋体" w:cs="宋体"/>
          <w:color w:val="auto"/>
          <w:sz w:val="28"/>
          <w:szCs w:val="28"/>
          <w:highlight w:val="none"/>
          <w:shd w:val="clear" w:color="auto" w:fill="FFFFFF"/>
        </w:rPr>
        <w:t>法定代表人或委托代理人：</w:t>
      </w:r>
      <w:r>
        <w:rPr>
          <w:rFonts w:hint="eastAsia" w:ascii="宋体" w:hAnsi="宋体" w:cs="宋体"/>
          <w:color w:val="auto"/>
          <w:sz w:val="28"/>
          <w:szCs w:val="28"/>
          <w:highlight w:val="none"/>
          <w:u w:val="single"/>
          <w:shd w:val="clear" w:color="auto" w:fill="FFFFFF"/>
        </w:rPr>
        <w:t xml:space="preserve">       </w:t>
      </w:r>
      <w:r>
        <w:rPr>
          <w:rFonts w:hint="eastAsia" w:ascii="宋体" w:hAnsi="宋体" w:cs="宋体"/>
          <w:color w:val="auto"/>
          <w:sz w:val="28"/>
          <w:szCs w:val="28"/>
          <w:highlight w:val="none"/>
          <w:shd w:val="clear" w:color="auto" w:fill="FFFFFF"/>
        </w:rPr>
        <w:t>（</w:t>
      </w:r>
      <w:r>
        <w:rPr>
          <w:rFonts w:hint="eastAsia" w:hAnsi="宋体" w:cs="黑体"/>
          <w:color w:val="auto"/>
          <w:sz w:val="28"/>
          <w:szCs w:val="28"/>
          <w:highlight w:val="none"/>
          <w:shd w:val="clear" w:color="auto" w:fill="FFFFFF"/>
        </w:rPr>
        <w:t>个人电子签章</w:t>
      </w:r>
      <w:r>
        <w:rPr>
          <w:rFonts w:hint="eastAsia" w:ascii="宋体" w:hAnsi="宋体" w:cs="宋体"/>
          <w:color w:val="auto"/>
          <w:sz w:val="28"/>
          <w:szCs w:val="28"/>
          <w:highlight w:val="none"/>
          <w:shd w:val="clear" w:color="auto" w:fill="FFFFFF"/>
        </w:rPr>
        <w:t>）</w:t>
      </w:r>
    </w:p>
    <w:p w14:paraId="08A7118B">
      <w:pPr>
        <w:jc w:val="center"/>
        <w:rPr>
          <w:rFonts w:hint="eastAsia" w:ascii="宋体" w:hAnsi="宋体" w:cs="宋体"/>
          <w:color w:val="auto"/>
          <w:sz w:val="28"/>
          <w:szCs w:val="28"/>
          <w:highlight w:val="none"/>
          <w:shd w:val="clear" w:color="auto" w:fill="FFFFFF"/>
        </w:rPr>
      </w:pPr>
      <w:r>
        <w:rPr>
          <w:rFonts w:hint="eastAsia" w:ascii="宋体" w:hAnsi="宋体" w:cs="宋体"/>
          <w:color w:val="auto"/>
          <w:sz w:val="28"/>
          <w:szCs w:val="28"/>
          <w:highlight w:val="none"/>
          <w:shd w:val="clear" w:color="auto" w:fill="FFFFFF"/>
        </w:rPr>
        <w:t>年   月    日</w:t>
      </w:r>
    </w:p>
    <w:p w14:paraId="4A425E06">
      <w:pPr>
        <w:jc w:val="center"/>
        <w:rPr>
          <w:rFonts w:hint="eastAsia" w:ascii="宋体" w:hAnsi="宋体" w:cs="宋体"/>
          <w:b/>
          <w:bCs/>
          <w:color w:val="auto"/>
          <w:sz w:val="28"/>
          <w:szCs w:val="28"/>
          <w:highlight w:val="none"/>
          <w:shd w:val="clear" w:color="auto" w:fill="FFFFFF"/>
        </w:rPr>
      </w:pPr>
      <w:r>
        <w:rPr>
          <w:rFonts w:hint="eastAsia" w:ascii="宋体" w:hAnsi="宋体" w:cs="宋体"/>
          <w:b/>
          <w:bCs/>
          <w:color w:val="auto"/>
          <w:sz w:val="28"/>
          <w:szCs w:val="28"/>
          <w:highlight w:val="none"/>
          <w:shd w:val="clear" w:color="auto" w:fill="FFFFFF"/>
        </w:rPr>
        <w:t xml:space="preserve">     评标索引表</w:t>
      </w:r>
    </w:p>
    <w:tbl>
      <w:tblPr>
        <w:tblStyle w:val="25"/>
        <w:tblW w:w="8598" w:type="dxa"/>
        <w:tblInd w:w="93" w:type="dxa"/>
        <w:tblLayout w:type="fixed"/>
        <w:tblCellMar>
          <w:top w:w="0" w:type="dxa"/>
          <w:left w:w="108" w:type="dxa"/>
          <w:bottom w:w="0" w:type="dxa"/>
          <w:right w:w="108" w:type="dxa"/>
        </w:tblCellMar>
      </w:tblPr>
      <w:tblGrid>
        <w:gridCol w:w="1049"/>
        <w:gridCol w:w="631"/>
        <w:gridCol w:w="3497"/>
        <w:gridCol w:w="1688"/>
        <w:gridCol w:w="1733"/>
      </w:tblGrid>
      <w:tr w14:paraId="60CE1DF7">
        <w:tblPrEx>
          <w:tblCellMar>
            <w:top w:w="0" w:type="dxa"/>
            <w:left w:w="108" w:type="dxa"/>
            <w:bottom w:w="0" w:type="dxa"/>
            <w:right w:w="108" w:type="dxa"/>
          </w:tblCellMar>
        </w:tblPrEx>
        <w:trPr>
          <w:trHeight w:val="350" w:hRule="atLeast"/>
        </w:trPr>
        <w:tc>
          <w:tcPr>
            <w:tcW w:w="1680" w:type="dxa"/>
            <w:gridSpan w:val="2"/>
            <w:tcBorders>
              <w:top w:val="single" w:color="000000" w:sz="4" w:space="0"/>
              <w:left w:val="single" w:color="000000" w:sz="4" w:space="0"/>
              <w:bottom w:val="single" w:color="auto" w:sz="4" w:space="0"/>
              <w:right w:val="single" w:color="000000" w:sz="4" w:space="0"/>
            </w:tcBorders>
            <w:shd w:val="clear" w:color="auto" w:fill="FFFFFF"/>
            <w:vAlign w:val="center"/>
          </w:tcPr>
          <w:p w14:paraId="7F527317">
            <w:pPr>
              <w:widowControl/>
              <w:jc w:val="center"/>
              <w:textAlignment w:val="center"/>
              <w:rPr>
                <w:rFonts w:hint="eastAsia" w:ascii="宋体" w:hAnsi="宋体" w:cs="宋体"/>
                <w:color w:val="auto"/>
                <w:highlight w:val="none"/>
              </w:rPr>
            </w:pPr>
            <w:r>
              <w:rPr>
                <w:rFonts w:hint="eastAsia" w:ascii="宋体" w:hAnsi="宋体" w:cs="宋体"/>
                <w:color w:val="auto"/>
                <w:kern w:val="0"/>
                <w:highlight w:val="none"/>
                <w:lang w:bidi="ar"/>
              </w:rPr>
              <w:t>序号</w:t>
            </w:r>
          </w:p>
        </w:tc>
        <w:tc>
          <w:tcPr>
            <w:tcW w:w="3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A7818">
            <w:pPr>
              <w:widowControl/>
              <w:jc w:val="center"/>
              <w:textAlignment w:val="center"/>
              <w:rPr>
                <w:rFonts w:hint="eastAsia" w:ascii="宋体" w:hAnsi="宋体" w:cs="宋体"/>
                <w:color w:val="auto"/>
                <w:highlight w:val="none"/>
              </w:rPr>
            </w:pPr>
            <w:r>
              <w:rPr>
                <w:rFonts w:hint="eastAsia" w:ascii="宋体" w:hAnsi="宋体" w:cs="宋体"/>
                <w:color w:val="auto"/>
                <w:kern w:val="0"/>
                <w:highlight w:val="none"/>
                <w:lang w:bidi="ar"/>
              </w:rPr>
              <w:t>评审因素</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6C02E">
            <w:pPr>
              <w:widowControl/>
              <w:jc w:val="center"/>
              <w:textAlignment w:val="center"/>
              <w:rPr>
                <w:rFonts w:hint="eastAsia" w:ascii="宋体" w:hAnsi="宋体" w:cs="宋体"/>
                <w:color w:val="auto"/>
                <w:highlight w:val="none"/>
              </w:rPr>
            </w:pPr>
            <w:r>
              <w:rPr>
                <w:rFonts w:hint="eastAsia" w:ascii="宋体" w:hAnsi="宋体" w:cs="宋体"/>
                <w:color w:val="auto"/>
                <w:kern w:val="0"/>
                <w:highlight w:val="none"/>
                <w:lang w:bidi="ar"/>
              </w:rPr>
              <w:t>详细内容</w:t>
            </w: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475E0">
            <w:pPr>
              <w:widowControl/>
              <w:jc w:val="center"/>
              <w:textAlignment w:val="center"/>
              <w:rPr>
                <w:rFonts w:hint="eastAsia" w:ascii="宋体" w:hAnsi="宋体" w:cs="宋体"/>
                <w:color w:val="auto"/>
                <w:highlight w:val="none"/>
              </w:rPr>
            </w:pPr>
            <w:r>
              <w:rPr>
                <w:rFonts w:hint="eastAsia" w:ascii="宋体" w:hAnsi="宋体" w:cs="宋体"/>
                <w:color w:val="auto"/>
                <w:kern w:val="0"/>
                <w:highlight w:val="none"/>
                <w:lang w:bidi="ar"/>
              </w:rPr>
              <w:t>对应页码</w:t>
            </w:r>
          </w:p>
        </w:tc>
      </w:tr>
      <w:tr w14:paraId="0B7DE453">
        <w:tblPrEx>
          <w:tblCellMar>
            <w:top w:w="0" w:type="dxa"/>
            <w:left w:w="108" w:type="dxa"/>
            <w:bottom w:w="0" w:type="dxa"/>
            <w:right w:w="108" w:type="dxa"/>
          </w:tblCellMar>
        </w:tblPrEx>
        <w:trPr>
          <w:trHeight w:val="343" w:hRule="atLeast"/>
        </w:trPr>
        <w:tc>
          <w:tcPr>
            <w:tcW w:w="1049" w:type="dxa"/>
            <w:vMerge w:val="restart"/>
            <w:tcBorders>
              <w:top w:val="single" w:color="auto" w:sz="4" w:space="0"/>
              <w:left w:val="single" w:color="auto" w:sz="4" w:space="0"/>
              <w:right w:val="single" w:color="000000" w:sz="4" w:space="0"/>
            </w:tcBorders>
            <w:shd w:val="clear" w:color="auto" w:fill="FFFFFF"/>
            <w:vAlign w:val="center"/>
          </w:tcPr>
          <w:p w14:paraId="29C57EE1">
            <w:pPr>
              <w:spacing w:line="420" w:lineRule="exact"/>
              <w:jc w:val="center"/>
              <w:rPr>
                <w:rFonts w:hint="eastAsia" w:ascii="宋体" w:hAnsi="宋体" w:cs="宋体"/>
                <w:b/>
                <w:bCs/>
                <w:color w:val="auto"/>
                <w:highlight w:val="none"/>
              </w:rPr>
            </w:pPr>
            <w:r>
              <w:rPr>
                <w:rFonts w:hint="eastAsia" w:ascii="宋体" w:hAnsi="宋体"/>
                <w:color w:val="auto"/>
                <w:highlight w:val="none"/>
              </w:rPr>
              <w:t>资格评审标准</w:t>
            </w:r>
          </w:p>
        </w:tc>
        <w:tc>
          <w:tcPr>
            <w:tcW w:w="631" w:type="dxa"/>
            <w:tcBorders>
              <w:top w:val="single" w:color="auto" w:sz="4" w:space="0"/>
              <w:left w:val="single" w:color="000000" w:sz="4" w:space="0"/>
              <w:bottom w:val="single" w:color="000000" w:sz="4" w:space="0"/>
              <w:right w:val="single" w:color="auto" w:sz="4" w:space="0"/>
            </w:tcBorders>
            <w:shd w:val="clear" w:color="auto" w:fill="FFFFFF"/>
            <w:vAlign w:val="center"/>
          </w:tcPr>
          <w:p w14:paraId="1E4CF02F">
            <w:pPr>
              <w:jc w:val="center"/>
              <w:rPr>
                <w:color w:val="auto"/>
                <w:highlight w:val="none"/>
              </w:rPr>
            </w:pPr>
            <w:r>
              <w:rPr>
                <w:rFonts w:hint="eastAsia"/>
                <w:color w:val="auto"/>
                <w:highlight w:val="none"/>
              </w:rPr>
              <w:t>1</w:t>
            </w:r>
          </w:p>
        </w:tc>
        <w:tc>
          <w:tcPr>
            <w:tcW w:w="3497" w:type="dxa"/>
            <w:tcBorders>
              <w:top w:val="single" w:color="000000" w:sz="4" w:space="0"/>
              <w:left w:val="single" w:color="auto" w:sz="4" w:space="0"/>
              <w:bottom w:val="single" w:color="000000" w:sz="4" w:space="0"/>
              <w:right w:val="single" w:color="000000" w:sz="4" w:space="0"/>
            </w:tcBorders>
            <w:shd w:val="clear" w:color="auto" w:fill="FFFFFF"/>
            <w:vAlign w:val="center"/>
          </w:tcPr>
          <w:p w14:paraId="7060AEDC">
            <w:pPr>
              <w:jc w:val="center"/>
              <w:rPr>
                <w:color w:val="auto"/>
                <w:highlight w:val="none"/>
              </w:rPr>
            </w:pPr>
            <w:r>
              <w:rPr>
                <w:rFonts w:hint="eastAsia"/>
                <w:color w:val="auto"/>
                <w:highlight w:val="none"/>
              </w:rPr>
              <w:t>具有独立承担民事责任的能力</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39741">
            <w:pPr>
              <w:jc w:val="center"/>
              <w:rPr>
                <w:color w:val="auto"/>
                <w:highlight w:val="none"/>
              </w:rPr>
            </w:pP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6CC40">
            <w:pPr>
              <w:jc w:val="center"/>
              <w:rPr>
                <w:color w:val="auto"/>
                <w:highlight w:val="none"/>
              </w:rPr>
            </w:pPr>
            <w:r>
              <w:rPr>
                <w:rFonts w:hint="eastAsia"/>
                <w:color w:val="auto"/>
                <w:highlight w:val="none"/>
              </w:rPr>
              <w:t>第X页-第X页</w:t>
            </w:r>
          </w:p>
        </w:tc>
      </w:tr>
      <w:tr w14:paraId="7D6AEBD9">
        <w:tblPrEx>
          <w:tblCellMar>
            <w:top w:w="0" w:type="dxa"/>
            <w:left w:w="108" w:type="dxa"/>
            <w:bottom w:w="0" w:type="dxa"/>
            <w:right w:w="108" w:type="dxa"/>
          </w:tblCellMar>
        </w:tblPrEx>
        <w:trPr>
          <w:trHeight w:val="344" w:hRule="atLeast"/>
        </w:trPr>
        <w:tc>
          <w:tcPr>
            <w:tcW w:w="1049" w:type="dxa"/>
            <w:vMerge w:val="continue"/>
            <w:tcBorders>
              <w:left w:val="single" w:color="auto" w:sz="4" w:space="0"/>
              <w:right w:val="single" w:color="000000" w:sz="4" w:space="0"/>
            </w:tcBorders>
            <w:shd w:val="clear" w:color="auto" w:fill="FFFFFF"/>
            <w:noWrap/>
            <w:vAlign w:val="center"/>
          </w:tcPr>
          <w:p w14:paraId="718816A8">
            <w:pPr>
              <w:rPr>
                <w:rFonts w:hint="eastAsia" w:ascii="宋体" w:hAnsi="宋体" w:cs="宋体"/>
                <w:color w:val="auto"/>
                <w:highlight w:val="none"/>
              </w:rPr>
            </w:pPr>
          </w:p>
        </w:tc>
        <w:tc>
          <w:tcPr>
            <w:tcW w:w="631"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763DEC9">
            <w:pPr>
              <w:jc w:val="center"/>
              <w:rPr>
                <w:color w:val="auto"/>
                <w:highlight w:val="none"/>
              </w:rPr>
            </w:pPr>
            <w:r>
              <w:rPr>
                <w:rFonts w:hint="eastAsia"/>
                <w:color w:val="auto"/>
                <w:highlight w:val="none"/>
              </w:rPr>
              <w:t>2</w:t>
            </w:r>
          </w:p>
        </w:tc>
        <w:tc>
          <w:tcPr>
            <w:tcW w:w="3497" w:type="dxa"/>
            <w:tcBorders>
              <w:top w:val="single" w:color="000000" w:sz="4" w:space="0"/>
              <w:left w:val="single" w:color="auto" w:sz="4" w:space="0"/>
              <w:bottom w:val="single" w:color="000000" w:sz="4" w:space="0"/>
              <w:right w:val="single" w:color="000000" w:sz="4" w:space="0"/>
            </w:tcBorders>
            <w:shd w:val="clear" w:color="auto" w:fill="FFFFFF"/>
            <w:vAlign w:val="center"/>
          </w:tcPr>
          <w:p w14:paraId="2E92D35C">
            <w:pPr>
              <w:jc w:val="center"/>
              <w:rPr>
                <w:color w:val="auto"/>
                <w:highlight w:val="none"/>
              </w:rPr>
            </w:pPr>
            <w:r>
              <w:rPr>
                <w:rFonts w:hint="eastAsia"/>
                <w:color w:val="auto"/>
                <w:highlight w:val="none"/>
              </w:rPr>
              <w:t>具有良好的商业信誉和健全的财务会计制度</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ADDF9">
            <w:pPr>
              <w:jc w:val="center"/>
              <w:rPr>
                <w:color w:val="auto"/>
                <w:highlight w:val="none"/>
              </w:rPr>
            </w:pP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7EB56">
            <w:pPr>
              <w:jc w:val="center"/>
              <w:rPr>
                <w:color w:val="auto"/>
                <w:highlight w:val="none"/>
              </w:rPr>
            </w:pPr>
            <w:r>
              <w:rPr>
                <w:rFonts w:hint="eastAsia"/>
                <w:color w:val="auto"/>
                <w:highlight w:val="none"/>
              </w:rPr>
              <w:t>第X页-第X页</w:t>
            </w:r>
          </w:p>
        </w:tc>
      </w:tr>
      <w:tr w14:paraId="65531B9B">
        <w:tblPrEx>
          <w:tblCellMar>
            <w:top w:w="0" w:type="dxa"/>
            <w:left w:w="108" w:type="dxa"/>
            <w:bottom w:w="0" w:type="dxa"/>
            <w:right w:w="108" w:type="dxa"/>
          </w:tblCellMar>
        </w:tblPrEx>
        <w:trPr>
          <w:trHeight w:val="344" w:hRule="atLeast"/>
        </w:trPr>
        <w:tc>
          <w:tcPr>
            <w:tcW w:w="1049" w:type="dxa"/>
            <w:vMerge w:val="continue"/>
            <w:tcBorders>
              <w:left w:val="single" w:color="auto" w:sz="4" w:space="0"/>
              <w:right w:val="single" w:color="000000" w:sz="4" w:space="0"/>
            </w:tcBorders>
            <w:shd w:val="clear" w:color="auto" w:fill="FFFFFF"/>
            <w:vAlign w:val="center"/>
          </w:tcPr>
          <w:p w14:paraId="29407BFA">
            <w:pPr>
              <w:widowControl/>
              <w:jc w:val="left"/>
              <w:textAlignment w:val="center"/>
              <w:rPr>
                <w:rFonts w:hint="eastAsia" w:ascii="宋体" w:hAnsi="宋体" w:cs="宋体"/>
                <w:b/>
                <w:bCs/>
                <w:color w:val="auto"/>
                <w:highlight w:val="none"/>
              </w:rPr>
            </w:pPr>
          </w:p>
        </w:tc>
        <w:tc>
          <w:tcPr>
            <w:tcW w:w="631"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329E34D">
            <w:pPr>
              <w:jc w:val="center"/>
              <w:rPr>
                <w:color w:val="auto"/>
                <w:highlight w:val="none"/>
              </w:rPr>
            </w:pPr>
            <w:r>
              <w:rPr>
                <w:rFonts w:hint="eastAsia"/>
                <w:color w:val="auto"/>
                <w:highlight w:val="none"/>
              </w:rPr>
              <w:t>3</w:t>
            </w:r>
          </w:p>
        </w:tc>
        <w:tc>
          <w:tcPr>
            <w:tcW w:w="3497" w:type="dxa"/>
            <w:tcBorders>
              <w:top w:val="single" w:color="000000" w:sz="4" w:space="0"/>
              <w:left w:val="single" w:color="auto" w:sz="4" w:space="0"/>
              <w:bottom w:val="single" w:color="000000" w:sz="4" w:space="0"/>
              <w:right w:val="single" w:color="000000" w:sz="4" w:space="0"/>
            </w:tcBorders>
            <w:shd w:val="clear" w:color="auto" w:fill="FFFFFF"/>
            <w:vAlign w:val="center"/>
          </w:tcPr>
          <w:p w14:paraId="70A8D854">
            <w:pPr>
              <w:jc w:val="center"/>
              <w:rPr>
                <w:color w:val="auto"/>
                <w:highlight w:val="none"/>
              </w:rPr>
            </w:pPr>
            <w:r>
              <w:rPr>
                <w:rFonts w:hint="eastAsia"/>
                <w:color w:val="auto"/>
                <w:highlight w:val="none"/>
              </w:rPr>
              <w:t>具有履行合同所必需的设备和专业技术能力</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073EE">
            <w:pPr>
              <w:jc w:val="center"/>
              <w:rPr>
                <w:color w:val="auto"/>
                <w:highlight w:val="none"/>
              </w:rPr>
            </w:pP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F3EDA">
            <w:pPr>
              <w:jc w:val="center"/>
              <w:rPr>
                <w:color w:val="auto"/>
                <w:highlight w:val="none"/>
              </w:rPr>
            </w:pPr>
            <w:r>
              <w:rPr>
                <w:rFonts w:hint="eastAsia"/>
                <w:color w:val="auto"/>
                <w:highlight w:val="none"/>
              </w:rPr>
              <w:t>第X页-第X页</w:t>
            </w:r>
          </w:p>
        </w:tc>
      </w:tr>
      <w:tr w14:paraId="677FB046">
        <w:tblPrEx>
          <w:tblCellMar>
            <w:top w:w="0" w:type="dxa"/>
            <w:left w:w="108" w:type="dxa"/>
            <w:bottom w:w="0" w:type="dxa"/>
            <w:right w:w="108" w:type="dxa"/>
          </w:tblCellMar>
        </w:tblPrEx>
        <w:trPr>
          <w:trHeight w:val="343" w:hRule="atLeast"/>
        </w:trPr>
        <w:tc>
          <w:tcPr>
            <w:tcW w:w="1049" w:type="dxa"/>
            <w:vMerge w:val="continue"/>
            <w:tcBorders>
              <w:left w:val="single" w:color="auto" w:sz="4" w:space="0"/>
              <w:right w:val="single" w:color="000000" w:sz="4" w:space="0"/>
            </w:tcBorders>
            <w:shd w:val="clear" w:color="auto" w:fill="FFFFFF"/>
            <w:noWrap/>
            <w:vAlign w:val="center"/>
          </w:tcPr>
          <w:p w14:paraId="358BEC3C">
            <w:pPr>
              <w:rPr>
                <w:rFonts w:hint="eastAsia" w:ascii="宋体" w:hAnsi="宋体" w:cs="宋体"/>
                <w:color w:val="auto"/>
                <w:highlight w:val="none"/>
              </w:rPr>
            </w:pPr>
          </w:p>
        </w:tc>
        <w:tc>
          <w:tcPr>
            <w:tcW w:w="631" w:type="dxa"/>
            <w:tcBorders>
              <w:top w:val="single" w:color="000000" w:sz="4" w:space="0"/>
              <w:left w:val="single" w:color="000000" w:sz="4" w:space="0"/>
              <w:bottom w:val="single" w:color="000000" w:sz="4" w:space="0"/>
              <w:right w:val="single" w:color="auto" w:sz="4" w:space="0"/>
            </w:tcBorders>
            <w:shd w:val="clear" w:color="auto" w:fill="FFFFFF"/>
            <w:vAlign w:val="center"/>
          </w:tcPr>
          <w:p w14:paraId="7AF3A227">
            <w:pPr>
              <w:jc w:val="center"/>
              <w:rPr>
                <w:color w:val="auto"/>
                <w:highlight w:val="none"/>
              </w:rPr>
            </w:pPr>
            <w:r>
              <w:rPr>
                <w:rFonts w:hint="eastAsia"/>
                <w:color w:val="auto"/>
                <w:highlight w:val="none"/>
              </w:rPr>
              <w:t>4</w:t>
            </w:r>
          </w:p>
        </w:tc>
        <w:tc>
          <w:tcPr>
            <w:tcW w:w="3497" w:type="dxa"/>
            <w:tcBorders>
              <w:top w:val="single" w:color="000000" w:sz="4" w:space="0"/>
              <w:left w:val="single" w:color="auto" w:sz="4" w:space="0"/>
              <w:bottom w:val="single" w:color="000000" w:sz="4" w:space="0"/>
              <w:right w:val="single" w:color="000000" w:sz="4" w:space="0"/>
            </w:tcBorders>
            <w:shd w:val="clear" w:color="auto" w:fill="FFFFFF"/>
            <w:vAlign w:val="center"/>
          </w:tcPr>
          <w:p w14:paraId="47647710">
            <w:pPr>
              <w:jc w:val="center"/>
              <w:rPr>
                <w:color w:val="auto"/>
                <w:highlight w:val="none"/>
              </w:rPr>
            </w:pPr>
            <w:r>
              <w:rPr>
                <w:rFonts w:hint="eastAsia"/>
                <w:color w:val="auto"/>
                <w:highlight w:val="none"/>
              </w:rPr>
              <w:t>依法纳税和社会保障资金缴纳证明</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ED4A5">
            <w:pPr>
              <w:jc w:val="center"/>
              <w:rPr>
                <w:color w:val="auto"/>
                <w:highlight w:val="none"/>
              </w:rPr>
            </w:pP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BE683">
            <w:pPr>
              <w:jc w:val="center"/>
              <w:rPr>
                <w:color w:val="auto"/>
                <w:highlight w:val="none"/>
              </w:rPr>
            </w:pPr>
            <w:r>
              <w:rPr>
                <w:rFonts w:hint="eastAsia"/>
                <w:color w:val="auto"/>
                <w:highlight w:val="none"/>
              </w:rPr>
              <w:t>第X页-第X页</w:t>
            </w:r>
          </w:p>
        </w:tc>
      </w:tr>
      <w:tr w14:paraId="3930A2AD">
        <w:tblPrEx>
          <w:tblCellMar>
            <w:top w:w="0" w:type="dxa"/>
            <w:left w:w="108" w:type="dxa"/>
            <w:bottom w:w="0" w:type="dxa"/>
            <w:right w:w="108" w:type="dxa"/>
          </w:tblCellMar>
        </w:tblPrEx>
        <w:trPr>
          <w:trHeight w:val="344" w:hRule="atLeast"/>
        </w:trPr>
        <w:tc>
          <w:tcPr>
            <w:tcW w:w="1049" w:type="dxa"/>
            <w:vMerge w:val="continue"/>
            <w:tcBorders>
              <w:left w:val="single" w:color="auto" w:sz="4" w:space="0"/>
              <w:right w:val="single" w:color="000000" w:sz="4" w:space="0"/>
            </w:tcBorders>
            <w:shd w:val="clear" w:color="auto" w:fill="FFFFFF"/>
            <w:vAlign w:val="center"/>
          </w:tcPr>
          <w:p w14:paraId="6541F50C">
            <w:pPr>
              <w:widowControl/>
              <w:jc w:val="left"/>
              <w:textAlignment w:val="center"/>
              <w:rPr>
                <w:rFonts w:hint="eastAsia" w:ascii="宋体" w:hAnsi="宋体" w:cs="宋体"/>
                <w:b/>
                <w:bCs/>
                <w:color w:val="auto"/>
                <w:highlight w:val="none"/>
              </w:rPr>
            </w:pPr>
          </w:p>
        </w:tc>
        <w:tc>
          <w:tcPr>
            <w:tcW w:w="631"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A759951">
            <w:pPr>
              <w:jc w:val="center"/>
              <w:rPr>
                <w:color w:val="auto"/>
                <w:highlight w:val="none"/>
              </w:rPr>
            </w:pPr>
            <w:r>
              <w:rPr>
                <w:rFonts w:hint="eastAsia"/>
                <w:color w:val="auto"/>
                <w:highlight w:val="none"/>
              </w:rPr>
              <w:t>5</w:t>
            </w:r>
          </w:p>
        </w:tc>
        <w:tc>
          <w:tcPr>
            <w:tcW w:w="3497" w:type="dxa"/>
            <w:tcBorders>
              <w:top w:val="single" w:color="000000" w:sz="4" w:space="0"/>
              <w:left w:val="single" w:color="auto" w:sz="4" w:space="0"/>
              <w:bottom w:val="single" w:color="000000" w:sz="4" w:space="0"/>
              <w:right w:val="single" w:color="000000" w:sz="4" w:space="0"/>
            </w:tcBorders>
            <w:shd w:val="clear" w:color="auto" w:fill="FFFFFF"/>
            <w:vAlign w:val="center"/>
          </w:tcPr>
          <w:p w14:paraId="07D37DD9">
            <w:pPr>
              <w:jc w:val="center"/>
              <w:rPr>
                <w:color w:val="auto"/>
                <w:highlight w:val="none"/>
              </w:rPr>
            </w:pPr>
            <w:r>
              <w:rPr>
                <w:rFonts w:hint="eastAsia"/>
                <w:color w:val="auto"/>
                <w:highlight w:val="none"/>
                <w:lang w:val="zh-TW"/>
              </w:rPr>
              <w:t>参加政府采购活动前三年内，在经营活动中没有重大违法记录</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E173F">
            <w:pPr>
              <w:jc w:val="center"/>
              <w:rPr>
                <w:color w:val="auto"/>
                <w:highlight w:val="none"/>
              </w:rPr>
            </w:pP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E1534">
            <w:pPr>
              <w:jc w:val="center"/>
              <w:rPr>
                <w:color w:val="auto"/>
                <w:highlight w:val="none"/>
              </w:rPr>
            </w:pPr>
            <w:r>
              <w:rPr>
                <w:rFonts w:hint="eastAsia"/>
                <w:color w:val="auto"/>
                <w:highlight w:val="none"/>
              </w:rPr>
              <w:t>第X页-第X页</w:t>
            </w:r>
          </w:p>
        </w:tc>
      </w:tr>
      <w:tr w14:paraId="1872ECC9">
        <w:tblPrEx>
          <w:tblCellMar>
            <w:top w:w="0" w:type="dxa"/>
            <w:left w:w="108" w:type="dxa"/>
            <w:bottom w:w="0" w:type="dxa"/>
            <w:right w:w="108" w:type="dxa"/>
          </w:tblCellMar>
        </w:tblPrEx>
        <w:trPr>
          <w:trHeight w:val="519" w:hRule="atLeast"/>
        </w:trPr>
        <w:tc>
          <w:tcPr>
            <w:tcW w:w="1049" w:type="dxa"/>
            <w:vMerge w:val="continue"/>
            <w:tcBorders>
              <w:left w:val="single" w:color="auto" w:sz="4" w:space="0"/>
              <w:bottom w:val="single" w:color="auto" w:sz="4" w:space="0"/>
              <w:right w:val="single" w:color="000000" w:sz="4" w:space="0"/>
            </w:tcBorders>
            <w:noWrap/>
            <w:vAlign w:val="center"/>
          </w:tcPr>
          <w:p w14:paraId="2D5A7605">
            <w:pPr>
              <w:rPr>
                <w:rFonts w:hint="eastAsia" w:ascii="宋体" w:hAnsi="宋体" w:cs="宋体"/>
                <w:color w:val="auto"/>
                <w:highlight w:val="none"/>
              </w:rPr>
            </w:pPr>
          </w:p>
        </w:tc>
        <w:tc>
          <w:tcPr>
            <w:tcW w:w="631" w:type="dxa"/>
            <w:tcBorders>
              <w:top w:val="single" w:color="000000" w:sz="4" w:space="0"/>
              <w:left w:val="single" w:color="000000" w:sz="4" w:space="0"/>
              <w:bottom w:val="single" w:color="auto" w:sz="4" w:space="0"/>
              <w:right w:val="single" w:color="auto" w:sz="4" w:space="0"/>
            </w:tcBorders>
            <w:shd w:val="clear" w:color="auto" w:fill="FFFFFF"/>
            <w:vAlign w:val="center"/>
          </w:tcPr>
          <w:p w14:paraId="46E7D6F9">
            <w:pPr>
              <w:jc w:val="center"/>
              <w:rPr>
                <w:rFonts w:hint="eastAsia" w:eastAsia="宋体"/>
                <w:color w:val="auto"/>
                <w:highlight w:val="none"/>
                <w:lang w:eastAsia="zh-CN"/>
              </w:rPr>
            </w:pPr>
            <w:r>
              <w:rPr>
                <w:rFonts w:hint="eastAsia"/>
                <w:color w:val="auto"/>
                <w:highlight w:val="none"/>
                <w:lang w:val="en-US" w:eastAsia="zh-CN"/>
              </w:rPr>
              <w:t>6</w:t>
            </w:r>
          </w:p>
        </w:tc>
        <w:tc>
          <w:tcPr>
            <w:tcW w:w="3497" w:type="dxa"/>
            <w:tcBorders>
              <w:top w:val="single" w:color="000000" w:sz="4" w:space="0"/>
              <w:left w:val="single" w:color="auto" w:sz="4" w:space="0"/>
              <w:bottom w:val="single" w:color="000000" w:sz="4" w:space="0"/>
              <w:right w:val="single" w:color="000000" w:sz="4" w:space="0"/>
            </w:tcBorders>
            <w:shd w:val="clear" w:color="auto" w:fill="FFFFFF"/>
            <w:vAlign w:val="center"/>
          </w:tcPr>
          <w:p w14:paraId="3322745E">
            <w:pPr>
              <w:jc w:val="center"/>
              <w:rPr>
                <w:color w:val="auto"/>
                <w:highlight w:val="none"/>
              </w:rPr>
            </w:pPr>
            <w:r>
              <w:rPr>
                <w:rFonts w:hint="eastAsia"/>
                <w:color w:val="auto"/>
                <w:highlight w:val="none"/>
              </w:rPr>
              <w:t>其他要求</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5911E">
            <w:pPr>
              <w:jc w:val="center"/>
              <w:rPr>
                <w:color w:val="auto"/>
                <w:highlight w:val="none"/>
              </w:rPr>
            </w:pP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8D856">
            <w:pPr>
              <w:jc w:val="center"/>
              <w:rPr>
                <w:color w:val="auto"/>
                <w:highlight w:val="none"/>
              </w:rPr>
            </w:pPr>
            <w:r>
              <w:rPr>
                <w:rFonts w:hint="eastAsia"/>
                <w:color w:val="auto"/>
                <w:highlight w:val="none"/>
              </w:rPr>
              <w:t>第X页-第X页</w:t>
            </w:r>
          </w:p>
        </w:tc>
      </w:tr>
      <w:tr w14:paraId="09F10CBA">
        <w:tblPrEx>
          <w:tblCellMar>
            <w:top w:w="0" w:type="dxa"/>
            <w:left w:w="108" w:type="dxa"/>
            <w:bottom w:w="0" w:type="dxa"/>
            <w:right w:w="108" w:type="dxa"/>
          </w:tblCellMar>
        </w:tblPrEx>
        <w:trPr>
          <w:trHeight w:val="341" w:hRule="atLeast"/>
        </w:trPr>
        <w:tc>
          <w:tcPr>
            <w:tcW w:w="1049" w:type="dxa"/>
            <w:vMerge w:val="restart"/>
            <w:tcBorders>
              <w:top w:val="single" w:color="auto" w:sz="4" w:space="0"/>
              <w:left w:val="single" w:color="auto" w:sz="4" w:space="0"/>
              <w:bottom w:val="single" w:color="auto" w:sz="4" w:space="0"/>
              <w:right w:val="single" w:color="auto" w:sz="4" w:space="0"/>
            </w:tcBorders>
            <w:noWrap/>
            <w:vAlign w:val="center"/>
          </w:tcPr>
          <w:p w14:paraId="049C2985">
            <w:pPr>
              <w:jc w:val="center"/>
              <w:rPr>
                <w:rFonts w:hint="eastAsia" w:ascii="宋体" w:hAnsi="宋体" w:cs="宋体"/>
                <w:color w:val="auto"/>
                <w:highlight w:val="none"/>
              </w:rPr>
            </w:pPr>
            <w:r>
              <w:rPr>
                <w:rFonts w:hint="eastAsia" w:ascii="宋体" w:hAnsi="宋体"/>
                <w:color w:val="auto"/>
                <w:highlight w:val="none"/>
              </w:rPr>
              <w:t>详细评审标准</w:t>
            </w:r>
          </w:p>
        </w:tc>
        <w:tc>
          <w:tcPr>
            <w:tcW w:w="631" w:type="dxa"/>
            <w:tcBorders>
              <w:top w:val="single" w:color="auto" w:sz="4" w:space="0"/>
              <w:left w:val="single" w:color="auto" w:sz="4" w:space="0"/>
              <w:bottom w:val="single" w:color="000000" w:sz="4" w:space="0"/>
              <w:right w:val="single" w:color="000000" w:sz="4" w:space="0"/>
            </w:tcBorders>
            <w:shd w:val="clear" w:color="auto" w:fill="FFFFFF"/>
            <w:vAlign w:val="center"/>
          </w:tcPr>
          <w:p w14:paraId="4ED8DB4A">
            <w:pPr>
              <w:jc w:val="center"/>
              <w:rPr>
                <w:rFonts w:hint="eastAsia" w:eastAsia="宋体"/>
                <w:color w:val="auto"/>
                <w:highlight w:val="none"/>
                <w:lang w:eastAsia="zh-CN"/>
              </w:rPr>
            </w:pPr>
            <w:r>
              <w:rPr>
                <w:rFonts w:hint="eastAsia"/>
                <w:color w:val="auto"/>
                <w:highlight w:val="none"/>
                <w:lang w:val="en-US" w:eastAsia="zh-CN"/>
              </w:rPr>
              <w:t>7</w:t>
            </w:r>
          </w:p>
        </w:tc>
        <w:tc>
          <w:tcPr>
            <w:tcW w:w="3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D5E24">
            <w:pPr>
              <w:spacing w:line="396" w:lineRule="exact"/>
              <w:jc w:val="center"/>
              <w:rPr>
                <w:color w:val="auto"/>
                <w:highlight w:val="none"/>
              </w:rPr>
            </w:pPr>
            <w:r>
              <w:rPr>
                <w:rFonts w:hint="eastAsia" w:ascii="宋体" w:hAnsi="宋体"/>
                <w:color w:val="auto"/>
                <w:highlight w:val="none"/>
                <w:lang w:val="en-US" w:eastAsia="zh-CN"/>
              </w:rPr>
              <w:t>服务</w:t>
            </w:r>
            <w:r>
              <w:rPr>
                <w:rFonts w:hint="eastAsia" w:ascii="宋体" w:hAnsi="宋体"/>
                <w:color w:val="auto"/>
                <w:highlight w:val="none"/>
              </w:rPr>
              <w:t>内容</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3FC3F">
            <w:pPr>
              <w:jc w:val="center"/>
              <w:rPr>
                <w:color w:val="auto"/>
                <w:highlight w:val="none"/>
              </w:rPr>
            </w:pPr>
            <w:r>
              <w:rPr>
                <w:rFonts w:hint="eastAsia"/>
                <w:color w:val="auto"/>
                <w:highlight w:val="none"/>
              </w:rPr>
              <w:t>详见“开标一览表”</w:t>
            </w: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A3257">
            <w:pPr>
              <w:jc w:val="center"/>
              <w:rPr>
                <w:color w:val="auto"/>
                <w:highlight w:val="none"/>
              </w:rPr>
            </w:pPr>
            <w:r>
              <w:rPr>
                <w:rFonts w:hint="eastAsia"/>
                <w:color w:val="auto"/>
                <w:highlight w:val="none"/>
              </w:rPr>
              <w:t>第X页-第X页</w:t>
            </w:r>
          </w:p>
        </w:tc>
      </w:tr>
      <w:tr w14:paraId="5ED48021">
        <w:tblPrEx>
          <w:tblCellMar>
            <w:top w:w="0" w:type="dxa"/>
            <w:left w:w="108" w:type="dxa"/>
            <w:bottom w:w="0" w:type="dxa"/>
            <w:right w:w="108" w:type="dxa"/>
          </w:tblCellMar>
        </w:tblPrEx>
        <w:trPr>
          <w:trHeight w:val="359" w:hRule="atLeast"/>
        </w:trPr>
        <w:tc>
          <w:tcPr>
            <w:tcW w:w="1049" w:type="dxa"/>
            <w:vMerge w:val="continue"/>
            <w:tcBorders>
              <w:top w:val="single" w:color="auto" w:sz="4" w:space="0"/>
              <w:left w:val="single" w:color="auto" w:sz="4" w:space="0"/>
              <w:bottom w:val="single" w:color="auto" w:sz="4" w:space="0"/>
              <w:right w:val="single" w:color="auto" w:sz="4" w:space="0"/>
            </w:tcBorders>
            <w:noWrap/>
            <w:vAlign w:val="center"/>
          </w:tcPr>
          <w:p w14:paraId="13D742C0">
            <w:pPr>
              <w:rPr>
                <w:rFonts w:hint="eastAsia" w:ascii="宋体" w:hAnsi="宋体" w:cs="宋体"/>
                <w:color w:val="auto"/>
                <w:highlight w:val="none"/>
              </w:rPr>
            </w:pPr>
          </w:p>
        </w:tc>
        <w:tc>
          <w:tcPr>
            <w:tcW w:w="631" w:type="dxa"/>
            <w:tcBorders>
              <w:top w:val="single" w:color="000000" w:sz="4" w:space="0"/>
              <w:left w:val="single" w:color="auto" w:sz="4" w:space="0"/>
              <w:bottom w:val="single" w:color="000000" w:sz="4" w:space="0"/>
              <w:right w:val="single" w:color="000000" w:sz="4" w:space="0"/>
            </w:tcBorders>
            <w:shd w:val="clear" w:color="auto" w:fill="FFFFFF"/>
            <w:vAlign w:val="center"/>
          </w:tcPr>
          <w:p w14:paraId="796896BC">
            <w:pPr>
              <w:jc w:val="center"/>
              <w:rPr>
                <w:rFonts w:hint="eastAsia" w:eastAsia="宋体"/>
                <w:color w:val="auto"/>
                <w:highlight w:val="none"/>
                <w:lang w:eastAsia="zh-CN"/>
              </w:rPr>
            </w:pPr>
            <w:r>
              <w:rPr>
                <w:rFonts w:hint="eastAsia"/>
                <w:color w:val="auto"/>
                <w:highlight w:val="none"/>
                <w:lang w:val="en-US" w:eastAsia="zh-CN"/>
              </w:rPr>
              <w:t>8</w:t>
            </w:r>
          </w:p>
        </w:tc>
        <w:tc>
          <w:tcPr>
            <w:tcW w:w="3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9F27B">
            <w:pPr>
              <w:spacing w:line="396" w:lineRule="exact"/>
              <w:jc w:val="center"/>
              <w:rPr>
                <w:color w:val="auto"/>
                <w:highlight w:val="none"/>
              </w:rPr>
            </w:pPr>
            <w:r>
              <w:rPr>
                <w:rFonts w:hint="eastAsia" w:ascii="宋体" w:hAnsi="宋体"/>
                <w:color w:val="auto"/>
                <w:highlight w:val="none"/>
              </w:rPr>
              <w:t>质量要求</w:t>
            </w:r>
          </w:p>
        </w:tc>
        <w:tc>
          <w:tcPr>
            <w:tcW w:w="1688" w:type="dxa"/>
            <w:vMerge w:val="restart"/>
            <w:tcBorders>
              <w:top w:val="single" w:color="000000" w:sz="4" w:space="0"/>
              <w:left w:val="single" w:color="000000" w:sz="4" w:space="0"/>
              <w:right w:val="single" w:color="000000" w:sz="4" w:space="0"/>
            </w:tcBorders>
            <w:shd w:val="clear" w:color="auto" w:fill="FFFFFF"/>
            <w:vAlign w:val="center"/>
          </w:tcPr>
          <w:p w14:paraId="7A8E8F82">
            <w:pPr>
              <w:jc w:val="center"/>
              <w:rPr>
                <w:color w:val="auto"/>
                <w:highlight w:val="none"/>
              </w:rPr>
            </w:pPr>
            <w:r>
              <w:rPr>
                <w:rFonts w:hint="eastAsia"/>
                <w:color w:val="auto"/>
                <w:highlight w:val="none"/>
              </w:rPr>
              <w:t>详见“投标函”</w:t>
            </w:r>
          </w:p>
        </w:tc>
        <w:tc>
          <w:tcPr>
            <w:tcW w:w="1733" w:type="dxa"/>
            <w:vMerge w:val="restart"/>
            <w:tcBorders>
              <w:top w:val="single" w:color="000000" w:sz="4" w:space="0"/>
              <w:left w:val="single" w:color="000000" w:sz="4" w:space="0"/>
              <w:right w:val="single" w:color="000000" w:sz="4" w:space="0"/>
            </w:tcBorders>
            <w:shd w:val="clear" w:color="auto" w:fill="FFFFFF"/>
            <w:vAlign w:val="center"/>
          </w:tcPr>
          <w:p w14:paraId="185BCAAE">
            <w:pPr>
              <w:jc w:val="center"/>
              <w:rPr>
                <w:color w:val="auto"/>
                <w:highlight w:val="none"/>
              </w:rPr>
            </w:pPr>
            <w:r>
              <w:rPr>
                <w:rFonts w:hint="eastAsia"/>
                <w:color w:val="auto"/>
                <w:highlight w:val="none"/>
              </w:rPr>
              <w:t>第X页-第X页</w:t>
            </w:r>
          </w:p>
        </w:tc>
      </w:tr>
      <w:tr w14:paraId="30A44D2F">
        <w:tblPrEx>
          <w:tblCellMar>
            <w:top w:w="0" w:type="dxa"/>
            <w:left w:w="108" w:type="dxa"/>
            <w:bottom w:w="0" w:type="dxa"/>
            <w:right w:w="108" w:type="dxa"/>
          </w:tblCellMar>
        </w:tblPrEx>
        <w:trPr>
          <w:trHeight w:val="209" w:hRule="atLeast"/>
        </w:trPr>
        <w:tc>
          <w:tcPr>
            <w:tcW w:w="1049" w:type="dxa"/>
            <w:vMerge w:val="continue"/>
            <w:tcBorders>
              <w:top w:val="single" w:color="auto" w:sz="4" w:space="0"/>
              <w:left w:val="single" w:color="auto" w:sz="4" w:space="0"/>
              <w:bottom w:val="single" w:color="auto" w:sz="4" w:space="0"/>
              <w:right w:val="single" w:color="auto" w:sz="4" w:space="0"/>
            </w:tcBorders>
            <w:noWrap/>
            <w:vAlign w:val="center"/>
          </w:tcPr>
          <w:p w14:paraId="355EF6DC">
            <w:pPr>
              <w:rPr>
                <w:rFonts w:hint="eastAsia" w:ascii="宋体" w:hAnsi="宋体" w:cs="宋体"/>
                <w:color w:val="auto"/>
                <w:highlight w:val="none"/>
              </w:rPr>
            </w:pPr>
          </w:p>
        </w:tc>
        <w:tc>
          <w:tcPr>
            <w:tcW w:w="631" w:type="dxa"/>
            <w:tcBorders>
              <w:top w:val="single" w:color="000000" w:sz="4" w:space="0"/>
              <w:left w:val="single" w:color="auto" w:sz="4" w:space="0"/>
              <w:bottom w:val="single" w:color="000000" w:sz="4" w:space="0"/>
              <w:right w:val="single" w:color="000000" w:sz="4" w:space="0"/>
            </w:tcBorders>
            <w:shd w:val="clear" w:color="auto" w:fill="FFFFFF"/>
            <w:vAlign w:val="center"/>
          </w:tcPr>
          <w:p w14:paraId="453B5593">
            <w:pPr>
              <w:jc w:val="center"/>
              <w:rPr>
                <w:rFonts w:hint="eastAsia" w:eastAsia="宋体"/>
                <w:color w:val="auto"/>
                <w:highlight w:val="none"/>
                <w:lang w:eastAsia="zh-CN"/>
              </w:rPr>
            </w:pPr>
            <w:r>
              <w:rPr>
                <w:rFonts w:hint="eastAsia"/>
                <w:color w:val="auto"/>
                <w:highlight w:val="none"/>
                <w:lang w:val="en-US" w:eastAsia="zh-CN"/>
              </w:rPr>
              <w:t>9</w:t>
            </w:r>
          </w:p>
        </w:tc>
        <w:tc>
          <w:tcPr>
            <w:tcW w:w="3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B6900">
            <w:pPr>
              <w:spacing w:line="396" w:lineRule="exact"/>
              <w:jc w:val="center"/>
              <w:rPr>
                <w:color w:val="auto"/>
                <w:highlight w:val="none"/>
              </w:rPr>
            </w:pPr>
            <w:r>
              <w:rPr>
                <w:rFonts w:hint="eastAsia" w:ascii="宋体" w:hAnsi="宋体"/>
                <w:color w:val="auto"/>
                <w:highlight w:val="none"/>
                <w:lang w:val="en-US" w:eastAsia="zh-CN"/>
              </w:rPr>
              <w:t>服务</w:t>
            </w:r>
            <w:r>
              <w:rPr>
                <w:rFonts w:hint="eastAsia" w:ascii="宋体" w:hAnsi="宋体"/>
                <w:color w:val="auto"/>
                <w:highlight w:val="none"/>
              </w:rPr>
              <w:t>期限</w:t>
            </w:r>
          </w:p>
        </w:tc>
        <w:tc>
          <w:tcPr>
            <w:tcW w:w="1688" w:type="dxa"/>
            <w:vMerge w:val="continue"/>
            <w:tcBorders>
              <w:left w:val="single" w:color="000000" w:sz="4" w:space="0"/>
              <w:bottom w:val="single" w:color="000000" w:sz="4" w:space="0"/>
              <w:right w:val="single" w:color="000000" w:sz="4" w:space="0"/>
            </w:tcBorders>
            <w:shd w:val="clear" w:color="auto" w:fill="FFFFFF"/>
            <w:vAlign w:val="center"/>
          </w:tcPr>
          <w:p w14:paraId="7B47B73A">
            <w:pPr>
              <w:jc w:val="center"/>
              <w:rPr>
                <w:color w:val="auto"/>
                <w:highlight w:val="none"/>
              </w:rPr>
            </w:pPr>
          </w:p>
        </w:tc>
        <w:tc>
          <w:tcPr>
            <w:tcW w:w="1733" w:type="dxa"/>
            <w:vMerge w:val="continue"/>
            <w:tcBorders>
              <w:left w:val="single" w:color="000000" w:sz="4" w:space="0"/>
              <w:bottom w:val="single" w:color="000000" w:sz="4" w:space="0"/>
              <w:right w:val="single" w:color="000000" w:sz="4" w:space="0"/>
            </w:tcBorders>
            <w:shd w:val="clear" w:color="auto" w:fill="FFFFFF"/>
            <w:vAlign w:val="center"/>
          </w:tcPr>
          <w:p w14:paraId="0DF532BB">
            <w:pPr>
              <w:jc w:val="center"/>
              <w:rPr>
                <w:color w:val="auto"/>
                <w:highlight w:val="none"/>
              </w:rPr>
            </w:pPr>
          </w:p>
        </w:tc>
      </w:tr>
      <w:tr w14:paraId="372A1179">
        <w:tblPrEx>
          <w:tblCellMar>
            <w:top w:w="0" w:type="dxa"/>
            <w:left w:w="108" w:type="dxa"/>
            <w:bottom w:w="0" w:type="dxa"/>
            <w:right w:w="108" w:type="dxa"/>
          </w:tblCellMar>
        </w:tblPrEx>
        <w:trPr>
          <w:trHeight w:val="341" w:hRule="atLeast"/>
        </w:trPr>
        <w:tc>
          <w:tcPr>
            <w:tcW w:w="1049" w:type="dxa"/>
            <w:vMerge w:val="continue"/>
            <w:tcBorders>
              <w:top w:val="single" w:color="auto" w:sz="4" w:space="0"/>
              <w:left w:val="single" w:color="auto" w:sz="4" w:space="0"/>
              <w:bottom w:val="single" w:color="auto" w:sz="4" w:space="0"/>
              <w:right w:val="single" w:color="auto" w:sz="4" w:space="0"/>
            </w:tcBorders>
            <w:noWrap/>
            <w:vAlign w:val="center"/>
          </w:tcPr>
          <w:p w14:paraId="572879EA">
            <w:pPr>
              <w:rPr>
                <w:rFonts w:hint="eastAsia" w:ascii="宋体" w:hAnsi="宋体" w:cs="宋体"/>
                <w:color w:val="auto"/>
                <w:highlight w:val="none"/>
              </w:rPr>
            </w:pPr>
          </w:p>
        </w:tc>
        <w:tc>
          <w:tcPr>
            <w:tcW w:w="631" w:type="dxa"/>
            <w:tcBorders>
              <w:top w:val="single" w:color="000000" w:sz="4" w:space="0"/>
              <w:left w:val="single" w:color="auto" w:sz="4" w:space="0"/>
              <w:bottom w:val="single" w:color="000000" w:sz="4" w:space="0"/>
              <w:right w:val="single" w:color="000000" w:sz="4" w:space="0"/>
            </w:tcBorders>
            <w:shd w:val="clear" w:color="auto" w:fill="FFFFFF"/>
            <w:vAlign w:val="center"/>
          </w:tcPr>
          <w:p w14:paraId="22339CA7">
            <w:pPr>
              <w:jc w:val="center"/>
              <w:rPr>
                <w:rFonts w:hint="default" w:eastAsia="宋体"/>
                <w:color w:val="auto"/>
                <w:highlight w:val="none"/>
                <w:lang w:val="en-US" w:eastAsia="zh-CN"/>
              </w:rPr>
            </w:pPr>
            <w:r>
              <w:rPr>
                <w:rFonts w:hint="eastAsia"/>
                <w:color w:val="auto"/>
                <w:highlight w:val="none"/>
                <w:lang w:val="en-US" w:eastAsia="zh-CN"/>
              </w:rPr>
              <w:t>10</w:t>
            </w:r>
          </w:p>
        </w:tc>
        <w:tc>
          <w:tcPr>
            <w:tcW w:w="3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2EEBE">
            <w:pPr>
              <w:spacing w:line="396" w:lineRule="exact"/>
              <w:jc w:val="center"/>
              <w:rPr>
                <w:color w:val="auto"/>
                <w:highlight w:val="none"/>
              </w:rPr>
            </w:pPr>
            <w:r>
              <w:rPr>
                <w:rFonts w:hint="eastAsia" w:ascii="宋体" w:hAnsi="宋体"/>
                <w:color w:val="auto"/>
                <w:highlight w:val="none"/>
                <w:lang w:val="en-US" w:eastAsia="zh-CN"/>
              </w:rPr>
              <w:t>服务</w:t>
            </w:r>
            <w:r>
              <w:rPr>
                <w:rFonts w:hint="eastAsia" w:ascii="宋体" w:hAnsi="宋体"/>
                <w:color w:val="auto"/>
                <w:highlight w:val="none"/>
              </w:rPr>
              <w:t>范围</w:t>
            </w:r>
          </w:p>
        </w:tc>
        <w:tc>
          <w:tcPr>
            <w:tcW w:w="1688" w:type="dxa"/>
            <w:vMerge w:val="restart"/>
            <w:tcBorders>
              <w:top w:val="single" w:color="000000" w:sz="4" w:space="0"/>
              <w:left w:val="single" w:color="000000" w:sz="4" w:space="0"/>
              <w:right w:val="single" w:color="000000" w:sz="4" w:space="0"/>
            </w:tcBorders>
            <w:shd w:val="clear" w:color="auto" w:fill="FFFFFF"/>
            <w:vAlign w:val="center"/>
          </w:tcPr>
          <w:p w14:paraId="5836B17D">
            <w:pPr>
              <w:jc w:val="center"/>
              <w:rPr>
                <w:color w:val="auto"/>
                <w:highlight w:val="none"/>
              </w:rPr>
            </w:pPr>
            <w:r>
              <w:rPr>
                <w:rFonts w:hint="eastAsia"/>
                <w:color w:val="auto"/>
                <w:highlight w:val="none"/>
              </w:rPr>
              <w:t>详见“开标一览表”</w:t>
            </w:r>
          </w:p>
          <w:p w14:paraId="1DF3B8B5">
            <w:pPr>
              <w:jc w:val="center"/>
              <w:rPr>
                <w:color w:val="auto"/>
                <w:highlight w:val="none"/>
              </w:rPr>
            </w:pPr>
          </w:p>
        </w:tc>
        <w:tc>
          <w:tcPr>
            <w:tcW w:w="1733" w:type="dxa"/>
            <w:vMerge w:val="restart"/>
            <w:tcBorders>
              <w:top w:val="single" w:color="000000" w:sz="4" w:space="0"/>
              <w:left w:val="single" w:color="000000" w:sz="4" w:space="0"/>
              <w:right w:val="single" w:color="000000" w:sz="4" w:space="0"/>
            </w:tcBorders>
            <w:shd w:val="clear" w:color="auto" w:fill="FFFFFF"/>
            <w:vAlign w:val="center"/>
          </w:tcPr>
          <w:p w14:paraId="5B473E2C">
            <w:pPr>
              <w:jc w:val="center"/>
              <w:rPr>
                <w:color w:val="auto"/>
                <w:highlight w:val="none"/>
              </w:rPr>
            </w:pPr>
            <w:r>
              <w:rPr>
                <w:rFonts w:hint="eastAsia"/>
                <w:color w:val="auto"/>
                <w:highlight w:val="none"/>
              </w:rPr>
              <w:t>第X页-第X页</w:t>
            </w:r>
          </w:p>
        </w:tc>
      </w:tr>
      <w:tr w14:paraId="754D610B">
        <w:tblPrEx>
          <w:tblCellMar>
            <w:top w:w="0" w:type="dxa"/>
            <w:left w:w="108" w:type="dxa"/>
            <w:bottom w:w="0" w:type="dxa"/>
            <w:right w:w="108" w:type="dxa"/>
          </w:tblCellMar>
        </w:tblPrEx>
        <w:trPr>
          <w:trHeight w:val="457" w:hRule="atLeast"/>
        </w:trPr>
        <w:tc>
          <w:tcPr>
            <w:tcW w:w="1049" w:type="dxa"/>
            <w:vMerge w:val="continue"/>
            <w:tcBorders>
              <w:top w:val="single" w:color="auto" w:sz="4" w:space="0"/>
              <w:left w:val="single" w:color="auto" w:sz="4" w:space="0"/>
              <w:bottom w:val="single" w:color="auto" w:sz="4" w:space="0"/>
              <w:right w:val="single" w:color="auto" w:sz="4" w:space="0"/>
            </w:tcBorders>
            <w:noWrap/>
            <w:vAlign w:val="center"/>
          </w:tcPr>
          <w:p w14:paraId="41613648">
            <w:pPr>
              <w:rPr>
                <w:rFonts w:hint="eastAsia" w:ascii="宋体" w:hAnsi="宋体" w:cs="宋体"/>
                <w:color w:val="auto"/>
                <w:highlight w:val="none"/>
              </w:rPr>
            </w:pPr>
          </w:p>
        </w:tc>
        <w:tc>
          <w:tcPr>
            <w:tcW w:w="631" w:type="dxa"/>
            <w:tcBorders>
              <w:top w:val="single" w:color="000000" w:sz="4" w:space="0"/>
              <w:left w:val="single" w:color="auto" w:sz="4" w:space="0"/>
              <w:bottom w:val="single" w:color="000000" w:sz="4" w:space="0"/>
              <w:right w:val="single" w:color="000000" w:sz="4" w:space="0"/>
            </w:tcBorders>
            <w:shd w:val="clear" w:color="auto" w:fill="FFFFFF"/>
            <w:vAlign w:val="center"/>
          </w:tcPr>
          <w:p w14:paraId="0AEDB4F6">
            <w:pPr>
              <w:jc w:val="center"/>
              <w:rPr>
                <w:rFonts w:hint="eastAsia" w:eastAsia="宋体"/>
                <w:color w:val="auto"/>
                <w:highlight w:val="none"/>
                <w:lang w:eastAsia="zh-CN"/>
              </w:rPr>
            </w:pPr>
            <w:r>
              <w:rPr>
                <w:rFonts w:hint="eastAsia"/>
                <w:color w:val="auto"/>
                <w:highlight w:val="none"/>
              </w:rPr>
              <w:t>1</w:t>
            </w:r>
            <w:r>
              <w:rPr>
                <w:rFonts w:hint="eastAsia"/>
                <w:color w:val="auto"/>
                <w:highlight w:val="none"/>
                <w:lang w:val="en-US" w:eastAsia="zh-CN"/>
              </w:rPr>
              <w:t>1</w:t>
            </w:r>
          </w:p>
        </w:tc>
        <w:tc>
          <w:tcPr>
            <w:tcW w:w="3497" w:type="dxa"/>
            <w:tcBorders>
              <w:top w:val="single" w:color="000000" w:sz="4" w:space="0"/>
              <w:left w:val="single" w:color="000000" w:sz="4" w:space="0"/>
              <w:right w:val="single" w:color="000000" w:sz="4" w:space="0"/>
            </w:tcBorders>
            <w:shd w:val="clear" w:color="auto" w:fill="FFFFFF"/>
            <w:vAlign w:val="center"/>
          </w:tcPr>
          <w:p w14:paraId="2DCC676D">
            <w:pPr>
              <w:spacing w:line="396" w:lineRule="exact"/>
              <w:jc w:val="center"/>
              <w:rPr>
                <w:color w:val="auto"/>
                <w:highlight w:val="none"/>
              </w:rPr>
            </w:pPr>
            <w:r>
              <w:rPr>
                <w:rFonts w:hint="eastAsia" w:ascii="宋体" w:hAnsi="宋体"/>
                <w:color w:val="auto"/>
                <w:highlight w:val="none"/>
              </w:rPr>
              <w:t>投标有效期</w:t>
            </w:r>
          </w:p>
        </w:tc>
        <w:tc>
          <w:tcPr>
            <w:tcW w:w="1688" w:type="dxa"/>
            <w:vMerge w:val="continue"/>
            <w:tcBorders>
              <w:left w:val="single" w:color="000000" w:sz="4" w:space="0"/>
              <w:right w:val="single" w:color="000000" w:sz="4" w:space="0"/>
            </w:tcBorders>
            <w:shd w:val="clear" w:color="auto" w:fill="FFFFFF"/>
            <w:vAlign w:val="center"/>
          </w:tcPr>
          <w:p w14:paraId="758EB0D1">
            <w:pPr>
              <w:jc w:val="center"/>
              <w:rPr>
                <w:color w:val="auto"/>
                <w:highlight w:val="none"/>
              </w:rPr>
            </w:pPr>
          </w:p>
        </w:tc>
        <w:tc>
          <w:tcPr>
            <w:tcW w:w="1733" w:type="dxa"/>
            <w:vMerge w:val="continue"/>
            <w:tcBorders>
              <w:left w:val="single" w:color="000000" w:sz="4" w:space="0"/>
              <w:right w:val="single" w:color="000000" w:sz="4" w:space="0"/>
            </w:tcBorders>
            <w:shd w:val="clear" w:color="auto" w:fill="FFFFFF"/>
            <w:vAlign w:val="center"/>
          </w:tcPr>
          <w:p w14:paraId="687F124D">
            <w:pPr>
              <w:jc w:val="center"/>
              <w:rPr>
                <w:color w:val="auto"/>
                <w:highlight w:val="none"/>
              </w:rPr>
            </w:pPr>
          </w:p>
        </w:tc>
      </w:tr>
      <w:tr w14:paraId="1B62AB3A">
        <w:tblPrEx>
          <w:tblCellMar>
            <w:top w:w="0" w:type="dxa"/>
            <w:left w:w="108" w:type="dxa"/>
            <w:bottom w:w="0" w:type="dxa"/>
            <w:right w:w="108" w:type="dxa"/>
          </w:tblCellMar>
        </w:tblPrEx>
        <w:trPr>
          <w:trHeight w:val="480" w:hRule="atLeast"/>
        </w:trPr>
        <w:tc>
          <w:tcPr>
            <w:tcW w:w="1049" w:type="dxa"/>
            <w:vMerge w:val="continue"/>
            <w:tcBorders>
              <w:top w:val="single" w:color="auto" w:sz="4" w:space="0"/>
              <w:left w:val="single" w:color="auto" w:sz="4" w:space="0"/>
              <w:bottom w:val="single" w:color="auto" w:sz="4" w:space="0"/>
              <w:right w:val="single" w:color="auto" w:sz="4" w:space="0"/>
            </w:tcBorders>
            <w:noWrap/>
            <w:vAlign w:val="center"/>
          </w:tcPr>
          <w:p w14:paraId="5BE6F30D">
            <w:pPr>
              <w:rPr>
                <w:rFonts w:hint="eastAsia" w:ascii="宋体" w:hAnsi="宋体" w:cs="宋体"/>
                <w:color w:val="auto"/>
                <w:highlight w:val="none"/>
              </w:rPr>
            </w:pPr>
          </w:p>
        </w:tc>
        <w:tc>
          <w:tcPr>
            <w:tcW w:w="631" w:type="dxa"/>
            <w:tcBorders>
              <w:top w:val="single" w:color="000000" w:sz="4" w:space="0"/>
              <w:left w:val="single" w:color="auto" w:sz="4" w:space="0"/>
              <w:bottom w:val="single" w:color="000000" w:sz="4" w:space="0"/>
              <w:right w:val="single" w:color="000000" w:sz="4" w:space="0"/>
            </w:tcBorders>
            <w:shd w:val="clear" w:color="auto" w:fill="FFFFFF"/>
            <w:vAlign w:val="center"/>
          </w:tcPr>
          <w:p w14:paraId="050C34D3">
            <w:pPr>
              <w:jc w:val="center"/>
              <w:rPr>
                <w:rFonts w:hint="eastAsia" w:eastAsia="宋体"/>
                <w:color w:val="auto"/>
                <w:highlight w:val="none"/>
                <w:lang w:eastAsia="zh-CN"/>
              </w:rPr>
            </w:pPr>
            <w:r>
              <w:rPr>
                <w:rFonts w:hint="eastAsia"/>
                <w:color w:val="auto"/>
                <w:highlight w:val="none"/>
              </w:rPr>
              <w:t>1</w:t>
            </w:r>
            <w:r>
              <w:rPr>
                <w:rFonts w:hint="eastAsia"/>
                <w:color w:val="auto"/>
                <w:highlight w:val="none"/>
                <w:lang w:val="en-US" w:eastAsia="zh-CN"/>
              </w:rPr>
              <w:t>2</w:t>
            </w:r>
          </w:p>
        </w:tc>
        <w:tc>
          <w:tcPr>
            <w:tcW w:w="3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D8C2E">
            <w:pPr>
              <w:spacing w:line="396" w:lineRule="exact"/>
              <w:jc w:val="center"/>
              <w:rPr>
                <w:color w:val="auto"/>
                <w:highlight w:val="none"/>
              </w:rPr>
            </w:pPr>
            <w:r>
              <w:rPr>
                <w:rFonts w:hint="eastAsia" w:ascii="宋体" w:hAnsi="宋体"/>
                <w:color w:val="auto"/>
                <w:highlight w:val="none"/>
              </w:rPr>
              <w:t>投标报价</w:t>
            </w:r>
          </w:p>
        </w:tc>
        <w:tc>
          <w:tcPr>
            <w:tcW w:w="1688" w:type="dxa"/>
            <w:vMerge w:val="continue"/>
            <w:tcBorders>
              <w:left w:val="single" w:color="000000" w:sz="4" w:space="0"/>
              <w:bottom w:val="single" w:color="000000" w:sz="4" w:space="0"/>
              <w:right w:val="single" w:color="000000" w:sz="4" w:space="0"/>
            </w:tcBorders>
            <w:shd w:val="clear" w:color="auto" w:fill="FFFFFF"/>
            <w:vAlign w:val="center"/>
          </w:tcPr>
          <w:p w14:paraId="6789FE85">
            <w:pPr>
              <w:jc w:val="center"/>
              <w:rPr>
                <w:color w:val="auto"/>
                <w:highlight w:val="none"/>
              </w:rPr>
            </w:pPr>
          </w:p>
        </w:tc>
        <w:tc>
          <w:tcPr>
            <w:tcW w:w="1733" w:type="dxa"/>
            <w:vMerge w:val="continue"/>
            <w:tcBorders>
              <w:left w:val="single" w:color="000000" w:sz="4" w:space="0"/>
              <w:bottom w:val="single" w:color="000000" w:sz="4" w:space="0"/>
              <w:right w:val="single" w:color="000000" w:sz="4" w:space="0"/>
            </w:tcBorders>
            <w:shd w:val="clear" w:color="auto" w:fill="FFFFFF"/>
            <w:vAlign w:val="center"/>
          </w:tcPr>
          <w:p w14:paraId="429A04D6">
            <w:pPr>
              <w:jc w:val="center"/>
              <w:rPr>
                <w:color w:val="auto"/>
                <w:highlight w:val="none"/>
              </w:rPr>
            </w:pPr>
          </w:p>
        </w:tc>
      </w:tr>
      <w:tr w14:paraId="7FF09AB7">
        <w:tblPrEx>
          <w:tblCellMar>
            <w:top w:w="0" w:type="dxa"/>
            <w:left w:w="108" w:type="dxa"/>
            <w:bottom w:w="0" w:type="dxa"/>
            <w:right w:w="108" w:type="dxa"/>
          </w:tblCellMar>
        </w:tblPrEx>
        <w:trPr>
          <w:trHeight w:val="368" w:hRule="atLeast"/>
        </w:trPr>
        <w:tc>
          <w:tcPr>
            <w:tcW w:w="1049"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4CCCFC1D">
            <w:pPr>
              <w:jc w:val="center"/>
              <w:rPr>
                <w:color w:val="auto"/>
                <w:highlight w:val="none"/>
              </w:rPr>
            </w:pPr>
            <w:r>
              <w:rPr>
                <w:rFonts w:hint="eastAsia"/>
                <w:color w:val="auto"/>
                <w:highlight w:val="none"/>
              </w:rPr>
              <w:t>商务部分</w:t>
            </w:r>
          </w:p>
        </w:tc>
        <w:tc>
          <w:tcPr>
            <w:tcW w:w="631"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4E61318">
            <w:pPr>
              <w:jc w:val="center"/>
              <w:rPr>
                <w:rFonts w:hint="eastAsia" w:eastAsia="宋体"/>
                <w:color w:val="auto"/>
                <w:highlight w:val="none"/>
                <w:lang w:eastAsia="zh-CN"/>
              </w:rPr>
            </w:pPr>
            <w:r>
              <w:rPr>
                <w:rFonts w:hint="eastAsia"/>
                <w:color w:val="auto"/>
                <w:highlight w:val="none"/>
              </w:rPr>
              <w:t>1</w:t>
            </w:r>
            <w:r>
              <w:rPr>
                <w:rFonts w:hint="eastAsia"/>
                <w:color w:val="auto"/>
                <w:highlight w:val="none"/>
                <w:lang w:val="en-US" w:eastAsia="zh-CN"/>
              </w:rPr>
              <w:t>3</w:t>
            </w:r>
          </w:p>
        </w:tc>
        <w:tc>
          <w:tcPr>
            <w:tcW w:w="3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C833C">
            <w:pPr>
              <w:jc w:val="center"/>
              <w:rPr>
                <w:color w:val="auto"/>
                <w:highlight w:val="none"/>
              </w:rPr>
            </w:pPr>
            <w:r>
              <w:rPr>
                <w:rFonts w:hint="eastAsia"/>
                <w:color w:val="auto"/>
                <w:highlight w:val="none"/>
              </w:rPr>
              <w:t>项目业绩</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BE9CA">
            <w:pPr>
              <w:jc w:val="center"/>
              <w:rPr>
                <w:color w:val="auto"/>
                <w:highlight w:val="none"/>
              </w:rPr>
            </w:pP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B24AE">
            <w:pPr>
              <w:jc w:val="center"/>
              <w:rPr>
                <w:color w:val="auto"/>
                <w:highlight w:val="none"/>
              </w:rPr>
            </w:pPr>
            <w:r>
              <w:rPr>
                <w:rFonts w:hint="eastAsia"/>
                <w:color w:val="auto"/>
                <w:highlight w:val="none"/>
              </w:rPr>
              <w:t>第X页-第X页</w:t>
            </w:r>
          </w:p>
        </w:tc>
      </w:tr>
      <w:tr w14:paraId="45AD38FA">
        <w:tblPrEx>
          <w:tblCellMar>
            <w:top w:w="0" w:type="dxa"/>
            <w:left w:w="108" w:type="dxa"/>
            <w:bottom w:w="0" w:type="dxa"/>
            <w:right w:w="108" w:type="dxa"/>
          </w:tblCellMar>
        </w:tblPrEx>
        <w:trPr>
          <w:trHeight w:val="380" w:hRule="atLeast"/>
        </w:trPr>
        <w:tc>
          <w:tcPr>
            <w:tcW w:w="1049" w:type="dxa"/>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AF51996">
            <w:pPr>
              <w:jc w:val="center"/>
              <w:rPr>
                <w:color w:val="auto"/>
                <w:highlight w:val="none"/>
              </w:rPr>
            </w:pPr>
          </w:p>
        </w:tc>
        <w:tc>
          <w:tcPr>
            <w:tcW w:w="631" w:type="dxa"/>
            <w:tcBorders>
              <w:top w:val="single" w:color="000000" w:sz="4" w:space="0"/>
              <w:left w:val="single" w:color="auto" w:sz="4" w:space="0"/>
              <w:bottom w:val="single" w:color="000000" w:sz="4" w:space="0"/>
              <w:right w:val="single" w:color="000000" w:sz="4" w:space="0"/>
            </w:tcBorders>
            <w:shd w:val="clear" w:color="auto" w:fill="FFFFFF"/>
            <w:vAlign w:val="center"/>
          </w:tcPr>
          <w:p w14:paraId="44A67EEF">
            <w:pPr>
              <w:jc w:val="center"/>
              <w:rPr>
                <w:rFonts w:hint="default" w:eastAsia="宋体"/>
                <w:color w:val="auto"/>
                <w:highlight w:val="none"/>
                <w:lang w:val="en-US" w:eastAsia="zh-CN"/>
              </w:rPr>
            </w:pPr>
            <w:r>
              <w:rPr>
                <w:rFonts w:hint="eastAsia"/>
                <w:color w:val="auto"/>
                <w:highlight w:val="none"/>
              </w:rPr>
              <w:t>1</w:t>
            </w:r>
            <w:r>
              <w:rPr>
                <w:rFonts w:hint="eastAsia"/>
                <w:color w:val="auto"/>
                <w:highlight w:val="none"/>
                <w:lang w:val="en-US" w:eastAsia="zh-CN"/>
              </w:rPr>
              <w:t>4</w:t>
            </w:r>
          </w:p>
        </w:tc>
        <w:tc>
          <w:tcPr>
            <w:tcW w:w="3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89BB5">
            <w:pPr>
              <w:spacing w:line="320" w:lineRule="exact"/>
              <w:jc w:val="center"/>
              <w:rPr>
                <w:color w:val="auto"/>
                <w:highlight w:val="none"/>
              </w:rPr>
            </w:pPr>
            <w:r>
              <w:rPr>
                <w:rFonts w:hint="eastAsia"/>
                <w:color w:val="auto"/>
                <w:highlight w:val="none"/>
              </w:rPr>
              <w:t>企业实力</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49C63">
            <w:pPr>
              <w:jc w:val="center"/>
              <w:rPr>
                <w:color w:val="auto"/>
                <w:highlight w:val="none"/>
              </w:rPr>
            </w:pP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2BAEF">
            <w:pPr>
              <w:jc w:val="center"/>
              <w:rPr>
                <w:color w:val="auto"/>
                <w:highlight w:val="none"/>
              </w:rPr>
            </w:pPr>
            <w:r>
              <w:rPr>
                <w:rFonts w:hint="eastAsia"/>
                <w:color w:val="auto"/>
                <w:highlight w:val="none"/>
              </w:rPr>
              <w:t>第X页-第X页</w:t>
            </w:r>
          </w:p>
        </w:tc>
      </w:tr>
      <w:tr w14:paraId="65207008">
        <w:tblPrEx>
          <w:tblCellMar>
            <w:top w:w="0" w:type="dxa"/>
            <w:left w:w="108" w:type="dxa"/>
            <w:bottom w:w="0" w:type="dxa"/>
            <w:right w:w="108" w:type="dxa"/>
          </w:tblCellMar>
        </w:tblPrEx>
        <w:trPr>
          <w:trHeight w:val="437" w:hRule="atLeast"/>
        </w:trPr>
        <w:tc>
          <w:tcPr>
            <w:tcW w:w="1049"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8A50AF9">
            <w:pPr>
              <w:jc w:val="center"/>
              <w:rPr>
                <w:color w:val="auto"/>
                <w:highlight w:val="none"/>
              </w:rPr>
            </w:pPr>
          </w:p>
        </w:tc>
        <w:tc>
          <w:tcPr>
            <w:tcW w:w="631" w:type="dxa"/>
            <w:tcBorders>
              <w:top w:val="single" w:color="000000" w:sz="4" w:space="0"/>
              <w:left w:val="single" w:color="auto" w:sz="4" w:space="0"/>
              <w:bottom w:val="single" w:color="auto" w:sz="4" w:space="0"/>
              <w:right w:val="single" w:color="000000" w:sz="4" w:space="0"/>
            </w:tcBorders>
            <w:shd w:val="clear" w:color="auto" w:fill="FFFFFF"/>
            <w:vAlign w:val="center"/>
          </w:tcPr>
          <w:p w14:paraId="34B11E83">
            <w:pPr>
              <w:jc w:val="center"/>
              <w:rPr>
                <w:rFonts w:hint="eastAsia" w:eastAsia="宋体"/>
                <w:color w:val="auto"/>
                <w:highlight w:val="none"/>
                <w:lang w:eastAsia="zh-CN"/>
              </w:rPr>
            </w:pPr>
            <w:r>
              <w:rPr>
                <w:rFonts w:hint="eastAsia"/>
                <w:color w:val="auto"/>
                <w:highlight w:val="none"/>
              </w:rPr>
              <w:t>1</w:t>
            </w:r>
            <w:r>
              <w:rPr>
                <w:rFonts w:hint="eastAsia"/>
                <w:color w:val="auto"/>
                <w:highlight w:val="none"/>
                <w:lang w:val="en-US" w:eastAsia="zh-CN"/>
              </w:rPr>
              <w:t>5</w:t>
            </w:r>
          </w:p>
        </w:tc>
        <w:tc>
          <w:tcPr>
            <w:tcW w:w="3497" w:type="dxa"/>
            <w:tcBorders>
              <w:top w:val="single" w:color="000000" w:sz="4" w:space="0"/>
              <w:left w:val="single" w:color="000000" w:sz="4" w:space="0"/>
              <w:bottom w:val="single" w:color="auto" w:sz="4" w:space="0"/>
              <w:right w:val="single" w:color="000000" w:sz="4" w:space="0"/>
            </w:tcBorders>
            <w:shd w:val="clear" w:color="auto" w:fill="FFFFFF"/>
            <w:vAlign w:val="center"/>
          </w:tcPr>
          <w:p w14:paraId="1F7C8001">
            <w:pPr>
              <w:jc w:val="center"/>
              <w:rPr>
                <w:color w:val="auto"/>
                <w:highlight w:val="none"/>
              </w:rPr>
            </w:pPr>
            <w:r>
              <w:rPr>
                <w:rFonts w:hint="eastAsia" w:ascii="Calibri" w:hAnsi="Calibri" w:eastAsia="宋体" w:cs="Times New Roman"/>
                <w:color w:val="auto"/>
                <w:kern w:val="2"/>
                <w:sz w:val="21"/>
                <w:szCs w:val="21"/>
                <w:highlight w:val="none"/>
                <w:lang w:val="en-US" w:eastAsia="zh-CN" w:bidi="ar-SA"/>
              </w:rPr>
              <w:t>专业检测能力</w:t>
            </w:r>
          </w:p>
        </w:tc>
        <w:tc>
          <w:tcPr>
            <w:tcW w:w="1688" w:type="dxa"/>
            <w:tcBorders>
              <w:top w:val="single" w:color="000000" w:sz="4" w:space="0"/>
              <w:left w:val="single" w:color="000000" w:sz="4" w:space="0"/>
              <w:bottom w:val="single" w:color="auto" w:sz="4" w:space="0"/>
              <w:right w:val="single" w:color="000000" w:sz="4" w:space="0"/>
            </w:tcBorders>
            <w:shd w:val="clear" w:color="auto" w:fill="FFFFFF"/>
            <w:vAlign w:val="center"/>
          </w:tcPr>
          <w:p w14:paraId="36D0A588">
            <w:pPr>
              <w:jc w:val="center"/>
              <w:rPr>
                <w:color w:val="auto"/>
                <w:highlight w:val="none"/>
              </w:rPr>
            </w:pPr>
          </w:p>
        </w:tc>
        <w:tc>
          <w:tcPr>
            <w:tcW w:w="173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453CCB12">
            <w:pPr>
              <w:jc w:val="center"/>
              <w:rPr>
                <w:color w:val="auto"/>
                <w:highlight w:val="none"/>
              </w:rPr>
            </w:pPr>
            <w:r>
              <w:rPr>
                <w:rFonts w:hint="eastAsia"/>
                <w:color w:val="auto"/>
                <w:highlight w:val="none"/>
              </w:rPr>
              <w:t>第X页-第X页</w:t>
            </w:r>
          </w:p>
        </w:tc>
      </w:tr>
      <w:tr w14:paraId="126E4A71">
        <w:tblPrEx>
          <w:tblCellMar>
            <w:top w:w="0" w:type="dxa"/>
            <w:left w:w="108" w:type="dxa"/>
            <w:bottom w:w="0" w:type="dxa"/>
            <w:right w:w="108" w:type="dxa"/>
          </w:tblCellMar>
        </w:tblPrEx>
        <w:trPr>
          <w:trHeight w:val="481" w:hRule="atLeast"/>
        </w:trPr>
        <w:tc>
          <w:tcPr>
            <w:tcW w:w="1049" w:type="dxa"/>
            <w:vMerge w:val="continue"/>
            <w:tcBorders>
              <w:left w:val="single" w:color="auto" w:sz="4" w:space="0"/>
              <w:bottom w:val="single" w:color="auto" w:sz="4" w:space="0"/>
              <w:right w:val="single" w:color="auto" w:sz="4" w:space="0"/>
            </w:tcBorders>
            <w:shd w:val="clear" w:color="auto" w:fill="FFFFFF"/>
            <w:vAlign w:val="center"/>
          </w:tcPr>
          <w:p w14:paraId="45ABF1ED">
            <w:pPr>
              <w:jc w:val="center"/>
              <w:rPr>
                <w:color w:val="auto"/>
                <w:highlight w:val="none"/>
              </w:rPr>
            </w:pPr>
          </w:p>
        </w:tc>
        <w:tc>
          <w:tcPr>
            <w:tcW w:w="631" w:type="dxa"/>
            <w:tcBorders>
              <w:top w:val="single" w:color="auto" w:sz="4" w:space="0"/>
              <w:left w:val="single" w:color="auto" w:sz="4" w:space="0"/>
              <w:bottom w:val="single" w:color="auto" w:sz="4" w:space="0"/>
              <w:right w:val="single" w:color="000000" w:sz="4" w:space="0"/>
            </w:tcBorders>
            <w:shd w:val="clear" w:color="auto" w:fill="FFFFFF"/>
            <w:vAlign w:val="center"/>
          </w:tcPr>
          <w:p w14:paraId="76BAC33D">
            <w:pPr>
              <w:jc w:val="center"/>
              <w:rPr>
                <w:rFonts w:hint="default" w:eastAsia="宋体"/>
                <w:color w:val="auto"/>
                <w:highlight w:val="none"/>
                <w:lang w:val="en-US" w:eastAsia="zh-CN"/>
              </w:rPr>
            </w:pPr>
            <w:r>
              <w:rPr>
                <w:rFonts w:hint="eastAsia"/>
                <w:color w:val="auto"/>
                <w:highlight w:val="none"/>
                <w:lang w:val="en-US" w:eastAsia="zh-CN"/>
              </w:rPr>
              <w:t>16</w:t>
            </w:r>
          </w:p>
        </w:tc>
        <w:tc>
          <w:tcPr>
            <w:tcW w:w="3497" w:type="dxa"/>
            <w:tcBorders>
              <w:top w:val="single" w:color="auto" w:sz="4" w:space="0"/>
              <w:left w:val="single" w:color="000000" w:sz="4" w:space="0"/>
              <w:bottom w:val="single" w:color="auto" w:sz="4" w:space="0"/>
              <w:right w:val="single" w:color="000000" w:sz="4" w:space="0"/>
            </w:tcBorders>
            <w:shd w:val="clear" w:color="auto" w:fill="FFFFFF"/>
            <w:vAlign w:val="center"/>
          </w:tcPr>
          <w:p w14:paraId="4BBB756F">
            <w:pPr>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食材质量保证</w:t>
            </w:r>
          </w:p>
        </w:tc>
        <w:tc>
          <w:tcPr>
            <w:tcW w:w="1688" w:type="dxa"/>
            <w:tcBorders>
              <w:top w:val="single" w:color="auto" w:sz="4" w:space="0"/>
              <w:left w:val="single" w:color="000000" w:sz="4" w:space="0"/>
              <w:bottom w:val="single" w:color="auto" w:sz="4" w:space="0"/>
              <w:right w:val="single" w:color="000000" w:sz="4" w:space="0"/>
            </w:tcBorders>
            <w:shd w:val="clear" w:color="auto" w:fill="FFFFFF"/>
            <w:vAlign w:val="center"/>
          </w:tcPr>
          <w:p w14:paraId="1363C934">
            <w:pPr>
              <w:jc w:val="center"/>
              <w:rPr>
                <w:color w:val="auto"/>
                <w:highlight w:val="none"/>
              </w:rPr>
            </w:pPr>
          </w:p>
        </w:tc>
        <w:tc>
          <w:tcPr>
            <w:tcW w:w="1733" w:type="dxa"/>
            <w:tcBorders>
              <w:top w:val="single" w:color="auto" w:sz="4" w:space="0"/>
              <w:left w:val="single" w:color="000000" w:sz="4" w:space="0"/>
              <w:bottom w:val="single" w:color="auto" w:sz="4" w:space="0"/>
              <w:right w:val="single" w:color="000000" w:sz="4" w:space="0"/>
            </w:tcBorders>
            <w:shd w:val="clear" w:color="auto" w:fill="FFFFFF"/>
            <w:vAlign w:val="center"/>
          </w:tcPr>
          <w:p w14:paraId="71066120">
            <w:pPr>
              <w:jc w:val="center"/>
              <w:rPr>
                <w:rFonts w:hint="eastAsia"/>
                <w:color w:val="auto"/>
                <w:highlight w:val="none"/>
              </w:rPr>
            </w:pPr>
            <w:r>
              <w:rPr>
                <w:rFonts w:hint="eastAsia"/>
                <w:color w:val="auto"/>
                <w:highlight w:val="none"/>
              </w:rPr>
              <w:t>第X页-第X页</w:t>
            </w:r>
          </w:p>
        </w:tc>
      </w:tr>
      <w:tr w14:paraId="2341DDB0">
        <w:tblPrEx>
          <w:tblCellMar>
            <w:top w:w="0" w:type="dxa"/>
            <w:left w:w="108" w:type="dxa"/>
            <w:bottom w:w="0" w:type="dxa"/>
            <w:right w:w="108" w:type="dxa"/>
          </w:tblCellMar>
        </w:tblPrEx>
        <w:trPr>
          <w:trHeight w:val="414" w:hRule="atLeast"/>
        </w:trPr>
        <w:tc>
          <w:tcPr>
            <w:tcW w:w="1049" w:type="dxa"/>
            <w:vMerge w:val="continue"/>
            <w:tcBorders>
              <w:left w:val="single" w:color="auto" w:sz="4" w:space="0"/>
              <w:bottom w:val="single" w:color="auto" w:sz="4" w:space="0"/>
              <w:right w:val="single" w:color="auto" w:sz="4" w:space="0"/>
            </w:tcBorders>
            <w:shd w:val="clear" w:color="auto" w:fill="FFFFFF"/>
            <w:vAlign w:val="center"/>
          </w:tcPr>
          <w:p w14:paraId="3044748E">
            <w:pPr>
              <w:jc w:val="center"/>
              <w:rPr>
                <w:color w:val="auto"/>
                <w:highlight w:val="none"/>
              </w:rPr>
            </w:pPr>
          </w:p>
        </w:tc>
        <w:tc>
          <w:tcPr>
            <w:tcW w:w="631" w:type="dxa"/>
            <w:tcBorders>
              <w:top w:val="single" w:color="auto" w:sz="4" w:space="0"/>
              <w:left w:val="single" w:color="auto" w:sz="4" w:space="0"/>
              <w:bottom w:val="single" w:color="auto" w:sz="4" w:space="0"/>
              <w:right w:val="single" w:color="000000" w:sz="4" w:space="0"/>
            </w:tcBorders>
            <w:shd w:val="clear" w:color="auto" w:fill="FFFFFF"/>
            <w:vAlign w:val="center"/>
          </w:tcPr>
          <w:p w14:paraId="72FF5386">
            <w:pPr>
              <w:jc w:val="center"/>
              <w:rPr>
                <w:rFonts w:hint="default" w:eastAsia="宋体"/>
                <w:color w:val="auto"/>
                <w:highlight w:val="none"/>
                <w:lang w:val="en-US" w:eastAsia="zh-CN"/>
              </w:rPr>
            </w:pPr>
            <w:r>
              <w:rPr>
                <w:rFonts w:hint="eastAsia"/>
                <w:color w:val="auto"/>
                <w:highlight w:val="none"/>
                <w:lang w:val="en-US" w:eastAsia="zh-CN"/>
              </w:rPr>
              <w:t>17</w:t>
            </w:r>
          </w:p>
        </w:tc>
        <w:tc>
          <w:tcPr>
            <w:tcW w:w="3497" w:type="dxa"/>
            <w:tcBorders>
              <w:top w:val="single" w:color="auto" w:sz="4" w:space="0"/>
              <w:left w:val="single" w:color="000000" w:sz="4" w:space="0"/>
              <w:bottom w:val="single" w:color="auto" w:sz="4" w:space="0"/>
              <w:right w:val="single" w:color="000000" w:sz="4" w:space="0"/>
            </w:tcBorders>
            <w:shd w:val="clear" w:color="auto" w:fill="FFFFFF"/>
            <w:vAlign w:val="center"/>
          </w:tcPr>
          <w:p w14:paraId="6A449B97">
            <w:pPr>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其他要求</w:t>
            </w:r>
          </w:p>
        </w:tc>
        <w:tc>
          <w:tcPr>
            <w:tcW w:w="1688" w:type="dxa"/>
            <w:tcBorders>
              <w:top w:val="single" w:color="auto" w:sz="4" w:space="0"/>
              <w:left w:val="single" w:color="000000" w:sz="4" w:space="0"/>
              <w:bottom w:val="single" w:color="auto" w:sz="4" w:space="0"/>
              <w:right w:val="single" w:color="000000" w:sz="4" w:space="0"/>
            </w:tcBorders>
            <w:shd w:val="clear" w:color="auto" w:fill="FFFFFF"/>
            <w:vAlign w:val="center"/>
          </w:tcPr>
          <w:p w14:paraId="775E1072">
            <w:pPr>
              <w:jc w:val="center"/>
              <w:rPr>
                <w:color w:val="auto"/>
                <w:highlight w:val="none"/>
              </w:rPr>
            </w:pPr>
          </w:p>
        </w:tc>
        <w:tc>
          <w:tcPr>
            <w:tcW w:w="1733" w:type="dxa"/>
            <w:tcBorders>
              <w:top w:val="single" w:color="auto" w:sz="4" w:space="0"/>
              <w:left w:val="single" w:color="000000" w:sz="4" w:space="0"/>
              <w:bottom w:val="single" w:color="auto" w:sz="4" w:space="0"/>
              <w:right w:val="single" w:color="000000" w:sz="4" w:space="0"/>
            </w:tcBorders>
            <w:shd w:val="clear" w:color="auto" w:fill="FFFFFF"/>
            <w:vAlign w:val="center"/>
          </w:tcPr>
          <w:p w14:paraId="71829AA9">
            <w:pPr>
              <w:jc w:val="center"/>
              <w:rPr>
                <w:rFonts w:hint="eastAsia"/>
                <w:color w:val="auto"/>
                <w:highlight w:val="none"/>
              </w:rPr>
            </w:pPr>
            <w:r>
              <w:rPr>
                <w:rFonts w:hint="eastAsia"/>
                <w:color w:val="auto"/>
                <w:highlight w:val="none"/>
              </w:rPr>
              <w:t>第X页-第X页</w:t>
            </w:r>
          </w:p>
        </w:tc>
      </w:tr>
      <w:tr w14:paraId="55CEDA42">
        <w:tblPrEx>
          <w:tblCellMar>
            <w:top w:w="0" w:type="dxa"/>
            <w:left w:w="108" w:type="dxa"/>
            <w:bottom w:w="0" w:type="dxa"/>
            <w:right w:w="108" w:type="dxa"/>
          </w:tblCellMar>
        </w:tblPrEx>
        <w:trPr>
          <w:trHeight w:val="531" w:hRule="atLeast"/>
        </w:trPr>
        <w:tc>
          <w:tcPr>
            <w:tcW w:w="1049" w:type="dxa"/>
            <w:vMerge w:val="continue"/>
            <w:tcBorders>
              <w:left w:val="single" w:color="auto" w:sz="4" w:space="0"/>
              <w:bottom w:val="single" w:color="auto" w:sz="4" w:space="0"/>
              <w:right w:val="single" w:color="auto" w:sz="4" w:space="0"/>
            </w:tcBorders>
            <w:shd w:val="clear" w:color="auto" w:fill="FFFFFF"/>
            <w:vAlign w:val="center"/>
          </w:tcPr>
          <w:p w14:paraId="0054D621">
            <w:pPr>
              <w:jc w:val="center"/>
              <w:rPr>
                <w:color w:val="auto"/>
                <w:highlight w:val="none"/>
              </w:rPr>
            </w:pPr>
          </w:p>
        </w:tc>
        <w:tc>
          <w:tcPr>
            <w:tcW w:w="631" w:type="dxa"/>
            <w:tcBorders>
              <w:top w:val="single" w:color="auto" w:sz="4" w:space="0"/>
              <w:left w:val="single" w:color="auto" w:sz="4" w:space="0"/>
              <w:bottom w:val="single" w:color="auto" w:sz="4" w:space="0"/>
              <w:right w:val="single" w:color="000000" w:sz="4" w:space="0"/>
            </w:tcBorders>
            <w:shd w:val="clear" w:color="auto" w:fill="FFFFFF"/>
            <w:vAlign w:val="center"/>
          </w:tcPr>
          <w:p w14:paraId="1B826835">
            <w:pPr>
              <w:jc w:val="center"/>
              <w:rPr>
                <w:rFonts w:hint="default" w:eastAsia="宋体"/>
                <w:color w:val="auto"/>
                <w:highlight w:val="none"/>
                <w:lang w:val="en-US" w:eastAsia="zh-CN"/>
              </w:rPr>
            </w:pPr>
            <w:r>
              <w:rPr>
                <w:rFonts w:hint="eastAsia"/>
                <w:color w:val="auto"/>
                <w:highlight w:val="none"/>
                <w:lang w:val="en-US" w:eastAsia="zh-CN"/>
              </w:rPr>
              <w:t>18</w:t>
            </w:r>
          </w:p>
        </w:tc>
        <w:tc>
          <w:tcPr>
            <w:tcW w:w="3497" w:type="dxa"/>
            <w:tcBorders>
              <w:top w:val="single" w:color="auto" w:sz="4" w:space="0"/>
              <w:left w:val="single" w:color="000000" w:sz="4" w:space="0"/>
              <w:bottom w:val="single" w:color="auto" w:sz="4" w:space="0"/>
              <w:right w:val="single" w:color="000000" w:sz="4" w:space="0"/>
            </w:tcBorders>
            <w:shd w:val="clear" w:color="auto" w:fill="FFFFFF"/>
            <w:vAlign w:val="center"/>
          </w:tcPr>
          <w:p w14:paraId="47DB35E5">
            <w:pPr>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售后服务方案</w:t>
            </w:r>
          </w:p>
        </w:tc>
        <w:tc>
          <w:tcPr>
            <w:tcW w:w="1688" w:type="dxa"/>
            <w:tcBorders>
              <w:top w:val="single" w:color="auto" w:sz="4" w:space="0"/>
              <w:left w:val="single" w:color="000000" w:sz="4" w:space="0"/>
              <w:bottom w:val="single" w:color="auto" w:sz="4" w:space="0"/>
              <w:right w:val="single" w:color="000000" w:sz="4" w:space="0"/>
            </w:tcBorders>
            <w:shd w:val="clear" w:color="auto" w:fill="FFFFFF"/>
            <w:vAlign w:val="center"/>
          </w:tcPr>
          <w:p w14:paraId="3771E726">
            <w:pPr>
              <w:jc w:val="center"/>
              <w:rPr>
                <w:color w:val="auto"/>
                <w:highlight w:val="none"/>
              </w:rPr>
            </w:pPr>
          </w:p>
        </w:tc>
        <w:tc>
          <w:tcPr>
            <w:tcW w:w="1733" w:type="dxa"/>
            <w:tcBorders>
              <w:top w:val="single" w:color="auto" w:sz="4" w:space="0"/>
              <w:left w:val="single" w:color="000000" w:sz="4" w:space="0"/>
              <w:bottom w:val="single" w:color="auto" w:sz="4" w:space="0"/>
              <w:right w:val="single" w:color="000000" w:sz="4" w:space="0"/>
            </w:tcBorders>
            <w:shd w:val="clear" w:color="auto" w:fill="FFFFFF"/>
            <w:vAlign w:val="center"/>
          </w:tcPr>
          <w:p w14:paraId="5EF05532">
            <w:pPr>
              <w:jc w:val="center"/>
              <w:rPr>
                <w:rFonts w:hint="eastAsia"/>
                <w:color w:val="auto"/>
                <w:highlight w:val="none"/>
              </w:rPr>
            </w:pPr>
            <w:r>
              <w:rPr>
                <w:rFonts w:hint="eastAsia"/>
                <w:color w:val="auto"/>
                <w:highlight w:val="none"/>
              </w:rPr>
              <w:t>第X页-第X页</w:t>
            </w:r>
          </w:p>
        </w:tc>
      </w:tr>
      <w:tr w14:paraId="7BA9B8E8">
        <w:tblPrEx>
          <w:tblCellMar>
            <w:top w:w="0" w:type="dxa"/>
            <w:left w:w="108" w:type="dxa"/>
            <w:bottom w:w="0" w:type="dxa"/>
            <w:right w:w="108" w:type="dxa"/>
          </w:tblCellMar>
        </w:tblPrEx>
        <w:trPr>
          <w:trHeight w:val="447" w:hRule="atLeast"/>
        </w:trPr>
        <w:tc>
          <w:tcPr>
            <w:tcW w:w="1049" w:type="dxa"/>
            <w:vMerge w:val="continue"/>
            <w:tcBorders>
              <w:left w:val="single" w:color="auto" w:sz="4" w:space="0"/>
              <w:bottom w:val="single" w:color="auto" w:sz="4" w:space="0"/>
              <w:right w:val="single" w:color="auto" w:sz="4" w:space="0"/>
            </w:tcBorders>
            <w:shd w:val="clear" w:color="auto" w:fill="FFFFFF"/>
            <w:vAlign w:val="center"/>
          </w:tcPr>
          <w:p w14:paraId="6C244713">
            <w:pPr>
              <w:jc w:val="center"/>
              <w:rPr>
                <w:color w:val="auto"/>
                <w:highlight w:val="none"/>
              </w:rPr>
            </w:pPr>
          </w:p>
        </w:tc>
        <w:tc>
          <w:tcPr>
            <w:tcW w:w="631" w:type="dxa"/>
            <w:tcBorders>
              <w:top w:val="single" w:color="auto" w:sz="4" w:space="0"/>
              <w:left w:val="single" w:color="auto" w:sz="4" w:space="0"/>
              <w:bottom w:val="single" w:color="000000" w:sz="4" w:space="0"/>
              <w:right w:val="single" w:color="000000" w:sz="4" w:space="0"/>
            </w:tcBorders>
            <w:shd w:val="clear" w:color="auto" w:fill="FFFFFF"/>
            <w:vAlign w:val="center"/>
          </w:tcPr>
          <w:p w14:paraId="60C55A81">
            <w:pPr>
              <w:jc w:val="center"/>
              <w:rPr>
                <w:rFonts w:hint="default" w:eastAsia="宋体"/>
                <w:color w:val="auto"/>
                <w:highlight w:val="none"/>
                <w:lang w:val="en-US" w:eastAsia="zh-CN"/>
              </w:rPr>
            </w:pPr>
            <w:r>
              <w:rPr>
                <w:rFonts w:hint="eastAsia"/>
                <w:color w:val="auto"/>
                <w:highlight w:val="none"/>
                <w:lang w:val="en-US" w:eastAsia="zh-CN"/>
              </w:rPr>
              <w:t>19</w:t>
            </w:r>
          </w:p>
        </w:tc>
        <w:tc>
          <w:tcPr>
            <w:tcW w:w="3497"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994B139">
            <w:pPr>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其他服务承诺</w:t>
            </w:r>
          </w:p>
        </w:tc>
        <w:tc>
          <w:tcPr>
            <w:tcW w:w="1688" w:type="dxa"/>
            <w:tcBorders>
              <w:top w:val="single" w:color="auto" w:sz="4" w:space="0"/>
              <w:left w:val="single" w:color="000000" w:sz="4" w:space="0"/>
              <w:bottom w:val="single" w:color="000000" w:sz="4" w:space="0"/>
              <w:right w:val="single" w:color="000000" w:sz="4" w:space="0"/>
            </w:tcBorders>
            <w:shd w:val="clear" w:color="auto" w:fill="FFFFFF"/>
            <w:vAlign w:val="center"/>
          </w:tcPr>
          <w:p w14:paraId="2469E6BB">
            <w:pPr>
              <w:jc w:val="center"/>
              <w:rPr>
                <w:color w:val="auto"/>
                <w:highlight w:val="none"/>
              </w:rPr>
            </w:pPr>
          </w:p>
        </w:tc>
        <w:tc>
          <w:tcPr>
            <w:tcW w:w="1733" w:type="dxa"/>
            <w:tcBorders>
              <w:top w:val="single" w:color="auto" w:sz="4" w:space="0"/>
              <w:left w:val="single" w:color="000000" w:sz="4" w:space="0"/>
              <w:bottom w:val="single" w:color="000000" w:sz="4" w:space="0"/>
              <w:right w:val="single" w:color="000000" w:sz="4" w:space="0"/>
            </w:tcBorders>
            <w:shd w:val="clear" w:color="auto" w:fill="FFFFFF"/>
            <w:vAlign w:val="center"/>
          </w:tcPr>
          <w:p w14:paraId="2515E818">
            <w:pPr>
              <w:jc w:val="center"/>
              <w:rPr>
                <w:rFonts w:hint="eastAsia" w:eastAsia="宋体" w:cs="Times New Roman"/>
                <w:color w:val="auto"/>
                <w:highlight w:val="none"/>
              </w:rPr>
            </w:pPr>
            <w:r>
              <w:rPr>
                <w:rFonts w:hint="eastAsia" w:eastAsia="宋体" w:cs="Times New Roman"/>
                <w:color w:val="auto"/>
                <w:highlight w:val="none"/>
              </w:rPr>
              <w:t>第X页-第X页</w:t>
            </w:r>
          </w:p>
        </w:tc>
      </w:tr>
      <w:tr w14:paraId="7A11A95D">
        <w:tblPrEx>
          <w:tblCellMar>
            <w:top w:w="0" w:type="dxa"/>
            <w:left w:w="108" w:type="dxa"/>
            <w:bottom w:w="0" w:type="dxa"/>
            <w:right w:w="108" w:type="dxa"/>
          </w:tblCellMar>
        </w:tblPrEx>
        <w:trPr>
          <w:trHeight w:val="447" w:hRule="atLeast"/>
        </w:trPr>
        <w:tc>
          <w:tcPr>
            <w:tcW w:w="1049"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16637F6E">
            <w:pPr>
              <w:jc w:val="center"/>
              <w:rPr>
                <w:color w:val="auto"/>
                <w:highlight w:val="none"/>
              </w:rPr>
            </w:pPr>
            <w:r>
              <w:rPr>
                <w:rFonts w:hint="eastAsia"/>
                <w:color w:val="auto"/>
                <w:highlight w:val="none"/>
              </w:rPr>
              <w:t>技术部分</w:t>
            </w:r>
          </w:p>
        </w:tc>
        <w:tc>
          <w:tcPr>
            <w:tcW w:w="631" w:type="dxa"/>
            <w:tcBorders>
              <w:top w:val="single" w:color="000000" w:sz="4" w:space="0"/>
              <w:left w:val="single" w:color="auto" w:sz="4" w:space="0"/>
              <w:bottom w:val="single" w:color="000000" w:sz="4" w:space="0"/>
              <w:right w:val="single" w:color="000000" w:sz="4" w:space="0"/>
            </w:tcBorders>
            <w:shd w:val="clear" w:color="auto" w:fill="FFFFFF"/>
            <w:vAlign w:val="center"/>
          </w:tcPr>
          <w:p w14:paraId="0E7C9964">
            <w:pPr>
              <w:widowControl/>
              <w:jc w:val="center"/>
              <w:textAlignment w:val="center"/>
              <w:rPr>
                <w:rFonts w:hint="default" w:ascii="宋体" w:hAnsi="宋体" w:eastAsia="宋体" w:cs="宋体"/>
                <w:color w:val="auto"/>
                <w:sz w:val="19"/>
                <w:szCs w:val="19"/>
                <w:highlight w:val="none"/>
                <w:lang w:val="en-US" w:eastAsia="zh-CN"/>
              </w:rPr>
            </w:pPr>
            <w:r>
              <w:rPr>
                <w:rFonts w:hint="eastAsia" w:ascii="宋体" w:hAnsi="宋体" w:cs="宋体"/>
                <w:color w:val="auto"/>
                <w:kern w:val="0"/>
                <w:sz w:val="19"/>
                <w:szCs w:val="19"/>
                <w:highlight w:val="none"/>
                <w:lang w:val="en-US" w:eastAsia="zh-CN" w:bidi="ar"/>
              </w:rPr>
              <w:t>20</w:t>
            </w:r>
          </w:p>
        </w:tc>
        <w:tc>
          <w:tcPr>
            <w:tcW w:w="3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4E45E">
            <w:pPr>
              <w:spacing w:line="320" w:lineRule="exact"/>
              <w:jc w:val="center"/>
              <w:rPr>
                <w:rFonts w:hint="eastAsia" w:ascii="宋体" w:hAnsi="宋体" w:cs="宋体"/>
                <w:color w:val="auto"/>
                <w:sz w:val="19"/>
                <w:szCs w:val="19"/>
                <w:highlight w:val="none"/>
              </w:rPr>
            </w:pPr>
            <w:r>
              <w:rPr>
                <w:rFonts w:hint="eastAsia"/>
                <w:color w:val="auto"/>
                <w:highlight w:val="none"/>
              </w:rPr>
              <w:t>供货方案</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34C2F">
            <w:pPr>
              <w:jc w:val="center"/>
              <w:rPr>
                <w:rFonts w:hint="eastAsia" w:ascii="Arial Unicode MS" w:hAnsi="Arial Unicode MS" w:eastAsia="Arial Unicode MS" w:cs="Arial Unicode MS"/>
                <w:color w:val="auto"/>
                <w:sz w:val="20"/>
                <w:szCs w:val="20"/>
                <w:highlight w:val="none"/>
              </w:rPr>
            </w:pP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0DB58">
            <w:pPr>
              <w:jc w:val="center"/>
              <w:rPr>
                <w:rFonts w:hint="eastAsia" w:eastAsia="宋体" w:cs="Times New Roman"/>
                <w:color w:val="auto"/>
                <w:highlight w:val="none"/>
              </w:rPr>
            </w:pPr>
            <w:r>
              <w:rPr>
                <w:rFonts w:hint="eastAsia" w:eastAsia="宋体" w:cs="Times New Roman"/>
                <w:color w:val="auto"/>
                <w:highlight w:val="none"/>
              </w:rPr>
              <w:t>第X页-第X页</w:t>
            </w:r>
          </w:p>
        </w:tc>
      </w:tr>
      <w:tr w14:paraId="29C5BD0B">
        <w:tblPrEx>
          <w:tblCellMar>
            <w:top w:w="0" w:type="dxa"/>
            <w:left w:w="108" w:type="dxa"/>
            <w:bottom w:w="0" w:type="dxa"/>
            <w:right w:w="108" w:type="dxa"/>
          </w:tblCellMar>
        </w:tblPrEx>
        <w:trPr>
          <w:trHeight w:val="344" w:hRule="atLeast"/>
        </w:trPr>
        <w:tc>
          <w:tcPr>
            <w:tcW w:w="1049" w:type="dxa"/>
            <w:vMerge w:val="continue"/>
            <w:tcBorders>
              <w:top w:val="single" w:color="auto" w:sz="4" w:space="0"/>
              <w:left w:val="single" w:color="auto" w:sz="4" w:space="0"/>
              <w:bottom w:val="single" w:color="auto" w:sz="4" w:space="0"/>
              <w:right w:val="single" w:color="auto" w:sz="4" w:space="0"/>
            </w:tcBorders>
            <w:noWrap/>
            <w:vAlign w:val="center"/>
          </w:tcPr>
          <w:p w14:paraId="66F15620">
            <w:pPr>
              <w:rPr>
                <w:color w:val="auto"/>
                <w:highlight w:val="none"/>
              </w:rPr>
            </w:pPr>
          </w:p>
        </w:tc>
        <w:tc>
          <w:tcPr>
            <w:tcW w:w="6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83A03">
            <w:pPr>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w:t>
            </w:r>
          </w:p>
        </w:tc>
        <w:tc>
          <w:tcPr>
            <w:tcW w:w="3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56B54">
            <w:pPr>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w:t>
            </w:r>
          </w:p>
        </w:tc>
        <w:tc>
          <w:tcPr>
            <w:tcW w:w="1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C3AE3">
            <w:pPr>
              <w:jc w:val="center"/>
              <w:rPr>
                <w:rFonts w:hint="eastAsia" w:ascii="Arial Unicode MS" w:hAnsi="Arial Unicode MS" w:eastAsia="Arial Unicode MS" w:cs="Arial Unicode MS"/>
                <w:color w:val="auto"/>
                <w:sz w:val="20"/>
                <w:szCs w:val="20"/>
                <w:highlight w:val="none"/>
              </w:rPr>
            </w:pPr>
          </w:p>
        </w:tc>
        <w:tc>
          <w:tcPr>
            <w:tcW w:w="1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28716">
            <w:pPr>
              <w:jc w:val="center"/>
              <w:rPr>
                <w:rFonts w:hint="eastAsia" w:eastAsia="宋体" w:cs="Times New Roman"/>
                <w:color w:val="auto"/>
                <w:highlight w:val="none"/>
              </w:rPr>
            </w:pPr>
            <w:r>
              <w:rPr>
                <w:rFonts w:hint="eastAsia" w:eastAsia="宋体" w:cs="Times New Roman"/>
                <w:color w:val="auto"/>
                <w:highlight w:val="none"/>
              </w:rPr>
              <w:t>......</w:t>
            </w:r>
          </w:p>
        </w:tc>
      </w:tr>
    </w:tbl>
    <w:p w14:paraId="0355195A">
      <w:pPr>
        <w:tabs>
          <w:tab w:val="left" w:pos="557"/>
        </w:tabs>
        <w:jc w:val="left"/>
        <w:rPr>
          <w:rFonts w:hint="eastAsia" w:ascii="宋体" w:hAnsi="宋体"/>
          <w:color w:val="auto"/>
          <w:highlight w:val="none"/>
        </w:rPr>
      </w:pPr>
    </w:p>
    <w:p w14:paraId="56358961">
      <w:pPr>
        <w:tabs>
          <w:tab w:val="left" w:pos="557"/>
        </w:tabs>
        <w:jc w:val="left"/>
        <w:rPr>
          <w:rFonts w:hint="eastAsia" w:ascii="宋体" w:hAnsi="宋体"/>
          <w:color w:val="auto"/>
          <w:highlight w:val="none"/>
        </w:rPr>
      </w:pPr>
      <w:r>
        <w:rPr>
          <w:rFonts w:hint="eastAsia" w:ascii="宋体" w:hAnsi="宋体"/>
          <w:color w:val="auto"/>
          <w:highlight w:val="none"/>
        </w:rPr>
        <w:t>备注：为了便于评审的高效有序进行，请投标人参照此格式提供评标索引表。</w:t>
      </w:r>
    </w:p>
    <w:p w14:paraId="1C01663A">
      <w:pPr>
        <w:jc w:val="center"/>
        <w:rPr>
          <w:rFonts w:hint="eastAsia" w:ascii="宋体" w:hAnsi="宋体"/>
          <w:color w:val="auto"/>
          <w:sz w:val="36"/>
          <w:szCs w:val="36"/>
          <w:highlight w:val="none"/>
        </w:rPr>
      </w:pPr>
    </w:p>
    <w:p w14:paraId="235715CF">
      <w:pPr>
        <w:jc w:val="center"/>
        <w:rPr>
          <w:rFonts w:hint="eastAsia" w:ascii="宋体" w:hAnsi="宋体"/>
          <w:color w:val="auto"/>
          <w:sz w:val="36"/>
          <w:szCs w:val="36"/>
          <w:highlight w:val="none"/>
        </w:rPr>
      </w:pPr>
    </w:p>
    <w:p w14:paraId="3F96446A">
      <w:pPr>
        <w:jc w:val="center"/>
        <w:rPr>
          <w:rFonts w:hint="eastAsia" w:ascii="宋体" w:hAnsi="宋体"/>
          <w:color w:val="auto"/>
          <w:sz w:val="36"/>
          <w:szCs w:val="36"/>
          <w:highlight w:val="none"/>
        </w:rPr>
      </w:pPr>
    </w:p>
    <w:p w14:paraId="38D1CC19">
      <w:pPr>
        <w:jc w:val="center"/>
        <w:rPr>
          <w:color w:val="auto"/>
          <w:sz w:val="36"/>
          <w:szCs w:val="36"/>
          <w:highlight w:val="none"/>
        </w:rPr>
      </w:pPr>
      <w:r>
        <w:rPr>
          <w:rFonts w:hint="eastAsia" w:ascii="宋体" w:hAnsi="宋体"/>
          <w:color w:val="auto"/>
          <w:sz w:val="36"/>
          <w:szCs w:val="36"/>
          <w:highlight w:val="none"/>
        </w:rPr>
        <w:t>目录</w:t>
      </w:r>
    </w:p>
    <w:p w14:paraId="0BB01290">
      <w:pPr>
        <w:jc w:val="center"/>
        <w:rPr>
          <w:color w:val="auto"/>
          <w:sz w:val="36"/>
          <w:szCs w:val="36"/>
          <w:highlight w:val="none"/>
        </w:rPr>
      </w:pPr>
    </w:p>
    <w:p w14:paraId="14634612">
      <w:pPr>
        <w:spacing w:line="360" w:lineRule="auto"/>
        <w:rPr>
          <w:color w:val="auto"/>
          <w:sz w:val="24"/>
          <w:szCs w:val="24"/>
          <w:highlight w:val="none"/>
        </w:rPr>
      </w:pPr>
      <w:r>
        <w:rPr>
          <w:rFonts w:hint="eastAsia"/>
          <w:color w:val="auto"/>
          <w:sz w:val="24"/>
          <w:szCs w:val="24"/>
          <w:highlight w:val="none"/>
        </w:rPr>
        <w:t>1、法定代表人资格证明或法定代表人授权委托书</w:t>
      </w:r>
    </w:p>
    <w:p w14:paraId="6B438CD4">
      <w:pPr>
        <w:spacing w:line="360" w:lineRule="auto"/>
        <w:rPr>
          <w:color w:val="auto"/>
          <w:sz w:val="24"/>
          <w:szCs w:val="24"/>
          <w:highlight w:val="none"/>
        </w:rPr>
      </w:pPr>
      <w:r>
        <w:rPr>
          <w:rFonts w:hint="eastAsia"/>
          <w:color w:val="auto"/>
          <w:sz w:val="24"/>
          <w:szCs w:val="24"/>
          <w:highlight w:val="none"/>
        </w:rPr>
        <w:t>2、投标函</w:t>
      </w:r>
    </w:p>
    <w:p w14:paraId="2EA39EF4">
      <w:pPr>
        <w:spacing w:line="360" w:lineRule="auto"/>
        <w:rPr>
          <w:color w:val="auto"/>
          <w:sz w:val="24"/>
          <w:szCs w:val="24"/>
          <w:highlight w:val="none"/>
        </w:rPr>
      </w:pPr>
      <w:r>
        <w:rPr>
          <w:rFonts w:hint="eastAsia"/>
          <w:color w:val="auto"/>
          <w:sz w:val="24"/>
          <w:szCs w:val="24"/>
          <w:highlight w:val="none"/>
        </w:rPr>
        <w:t>3、开标一览表</w:t>
      </w:r>
    </w:p>
    <w:p w14:paraId="45098350">
      <w:pPr>
        <w:spacing w:line="360" w:lineRule="auto"/>
        <w:rPr>
          <w:color w:val="auto"/>
          <w:sz w:val="24"/>
          <w:szCs w:val="24"/>
          <w:highlight w:val="none"/>
        </w:rPr>
      </w:pPr>
      <w:r>
        <w:rPr>
          <w:rFonts w:hint="eastAsia"/>
          <w:color w:val="auto"/>
          <w:sz w:val="24"/>
          <w:szCs w:val="24"/>
          <w:highlight w:val="none"/>
        </w:rPr>
        <w:t>4、供货方案</w:t>
      </w:r>
    </w:p>
    <w:p w14:paraId="32460988">
      <w:pPr>
        <w:spacing w:line="360" w:lineRule="auto"/>
        <w:rPr>
          <w:rFonts w:hint="default" w:eastAsia="宋体"/>
          <w:color w:val="auto"/>
          <w:sz w:val="24"/>
          <w:szCs w:val="24"/>
          <w:highlight w:val="none"/>
          <w:lang w:val="en-US" w:eastAsia="zh-CN"/>
        </w:rPr>
      </w:pPr>
      <w:r>
        <w:rPr>
          <w:rFonts w:hint="eastAsia"/>
          <w:color w:val="auto"/>
          <w:sz w:val="24"/>
          <w:szCs w:val="24"/>
          <w:highlight w:val="none"/>
          <w:lang w:val="en-US" w:eastAsia="zh-CN"/>
        </w:rPr>
        <w:t>5</w:t>
      </w:r>
      <w:r>
        <w:rPr>
          <w:rFonts w:hint="eastAsia"/>
          <w:color w:val="auto"/>
          <w:sz w:val="24"/>
          <w:szCs w:val="24"/>
          <w:highlight w:val="none"/>
        </w:rPr>
        <w:t>、</w:t>
      </w:r>
      <w:r>
        <w:rPr>
          <w:rFonts w:hint="eastAsia"/>
          <w:color w:val="auto"/>
          <w:sz w:val="24"/>
          <w:szCs w:val="24"/>
          <w:highlight w:val="none"/>
          <w:lang w:val="en-US" w:eastAsia="zh-CN"/>
        </w:rPr>
        <w:t>商务部分</w:t>
      </w:r>
    </w:p>
    <w:p w14:paraId="71A1B146">
      <w:pPr>
        <w:spacing w:line="360" w:lineRule="auto"/>
        <w:rPr>
          <w:color w:val="auto"/>
          <w:sz w:val="24"/>
          <w:szCs w:val="24"/>
          <w:highlight w:val="none"/>
        </w:rPr>
      </w:pPr>
      <w:r>
        <w:rPr>
          <w:rFonts w:hint="eastAsia"/>
          <w:color w:val="auto"/>
          <w:sz w:val="24"/>
          <w:szCs w:val="24"/>
          <w:highlight w:val="none"/>
          <w:lang w:val="en-US" w:eastAsia="zh-CN"/>
        </w:rPr>
        <w:t>6</w:t>
      </w:r>
      <w:r>
        <w:rPr>
          <w:rFonts w:hint="eastAsia"/>
          <w:color w:val="auto"/>
          <w:sz w:val="24"/>
          <w:szCs w:val="24"/>
          <w:highlight w:val="none"/>
        </w:rPr>
        <w:t>、资格审查资料</w:t>
      </w:r>
    </w:p>
    <w:p w14:paraId="6A6EE3BA">
      <w:pPr>
        <w:spacing w:line="360" w:lineRule="auto"/>
        <w:rPr>
          <w:color w:val="auto"/>
          <w:sz w:val="24"/>
          <w:szCs w:val="24"/>
          <w:highlight w:val="none"/>
        </w:rPr>
      </w:pPr>
      <w:r>
        <w:rPr>
          <w:rFonts w:hint="eastAsia"/>
          <w:color w:val="auto"/>
          <w:sz w:val="24"/>
          <w:szCs w:val="24"/>
          <w:highlight w:val="none"/>
          <w:lang w:val="en-US" w:eastAsia="zh-CN"/>
        </w:rPr>
        <w:t>7</w:t>
      </w:r>
      <w:r>
        <w:rPr>
          <w:rFonts w:hint="eastAsia"/>
          <w:color w:val="auto"/>
          <w:sz w:val="24"/>
          <w:szCs w:val="24"/>
          <w:highlight w:val="none"/>
        </w:rPr>
        <w:t>、供应商反商业贿赂书</w:t>
      </w:r>
    </w:p>
    <w:p w14:paraId="077AF0AA">
      <w:pPr>
        <w:spacing w:line="360" w:lineRule="auto"/>
        <w:rPr>
          <w:color w:val="auto"/>
          <w:sz w:val="24"/>
          <w:szCs w:val="24"/>
          <w:highlight w:val="none"/>
        </w:rPr>
      </w:pPr>
      <w:r>
        <w:rPr>
          <w:rFonts w:hint="eastAsia"/>
          <w:color w:val="auto"/>
          <w:sz w:val="24"/>
          <w:szCs w:val="24"/>
          <w:highlight w:val="none"/>
          <w:lang w:val="en-US" w:eastAsia="zh-CN"/>
        </w:rPr>
        <w:t>8</w:t>
      </w:r>
      <w:r>
        <w:rPr>
          <w:rFonts w:hint="eastAsia"/>
          <w:color w:val="auto"/>
          <w:sz w:val="24"/>
          <w:szCs w:val="24"/>
          <w:highlight w:val="none"/>
        </w:rPr>
        <w:t>、相关证明材料</w:t>
      </w:r>
    </w:p>
    <w:p w14:paraId="16F2D494">
      <w:pPr>
        <w:spacing w:line="360" w:lineRule="auto"/>
        <w:rPr>
          <w:color w:val="auto"/>
          <w:sz w:val="24"/>
          <w:szCs w:val="24"/>
          <w:highlight w:val="none"/>
        </w:rPr>
      </w:pPr>
      <w:r>
        <w:rPr>
          <w:color w:val="auto"/>
          <w:sz w:val="24"/>
          <w:szCs w:val="24"/>
          <w:highlight w:val="none"/>
        </w:rPr>
        <w:br w:type="page"/>
      </w:r>
    </w:p>
    <w:p w14:paraId="332412AC">
      <w:pPr>
        <w:jc w:val="center"/>
        <w:rPr>
          <w:rFonts w:hint="eastAsia" w:ascii="宋体" w:hAnsi="宋体" w:cs="宋体"/>
          <w:b/>
          <w:color w:val="auto"/>
          <w:kern w:val="44"/>
          <w:sz w:val="24"/>
          <w:highlight w:val="none"/>
        </w:rPr>
      </w:pPr>
      <w:bookmarkStart w:id="898" w:name="_Toc478120091"/>
      <w:bookmarkEnd w:id="898"/>
      <w:bookmarkStart w:id="899" w:name="_Toc22483"/>
      <w:bookmarkEnd w:id="899"/>
      <w:bookmarkStart w:id="900" w:name="_Toc28093"/>
      <w:bookmarkEnd w:id="900"/>
      <w:bookmarkStart w:id="901" w:name="_Toc25754"/>
      <w:bookmarkEnd w:id="901"/>
      <w:r>
        <w:rPr>
          <w:rFonts w:hint="eastAsia" w:ascii="宋体" w:hAnsi="宋体" w:cs="宋体"/>
          <w:b/>
          <w:color w:val="auto"/>
          <w:sz w:val="30"/>
          <w:szCs w:val="30"/>
          <w:highlight w:val="none"/>
        </w:rPr>
        <w:t>1、法定代表人资格证明或法定代表人授权委托书</w:t>
      </w:r>
    </w:p>
    <w:p w14:paraId="2068BFDD">
      <w:pPr>
        <w:jc w:val="center"/>
        <w:rPr>
          <w:rFonts w:hint="eastAsia" w:ascii="宋体" w:hAnsi="宋体" w:cs="宋体"/>
          <w:b/>
          <w:color w:val="auto"/>
          <w:kern w:val="44"/>
          <w:sz w:val="24"/>
          <w:highlight w:val="none"/>
        </w:rPr>
      </w:pPr>
    </w:p>
    <w:p w14:paraId="7656E89B">
      <w:pPr>
        <w:jc w:val="center"/>
        <w:rPr>
          <w:rFonts w:hint="eastAsia" w:ascii="宋体" w:hAnsi="宋体" w:cs="宋体"/>
          <w:b/>
          <w:color w:val="auto"/>
          <w:kern w:val="44"/>
          <w:sz w:val="24"/>
          <w:highlight w:val="none"/>
        </w:rPr>
      </w:pPr>
      <w:r>
        <w:rPr>
          <w:rFonts w:hint="eastAsia" w:ascii="宋体" w:hAnsi="宋体" w:cs="宋体"/>
          <w:b/>
          <w:color w:val="auto"/>
          <w:kern w:val="44"/>
          <w:sz w:val="24"/>
          <w:highlight w:val="none"/>
        </w:rPr>
        <w:t>（一）法定代表人资格证明</w:t>
      </w:r>
    </w:p>
    <w:p w14:paraId="33D3D66A">
      <w:pPr>
        <w:jc w:val="center"/>
        <w:rPr>
          <w:rFonts w:hint="eastAsia" w:ascii="宋体" w:hAnsi="宋体" w:cs="宋体"/>
          <w:bCs/>
          <w:color w:val="auto"/>
          <w:sz w:val="24"/>
          <w:highlight w:val="none"/>
        </w:rPr>
      </w:pPr>
    </w:p>
    <w:p w14:paraId="3BD70066">
      <w:pPr>
        <w:spacing w:line="600" w:lineRule="exact"/>
        <w:ind w:firstLine="420" w:firstLineChars="200"/>
        <w:rPr>
          <w:rFonts w:hint="eastAsia" w:ascii="宋体" w:hAnsi="宋体" w:cs="宋体"/>
          <w:color w:val="auto"/>
          <w:highlight w:val="none"/>
        </w:rPr>
      </w:pPr>
      <w:bookmarkStart w:id="902" w:name="_Toc288114460"/>
      <w:r>
        <w:rPr>
          <w:rFonts w:hint="eastAsia" w:ascii="宋体" w:hAnsi="宋体" w:cs="宋体"/>
          <w:color w:val="auto"/>
          <w:highlight w:val="none"/>
        </w:rPr>
        <w:t>供应商名称：</w:t>
      </w:r>
      <w:bookmarkEnd w:id="902"/>
      <w:r>
        <w:rPr>
          <w:rFonts w:hint="eastAsia" w:ascii="宋体" w:hAnsi="宋体" w:cs="宋体"/>
          <w:color w:val="auto"/>
          <w:highlight w:val="none"/>
          <w:u w:val="single"/>
        </w:rPr>
        <w:t xml:space="preserve">　　               　　　　           </w:t>
      </w:r>
    </w:p>
    <w:p w14:paraId="15350B75">
      <w:pPr>
        <w:spacing w:line="600" w:lineRule="exact"/>
        <w:ind w:firstLine="420" w:firstLineChars="200"/>
        <w:rPr>
          <w:rFonts w:hint="eastAsia" w:ascii="宋体" w:hAnsi="宋体" w:cs="宋体"/>
          <w:color w:val="auto"/>
          <w:highlight w:val="none"/>
          <w:u w:val="single"/>
        </w:rPr>
      </w:pPr>
      <w:bookmarkStart w:id="903" w:name="_Toc288114461"/>
      <w:r>
        <w:rPr>
          <w:rFonts w:hint="eastAsia" w:ascii="宋体" w:hAnsi="宋体" w:cs="宋体"/>
          <w:color w:val="auto"/>
          <w:highlight w:val="none"/>
        </w:rPr>
        <w:t>单 位 性 质：</w:t>
      </w:r>
      <w:bookmarkEnd w:id="903"/>
      <w:r>
        <w:rPr>
          <w:rFonts w:hint="eastAsia" w:ascii="宋体" w:hAnsi="宋体" w:cs="宋体"/>
          <w:color w:val="auto"/>
          <w:highlight w:val="none"/>
          <w:u w:val="single"/>
        </w:rPr>
        <w:t xml:space="preserve">  　　              　　　　         </w:t>
      </w:r>
    </w:p>
    <w:p w14:paraId="2B86EAA9">
      <w:pPr>
        <w:spacing w:line="600" w:lineRule="exact"/>
        <w:ind w:firstLine="420" w:firstLineChars="200"/>
        <w:rPr>
          <w:rFonts w:hint="eastAsia" w:ascii="宋体" w:hAnsi="宋体" w:cs="宋体"/>
          <w:color w:val="auto"/>
          <w:highlight w:val="none"/>
        </w:rPr>
      </w:pPr>
      <w:bookmarkStart w:id="904" w:name="_Toc288114462"/>
      <w:r>
        <w:rPr>
          <w:rFonts w:hint="eastAsia" w:ascii="宋体" w:hAnsi="宋体" w:cs="宋体"/>
          <w:color w:val="auto"/>
          <w:highlight w:val="none"/>
        </w:rPr>
        <w:t>地       址：</w:t>
      </w:r>
      <w:bookmarkEnd w:id="904"/>
      <w:r>
        <w:rPr>
          <w:rFonts w:hint="eastAsia" w:ascii="宋体" w:hAnsi="宋体" w:cs="宋体"/>
          <w:color w:val="auto"/>
          <w:highlight w:val="none"/>
          <w:u w:val="single"/>
        </w:rPr>
        <w:t xml:space="preserve">　　                　　　　         </w:t>
      </w:r>
    </w:p>
    <w:p w14:paraId="5A51FE2C">
      <w:pPr>
        <w:spacing w:line="600" w:lineRule="exact"/>
        <w:ind w:firstLine="420" w:firstLineChars="200"/>
        <w:rPr>
          <w:rFonts w:hint="eastAsia" w:ascii="宋体" w:hAnsi="宋体" w:cs="宋体"/>
          <w:color w:val="auto"/>
          <w:highlight w:val="none"/>
        </w:rPr>
      </w:pPr>
      <w:bookmarkStart w:id="905" w:name="_Toc288114463"/>
      <w:r>
        <w:rPr>
          <w:rFonts w:hint="eastAsia" w:ascii="宋体" w:hAnsi="宋体" w:cs="宋体"/>
          <w:color w:val="auto"/>
          <w:highlight w:val="none"/>
        </w:rPr>
        <w:t>成 立 时 间：</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 xml:space="preserve">月 </w:t>
      </w:r>
      <w:r>
        <w:rPr>
          <w:rFonts w:hint="eastAsia" w:ascii="宋体" w:hAnsi="宋体" w:cs="宋体"/>
          <w:color w:val="auto"/>
          <w:highlight w:val="none"/>
          <w:u w:val="single"/>
        </w:rPr>
        <w:t xml:space="preserve">       </w:t>
      </w:r>
      <w:r>
        <w:rPr>
          <w:rFonts w:hint="eastAsia" w:ascii="宋体" w:hAnsi="宋体" w:cs="宋体"/>
          <w:color w:val="auto"/>
          <w:highlight w:val="none"/>
        </w:rPr>
        <w:t>日</w:t>
      </w:r>
      <w:bookmarkEnd w:id="905"/>
    </w:p>
    <w:p w14:paraId="61B0F9F1">
      <w:pPr>
        <w:spacing w:line="600" w:lineRule="exact"/>
        <w:ind w:firstLine="420" w:firstLineChars="200"/>
        <w:rPr>
          <w:rFonts w:hint="eastAsia" w:ascii="宋体" w:hAnsi="宋体" w:cs="宋体"/>
          <w:color w:val="auto"/>
          <w:highlight w:val="none"/>
          <w:u w:val="single"/>
        </w:rPr>
      </w:pPr>
      <w:bookmarkStart w:id="906" w:name="_Toc288114464"/>
      <w:r>
        <w:rPr>
          <w:rFonts w:hint="eastAsia" w:ascii="宋体" w:hAnsi="宋体" w:cs="宋体"/>
          <w:color w:val="auto"/>
          <w:highlight w:val="none"/>
        </w:rPr>
        <w:t>经营期限：</w:t>
      </w:r>
      <w:bookmarkEnd w:id="906"/>
      <w:r>
        <w:rPr>
          <w:rFonts w:hint="eastAsia" w:ascii="宋体" w:hAnsi="宋体" w:cs="宋体"/>
          <w:color w:val="auto"/>
          <w:highlight w:val="none"/>
          <w:u w:val="single"/>
        </w:rPr>
        <w:t xml:space="preserve">      　　              　　　           </w:t>
      </w:r>
    </w:p>
    <w:p w14:paraId="387259CB">
      <w:pPr>
        <w:spacing w:line="600" w:lineRule="exact"/>
        <w:ind w:firstLine="420" w:firstLineChars="200"/>
        <w:rPr>
          <w:rFonts w:hint="eastAsia" w:ascii="宋体" w:hAnsi="宋体" w:cs="宋体"/>
          <w:color w:val="auto"/>
          <w:highlight w:val="none"/>
        </w:rPr>
      </w:pPr>
      <w:bookmarkStart w:id="907" w:name="_Toc288114465"/>
      <w:r>
        <w:rPr>
          <w:rFonts w:hint="eastAsia" w:ascii="宋体" w:hAnsi="宋体" w:cs="宋体"/>
          <w:color w:val="auto"/>
          <w:highlight w:val="none"/>
        </w:rPr>
        <w:t>姓  名：</w:t>
      </w:r>
      <w:r>
        <w:rPr>
          <w:rFonts w:hint="eastAsia" w:ascii="宋体" w:hAnsi="宋体" w:cs="宋体"/>
          <w:color w:val="auto"/>
          <w:highlight w:val="none"/>
          <w:u w:val="single"/>
        </w:rPr>
        <w:t xml:space="preserve">        </w:t>
      </w:r>
      <w:r>
        <w:rPr>
          <w:rFonts w:hint="eastAsia" w:ascii="宋体" w:hAnsi="宋体" w:cs="宋体"/>
          <w:color w:val="auto"/>
          <w:highlight w:val="none"/>
        </w:rPr>
        <w:t>性别：</w:t>
      </w:r>
      <w:r>
        <w:rPr>
          <w:rFonts w:hint="eastAsia" w:ascii="宋体" w:hAnsi="宋体" w:cs="宋体"/>
          <w:color w:val="auto"/>
          <w:highlight w:val="none"/>
          <w:u w:val="single"/>
        </w:rPr>
        <w:t xml:space="preserve">        </w:t>
      </w:r>
      <w:r>
        <w:rPr>
          <w:rFonts w:hint="eastAsia" w:ascii="宋体" w:hAnsi="宋体" w:cs="宋体"/>
          <w:color w:val="auto"/>
          <w:highlight w:val="none"/>
        </w:rPr>
        <w:t>年龄：</w:t>
      </w:r>
      <w:r>
        <w:rPr>
          <w:rFonts w:hint="eastAsia" w:ascii="宋体" w:hAnsi="宋体" w:cs="宋体"/>
          <w:color w:val="auto"/>
          <w:highlight w:val="none"/>
          <w:u w:val="single"/>
        </w:rPr>
        <w:t xml:space="preserve">   　  </w:t>
      </w:r>
      <w:r>
        <w:rPr>
          <w:rFonts w:hint="eastAsia" w:ascii="宋体" w:hAnsi="宋体" w:cs="宋体"/>
          <w:color w:val="auto"/>
          <w:highlight w:val="none"/>
        </w:rPr>
        <w:t>职务：</w:t>
      </w:r>
      <w:bookmarkEnd w:id="907"/>
      <w:bookmarkStart w:id="908" w:name="_Toc288114466"/>
      <w:r>
        <w:rPr>
          <w:rFonts w:hint="eastAsia" w:ascii="宋体" w:hAnsi="宋体" w:cs="宋体"/>
          <w:color w:val="auto"/>
          <w:highlight w:val="none"/>
          <w:u w:val="single"/>
        </w:rPr>
        <w:t xml:space="preserve">       </w:t>
      </w:r>
      <w:r>
        <w:rPr>
          <w:rFonts w:hint="eastAsia" w:ascii="宋体" w:hAnsi="宋体" w:cs="宋体"/>
          <w:color w:val="auto"/>
          <w:highlight w:val="none"/>
        </w:rPr>
        <w:t>（身份证号：</w:t>
      </w:r>
      <w:r>
        <w:rPr>
          <w:rFonts w:hint="eastAsia" w:ascii="宋体" w:hAnsi="宋体" w:cs="宋体"/>
          <w:color w:val="auto"/>
          <w:highlight w:val="none"/>
          <w:u w:val="single"/>
        </w:rPr>
        <w:t xml:space="preserve">　　　　      　　 </w:t>
      </w:r>
      <w:r>
        <w:rPr>
          <w:rFonts w:hint="eastAsia" w:ascii="宋体" w:hAnsi="宋体" w:cs="宋体"/>
          <w:color w:val="auto"/>
          <w:highlight w:val="none"/>
        </w:rPr>
        <w:t>）系（供应商名称）的法定代表人。</w:t>
      </w:r>
      <w:bookmarkEnd w:id="908"/>
    </w:p>
    <w:p w14:paraId="6D0B7C0A">
      <w:pPr>
        <w:spacing w:line="600" w:lineRule="exact"/>
        <w:ind w:firstLine="420" w:firstLineChars="200"/>
        <w:rPr>
          <w:rFonts w:hint="eastAsia" w:ascii="宋体" w:hAnsi="宋体" w:cs="宋体"/>
          <w:b/>
          <w:color w:val="auto"/>
          <w:kern w:val="0"/>
          <w:highlight w:val="none"/>
          <w:u w:val="single"/>
        </w:rPr>
      </w:pPr>
      <w:bookmarkStart w:id="909" w:name="_Toc288114467"/>
      <w:r>
        <w:rPr>
          <w:rFonts w:hint="eastAsia" w:ascii="宋体" w:hAnsi="宋体" w:cs="宋体"/>
          <w:color w:val="auto"/>
          <w:highlight w:val="none"/>
        </w:rPr>
        <w:t>特此证明。</w:t>
      </w:r>
      <w:bookmarkEnd w:id="909"/>
    </w:p>
    <w:p w14:paraId="3066E6F7">
      <w:pPr>
        <w:rPr>
          <w:color w:val="auto"/>
          <w:highlight w:val="none"/>
        </w:rPr>
      </w:pPr>
    </w:p>
    <w:p w14:paraId="65EE8265">
      <w:pPr>
        <w:pStyle w:val="10"/>
        <w:spacing w:line="500" w:lineRule="exact"/>
        <w:rPr>
          <w:rFonts w:ascii="宋体"/>
          <w:color w:val="auto"/>
          <w:highlight w:val="none"/>
        </w:rPr>
      </w:pPr>
    </w:p>
    <w:tbl>
      <w:tblPr>
        <w:tblStyle w:val="25"/>
        <w:tblW w:w="89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9"/>
      </w:tblGrid>
      <w:tr w14:paraId="5885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6" w:hRule="atLeast"/>
        </w:trPr>
        <w:tc>
          <w:tcPr>
            <w:tcW w:w="8969" w:type="dxa"/>
            <w:tcBorders>
              <w:top w:val="single" w:color="auto" w:sz="4" w:space="0"/>
              <w:left w:val="single" w:color="auto" w:sz="4" w:space="0"/>
              <w:bottom w:val="single" w:color="auto" w:sz="4" w:space="0"/>
              <w:right w:val="single" w:color="auto" w:sz="4" w:space="0"/>
            </w:tcBorders>
            <w:vAlign w:val="center"/>
          </w:tcPr>
          <w:p w14:paraId="207758AB">
            <w:pPr>
              <w:jc w:val="center"/>
              <w:rPr>
                <w:rFonts w:ascii="宋体"/>
                <w:color w:val="auto"/>
                <w:highlight w:val="none"/>
              </w:rPr>
            </w:pPr>
            <w:r>
              <w:rPr>
                <w:rFonts w:hint="eastAsia" w:ascii="宋体"/>
                <w:color w:val="auto"/>
                <w:highlight w:val="none"/>
              </w:rPr>
              <w:t>法定代表人身份证</w:t>
            </w:r>
            <w:r>
              <w:rPr>
                <w:rFonts w:hint="eastAsia" w:ascii="宋体"/>
                <w:color w:val="auto"/>
                <w:highlight w:val="none"/>
                <w:lang w:val="en-US" w:eastAsia="zh-CN"/>
              </w:rPr>
              <w:t>扫描</w:t>
            </w:r>
            <w:r>
              <w:rPr>
                <w:rFonts w:hint="eastAsia" w:ascii="宋体"/>
                <w:color w:val="auto"/>
                <w:highlight w:val="none"/>
              </w:rPr>
              <w:t>件（正</w:t>
            </w:r>
            <w:r>
              <w:rPr>
                <w:rFonts w:hint="eastAsia" w:ascii="宋体"/>
                <w:color w:val="auto"/>
                <w:highlight w:val="none"/>
                <w:lang w:val="en-US" w:eastAsia="zh-CN"/>
              </w:rPr>
              <w:t>反</w:t>
            </w:r>
            <w:r>
              <w:rPr>
                <w:rFonts w:hint="eastAsia" w:ascii="宋体"/>
                <w:color w:val="auto"/>
                <w:highlight w:val="none"/>
              </w:rPr>
              <w:t>面）</w:t>
            </w:r>
          </w:p>
        </w:tc>
      </w:tr>
    </w:tbl>
    <w:p w14:paraId="4F3BD740">
      <w:pPr>
        <w:pStyle w:val="10"/>
        <w:spacing w:line="500" w:lineRule="exact"/>
        <w:rPr>
          <w:rFonts w:ascii="宋体"/>
          <w:color w:val="auto"/>
          <w:highlight w:val="none"/>
        </w:rPr>
      </w:pPr>
    </w:p>
    <w:p w14:paraId="0DC9E698">
      <w:pPr>
        <w:spacing w:line="400" w:lineRule="exact"/>
        <w:jc w:val="right"/>
        <w:rPr>
          <w:rFonts w:ascii="宋体"/>
          <w:color w:val="auto"/>
          <w:highlight w:val="none"/>
          <w:u w:val="single"/>
        </w:rPr>
      </w:pPr>
      <w:r>
        <w:rPr>
          <w:rFonts w:hint="eastAsia" w:ascii="宋体"/>
          <w:color w:val="auto"/>
          <w:sz w:val="24"/>
          <w:szCs w:val="24"/>
          <w:highlight w:val="none"/>
        </w:rPr>
        <w:tab/>
      </w:r>
      <w:r>
        <w:rPr>
          <w:rFonts w:hint="eastAsia" w:ascii="宋体" w:hAnsi="宋体"/>
          <w:color w:val="auto"/>
          <w:highlight w:val="none"/>
        </w:rPr>
        <w:t>供应商：</w:t>
      </w:r>
      <w:r>
        <w:rPr>
          <w:rFonts w:hint="eastAsia" w:ascii="宋体" w:hAnsi="宋体"/>
          <w:color w:val="auto"/>
          <w:highlight w:val="none"/>
          <w:u w:val="single"/>
        </w:rPr>
        <w:t xml:space="preserve">         </w:t>
      </w:r>
      <w:r>
        <w:rPr>
          <w:rFonts w:hint="eastAsia" w:ascii="宋体" w:hAnsi="宋体"/>
          <w:color w:val="auto"/>
          <w:highlight w:val="none"/>
        </w:rPr>
        <w:t>（企业电子签章）</w:t>
      </w:r>
    </w:p>
    <w:p w14:paraId="1E6CDBD9">
      <w:pPr>
        <w:spacing w:line="600" w:lineRule="exact"/>
        <w:rPr>
          <w:rFonts w:hint="eastAsia" w:ascii="宋体" w:hAnsi="宋体" w:cs="宋体"/>
          <w:color w:val="auto"/>
          <w:highlight w:val="none"/>
        </w:rPr>
      </w:pPr>
    </w:p>
    <w:p w14:paraId="4758E669">
      <w:pPr>
        <w:spacing w:line="600" w:lineRule="exact"/>
        <w:jc w:val="right"/>
        <w:rPr>
          <w:rFonts w:hint="eastAsia" w:ascii="宋体" w:hAnsi="宋体" w:cs="宋体"/>
          <w:color w:val="auto"/>
          <w:highlight w:val="none"/>
        </w:rPr>
      </w:pPr>
      <w:bookmarkStart w:id="910" w:name="_Toc288114469"/>
      <w:r>
        <w:rPr>
          <w:rFonts w:hint="eastAsia" w:ascii="宋体" w:hAnsi="宋体" w:cs="宋体"/>
          <w:color w:val="auto"/>
          <w:highlight w:val="none"/>
        </w:rPr>
        <w:t>年     月      日</w:t>
      </w:r>
      <w:bookmarkEnd w:id="910"/>
    </w:p>
    <w:p w14:paraId="734BCF72">
      <w:pPr>
        <w:pStyle w:val="10"/>
        <w:tabs>
          <w:tab w:val="left" w:pos="7513"/>
        </w:tabs>
        <w:spacing w:line="500" w:lineRule="exact"/>
        <w:rPr>
          <w:rFonts w:ascii="宋体"/>
          <w:color w:val="auto"/>
          <w:sz w:val="24"/>
          <w:szCs w:val="24"/>
          <w:highlight w:val="none"/>
        </w:rPr>
      </w:pPr>
    </w:p>
    <w:p w14:paraId="485FCB56">
      <w:pPr>
        <w:pStyle w:val="10"/>
        <w:spacing w:line="500" w:lineRule="exact"/>
        <w:jc w:val="center"/>
        <w:rPr>
          <w:rFonts w:hint="eastAsia" w:ascii="宋体" w:hAnsi="宋体" w:cs="宋体"/>
          <w:b/>
          <w:color w:val="auto"/>
          <w:sz w:val="30"/>
          <w:szCs w:val="30"/>
          <w:highlight w:val="none"/>
        </w:rPr>
      </w:pPr>
    </w:p>
    <w:p w14:paraId="63357064">
      <w:pPr>
        <w:pStyle w:val="10"/>
        <w:spacing w:line="500" w:lineRule="exact"/>
        <w:jc w:val="center"/>
        <w:rPr>
          <w:rFonts w:ascii="宋体"/>
          <w:color w:val="auto"/>
          <w:sz w:val="24"/>
          <w:szCs w:val="24"/>
          <w:highlight w:val="none"/>
        </w:rPr>
      </w:pPr>
      <w:r>
        <w:rPr>
          <w:rFonts w:hint="eastAsia" w:ascii="宋体" w:hAnsi="宋体" w:cs="宋体"/>
          <w:b/>
          <w:color w:val="auto"/>
          <w:sz w:val="30"/>
          <w:szCs w:val="30"/>
          <w:highlight w:val="none"/>
        </w:rPr>
        <w:t>（二）法定代表人授权委托书</w:t>
      </w:r>
    </w:p>
    <w:p w14:paraId="291AEBA9">
      <w:pPr>
        <w:spacing w:line="500" w:lineRule="exact"/>
        <w:rPr>
          <w:rFonts w:hint="eastAsia" w:ascii="宋体" w:hAnsi="宋体"/>
          <w:color w:val="auto"/>
          <w:highlight w:val="none"/>
        </w:rPr>
      </w:pPr>
    </w:p>
    <w:p w14:paraId="005B93D0">
      <w:pPr>
        <w:spacing w:line="500" w:lineRule="exact"/>
        <w:ind w:firstLine="420" w:firstLineChars="200"/>
        <w:rPr>
          <w:rFonts w:ascii="宋体"/>
          <w:color w:val="auto"/>
          <w:highlight w:val="none"/>
          <w:shd w:val="clear" w:color="auto" w:fill="FFFFFF"/>
        </w:rPr>
      </w:pPr>
      <w:r>
        <w:rPr>
          <w:rFonts w:hint="eastAsia" w:ascii="宋体"/>
          <w:color w:val="auto"/>
          <w:highlight w:val="none"/>
          <w:shd w:val="clear" w:color="auto" w:fill="FFFFFF"/>
        </w:rPr>
        <w:t>本授权书声明：注册于（</w:t>
      </w:r>
      <w:r>
        <w:rPr>
          <w:rFonts w:hint="eastAsia" w:ascii="楷体_GB2312" w:eastAsia="楷体_GB2312"/>
          <w:color w:val="auto"/>
          <w:highlight w:val="none"/>
          <w:u w:val="single"/>
          <w:shd w:val="clear" w:color="auto" w:fill="FFFFFF"/>
        </w:rPr>
        <w:t>注册地址名称</w:t>
      </w:r>
      <w:r>
        <w:rPr>
          <w:rFonts w:hint="eastAsia" w:ascii="宋体"/>
          <w:color w:val="auto"/>
          <w:highlight w:val="none"/>
          <w:shd w:val="clear" w:color="auto" w:fill="FFFFFF"/>
        </w:rPr>
        <w:t>）的</w:t>
      </w:r>
      <w:r>
        <w:rPr>
          <w:rFonts w:ascii="宋体"/>
          <w:color w:val="auto"/>
          <w:highlight w:val="none"/>
          <w:shd w:val="clear" w:color="auto" w:fill="FFFFFF"/>
        </w:rPr>
        <w:t>(</w:t>
      </w:r>
      <w:r>
        <w:rPr>
          <w:rFonts w:hint="eastAsia" w:ascii="楷体_GB2312" w:eastAsia="楷体_GB2312"/>
          <w:color w:val="auto"/>
          <w:highlight w:val="none"/>
          <w:u w:val="single"/>
          <w:shd w:val="clear" w:color="auto" w:fill="FFFFFF"/>
        </w:rPr>
        <w:t>供应商全名</w:t>
      </w:r>
      <w:r>
        <w:rPr>
          <w:rFonts w:ascii="宋体"/>
          <w:color w:val="auto"/>
          <w:highlight w:val="none"/>
          <w:shd w:val="clear" w:color="auto" w:fill="FFFFFF"/>
        </w:rPr>
        <w:t>)</w:t>
      </w:r>
      <w:r>
        <w:rPr>
          <w:rFonts w:hint="eastAsia" w:ascii="宋体"/>
          <w:color w:val="auto"/>
          <w:highlight w:val="none"/>
          <w:shd w:val="clear" w:color="auto" w:fill="FFFFFF"/>
        </w:rPr>
        <w:t>的在下面签字的</w:t>
      </w:r>
      <w:r>
        <w:rPr>
          <w:rFonts w:ascii="宋体"/>
          <w:color w:val="auto"/>
          <w:highlight w:val="none"/>
          <w:shd w:val="clear" w:color="auto" w:fill="FFFFFF"/>
        </w:rPr>
        <w:t>(</w:t>
      </w:r>
      <w:r>
        <w:rPr>
          <w:rFonts w:hint="eastAsia" w:ascii="楷体_GB2312" w:eastAsia="楷体_GB2312"/>
          <w:color w:val="auto"/>
          <w:highlight w:val="none"/>
          <w:u w:val="single"/>
          <w:shd w:val="clear" w:color="auto" w:fill="FFFFFF"/>
        </w:rPr>
        <w:t>法定代表人姓名、职务</w:t>
      </w:r>
      <w:r>
        <w:rPr>
          <w:rFonts w:ascii="宋体"/>
          <w:color w:val="auto"/>
          <w:highlight w:val="none"/>
          <w:shd w:val="clear" w:color="auto" w:fill="FFFFFF"/>
        </w:rPr>
        <w:t>)</w:t>
      </w:r>
      <w:r>
        <w:rPr>
          <w:rFonts w:hint="eastAsia" w:ascii="宋体"/>
          <w:color w:val="auto"/>
          <w:highlight w:val="none"/>
          <w:shd w:val="clear" w:color="auto" w:fill="FFFFFF"/>
        </w:rPr>
        <w:t>代表本公司授权（</w:t>
      </w:r>
      <w:r>
        <w:rPr>
          <w:rFonts w:hint="eastAsia" w:ascii="楷体_GB2312" w:eastAsia="楷体_GB2312"/>
          <w:color w:val="auto"/>
          <w:highlight w:val="none"/>
          <w:u w:val="single"/>
          <w:shd w:val="clear" w:color="auto" w:fill="FFFFFF"/>
        </w:rPr>
        <w:t>单位名称</w:t>
      </w:r>
      <w:r>
        <w:rPr>
          <w:rFonts w:hint="eastAsia" w:ascii="宋体"/>
          <w:color w:val="auto"/>
          <w:highlight w:val="none"/>
          <w:shd w:val="clear" w:color="auto" w:fill="FFFFFF"/>
        </w:rPr>
        <w:t>）的下面的（</w:t>
      </w:r>
      <w:r>
        <w:rPr>
          <w:rFonts w:hint="eastAsia" w:ascii="楷体_GB2312" w:eastAsia="楷体_GB2312"/>
          <w:color w:val="auto"/>
          <w:highlight w:val="none"/>
          <w:u w:val="single"/>
          <w:shd w:val="clear" w:color="auto" w:fill="FFFFFF"/>
        </w:rPr>
        <w:t>委托代理人的姓名、职务</w:t>
      </w:r>
      <w:r>
        <w:rPr>
          <w:rFonts w:hint="eastAsia" w:ascii="宋体"/>
          <w:color w:val="auto"/>
          <w:highlight w:val="none"/>
          <w:shd w:val="clear" w:color="auto" w:fill="FFFFFF"/>
        </w:rPr>
        <w:t>）为本公司的合法代理人，就</w:t>
      </w:r>
      <w:r>
        <w:rPr>
          <w:rFonts w:hint="eastAsia" w:ascii="宋体"/>
          <w:color w:val="auto"/>
          <w:highlight w:val="none"/>
          <w:shd w:val="clear" w:color="auto" w:fill="FFFFFF"/>
          <w:lang w:eastAsia="zh-CN"/>
        </w:rPr>
        <w:t>（</w:t>
      </w:r>
      <w:r>
        <w:rPr>
          <w:rFonts w:hint="eastAsia" w:ascii="楷体_GB2312" w:eastAsia="楷体_GB2312"/>
          <w:color w:val="auto"/>
          <w:highlight w:val="none"/>
          <w:u w:val="single"/>
          <w:shd w:val="clear" w:color="auto" w:fill="FFFFFF"/>
        </w:rPr>
        <w:t>项目编号</w:t>
      </w:r>
      <w:r>
        <w:rPr>
          <w:rFonts w:hint="eastAsia" w:ascii="楷体_GB2312" w:eastAsia="楷体_GB2312"/>
          <w:color w:val="auto"/>
          <w:highlight w:val="none"/>
          <w:u w:val="single"/>
          <w:shd w:val="clear" w:color="auto" w:fill="FFFFFF"/>
          <w:lang w:eastAsia="zh-CN"/>
        </w:rPr>
        <w:t>）</w:t>
      </w:r>
      <w:r>
        <w:rPr>
          <w:rFonts w:hint="eastAsia" w:ascii="宋体"/>
          <w:color w:val="auto"/>
          <w:highlight w:val="none"/>
          <w:shd w:val="clear" w:color="auto" w:fill="FFFFFF"/>
        </w:rPr>
        <w:t>为</w:t>
      </w:r>
      <w:r>
        <w:rPr>
          <w:rFonts w:hint="eastAsia" w:ascii="楷体_GB2312" w:eastAsia="楷体_GB2312"/>
          <w:color w:val="auto"/>
          <w:highlight w:val="none"/>
          <w:u w:val="single"/>
          <w:shd w:val="clear" w:color="auto" w:fill="FFFFFF"/>
        </w:rPr>
        <w:t>（项目名称</w:t>
      </w:r>
      <w:r>
        <w:rPr>
          <w:rFonts w:hint="eastAsia" w:ascii="宋体"/>
          <w:color w:val="auto"/>
          <w:highlight w:val="none"/>
          <w:shd w:val="clear" w:color="auto" w:fill="FFFFFF"/>
        </w:rPr>
        <w:t>）的投标及合同执行，以本公司名义处理一切与之有关的事务。</w:t>
      </w:r>
    </w:p>
    <w:p w14:paraId="55B6647D">
      <w:pPr>
        <w:spacing w:line="500" w:lineRule="exact"/>
        <w:rPr>
          <w:rFonts w:ascii="宋体"/>
          <w:color w:val="auto"/>
          <w:highlight w:val="none"/>
          <w:shd w:val="clear" w:color="auto" w:fill="FFFFFF"/>
        </w:rPr>
      </w:pPr>
      <w:r>
        <w:rPr>
          <w:rFonts w:hint="eastAsia" w:ascii="宋体"/>
          <w:color w:val="auto"/>
          <w:highlight w:val="none"/>
          <w:shd w:val="clear" w:color="auto" w:fill="FFFFFF"/>
        </w:rPr>
        <w:t>委托期限：</w:t>
      </w:r>
      <w:r>
        <w:rPr>
          <w:rFonts w:hint="eastAsia" w:ascii="宋体"/>
          <w:color w:val="auto"/>
          <w:highlight w:val="none"/>
          <w:u w:val="single"/>
          <w:shd w:val="clear" w:color="auto" w:fill="FFFFFF"/>
        </w:rPr>
        <w:t xml:space="preserve">                              </w:t>
      </w:r>
      <w:r>
        <w:rPr>
          <w:rFonts w:hint="eastAsia" w:ascii="宋体"/>
          <w:color w:val="auto"/>
          <w:highlight w:val="none"/>
          <w:shd w:val="clear" w:color="auto" w:fill="FFFFFF"/>
        </w:rPr>
        <w:t>。</w:t>
      </w:r>
    </w:p>
    <w:p w14:paraId="147B58DE">
      <w:pPr>
        <w:spacing w:line="500" w:lineRule="exact"/>
        <w:rPr>
          <w:rFonts w:ascii="宋体"/>
          <w:color w:val="auto"/>
          <w:highlight w:val="none"/>
          <w:shd w:val="clear" w:color="auto" w:fill="FFFFFF"/>
        </w:rPr>
      </w:pPr>
    </w:p>
    <w:p w14:paraId="1F3B57EE">
      <w:pPr>
        <w:spacing w:line="400" w:lineRule="exact"/>
        <w:rPr>
          <w:rFonts w:ascii="宋体"/>
          <w:color w:val="auto"/>
          <w:highlight w:val="none"/>
          <w:u w:val="single"/>
          <w:shd w:val="clear" w:color="auto" w:fill="FFFFFF"/>
        </w:rPr>
      </w:pPr>
      <w:r>
        <w:rPr>
          <w:rFonts w:hint="eastAsia" w:ascii="宋体"/>
          <w:color w:val="auto"/>
          <w:highlight w:val="none"/>
          <w:shd w:val="clear" w:color="auto" w:fill="FFFFFF"/>
        </w:rPr>
        <w:t>供应商：</w:t>
      </w:r>
      <w:r>
        <w:rPr>
          <w:rFonts w:hint="eastAsia" w:ascii="宋体"/>
          <w:color w:val="auto"/>
          <w:highlight w:val="none"/>
          <w:u w:val="single"/>
          <w:shd w:val="clear" w:color="auto" w:fill="FFFFFF"/>
        </w:rPr>
        <w:t xml:space="preserve">                     </w:t>
      </w:r>
      <w:r>
        <w:rPr>
          <w:rFonts w:hint="eastAsia" w:ascii="宋体"/>
          <w:color w:val="auto"/>
          <w:highlight w:val="none"/>
          <w:shd w:val="clear" w:color="auto" w:fill="FFFFFF"/>
        </w:rPr>
        <w:t>（企业电子签章）</w:t>
      </w:r>
    </w:p>
    <w:p w14:paraId="442D7A76">
      <w:pPr>
        <w:spacing w:line="400" w:lineRule="exact"/>
        <w:rPr>
          <w:rFonts w:ascii="宋体"/>
          <w:color w:val="auto"/>
          <w:highlight w:val="none"/>
          <w:shd w:val="clear" w:color="auto" w:fill="FFFFFF"/>
        </w:rPr>
      </w:pPr>
      <w:r>
        <w:rPr>
          <w:rFonts w:hint="eastAsia" w:ascii="宋体"/>
          <w:color w:val="auto"/>
          <w:highlight w:val="none"/>
          <w:shd w:val="clear" w:color="auto" w:fill="FFFFFF"/>
        </w:rPr>
        <w:t>法定代表人：</w:t>
      </w:r>
      <w:r>
        <w:rPr>
          <w:rFonts w:hint="eastAsia" w:ascii="宋体"/>
          <w:color w:val="auto"/>
          <w:highlight w:val="none"/>
          <w:u w:val="single"/>
          <w:shd w:val="clear" w:color="auto" w:fill="FFFFFF"/>
        </w:rPr>
        <w:t xml:space="preserve">                     </w:t>
      </w:r>
      <w:r>
        <w:rPr>
          <w:rFonts w:hint="eastAsia" w:ascii="宋体"/>
          <w:color w:val="auto"/>
          <w:highlight w:val="none"/>
          <w:shd w:val="clear" w:color="auto" w:fill="FFFFFF"/>
        </w:rPr>
        <w:t>（个人电子签章）</w:t>
      </w:r>
    </w:p>
    <w:p w14:paraId="7FCE7B6E">
      <w:pPr>
        <w:rPr>
          <w:rFonts w:ascii="宋体"/>
          <w:color w:val="auto"/>
          <w:highlight w:val="none"/>
          <w:shd w:val="clear" w:color="auto" w:fill="FFFFFF"/>
        </w:rPr>
      </w:pPr>
      <w:r>
        <w:rPr>
          <w:rFonts w:hint="eastAsia" w:ascii="宋体"/>
          <w:color w:val="auto"/>
          <w:highlight w:val="none"/>
          <w:shd w:val="clear" w:color="auto" w:fill="FFFFFF"/>
        </w:rPr>
        <w:t>地址：</w:t>
      </w:r>
      <w:r>
        <w:rPr>
          <w:rFonts w:hint="eastAsia" w:ascii="宋体"/>
          <w:color w:val="auto"/>
          <w:highlight w:val="none"/>
          <w:u w:val="single"/>
          <w:shd w:val="clear" w:color="auto" w:fill="FFFFFF"/>
        </w:rPr>
        <w:t xml:space="preserve">                           </w:t>
      </w:r>
    </w:p>
    <w:p w14:paraId="5E37D7BA">
      <w:pPr>
        <w:rPr>
          <w:rFonts w:ascii="宋体"/>
          <w:color w:val="auto"/>
          <w:highlight w:val="none"/>
          <w:shd w:val="clear" w:color="auto" w:fill="FFFFFF"/>
        </w:rPr>
      </w:pPr>
    </w:p>
    <w:tbl>
      <w:tblPr>
        <w:tblStyle w:val="25"/>
        <w:tblW w:w="89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9"/>
      </w:tblGrid>
      <w:tr w14:paraId="1FD2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6" w:hRule="atLeast"/>
        </w:trPr>
        <w:tc>
          <w:tcPr>
            <w:tcW w:w="8969" w:type="dxa"/>
            <w:vAlign w:val="center"/>
          </w:tcPr>
          <w:p w14:paraId="1714CF44">
            <w:pPr>
              <w:jc w:val="center"/>
              <w:rPr>
                <w:rFonts w:ascii="宋体"/>
                <w:color w:val="auto"/>
                <w:highlight w:val="none"/>
                <w:shd w:val="clear" w:color="auto" w:fill="FFFFFF"/>
              </w:rPr>
            </w:pPr>
            <w:r>
              <w:rPr>
                <w:rFonts w:hint="eastAsia" w:ascii="宋体"/>
                <w:color w:val="auto"/>
                <w:highlight w:val="none"/>
                <w:shd w:val="clear" w:color="auto" w:fill="FFFFFF"/>
              </w:rPr>
              <w:t>法定代表人身份证</w:t>
            </w:r>
            <w:r>
              <w:rPr>
                <w:rFonts w:hint="eastAsia" w:ascii="宋体"/>
                <w:color w:val="auto"/>
                <w:highlight w:val="none"/>
                <w:shd w:val="clear" w:color="auto" w:fill="FFFFFF"/>
                <w:lang w:val="en-US" w:eastAsia="zh-CN"/>
              </w:rPr>
              <w:t>扫描</w:t>
            </w:r>
            <w:r>
              <w:rPr>
                <w:rFonts w:hint="eastAsia" w:ascii="宋体"/>
                <w:color w:val="auto"/>
                <w:highlight w:val="none"/>
                <w:shd w:val="clear" w:color="auto" w:fill="FFFFFF"/>
              </w:rPr>
              <w:t>件</w:t>
            </w:r>
            <w:r>
              <w:rPr>
                <w:rFonts w:hint="eastAsia" w:ascii="宋体"/>
                <w:color w:val="auto"/>
                <w:highlight w:val="none"/>
              </w:rPr>
              <w:t>（正</w:t>
            </w:r>
            <w:r>
              <w:rPr>
                <w:rFonts w:hint="eastAsia" w:ascii="宋体"/>
                <w:color w:val="auto"/>
                <w:highlight w:val="none"/>
                <w:lang w:val="en-US" w:eastAsia="zh-CN"/>
              </w:rPr>
              <w:t>反</w:t>
            </w:r>
            <w:r>
              <w:rPr>
                <w:rFonts w:hint="eastAsia" w:ascii="宋体"/>
                <w:color w:val="auto"/>
                <w:highlight w:val="none"/>
              </w:rPr>
              <w:t>面）</w:t>
            </w:r>
          </w:p>
        </w:tc>
      </w:tr>
    </w:tbl>
    <w:p w14:paraId="60D8F732">
      <w:pPr>
        <w:jc w:val="center"/>
        <w:rPr>
          <w:rFonts w:ascii="宋体"/>
          <w:color w:val="auto"/>
          <w:highlight w:val="none"/>
          <w:shd w:val="clear" w:color="auto" w:fill="FFFFFF"/>
        </w:rPr>
      </w:pPr>
    </w:p>
    <w:tbl>
      <w:tblPr>
        <w:tblStyle w:val="25"/>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3"/>
      </w:tblGrid>
      <w:tr w14:paraId="29DED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8983" w:type="dxa"/>
            <w:vAlign w:val="center"/>
          </w:tcPr>
          <w:p w14:paraId="47830F41">
            <w:pPr>
              <w:jc w:val="center"/>
              <w:rPr>
                <w:color w:val="auto"/>
                <w:highlight w:val="none"/>
                <w:shd w:val="clear" w:color="auto" w:fill="FFFFFF"/>
              </w:rPr>
            </w:pPr>
            <w:bookmarkStart w:id="911" w:name="_Toc364329026"/>
            <w:r>
              <w:rPr>
                <w:rFonts w:hint="eastAsia" w:ascii="宋体" w:hAnsi="宋体" w:cs="宋体"/>
                <w:color w:val="auto"/>
                <w:highlight w:val="none"/>
                <w:shd w:val="clear" w:color="auto" w:fill="FFFFFF"/>
              </w:rPr>
              <w:t>委托代理人</w:t>
            </w:r>
            <w:r>
              <w:rPr>
                <w:rFonts w:hint="eastAsia"/>
                <w:color w:val="auto"/>
                <w:highlight w:val="none"/>
                <w:shd w:val="clear" w:color="auto" w:fill="FFFFFF"/>
              </w:rPr>
              <w:t>身份证</w:t>
            </w:r>
            <w:bookmarkEnd w:id="911"/>
            <w:r>
              <w:rPr>
                <w:rFonts w:hint="eastAsia" w:ascii="宋体"/>
                <w:color w:val="auto"/>
                <w:highlight w:val="none"/>
                <w:shd w:val="clear" w:color="auto" w:fill="FFFFFF"/>
                <w:lang w:val="en-US" w:eastAsia="zh-CN"/>
              </w:rPr>
              <w:t>扫描</w:t>
            </w:r>
            <w:r>
              <w:rPr>
                <w:rFonts w:hint="eastAsia" w:ascii="宋体"/>
                <w:color w:val="auto"/>
                <w:highlight w:val="none"/>
                <w:shd w:val="clear" w:color="auto" w:fill="FFFFFF"/>
              </w:rPr>
              <w:t>件</w:t>
            </w:r>
            <w:r>
              <w:rPr>
                <w:rFonts w:hint="eastAsia" w:ascii="宋体"/>
                <w:color w:val="auto"/>
                <w:highlight w:val="none"/>
              </w:rPr>
              <w:t>（正</w:t>
            </w:r>
            <w:r>
              <w:rPr>
                <w:rFonts w:hint="eastAsia" w:ascii="宋体"/>
                <w:color w:val="auto"/>
                <w:highlight w:val="none"/>
                <w:lang w:val="en-US" w:eastAsia="zh-CN"/>
              </w:rPr>
              <w:t>反</w:t>
            </w:r>
            <w:r>
              <w:rPr>
                <w:rFonts w:hint="eastAsia" w:ascii="宋体"/>
                <w:color w:val="auto"/>
                <w:highlight w:val="none"/>
              </w:rPr>
              <w:t>面）</w:t>
            </w:r>
          </w:p>
        </w:tc>
      </w:tr>
    </w:tbl>
    <w:p w14:paraId="404FE1F9">
      <w:pPr>
        <w:pStyle w:val="10"/>
        <w:spacing w:line="500" w:lineRule="exact"/>
        <w:rPr>
          <w:rFonts w:ascii="宋体"/>
          <w:color w:val="auto"/>
          <w:sz w:val="24"/>
          <w:szCs w:val="24"/>
          <w:highlight w:val="none"/>
        </w:rPr>
      </w:pPr>
    </w:p>
    <w:p w14:paraId="701F040F">
      <w:pPr>
        <w:pStyle w:val="10"/>
        <w:spacing w:line="500" w:lineRule="exact"/>
        <w:rPr>
          <w:rFonts w:ascii="宋体"/>
          <w:color w:val="auto"/>
          <w:sz w:val="24"/>
          <w:szCs w:val="24"/>
          <w:highlight w:val="none"/>
        </w:rPr>
      </w:pPr>
    </w:p>
    <w:p w14:paraId="098B96B4">
      <w:pPr>
        <w:pStyle w:val="3"/>
        <w:ind w:left="0" w:firstLine="0"/>
        <w:jc w:val="center"/>
        <w:rPr>
          <w:color w:val="auto"/>
          <w:highlight w:val="none"/>
        </w:rPr>
      </w:pPr>
      <w:bookmarkStart w:id="912" w:name="_Toc478120673"/>
      <w:bookmarkEnd w:id="912"/>
      <w:bookmarkStart w:id="913" w:name="_Toc16720"/>
      <w:bookmarkEnd w:id="913"/>
      <w:bookmarkStart w:id="914" w:name="_Toc478120092"/>
      <w:bookmarkEnd w:id="914"/>
      <w:bookmarkStart w:id="915" w:name="_Toc12472"/>
      <w:bookmarkEnd w:id="915"/>
      <w:bookmarkStart w:id="916" w:name="_Toc2717"/>
      <w:r>
        <w:rPr>
          <w:rFonts w:hint="eastAsia" w:ascii="宋体" w:hAnsi="宋体"/>
          <w:color w:val="auto"/>
          <w:highlight w:val="none"/>
        </w:rPr>
        <w:t>2、投标</w:t>
      </w:r>
      <w:bookmarkEnd w:id="916"/>
      <w:r>
        <w:rPr>
          <w:rFonts w:hint="eastAsia" w:ascii="宋体" w:hAnsi="宋体"/>
          <w:color w:val="auto"/>
          <w:highlight w:val="none"/>
        </w:rPr>
        <w:t>函</w:t>
      </w:r>
    </w:p>
    <w:p w14:paraId="7A10B630">
      <w:pPr>
        <w:spacing w:line="420" w:lineRule="exact"/>
        <w:rPr>
          <w:color w:val="auto"/>
          <w:highlight w:val="none"/>
          <w:u w:val="single"/>
        </w:rPr>
      </w:pPr>
      <w:r>
        <w:rPr>
          <w:rFonts w:hint="eastAsia" w:ascii="宋体" w:hAnsi="宋体"/>
          <w:color w:val="auto"/>
          <w:highlight w:val="none"/>
        </w:rPr>
        <w:t>致：</w:t>
      </w:r>
      <w:r>
        <w:rPr>
          <w:color w:val="auto"/>
          <w:highlight w:val="none"/>
          <w:u w:val="single"/>
        </w:rPr>
        <w:t xml:space="preserve">    (</w:t>
      </w:r>
      <w:r>
        <w:rPr>
          <w:rFonts w:hint="eastAsia" w:ascii="宋体" w:hAnsi="宋体"/>
          <w:color w:val="auto"/>
          <w:highlight w:val="none"/>
          <w:u w:val="single"/>
        </w:rPr>
        <w:t>采购人名称）</w:t>
      </w:r>
    </w:p>
    <w:p w14:paraId="5BF6C79B">
      <w:pPr>
        <w:spacing w:line="420" w:lineRule="exact"/>
        <w:ind w:firstLine="420" w:firstLineChars="200"/>
        <w:rPr>
          <w:color w:val="auto"/>
          <w:highlight w:val="none"/>
        </w:rPr>
      </w:pPr>
      <w:r>
        <w:rPr>
          <w:rFonts w:hint="eastAsia" w:ascii="宋体" w:hAnsi="宋体"/>
          <w:color w:val="auto"/>
          <w:highlight w:val="none"/>
        </w:rPr>
        <w:t>我们收到了项目编号为</w:t>
      </w:r>
      <w:r>
        <w:rPr>
          <w:rFonts w:hint="eastAsia" w:ascii="宋体" w:hAnsi="宋体"/>
          <w:color w:val="auto"/>
          <w:highlight w:val="none"/>
          <w:u w:val="single"/>
        </w:rPr>
        <w:t xml:space="preserve">              </w:t>
      </w:r>
      <w:r>
        <w:rPr>
          <w:rFonts w:hint="eastAsia" w:ascii="宋体" w:hAnsi="宋体"/>
          <w:color w:val="auto"/>
          <w:highlight w:val="none"/>
        </w:rPr>
        <w:t>（项目编号）的</w:t>
      </w:r>
      <w:r>
        <w:rPr>
          <w:rFonts w:hint="eastAsia" w:ascii="宋体" w:hAnsi="宋体"/>
          <w:color w:val="auto"/>
          <w:highlight w:val="none"/>
          <w:u w:val="single"/>
        </w:rPr>
        <w:t xml:space="preserve">                </w:t>
      </w:r>
      <w:r>
        <w:rPr>
          <w:rFonts w:hint="eastAsia" w:ascii="宋体" w:hAnsi="宋体"/>
          <w:color w:val="auto"/>
          <w:highlight w:val="none"/>
        </w:rPr>
        <w:t>（项目名称）</w:t>
      </w:r>
      <w:r>
        <w:rPr>
          <w:rFonts w:hint="eastAsia" w:ascii="宋体" w:hAnsi="宋体"/>
          <w:color w:val="auto"/>
          <w:highlight w:val="none"/>
          <w:u w:val="single"/>
        </w:rPr>
        <w:t xml:space="preserve">      </w:t>
      </w:r>
      <w:r>
        <w:rPr>
          <w:rFonts w:hint="eastAsia" w:ascii="宋体" w:hAnsi="宋体"/>
          <w:color w:val="auto"/>
          <w:highlight w:val="none"/>
        </w:rPr>
        <w:t>招标文件，经详细研究，我们决定参加该项目的投标活动并按要求提交投标文件。我们郑重声明以下诸点并负法律责任</w:t>
      </w:r>
      <w:r>
        <w:rPr>
          <w:color w:val="auto"/>
          <w:highlight w:val="none"/>
        </w:rPr>
        <w:t>:</w:t>
      </w:r>
    </w:p>
    <w:p w14:paraId="39B9F6B2">
      <w:pPr>
        <w:spacing w:line="420" w:lineRule="exact"/>
        <w:ind w:firstLine="420" w:firstLineChars="200"/>
        <w:rPr>
          <w:color w:val="auto"/>
          <w:highlight w:val="none"/>
        </w:rPr>
      </w:pPr>
      <w:r>
        <w:rPr>
          <w:color w:val="auto"/>
          <w:highlight w:val="none"/>
        </w:rPr>
        <w:t xml:space="preserve">(1) </w:t>
      </w:r>
      <w:r>
        <w:rPr>
          <w:rFonts w:hint="eastAsia" w:ascii="宋体" w:hAnsi="宋体"/>
          <w:color w:val="auto"/>
          <w:highlight w:val="none"/>
        </w:rPr>
        <w:t>愿按照招标文件中规定的条款和要求，提供完成招标文件规定的全部工作，投标报价为</w:t>
      </w:r>
      <w:r>
        <w:rPr>
          <w:rFonts w:hint="eastAsia" w:ascii="宋体" w:hAnsi="宋体"/>
          <w:color w:val="auto"/>
          <w:highlight w:val="none"/>
          <w:u w:val="none"/>
        </w:rPr>
        <w:t>（大写）</w:t>
      </w:r>
      <w:r>
        <w:rPr>
          <w:rFonts w:hint="eastAsia" w:ascii="宋体" w:hAnsi="宋体"/>
          <w:color w:val="auto"/>
          <w:highlight w:val="none"/>
          <w:u w:val="none"/>
          <w:lang w:eastAsia="zh-CN"/>
        </w:rPr>
        <w:t>：</w:t>
      </w:r>
      <w:r>
        <w:rPr>
          <w:rFonts w:hint="eastAsia" w:ascii="宋体" w:hAnsi="宋体"/>
          <w:color w:val="auto"/>
          <w:highlight w:val="none"/>
          <w:u w:val="none"/>
          <w:lang w:val="en-US" w:eastAsia="zh-CN"/>
        </w:rPr>
        <w:t>百分之</w:t>
      </w:r>
      <w:r>
        <w:rPr>
          <w:rFonts w:hint="eastAsia" w:ascii="宋体" w:hAnsi="宋体"/>
          <w:color w:val="auto"/>
          <w:highlight w:val="none"/>
          <w:u w:val="single"/>
        </w:rPr>
        <w:t xml:space="preserve">           </w:t>
      </w:r>
      <w:r>
        <w:rPr>
          <w:rFonts w:hint="eastAsia" w:ascii="宋体" w:hAnsi="宋体"/>
          <w:color w:val="auto"/>
          <w:highlight w:val="none"/>
        </w:rPr>
        <w:t>，小写</w:t>
      </w:r>
      <w:r>
        <w:rPr>
          <w:rFonts w:hint="eastAsia" w:ascii="宋体" w:hAnsi="宋体"/>
          <w:color w:val="auto"/>
          <w:highlight w:val="none"/>
          <w:lang w:eastAsia="zh-CN"/>
        </w:rPr>
        <w:t>：</w:t>
      </w:r>
      <w:r>
        <w:rPr>
          <w:rFonts w:hint="eastAsia" w:ascii="宋体" w:hAnsi="宋体"/>
          <w:color w:val="auto"/>
          <w:highlight w:val="none"/>
          <w:u w:val="single"/>
        </w:rPr>
        <w:t xml:space="preserve">           </w:t>
      </w:r>
      <w:r>
        <w:rPr>
          <w:rFonts w:hint="eastAsia" w:ascii="宋体" w:hAnsi="宋体"/>
          <w:color w:val="auto"/>
          <w:highlight w:val="none"/>
        </w:rPr>
        <w:t>（</w:t>
      </w:r>
      <w:r>
        <w:rPr>
          <w:rFonts w:hint="eastAsia" w:ascii="宋体" w:hAnsi="宋体"/>
          <w:color w:val="auto"/>
          <w:highlight w:val="none"/>
          <w:lang w:val="en-US" w:eastAsia="zh-CN"/>
        </w:rPr>
        <w:t>%</w:t>
      </w:r>
      <w:r>
        <w:rPr>
          <w:rFonts w:hint="eastAsia" w:ascii="宋体" w:hAnsi="宋体"/>
          <w:color w:val="auto"/>
          <w:highlight w:val="none"/>
        </w:rPr>
        <w:t>），</w:t>
      </w:r>
      <w:r>
        <w:rPr>
          <w:rFonts w:hint="eastAsia" w:ascii="宋体" w:hAnsi="宋体"/>
          <w:color w:val="auto"/>
          <w:highlight w:val="none"/>
          <w:lang w:val="en-US" w:eastAsia="zh-CN"/>
        </w:rPr>
        <w:t>服务</w:t>
      </w:r>
      <w:r>
        <w:rPr>
          <w:rFonts w:hint="eastAsia" w:ascii="宋体" w:hAnsi="宋体"/>
          <w:color w:val="auto"/>
          <w:highlight w:val="none"/>
        </w:rPr>
        <w:t>期限：</w:t>
      </w:r>
      <w:r>
        <w:rPr>
          <w:rFonts w:hint="eastAsia" w:ascii="宋体" w:hAnsi="宋体"/>
          <w:color w:val="auto"/>
          <w:highlight w:val="none"/>
          <w:u w:val="single"/>
        </w:rPr>
        <w:t xml:space="preserve">            </w:t>
      </w:r>
      <w:r>
        <w:rPr>
          <w:rFonts w:hint="eastAsia" w:ascii="宋体" w:hAnsi="宋体"/>
          <w:color w:val="auto"/>
          <w:highlight w:val="none"/>
        </w:rPr>
        <w:t>，</w:t>
      </w:r>
      <w:r>
        <w:rPr>
          <w:rFonts w:hint="eastAsia" w:ascii="宋体" w:hAnsi="宋体"/>
          <w:bCs/>
          <w:color w:val="auto"/>
          <w:highlight w:val="none"/>
        </w:rPr>
        <w:t>质量要求：</w:t>
      </w:r>
      <w:r>
        <w:rPr>
          <w:rFonts w:hint="eastAsia" w:ascii="宋体" w:hAnsi="宋体"/>
          <w:color w:val="auto"/>
          <w:highlight w:val="none"/>
          <w:u w:val="single"/>
        </w:rPr>
        <w:t xml:space="preserve">            </w:t>
      </w:r>
      <w:r>
        <w:rPr>
          <w:rFonts w:hint="eastAsia" w:ascii="宋体" w:hAnsi="宋体"/>
          <w:color w:val="auto"/>
          <w:highlight w:val="none"/>
        </w:rPr>
        <w:t>。</w:t>
      </w:r>
    </w:p>
    <w:p w14:paraId="417964C7">
      <w:pPr>
        <w:spacing w:line="420" w:lineRule="exact"/>
        <w:ind w:firstLine="420" w:firstLineChars="200"/>
        <w:rPr>
          <w:color w:val="auto"/>
          <w:highlight w:val="none"/>
        </w:rPr>
      </w:pPr>
      <w:r>
        <w:rPr>
          <w:color w:val="auto"/>
          <w:highlight w:val="none"/>
        </w:rPr>
        <w:t xml:space="preserve">(2) </w:t>
      </w:r>
      <w:r>
        <w:rPr>
          <w:rFonts w:hint="eastAsia" w:ascii="宋体" w:hAnsi="宋体"/>
          <w:color w:val="auto"/>
          <w:highlight w:val="none"/>
        </w:rPr>
        <w:t>如果我们的投标文件被接受，我们将履行招标文件中规定的各项要求。</w:t>
      </w:r>
    </w:p>
    <w:p w14:paraId="37C46DAA">
      <w:pPr>
        <w:spacing w:line="420" w:lineRule="exact"/>
        <w:ind w:firstLine="420" w:firstLineChars="200"/>
        <w:rPr>
          <w:color w:val="auto"/>
          <w:highlight w:val="none"/>
        </w:rPr>
      </w:pPr>
      <w:r>
        <w:rPr>
          <w:color w:val="auto"/>
          <w:highlight w:val="none"/>
        </w:rPr>
        <w:t xml:space="preserve">(3) </w:t>
      </w:r>
      <w:r>
        <w:rPr>
          <w:rFonts w:hint="eastAsia" w:ascii="宋体" w:hAnsi="宋体"/>
          <w:color w:val="auto"/>
          <w:highlight w:val="none"/>
        </w:rPr>
        <w:t>我们同意本次招标投标有效期内不撤销、不修改投标文件内容。</w:t>
      </w:r>
    </w:p>
    <w:p w14:paraId="2ADF7F1E">
      <w:pPr>
        <w:spacing w:line="420" w:lineRule="exact"/>
        <w:ind w:firstLine="315" w:firstLineChars="150"/>
        <w:rPr>
          <w:color w:val="auto"/>
          <w:highlight w:val="none"/>
        </w:rPr>
      </w:pPr>
      <w:r>
        <w:rPr>
          <w:color w:val="auto"/>
          <w:highlight w:val="none"/>
        </w:rPr>
        <w:t xml:space="preserve"> (4) </w:t>
      </w:r>
      <w:r>
        <w:rPr>
          <w:rFonts w:hint="eastAsia" w:ascii="宋体" w:hAnsi="宋体"/>
          <w:color w:val="auto"/>
          <w:highlight w:val="none"/>
        </w:rPr>
        <w:t>我们愿提供招标文件中要求的所有文件资料。</w:t>
      </w:r>
    </w:p>
    <w:p w14:paraId="5A331E8A">
      <w:pPr>
        <w:spacing w:line="420" w:lineRule="exact"/>
        <w:ind w:firstLine="420" w:firstLineChars="200"/>
        <w:rPr>
          <w:color w:val="auto"/>
          <w:highlight w:val="none"/>
        </w:rPr>
      </w:pPr>
      <w:r>
        <w:rPr>
          <w:color w:val="auto"/>
          <w:highlight w:val="none"/>
        </w:rPr>
        <w:t xml:space="preserve">(5) </w:t>
      </w:r>
      <w:r>
        <w:rPr>
          <w:rFonts w:hint="eastAsia" w:ascii="宋体" w:hAnsi="宋体"/>
          <w:color w:val="auto"/>
          <w:highlight w:val="none"/>
        </w:rPr>
        <w:t>我们已经详细审核了全部招标文件，如有需要澄清的问题，我们同意按招标文件规定的时间向采购人提出。逾期不提，我公司同意放弃对这方面有不明及误解的权利。</w:t>
      </w:r>
    </w:p>
    <w:p w14:paraId="14AA1E1A">
      <w:pPr>
        <w:spacing w:line="420" w:lineRule="exact"/>
        <w:ind w:firstLine="420" w:firstLineChars="200"/>
        <w:rPr>
          <w:color w:val="auto"/>
          <w:highlight w:val="none"/>
        </w:rPr>
      </w:pPr>
      <w:r>
        <w:rPr>
          <w:color w:val="auto"/>
          <w:highlight w:val="none"/>
        </w:rPr>
        <w:t xml:space="preserve">(6) </w:t>
      </w:r>
      <w:r>
        <w:rPr>
          <w:rFonts w:hint="eastAsia" w:ascii="宋体" w:hAnsi="宋体"/>
          <w:color w:val="auto"/>
          <w:highlight w:val="none"/>
        </w:rPr>
        <w:t>我们承诺，与采购人聘请的为此项目提供咨询服务及任何附属机构均无关联，非采购人的附属机构。</w:t>
      </w:r>
    </w:p>
    <w:p w14:paraId="556B8D16">
      <w:pPr>
        <w:spacing w:line="420" w:lineRule="exact"/>
        <w:ind w:firstLine="420" w:firstLineChars="200"/>
        <w:rPr>
          <w:rFonts w:ascii="宋体"/>
          <w:color w:val="auto"/>
          <w:highlight w:val="none"/>
        </w:rPr>
      </w:pPr>
      <w:r>
        <w:rPr>
          <w:color w:val="auto"/>
          <w:highlight w:val="none"/>
        </w:rPr>
        <w:t>(7)</w:t>
      </w:r>
      <w:r>
        <w:rPr>
          <w:rFonts w:hint="eastAsia" w:ascii="宋体" w:hAnsi="宋体"/>
          <w:color w:val="auto"/>
          <w:highlight w:val="none"/>
        </w:rPr>
        <w:t>我方承诺将按规定将招标代理费支付给采购代理机构。</w:t>
      </w:r>
    </w:p>
    <w:p w14:paraId="39F33C21">
      <w:pPr>
        <w:spacing w:line="420" w:lineRule="exact"/>
        <w:ind w:firstLine="420" w:firstLineChars="200"/>
        <w:rPr>
          <w:color w:val="auto"/>
          <w:highlight w:val="none"/>
        </w:rPr>
      </w:pPr>
      <w:r>
        <w:rPr>
          <w:color w:val="auto"/>
          <w:highlight w:val="none"/>
        </w:rPr>
        <w:t>(</w:t>
      </w:r>
      <w:r>
        <w:rPr>
          <w:rFonts w:hint="eastAsia"/>
          <w:color w:val="auto"/>
          <w:highlight w:val="none"/>
        </w:rPr>
        <w:t>8</w:t>
      </w:r>
      <w:r>
        <w:rPr>
          <w:color w:val="auto"/>
          <w:highlight w:val="none"/>
        </w:rPr>
        <w:t>)</w:t>
      </w:r>
      <w:r>
        <w:rPr>
          <w:rFonts w:hint="eastAsia" w:ascii="宋体" w:hAnsi="宋体"/>
          <w:color w:val="auto"/>
          <w:highlight w:val="none"/>
        </w:rPr>
        <w:t>我公司同意提供按照采购人可能要求的与其投标有关的一切数据或资料，完全理解采购人不一定接受最低价的投标或收到的任何投标。</w:t>
      </w:r>
    </w:p>
    <w:p w14:paraId="4CD86CB7">
      <w:pPr>
        <w:spacing w:line="420" w:lineRule="exact"/>
        <w:ind w:firstLine="420" w:firstLineChars="200"/>
        <w:rPr>
          <w:color w:val="auto"/>
          <w:highlight w:val="none"/>
        </w:rPr>
      </w:pPr>
      <w:r>
        <w:rPr>
          <w:color w:val="auto"/>
          <w:highlight w:val="none"/>
        </w:rPr>
        <w:t>(</w:t>
      </w:r>
      <w:r>
        <w:rPr>
          <w:rFonts w:hint="eastAsia"/>
          <w:color w:val="auto"/>
          <w:highlight w:val="none"/>
        </w:rPr>
        <w:t>9</w:t>
      </w:r>
      <w:r>
        <w:rPr>
          <w:color w:val="auto"/>
          <w:highlight w:val="none"/>
        </w:rPr>
        <w:t xml:space="preserve">) </w:t>
      </w:r>
      <w:r>
        <w:rPr>
          <w:rFonts w:hint="eastAsia" w:ascii="宋体" w:hAnsi="宋体"/>
          <w:color w:val="auto"/>
          <w:highlight w:val="none"/>
        </w:rPr>
        <w:t>我们愿按《中华人民共和国民法典》履行自己的全部责任。</w:t>
      </w:r>
    </w:p>
    <w:p w14:paraId="2C5AD175">
      <w:pPr>
        <w:pStyle w:val="34"/>
        <w:spacing w:line="420" w:lineRule="exact"/>
        <w:ind w:firstLine="420" w:firstLineChars="200"/>
        <w:rPr>
          <w:rFonts w:ascii="Calibri" w:cs="Times New Roman"/>
          <w:color w:val="auto"/>
          <w:kern w:val="2"/>
          <w:sz w:val="21"/>
          <w:szCs w:val="21"/>
          <w:highlight w:val="none"/>
        </w:rPr>
      </w:pPr>
      <w:r>
        <w:rPr>
          <w:rFonts w:ascii="Calibri" w:cs="Times New Roman"/>
          <w:color w:val="auto"/>
          <w:kern w:val="2"/>
          <w:sz w:val="21"/>
          <w:szCs w:val="21"/>
          <w:highlight w:val="none"/>
        </w:rPr>
        <w:t>(1</w:t>
      </w:r>
      <w:r>
        <w:rPr>
          <w:rFonts w:hint="eastAsia" w:ascii="Calibri" w:cs="Times New Roman"/>
          <w:color w:val="auto"/>
          <w:kern w:val="2"/>
          <w:sz w:val="21"/>
          <w:szCs w:val="21"/>
          <w:highlight w:val="none"/>
        </w:rPr>
        <w:t>0</w:t>
      </w:r>
      <w:r>
        <w:rPr>
          <w:rFonts w:ascii="Calibri" w:cs="Times New Roman"/>
          <w:color w:val="auto"/>
          <w:kern w:val="2"/>
          <w:sz w:val="21"/>
          <w:szCs w:val="21"/>
          <w:highlight w:val="none"/>
        </w:rPr>
        <w:t>)</w:t>
      </w:r>
      <w:r>
        <w:rPr>
          <w:rFonts w:hint="eastAsia" w:ascii="Calibri" w:cs="Times New Roman"/>
          <w:color w:val="auto"/>
          <w:kern w:val="2"/>
          <w:sz w:val="21"/>
          <w:szCs w:val="21"/>
          <w:highlight w:val="none"/>
          <w:u w:val="single"/>
        </w:rPr>
        <w:t xml:space="preserve">                               </w:t>
      </w:r>
      <w:r>
        <w:rPr>
          <w:rFonts w:hint="eastAsia" w:hAnsi="宋体" w:cs="Times New Roman"/>
          <w:color w:val="auto"/>
          <w:kern w:val="2"/>
          <w:sz w:val="21"/>
          <w:szCs w:val="21"/>
          <w:highlight w:val="none"/>
        </w:rPr>
        <w:t>（其他补充说明）。</w:t>
      </w:r>
    </w:p>
    <w:p w14:paraId="6ABCD1C6">
      <w:pPr>
        <w:spacing w:line="420" w:lineRule="exact"/>
        <w:rPr>
          <w:rFonts w:hint="eastAsia" w:ascii="宋体" w:hAnsi="宋体"/>
          <w:b/>
          <w:bCs/>
          <w:color w:val="auto"/>
          <w:highlight w:val="none"/>
        </w:rPr>
      </w:pPr>
    </w:p>
    <w:p w14:paraId="58B7178B">
      <w:pPr>
        <w:spacing w:line="420" w:lineRule="exact"/>
        <w:ind w:firstLine="420" w:firstLineChars="200"/>
        <w:rPr>
          <w:rFonts w:hint="eastAsia" w:ascii="宋体" w:hAnsi="宋体"/>
          <w:color w:val="auto"/>
          <w:highlight w:val="none"/>
        </w:rPr>
      </w:pPr>
    </w:p>
    <w:p w14:paraId="537A9263">
      <w:pPr>
        <w:spacing w:line="360" w:lineRule="auto"/>
        <w:rPr>
          <w:rFonts w:hint="eastAsia" w:ascii="宋体" w:hAnsi="宋体"/>
          <w:color w:val="auto"/>
          <w:highlight w:val="none"/>
        </w:rPr>
      </w:pPr>
    </w:p>
    <w:p w14:paraId="1F583989">
      <w:pPr>
        <w:spacing w:line="360" w:lineRule="auto"/>
        <w:rPr>
          <w:rFonts w:hint="eastAsia" w:ascii="宋体" w:hAnsi="宋体"/>
          <w:color w:val="auto"/>
          <w:highlight w:val="none"/>
          <w:u w:val="single"/>
        </w:rPr>
      </w:pPr>
      <w:r>
        <w:rPr>
          <w:rFonts w:hint="eastAsia" w:ascii="宋体" w:hAnsi="宋体"/>
          <w:color w:val="auto"/>
          <w:highlight w:val="none"/>
        </w:rPr>
        <w:t>地址：</w:t>
      </w:r>
      <w:r>
        <w:rPr>
          <w:rFonts w:hint="eastAsia" w:ascii="宋体" w:hAnsi="宋体"/>
          <w:color w:val="auto"/>
          <w:highlight w:val="none"/>
          <w:u w:val="single"/>
        </w:rPr>
        <w:t xml:space="preserve">               </w:t>
      </w:r>
    </w:p>
    <w:p w14:paraId="332B4C28">
      <w:pPr>
        <w:spacing w:line="360" w:lineRule="auto"/>
        <w:rPr>
          <w:rFonts w:hint="eastAsia" w:ascii="宋体" w:hAnsi="宋体"/>
          <w:color w:val="auto"/>
          <w:highlight w:val="none"/>
          <w:u w:val="single"/>
        </w:rPr>
      </w:pPr>
      <w:r>
        <w:rPr>
          <w:rFonts w:hint="eastAsia" w:ascii="宋体" w:hAnsi="宋体"/>
          <w:color w:val="auto"/>
          <w:highlight w:val="none"/>
        </w:rPr>
        <w:t>电话：</w:t>
      </w:r>
      <w:r>
        <w:rPr>
          <w:rFonts w:hint="eastAsia" w:ascii="宋体" w:hAnsi="宋体"/>
          <w:color w:val="auto"/>
          <w:highlight w:val="none"/>
          <w:u w:val="single"/>
        </w:rPr>
        <w:t xml:space="preserve">                   </w:t>
      </w:r>
    </w:p>
    <w:p w14:paraId="0C225EF9">
      <w:pPr>
        <w:spacing w:line="360" w:lineRule="auto"/>
        <w:rPr>
          <w:rFonts w:hint="eastAsia" w:ascii="宋体" w:hAnsi="宋体"/>
          <w:color w:val="auto"/>
          <w:highlight w:val="none"/>
        </w:rPr>
      </w:pPr>
      <w:r>
        <w:rPr>
          <w:rFonts w:hint="eastAsia" w:ascii="宋体" w:hAnsi="宋体"/>
          <w:color w:val="auto"/>
          <w:highlight w:val="none"/>
        </w:rPr>
        <w:t xml:space="preserve">供应商： </w:t>
      </w:r>
      <w:r>
        <w:rPr>
          <w:rFonts w:hint="eastAsia" w:ascii="宋体" w:hAnsi="宋体"/>
          <w:color w:val="auto"/>
          <w:highlight w:val="none"/>
          <w:u w:val="single"/>
        </w:rPr>
        <w:t xml:space="preserve">                       </w:t>
      </w:r>
      <w:r>
        <w:rPr>
          <w:rFonts w:hint="eastAsia" w:ascii="宋体" w:hAnsi="宋体"/>
          <w:color w:val="auto"/>
          <w:highlight w:val="none"/>
        </w:rPr>
        <w:t>（企业电子签章）</w:t>
      </w:r>
    </w:p>
    <w:p w14:paraId="55E6AECB">
      <w:pPr>
        <w:spacing w:line="360" w:lineRule="auto"/>
        <w:rPr>
          <w:rFonts w:ascii="宋体"/>
          <w:color w:val="auto"/>
          <w:highlight w:val="none"/>
        </w:rPr>
      </w:pPr>
      <w:r>
        <w:rPr>
          <w:rFonts w:hint="eastAsia" w:ascii="宋体" w:hAnsi="宋体"/>
          <w:color w:val="auto"/>
          <w:highlight w:val="none"/>
        </w:rPr>
        <w:t>法定代表人或委托代理人：</w:t>
      </w:r>
      <w:r>
        <w:rPr>
          <w:rFonts w:hint="eastAsia" w:ascii="宋体" w:hAnsi="宋体"/>
          <w:color w:val="auto"/>
          <w:highlight w:val="none"/>
          <w:u w:val="single"/>
        </w:rPr>
        <w:t xml:space="preserve">              </w:t>
      </w:r>
      <w:r>
        <w:rPr>
          <w:rFonts w:hint="eastAsia" w:ascii="宋体" w:hAnsi="宋体"/>
          <w:color w:val="auto"/>
          <w:kern w:val="0"/>
          <w:highlight w:val="none"/>
        </w:rPr>
        <w:t>（</w:t>
      </w:r>
      <w:r>
        <w:rPr>
          <w:rFonts w:hint="eastAsia" w:ascii="宋体" w:hAnsi="宋体"/>
          <w:color w:val="auto"/>
          <w:highlight w:val="none"/>
        </w:rPr>
        <w:t>个人电子签章</w:t>
      </w:r>
      <w:r>
        <w:rPr>
          <w:rFonts w:hint="eastAsia" w:ascii="宋体" w:hAnsi="宋体"/>
          <w:color w:val="auto"/>
          <w:kern w:val="0"/>
          <w:highlight w:val="none"/>
        </w:rPr>
        <w:t>）</w:t>
      </w:r>
    </w:p>
    <w:p w14:paraId="1CE39650">
      <w:pPr>
        <w:autoSpaceDE w:val="0"/>
        <w:autoSpaceDN w:val="0"/>
        <w:adjustRightInd w:val="0"/>
        <w:spacing w:line="560" w:lineRule="atLeast"/>
        <w:jc w:val="left"/>
        <w:rPr>
          <w:rFonts w:ascii="宋体"/>
          <w:color w:val="auto"/>
          <w:spacing w:val="10"/>
          <w:kern w:val="0"/>
          <w:highlight w:val="none"/>
        </w:rPr>
      </w:pPr>
      <w:r>
        <w:rPr>
          <w:rFonts w:hint="eastAsia" w:ascii="宋体" w:hAnsi="宋体"/>
          <w:color w:val="auto"/>
          <w:spacing w:val="10"/>
          <w:kern w:val="0"/>
          <w:highlight w:val="none"/>
        </w:rPr>
        <w:t>日期：</w:t>
      </w:r>
      <w:r>
        <w:rPr>
          <w:rFonts w:hint="eastAsia" w:ascii="宋体"/>
          <w:color w:val="auto"/>
          <w:highlight w:val="none"/>
          <w:u w:val="single"/>
          <w:shd w:val="clear" w:color="auto" w:fill="FFFFFF"/>
        </w:rPr>
        <w:t xml:space="preserve">                           </w:t>
      </w:r>
    </w:p>
    <w:p w14:paraId="317EA22A">
      <w:pPr>
        <w:pStyle w:val="6"/>
        <w:ind w:firstLine="0"/>
        <w:rPr>
          <w:rFonts w:ascii="宋体"/>
          <w:b/>
          <w:bCs/>
          <w:color w:val="auto"/>
          <w:highlight w:val="none"/>
        </w:rPr>
      </w:pPr>
    </w:p>
    <w:p w14:paraId="175391EF">
      <w:pPr>
        <w:spacing w:line="440" w:lineRule="exact"/>
        <w:rPr>
          <w:color w:val="auto"/>
          <w:highlight w:val="none"/>
        </w:rPr>
      </w:pPr>
      <w:r>
        <w:rPr>
          <w:color w:val="auto"/>
          <w:highlight w:val="none"/>
        </w:rPr>
        <w:br w:type="page"/>
      </w:r>
    </w:p>
    <w:p w14:paraId="38F20976">
      <w:pPr>
        <w:pStyle w:val="3"/>
        <w:jc w:val="center"/>
        <w:rPr>
          <w:color w:val="auto"/>
          <w:sz w:val="24"/>
          <w:szCs w:val="24"/>
          <w:highlight w:val="none"/>
        </w:rPr>
      </w:pPr>
      <w:bookmarkStart w:id="917" w:name="_Toc8347"/>
      <w:bookmarkEnd w:id="917"/>
      <w:bookmarkStart w:id="918" w:name="_Toc21690"/>
      <w:r>
        <w:rPr>
          <w:color w:val="auto"/>
          <w:highlight w:val="none"/>
        </w:rPr>
        <w:t>3</w:t>
      </w:r>
      <w:bookmarkEnd w:id="918"/>
      <w:r>
        <w:rPr>
          <w:rFonts w:hint="eastAsia" w:ascii="宋体" w:hAnsi="宋体"/>
          <w:color w:val="auto"/>
          <w:highlight w:val="none"/>
        </w:rPr>
        <w:t>、开标一览表</w:t>
      </w:r>
    </w:p>
    <w:tbl>
      <w:tblPr>
        <w:tblStyle w:val="25"/>
        <w:tblW w:w="8790"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0" w:type="dxa"/>
          <w:bottom w:w="0" w:type="dxa"/>
          <w:right w:w="0" w:type="dxa"/>
        </w:tblCellMar>
      </w:tblPr>
      <w:tblGrid>
        <w:gridCol w:w="2033"/>
        <w:gridCol w:w="6757"/>
      </w:tblGrid>
      <w:tr w14:paraId="7165C31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1148" w:hRule="atLeast"/>
          <w:jc w:val="center"/>
        </w:trPr>
        <w:tc>
          <w:tcPr>
            <w:tcW w:w="2033" w:type="dxa"/>
            <w:tcBorders>
              <w:top w:val="double" w:color="auto" w:sz="2" w:space="0"/>
              <w:left w:val="double" w:color="auto" w:sz="2" w:space="0"/>
              <w:bottom w:val="single" w:color="auto" w:sz="4" w:space="0"/>
              <w:right w:val="single" w:color="auto" w:sz="4" w:space="0"/>
            </w:tcBorders>
            <w:vAlign w:val="center"/>
          </w:tcPr>
          <w:p w14:paraId="70F49350">
            <w:pPr>
              <w:jc w:val="center"/>
              <w:rPr>
                <w:color w:val="auto"/>
                <w:highlight w:val="none"/>
              </w:rPr>
            </w:pPr>
            <w:r>
              <w:rPr>
                <w:rFonts w:hint="eastAsia"/>
                <w:color w:val="auto"/>
                <w:highlight w:val="none"/>
              </w:rPr>
              <w:t>供应商名称</w:t>
            </w:r>
          </w:p>
        </w:tc>
        <w:tc>
          <w:tcPr>
            <w:tcW w:w="6757" w:type="dxa"/>
            <w:tcBorders>
              <w:top w:val="double" w:color="auto" w:sz="2" w:space="0"/>
              <w:left w:val="single" w:color="auto" w:sz="4" w:space="0"/>
              <w:bottom w:val="single" w:color="auto" w:sz="4" w:space="0"/>
              <w:right w:val="double" w:color="auto" w:sz="2" w:space="0"/>
            </w:tcBorders>
            <w:vAlign w:val="center"/>
          </w:tcPr>
          <w:p w14:paraId="4AE0BC2F">
            <w:pPr>
              <w:spacing w:line="480" w:lineRule="auto"/>
              <w:ind w:firstLine="210" w:firstLineChars="100"/>
              <w:rPr>
                <w:color w:val="auto"/>
                <w:highlight w:val="none"/>
              </w:rPr>
            </w:pPr>
          </w:p>
        </w:tc>
      </w:tr>
      <w:tr w14:paraId="09B898DC">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2033" w:type="dxa"/>
            <w:tcBorders>
              <w:top w:val="double" w:color="auto" w:sz="2" w:space="0"/>
              <w:left w:val="double" w:color="auto" w:sz="2" w:space="0"/>
              <w:bottom w:val="single" w:color="auto" w:sz="4" w:space="0"/>
              <w:right w:val="single" w:color="auto" w:sz="4" w:space="0"/>
            </w:tcBorders>
            <w:vAlign w:val="center"/>
          </w:tcPr>
          <w:p w14:paraId="5DFD56E1">
            <w:pPr>
              <w:jc w:val="center"/>
              <w:rPr>
                <w:color w:val="auto"/>
                <w:highlight w:val="none"/>
              </w:rPr>
            </w:pPr>
            <w:r>
              <w:rPr>
                <w:rFonts w:hint="eastAsia" w:ascii="宋体" w:hAnsi="宋体"/>
                <w:bCs/>
                <w:color w:val="auto"/>
                <w:highlight w:val="none"/>
                <w:lang w:val="en-US" w:eastAsia="zh-CN"/>
              </w:rPr>
              <w:t>服务</w:t>
            </w:r>
            <w:r>
              <w:rPr>
                <w:rFonts w:hint="eastAsia" w:ascii="宋体" w:hAnsi="宋体"/>
                <w:bCs/>
                <w:color w:val="auto"/>
                <w:highlight w:val="none"/>
                <w:lang w:val="zh-TW"/>
              </w:rPr>
              <w:t>内容</w:t>
            </w:r>
          </w:p>
        </w:tc>
        <w:tc>
          <w:tcPr>
            <w:tcW w:w="6757" w:type="dxa"/>
            <w:tcBorders>
              <w:top w:val="double" w:color="auto" w:sz="2" w:space="0"/>
              <w:left w:val="single" w:color="auto" w:sz="4" w:space="0"/>
              <w:bottom w:val="single" w:color="auto" w:sz="4" w:space="0"/>
              <w:right w:val="double" w:color="auto" w:sz="2" w:space="0"/>
            </w:tcBorders>
            <w:vAlign w:val="center"/>
          </w:tcPr>
          <w:p w14:paraId="75F210B1">
            <w:pPr>
              <w:spacing w:line="480" w:lineRule="auto"/>
              <w:ind w:firstLine="210" w:firstLineChars="100"/>
              <w:rPr>
                <w:color w:val="auto"/>
                <w:highlight w:val="none"/>
              </w:rPr>
            </w:pPr>
          </w:p>
        </w:tc>
      </w:tr>
      <w:tr w14:paraId="2FE49658">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1396" w:hRule="atLeast"/>
          <w:jc w:val="center"/>
        </w:trPr>
        <w:tc>
          <w:tcPr>
            <w:tcW w:w="2033" w:type="dxa"/>
            <w:vMerge w:val="restart"/>
            <w:tcBorders>
              <w:top w:val="nil"/>
              <w:left w:val="double" w:color="auto" w:sz="2" w:space="0"/>
              <w:right w:val="single" w:color="auto" w:sz="4" w:space="0"/>
            </w:tcBorders>
            <w:vAlign w:val="center"/>
          </w:tcPr>
          <w:p w14:paraId="5A0D3AB2">
            <w:pPr>
              <w:jc w:val="center"/>
              <w:rPr>
                <w:color w:val="auto"/>
                <w:highlight w:val="none"/>
              </w:rPr>
            </w:pPr>
            <w:r>
              <w:rPr>
                <w:rFonts w:hint="eastAsia"/>
                <w:color w:val="auto"/>
                <w:highlight w:val="none"/>
              </w:rPr>
              <w:t>投标报价（</w:t>
            </w:r>
            <w:r>
              <w:rPr>
                <w:rFonts w:hint="eastAsia"/>
                <w:color w:val="auto"/>
                <w:highlight w:val="none"/>
                <w:lang w:val="en-US" w:eastAsia="zh-CN"/>
              </w:rPr>
              <w:t>%</w:t>
            </w:r>
            <w:r>
              <w:rPr>
                <w:rFonts w:hint="eastAsia"/>
                <w:color w:val="auto"/>
                <w:highlight w:val="none"/>
              </w:rPr>
              <w:t>）</w:t>
            </w:r>
          </w:p>
        </w:tc>
        <w:tc>
          <w:tcPr>
            <w:tcW w:w="6757" w:type="dxa"/>
            <w:tcBorders>
              <w:top w:val="single" w:color="auto" w:sz="4" w:space="0"/>
              <w:left w:val="single" w:color="auto" w:sz="4" w:space="0"/>
              <w:bottom w:val="single" w:color="auto" w:sz="4" w:space="0"/>
              <w:right w:val="double" w:color="auto" w:sz="2" w:space="0"/>
            </w:tcBorders>
            <w:vAlign w:val="center"/>
          </w:tcPr>
          <w:p w14:paraId="44F70F7E">
            <w:pPr>
              <w:spacing w:line="480" w:lineRule="auto"/>
              <w:rPr>
                <w:color w:val="auto"/>
                <w:highlight w:val="none"/>
              </w:rPr>
            </w:pPr>
            <w:r>
              <w:rPr>
                <w:rFonts w:hint="eastAsia"/>
                <w:color w:val="auto"/>
                <w:highlight w:val="none"/>
              </w:rPr>
              <w:t>大写：</w:t>
            </w:r>
          </w:p>
          <w:p w14:paraId="5917E516">
            <w:pPr>
              <w:spacing w:line="480" w:lineRule="auto"/>
              <w:rPr>
                <w:rFonts w:hint="eastAsia" w:ascii="宋体" w:hAnsi="宋体"/>
                <w:b/>
                <w:bCs/>
                <w:color w:val="auto"/>
                <w:highlight w:val="none"/>
              </w:rPr>
            </w:pPr>
            <w:r>
              <w:rPr>
                <w:rFonts w:hint="eastAsia" w:ascii="宋体" w:hAnsi="宋体"/>
                <w:color w:val="auto"/>
                <w:highlight w:val="none"/>
              </w:rPr>
              <w:t>小写：</w:t>
            </w:r>
          </w:p>
        </w:tc>
      </w:tr>
      <w:tr w14:paraId="02017A5A">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428" w:hRule="atLeast"/>
          <w:jc w:val="center"/>
        </w:trPr>
        <w:tc>
          <w:tcPr>
            <w:tcW w:w="2033" w:type="dxa"/>
            <w:vMerge w:val="continue"/>
            <w:tcBorders>
              <w:left w:val="double" w:color="auto" w:sz="2" w:space="0"/>
              <w:right w:val="single" w:color="auto" w:sz="4" w:space="0"/>
            </w:tcBorders>
            <w:vAlign w:val="center"/>
          </w:tcPr>
          <w:p w14:paraId="3183BB7C">
            <w:pPr>
              <w:rPr>
                <w:rFonts w:hint="eastAsia" w:ascii="宋体" w:hAnsi="宋体"/>
                <w:color w:val="auto"/>
                <w:highlight w:val="none"/>
              </w:rPr>
            </w:pPr>
          </w:p>
        </w:tc>
        <w:tc>
          <w:tcPr>
            <w:tcW w:w="6757" w:type="dxa"/>
            <w:tcBorders>
              <w:top w:val="single" w:color="auto" w:sz="4" w:space="0"/>
              <w:left w:val="single" w:color="auto" w:sz="4" w:space="0"/>
              <w:right w:val="double" w:color="auto" w:sz="2" w:space="0"/>
            </w:tcBorders>
            <w:vAlign w:val="center"/>
          </w:tcPr>
          <w:p w14:paraId="27FE0359">
            <w:pPr>
              <w:rPr>
                <w:rFonts w:hint="eastAsia"/>
                <w:b/>
                <w:bCs/>
                <w:color w:val="auto"/>
                <w:highlight w:val="none"/>
                <w:lang w:eastAsia="zh-CN"/>
              </w:rPr>
            </w:pPr>
            <w:r>
              <w:rPr>
                <w:rFonts w:hint="eastAsia"/>
                <w:b/>
                <w:bCs/>
                <w:color w:val="auto"/>
                <w:highlight w:val="none"/>
                <w:lang w:eastAsia="zh-CN"/>
              </w:rPr>
              <w:t>本</w:t>
            </w:r>
            <w:r>
              <w:rPr>
                <w:rFonts w:hint="eastAsia"/>
                <w:b/>
                <w:bCs/>
                <w:color w:val="auto"/>
                <w:highlight w:val="none"/>
                <w:lang w:val="en-US" w:eastAsia="zh-CN"/>
              </w:rPr>
              <w:t>项目</w:t>
            </w:r>
            <w:r>
              <w:rPr>
                <w:rFonts w:hint="eastAsia"/>
                <w:b/>
                <w:bCs/>
                <w:color w:val="auto"/>
                <w:highlight w:val="none"/>
                <w:lang w:eastAsia="zh-CN"/>
              </w:rPr>
              <w:t>采用费率报价方式，投标人</w:t>
            </w:r>
            <w:r>
              <w:rPr>
                <w:rFonts w:hint="eastAsia"/>
                <w:b/>
                <w:bCs/>
                <w:color w:val="auto"/>
                <w:highlight w:val="none"/>
                <w:lang w:val="en-US" w:eastAsia="zh-CN"/>
              </w:rPr>
              <w:t>最高限价为100%</w:t>
            </w:r>
            <w:r>
              <w:rPr>
                <w:rFonts w:hint="eastAsia"/>
                <w:b/>
                <w:bCs/>
                <w:color w:val="auto"/>
                <w:highlight w:val="none"/>
                <w:lang w:eastAsia="zh-CN"/>
              </w:rPr>
              <w:t>，下浮一定比例进行自主报价</w:t>
            </w:r>
            <w:r>
              <w:rPr>
                <w:rFonts w:hint="eastAsia"/>
                <w:b/>
                <w:bCs/>
                <w:color w:val="auto"/>
                <w:highlight w:val="none"/>
              </w:rPr>
              <w:t>，</w:t>
            </w:r>
            <w:r>
              <w:rPr>
                <w:rFonts w:hint="eastAsia"/>
                <w:b/>
                <w:bCs/>
                <w:color w:val="auto"/>
                <w:highlight w:val="none"/>
                <w:lang w:val="en-US" w:eastAsia="zh-CN"/>
              </w:rPr>
              <w:t>不按要求填写报价、高于最高限价的视为不响应招标文件，按废标处理</w:t>
            </w:r>
            <w:r>
              <w:rPr>
                <w:rFonts w:hint="eastAsia"/>
                <w:b/>
                <w:bCs/>
                <w:color w:val="auto"/>
                <w:highlight w:val="none"/>
                <w:lang w:eastAsia="zh-CN"/>
              </w:rPr>
              <w:t>。（</w:t>
            </w:r>
            <w:r>
              <w:rPr>
                <w:rFonts w:hint="eastAsia"/>
                <w:b/>
                <w:bCs/>
                <w:color w:val="auto"/>
                <w:highlight w:val="none"/>
                <w:lang w:val="en-US" w:eastAsia="zh-CN"/>
              </w:rPr>
              <w:t>例如：下浮5%，投标报价应为95%</w:t>
            </w:r>
            <w:r>
              <w:rPr>
                <w:rFonts w:hint="eastAsia"/>
                <w:b/>
                <w:bCs/>
                <w:color w:val="auto"/>
                <w:highlight w:val="none"/>
                <w:lang w:eastAsia="zh-CN"/>
              </w:rPr>
              <w:t>）</w:t>
            </w:r>
          </w:p>
        </w:tc>
      </w:tr>
      <w:tr w14:paraId="2BBB923D">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772" w:hRule="atLeast"/>
          <w:jc w:val="center"/>
        </w:trPr>
        <w:tc>
          <w:tcPr>
            <w:tcW w:w="2033" w:type="dxa"/>
            <w:tcBorders>
              <w:top w:val="single" w:color="auto" w:sz="4" w:space="0"/>
              <w:left w:val="double" w:color="auto" w:sz="2" w:space="0"/>
              <w:bottom w:val="single" w:color="auto" w:sz="4" w:space="0"/>
              <w:right w:val="single" w:color="auto" w:sz="4" w:space="0"/>
            </w:tcBorders>
            <w:vAlign w:val="center"/>
          </w:tcPr>
          <w:p w14:paraId="59A969CB">
            <w:pPr>
              <w:jc w:val="center"/>
              <w:rPr>
                <w:color w:val="auto"/>
                <w:highlight w:val="none"/>
              </w:rPr>
            </w:pPr>
            <w:r>
              <w:rPr>
                <w:rFonts w:hint="eastAsia"/>
                <w:color w:val="auto"/>
                <w:highlight w:val="none"/>
              </w:rPr>
              <w:t>质量要求</w:t>
            </w:r>
          </w:p>
        </w:tc>
        <w:tc>
          <w:tcPr>
            <w:tcW w:w="6757" w:type="dxa"/>
            <w:tcBorders>
              <w:top w:val="single" w:color="auto" w:sz="4" w:space="0"/>
              <w:left w:val="single" w:color="auto" w:sz="4" w:space="0"/>
              <w:bottom w:val="single" w:color="auto" w:sz="4" w:space="0"/>
              <w:right w:val="double" w:color="auto" w:sz="2" w:space="0"/>
            </w:tcBorders>
            <w:vAlign w:val="center"/>
          </w:tcPr>
          <w:p w14:paraId="46CEE725">
            <w:pPr>
              <w:spacing w:line="480" w:lineRule="auto"/>
              <w:ind w:firstLine="210" w:firstLineChars="100"/>
              <w:rPr>
                <w:color w:val="auto"/>
                <w:highlight w:val="none"/>
              </w:rPr>
            </w:pPr>
          </w:p>
        </w:tc>
      </w:tr>
      <w:tr w14:paraId="0D81D024">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858" w:hRule="atLeast"/>
          <w:jc w:val="center"/>
        </w:trPr>
        <w:tc>
          <w:tcPr>
            <w:tcW w:w="2033" w:type="dxa"/>
            <w:tcBorders>
              <w:top w:val="single" w:color="auto" w:sz="4" w:space="0"/>
              <w:left w:val="double" w:color="auto" w:sz="2" w:space="0"/>
              <w:bottom w:val="single" w:color="auto" w:sz="4" w:space="0"/>
              <w:right w:val="single" w:color="auto" w:sz="4" w:space="0"/>
            </w:tcBorders>
            <w:vAlign w:val="center"/>
          </w:tcPr>
          <w:p w14:paraId="331BAACA">
            <w:pPr>
              <w:jc w:val="center"/>
              <w:rPr>
                <w:color w:val="auto"/>
                <w:highlight w:val="none"/>
              </w:rPr>
            </w:pPr>
            <w:r>
              <w:rPr>
                <w:rFonts w:hint="eastAsia"/>
                <w:color w:val="auto"/>
                <w:highlight w:val="none"/>
                <w:lang w:val="en-US" w:eastAsia="zh-CN"/>
              </w:rPr>
              <w:t>服务</w:t>
            </w:r>
            <w:r>
              <w:rPr>
                <w:rFonts w:hint="eastAsia"/>
                <w:color w:val="auto"/>
                <w:highlight w:val="none"/>
              </w:rPr>
              <w:t>范围</w:t>
            </w:r>
          </w:p>
        </w:tc>
        <w:tc>
          <w:tcPr>
            <w:tcW w:w="6757" w:type="dxa"/>
            <w:tcBorders>
              <w:top w:val="single" w:color="auto" w:sz="4" w:space="0"/>
              <w:left w:val="single" w:color="auto" w:sz="4" w:space="0"/>
              <w:bottom w:val="single" w:color="auto" w:sz="4" w:space="0"/>
              <w:right w:val="double" w:color="auto" w:sz="2" w:space="0"/>
            </w:tcBorders>
            <w:vAlign w:val="center"/>
          </w:tcPr>
          <w:p w14:paraId="70427A1A">
            <w:pPr>
              <w:spacing w:line="480" w:lineRule="auto"/>
              <w:ind w:firstLine="210" w:firstLineChars="100"/>
              <w:rPr>
                <w:color w:val="auto"/>
                <w:highlight w:val="none"/>
              </w:rPr>
            </w:pPr>
          </w:p>
        </w:tc>
      </w:tr>
      <w:tr w14:paraId="69A1F411">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2033" w:type="dxa"/>
            <w:tcBorders>
              <w:top w:val="single" w:color="auto" w:sz="4" w:space="0"/>
              <w:left w:val="double" w:color="auto" w:sz="2" w:space="0"/>
              <w:bottom w:val="single" w:color="auto" w:sz="4" w:space="0"/>
              <w:right w:val="single" w:color="auto" w:sz="4" w:space="0"/>
            </w:tcBorders>
            <w:vAlign w:val="center"/>
          </w:tcPr>
          <w:p w14:paraId="4329B410">
            <w:pPr>
              <w:jc w:val="center"/>
              <w:rPr>
                <w:color w:val="auto"/>
                <w:highlight w:val="none"/>
              </w:rPr>
            </w:pPr>
            <w:r>
              <w:rPr>
                <w:rFonts w:hint="eastAsia" w:ascii="宋体" w:hAnsi="宋体"/>
                <w:color w:val="auto"/>
                <w:highlight w:val="none"/>
                <w:lang w:val="en-US" w:eastAsia="zh-CN"/>
              </w:rPr>
              <w:t>服务</w:t>
            </w:r>
            <w:r>
              <w:rPr>
                <w:rFonts w:hint="eastAsia" w:ascii="宋体" w:hAnsi="宋体"/>
                <w:color w:val="auto"/>
                <w:highlight w:val="none"/>
              </w:rPr>
              <w:t>期限</w:t>
            </w:r>
          </w:p>
        </w:tc>
        <w:tc>
          <w:tcPr>
            <w:tcW w:w="6757" w:type="dxa"/>
            <w:tcBorders>
              <w:top w:val="single" w:color="auto" w:sz="4" w:space="0"/>
              <w:left w:val="single" w:color="auto" w:sz="4" w:space="0"/>
              <w:bottom w:val="single" w:color="auto" w:sz="4" w:space="0"/>
              <w:right w:val="double" w:color="auto" w:sz="2" w:space="0"/>
            </w:tcBorders>
            <w:vAlign w:val="center"/>
          </w:tcPr>
          <w:p w14:paraId="4748FA38">
            <w:pPr>
              <w:spacing w:line="480" w:lineRule="auto"/>
              <w:ind w:firstLine="210" w:firstLineChars="100"/>
              <w:rPr>
                <w:color w:val="auto"/>
                <w:highlight w:val="none"/>
              </w:rPr>
            </w:pPr>
          </w:p>
        </w:tc>
      </w:tr>
      <w:tr w14:paraId="37E3D4C9">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843" w:hRule="atLeast"/>
          <w:jc w:val="center"/>
        </w:trPr>
        <w:tc>
          <w:tcPr>
            <w:tcW w:w="2033" w:type="dxa"/>
            <w:tcBorders>
              <w:top w:val="single" w:color="auto" w:sz="4" w:space="0"/>
              <w:left w:val="double" w:color="auto" w:sz="2" w:space="0"/>
              <w:bottom w:val="single" w:color="auto" w:sz="4" w:space="0"/>
              <w:right w:val="single" w:color="auto" w:sz="4" w:space="0"/>
            </w:tcBorders>
            <w:vAlign w:val="center"/>
          </w:tcPr>
          <w:p w14:paraId="5AC1E3BE">
            <w:pPr>
              <w:jc w:val="center"/>
              <w:rPr>
                <w:color w:val="auto"/>
                <w:highlight w:val="none"/>
              </w:rPr>
            </w:pPr>
            <w:r>
              <w:rPr>
                <w:rFonts w:hint="eastAsia"/>
                <w:color w:val="auto"/>
                <w:highlight w:val="none"/>
              </w:rPr>
              <w:t>投标有效期</w:t>
            </w:r>
          </w:p>
        </w:tc>
        <w:tc>
          <w:tcPr>
            <w:tcW w:w="6757" w:type="dxa"/>
            <w:tcBorders>
              <w:top w:val="single" w:color="auto" w:sz="4" w:space="0"/>
              <w:left w:val="single" w:color="auto" w:sz="4" w:space="0"/>
              <w:bottom w:val="single" w:color="auto" w:sz="4" w:space="0"/>
              <w:right w:val="double" w:color="auto" w:sz="2" w:space="0"/>
            </w:tcBorders>
            <w:vAlign w:val="center"/>
          </w:tcPr>
          <w:p w14:paraId="4C59E7DA">
            <w:pPr>
              <w:spacing w:line="480" w:lineRule="auto"/>
              <w:ind w:firstLine="210" w:firstLineChars="100"/>
              <w:rPr>
                <w:color w:val="auto"/>
                <w:highlight w:val="none"/>
              </w:rPr>
            </w:pPr>
          </w:p>
        </w:tc>
      </w:tr>
      <w:tr w14:paraId="6C964175">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968" w:hRule="atLeast"/>
          <w:jc w:val="center"/>
        </w:trPr>
        <w:tc>
          <w:tcPr>
            <w:tcW w:w="2033" w:type="dxa"/>
            <w:tcBorders>
              <w:top w:val="single" w:color="auto" w:sz="4" w:space="0"/>
              <w:left w:val="double" w:color="auto" w:sz="2" w:space="0"/>
              <w:bottom w:val="double" w:color="auto" w:sz="2" w:space="0"/>
              <w:right w:val="single" w:color="auto" w:sz="4" w:space="0"/>
            </w:tcBorders>
            <w:vAlign w:val="center"/>
          </w:tcPr>
          <w:p w14:paraId="5B47D331">
            <w:pPr>
              <w:jc w:val="center"/>
              <w:rPr>
                <w:color w:val="auto"/>
                <w:highlight w:val="none"/>
              </w:rPr>
            </w:pPr>
            <w:r>
              <w:rPr>
                <w:rFonts w:hint="eastAsia"/>
                <w:color w:val="auto"/>
                <w:highlight w:val="none"/>
              </w:rPr>
              <w:t>其他</w:t>
            </w:r>
          </w:p>
        </w:tc>
        <w:tc>
          <w:tcPr>
            <w:tcW w:w="6757" w:type="dxa"/>
            <w:tcBorders>
              <w:top w:val="single" w:color="auto" w:sz="4" w:space="0"/>
              <w:left w:val="single" w:color="auto" w:sz="4" w:space="0"/>
              <w:bottom w:val="double" w:color="auto" w:sz="2" w:space="0"/>
              <w:right w:val="double" w:color="auto" w:sz="2" w:space="0"/>
            </w:tcBorders>
            <w:vAlign w:val="center"/>
          </w:tcPr>
          <w:p w14:paraId="290C5D87">
            <w:pPr>
              <w:spacing w:line="480" w:lineRule="auto"/>
              <w:ind w:firstLine="210" w:firstLineChars="100"/>
              <w:rPr>
                <w:color w:val="auto"/>
                <w:highlight w:val="none"/>
              </w:rPr>
            </w:pPr>
          </w:p>
        </w:tc>
      </w:tr>
    </w:tbl>
    <w:p w14:paraId="12B5DC2D">
      <w:pPr>
        <w:autoSpaceDE w:val="0"/>
        <w:autoSpaceDN w:val="0"/>
        <w:adjustRightInd w:val="0"/>
        <w:spacing w:line="560" w:lineRule="atLeast"/>
        <w:jc w:val="left"/>
        <w:rPr>
          <w:rFonts w:hint="eastAsia" w:ascii="宋体" w:hAnsi="宋体"/>
          <w:color w:val="auto"/>
          <w:spacing w:val="10"/>
          <w:kern w:val="0"/>
          <w:highlight w:val="none"/>
        </w:rPr>
      </w:pPr>
    </w:p>
    <w:p w14:paraId="2728C6EA">
      <w:pPr>
        <w:autoSpaceDE w:val="0"/>
        <w:autoSpaceDN w:val="0"/>
        <w:adjustRightInd w:val="0"/>
        <w:spacing w:line="560" w:lineRule="atLeast"/>
        <w:jc w:val="left"/>
        <w:rPr>
          <w:rFonts w:ascii="宋体"/>
          <w:color w:val="auto"/>
          <w:spacing w:val="10"/>
          <w:kern w:val="0"/>
          <w:highlight w:val="none"/>
        </w:rPr>
      </w:pPr>
      <w:r>
        <w:rPr>
          <w:rFonts w:hint="eastAsia" w:ascii="宋体" w:hAnsi="宋体"/>
          <w:color w:val="auto"/>
          <w:spacing w:val="10"/>
          <w:kern w:val="0"/>
          <w:highlight w:val="none"/>
        </w:rPr>
        <w:t>供应商：</w:t>
      </w:r>
      <w:r>
        <w:rPr>
          <w:rFonts w:hint="eastAsia" w:ascii="宋体"/>
          <w:color w:val="auto"/>
          <w:highlight w:val="none"/>
          <w:u w:val="single"/>
          <w:shd w:val="clear" w:color="auto" w:fill="FFFFFF"/>
        </w:rPr>
        <w:t xml:space="preserve">                           </w:t>
      </w:r>
      <w:r>
        <w:rPr>
          <w:rFonts w:hint="eastAsia" w:ascii="宋体" w:hAnsi="宋体"/>
          <w:color w:val="auto"/>
          <w:kern w:val="0"/>
          <w:highlight w:val="none"/>
        </w:rPr>
        <w:t>（企业电子</w:t>
      </w:r>
      <w:r>
        <w:rPr>
          <w:rFonts w:hint="eastAsia" w:ascii="宋体" w:hAnsi="宋体"/>
          <w:color w:val="auto"/>
          <w:highlight w:val="none"/>
        </w:rPr>
        <w:t>签</w:t>
      </w:r>
      <w:r>
        <w:rPr>
          <w:rFonts w:hint="eastAsia" w:ascii="宋体" w:hAnsi="宋体"/>
          <w:color w:val="auto"/>
          <w:kern w:val="0"/>
          <w:highlight w:val="none"/>
        </w:rPr>
        <w:t>章）</w:t>
      </w:r>
    </w:p>
    <w:p w14:paraId="7ADD34FE">
      <w:pPr>
        <w:autoSpaceDE w:val="0"/>
        <w:autoSpaceDN w:val="0"/>
        <w:adjustRightInd w:val="0"/>
        <w:spacing w:line="560" w:lineRule="atLeast"/>
        <w:jc w:val="left"/>
        <w:rPr>
          <w:rFonts w:ascii="宋体"/>
          <w:color w:val="auto"/>
          <w:spacing w:val="10"/>
          <w:kern w:val="0"/>
          <w:highlight w:val="none"/>
        </w:rPr>
      </w:pPr>
      <w:r>
        <w:rPr>
          <w:rFonts w:hint="eastAsia" w:ascii="宋体" w:hAnsi="宋体"/>
          <w:color w:val="auto"/>
          <w:highlight w:val="none"/>
        </w:rPr>
        <w:t>法定代表人或委托代理人</w:t>
      </w:r>
      <w:r>
        <w:rPr>
          <w:rFonts w:hint="eastAsia" w:ascii="宋体" w:hAnsi="宋体"/>
          <w:color w:val="auto"/>
          <w:spacing w:val="10"/>
          <w:kern w:val="0"/>
          <w:highlight w:val="none"/>
        </w:rPr>
        <w:t>：</w:t>
      </w:r>
      <w:r>
        <w:rPr>
          <w:rFonts w:hint="eastAsia" w:ascii="宋体"/>
          <w:color w:val="auto"/>
          <w:highlight w:val="none"/>
          <w:u w:val="single"/>
          <w:shd w:val="clear" w:color="auto" w:fill="FFFFFF"/>
        </w:rPr>
        <w:t xml:space="preserve">                           </w:t>
      </w:r>
      <w:r>
        <w:rPr>
          <w:rFonts w:hint="eastAsia" w:ascii="宋体" w:hAnsi="宋体"/>
          <w:color w:val="auto"/>
          <w:kern w:val="0"/>
          <w:highlight w:val="none"/>
        </w:rPr>
        <w:t>（个人电子</w:t>
      </w:r>
      <w:r>
        <w:rPr>
          <w:rFonts w:hint="eastAsia" w:ascii="宋体" w:hAnsi="宋体"/>
          <w:color w:val="auto"/>
          <w:highlight w:val="none"/>
        </w:rPr>
        <w:t>签</w:t>
      </w:r>
      <w:r>
        <w:rPr>
          <w:rFonts w:hint="eastAsia" w:ascii="宋体" w:hAnsi="宋体"/>
          <w:color w:val="auto"/>
          <w:kern w:val="0"/>
          <w:highlight w:val="none"/>
        </w:rPr>
        <w:t>章）</w:t>
      </w:r>
    </w:p>
    <w:p w14:paraId="76F71477">
      <w:pPr>
        <w:autoSpaceDE w:val="0"/>
        <w:autoSpaceDN w:val="0"/>
        <w:adjustRightInd w:val="0"/>
        <w:spacing w:line="560" w:lineRule="atLeast"/>
        <w:jc w:val="left"/>
        <w:rPr>
          <w:rFonts w:ascii="宋体"/>
          <w:color w:val="auto"/>
          <w:spacing w:val="10"/>
          <w:kern w:val="0"/>
          <w:highlight w:val="none"/>
        </w:rPr>
      </w:pPr>
      <w:r>
        <w:rPr>
          <w:rFonts w:hint="eastAsia" w:ascii="宋体" w:hAnsi="宋体"/>
          <w:color w:val="auto"/>
          <w:spacing w:val="10"/>
          <w:kern w:val="0"/>
          <w:highlight w:val="none"/>
        </w:rPr>
        <w:t>日期：</w:t>
      </w:r>
      <w:r>
        <w:rPr>
          <w:rFonts w:hint="eastAsia" w:ascii="宋体"/>
          <w:color w:val="auto"/>
          <w:highlight w:val="none"/>
          <w:u w:val="single"/>
          <w:shd w:val="clear" w:color="auto" w:fill="FFFFFF"/>
        </w:rPr>
        <w:t xml:space="preserve">                           </w:t>
      </w:r>
    </w:p>
    <w:p w14:paraId="515BE5F5">
      <w:pPr>
        <w:pStyle w:val="6"/>
        <w:ind w:firstLine="0"/>
        <w:rPr>
          <w:rFonts w:ascii="宋体"/>
          <w:b/>
          <w:bCs/>
          <w:color w:val="auto"/>
          <w:sz w:val="32"/>
          <w:szCs w:val="32"/>
          <w:highlight w:val="none"/>
        </w:rPr>
      </w:pPr>
    </w:p>
    <w:p w14:paraId="6A8139F4">
      <w:pPr>
        <w:pStyle w:val="6"/>
        <w:ind w:firstLine="0"/>
        <w:rPr>
          <w:rFonts w:ascii="宋体"/>
          <w:b/>
          <w:bCs/>
          <w:color w:val="auto"/>
          <w:sz w:val="32"/>
          <w:szCs w:val="32"/>
          <w:highlight w:val="none"/>
        </w:rPr>
      </w:pPr>
    </w:p>
    <w:p w14:paraId="0192E117">
      <w:pPr>
        <w:pStyle w:val="3"/>
        <w:ind w:left="0" w:firstLine="0"/>
        <w:jc w:val="center"/>
        <w:rPr>
          <w:rFonts w:ascii="宋体"/>
          <w:color w:val="auto"/>
          <w:spacing w:val="10"/>
          <w:kern w:val="0"/>
          <w:highlight w:val="none"/>
        </w:rPr>
      </w:pPr>
      <w:bookmarkStart w:id="919" w:name="_Toc27665"/>
      <w:bookmarkEnd w:id="919"/>
      <w:bookmarkStart w:id="920" w:name="_Toc7935"/>
      <w:r>
        <w:rPr>
          <w:rFonts w:hint="eastAsia" w:ascii="宋体" w:hAnsi="宋体"/>
          <w:color w:val="auto"/>
          <w:highlight w:val="none"/>
        </w:rPr>
        <w:t>4</w:t>
      </w:r>
      <w:bookmarkEnd w:id="920"/>
      <w:r>
        <w:rPr>
          <w:rFonts w:hint="eastAsia" w:ascii="宋体" w:hAnsi="宋体"/>
          <w:color w:val="auto"/>
          <w:highlight w:val="none"/>
        </w:rPr>
        <w:t>、供货方案</w:t>
      </w:r>
    </w:p>
    <w:p w14:paraId="08748932">
      <w:pPr>
        <w:autoSpaceDE w:val="0"/>
        <w:autoSpaceDN w:val="0"/>
        <w:adjustRightInd w:val="0"/>
        <w:spacing w:line="560" w:lineRule="atLeast"/>
        <w:jc w:val="center"/>
        <w:rPr>
          <w:rFonts w:ascii="宋体"/>
          <w:color w:val="auto"/>
          <w:spacing w:val="10"/>
          <w:kern w:val="0"/>
          <w:highlight w:val="none"/>
        </w:rPr>
      </w:pPr>
      <w:r>
        <w:rPr>
          <w:rFonts w:hint="eastAsia" w:ascii="宋体"/>
          <w:color w:val="auto"/>
          <w:spacing w:val="10"/>
          <w:kern w:val="0"/>
          <w:highlight w:val="none"/>
        </w:rPr>
        <w:t>（</w:t>
      </w:r>
      <w:r>
        <w:rPr>
          <w:rFonts w:hint="eastAsia" w:ascii="宋体"/>
          <w:color w:val="auto"/>
          <w:spacing w:val="10"/>
          <w:kern w:val="0"/>
          <w:highlight w:val="none"/>
          <w:lang w:val="en-US" w:eastAsia="zh-CN"/>
        </w:rPr>
        <w:t>根据招标文件“第三部分评标办法”技术部分要求进行提供，</w:t>
      </w:r>
      <w:r>
        <w:rPr>
          <w:rFonts w:hint="eastAsia" w:ascii="宋体"/>
          <w:color w:val="auto"/>
          <w:spacing w:val="10"/>
          <w:kern w:val="0"/>
          <w:highlight w:val="none"/>
        </w:rPr>
        <w:t>格式自拟）</w:t>
      </w:r>
    </w:p>
    <w:p w14:paraId="20921345">
      <w:pPr>
        <w:rPr>
          <w:rFonts w:ascii="Cambria" w:hAnsi="Cambria"/>
          <w:b/>
          <w:bCs/>
          <w:color w:val="auto"/>
          <w:sz w:val="32"/>
          <w:szCs w:val="32"/>
          <w:highlight w:val="none"/>
        </w:rPr>
      </w:pPr>
      <w:r>
        <w:rPr>
          <w:color w:val="auto"/>
          <w:highlight w:val="none"/>
        </w:rPr>
        <w:br w:type="page"/>
      </w:r>
    </w:p>
    <w:p w14:paraId="7CD3125B">
      <w:pPr>
        <w:autoSpaceDE w:val="0"/>
        <w:autoSpaceDN w:val="0"/>
        <w:adjustRightInd w:val="0"/>
        <w:spacing w:line="560" w:lineRule="atLeast"/>
        <w:jc w:val="center"/>
        <w:rPr>
          <w:rFonts w:hint="default" w:ascii="Cambria" w:hAnsi="Cambria" w:eastAsia="宋体"/>
          <w:b/>
          <w:bCs/>
          <w:color w:val="auto"/>
          <w:sz w:val="32"/>
          <w:szCs w:val="32"/>
          <w:highlight w:val="none"/>
          <w:lang w:val="en-US" w:eastAsia="zh-CN"/>
        </w:rPr>
      </w:pPr>
      <w:bookmarkStart w:id="921" w:name="_Toc1707"/>
      <w:bookmarkEnd w:id="921"/>
      <w:r>
        <w:rPr>
          <w:rFonts w:hint="eastAsia" w:ascii="Cambria" w:hAnsi="Cambria"/>
          <w:b/>
          <w:bCs/>
          <w:color w:val="auto"/>
          <w:sz w:val="32"/>
          <w:szCs w:val="32"/>
          <w:highlight w:val="none"/>
          <w:lang w:val="en-US" w:eastAsia="zh-CN"/>
        </w:rPr>
        <w:t>5</w:t>
      </w:r>
      <w:r>
        <w:rPr>
          <w:rFonts w:hint="eastAsia" w:ascii="宋体" w:hAnsi="宋体"/>
          <w:b/>
          <w:bCs/>
          <w:color w:val="auto"/>
          <w:sz w:val="32"/>
          <w:szCs w:val="32"/>
          <w:highlight w:val="none"/>
        </w:rPr>
        <w:t>、</w:t>
      </w:r>
      <w:bookmarkStart w:id="922" w:name="_Toc9491"/>
      <w:bookmarkEnd w:id="922"/>
      <w:r>
        <w:rPr>
          <w:rFonts w:hint="eastAsia" w:ascii="宋体" w:hAnsi="宋体"/>
          <w:b/>
          <w:bCs/>
          <w:color w:val="auto"/>
          <w:sz w:val="32"/>
          <w:szCs w:val="32"/>
          <w:highlight w:val="none"/>
          <w:lang w:val="en-US" w:eastAsia="zh-CN"/>
        </w:rPr>
        <w:t>商务部分</w:t>
      </w:r>
    </w:p>
    <w:p w14:paraId="5BC38B39">
      <w:pPr>
        <w:jc w:val="center"/>
        <w:rPr>
          <w:color w:val="auto"/>
          <w:sz w:val="24"/>
          <w:szCs w:val="24"/>
          <w:highlight w:val="none"/>
        </w:rPr>
      </w:pPr>
    </w:p>
    <w:p w14:paraId="25CC5748">
      <w:pPr>
        <w:autoSpaceDE w:val="0"/>
        <w:autoSpaceDN w:val="0"/>
        <w:adjustRightInd w:val="0"/>
        <w:spacing w:line="560" w:lineRule="atLeast"/>
        <w:jc w:val="center"/>
        <w:rPr>
          <w:rFonts w:ascii="宋体"/>
          <w:color w:val="auto"/>
          <w:spacing w:val="10"/>
          <w:kern w:val="0"/>
          <w:highlight w:val="none"/>
        </w:rPr>
      </w:pPr>
      <w:r>
        <w:rPr>
          <w:rFonts w:hint="eastAsia" w:ascii="宋体"/>
          <w:color w:val="auto"/>
          <w:spacing w:val="10"/>
          <w:kern w:val="0"/>
          <w:highlight w:val="none"/>
        </w:rPr>
        <w:t>（</w:t>
      </w:r>
      <w:r>
        <w:rPr>
          <w:rFonts w:hint="eastAsia" w:ascii="宋体"/>
          <w:color w:val="auto"/>
          <w:spacing w:val="10"/>
          <w:kern w:val="0"/>
          <w:highlight w:val="none"/>
          <w:lang w:val="en-US" w:eastAsia="zh-CN"/>
        </w:rPr>
        <w:t>根据招标文件“第三部分评标办法”商务部分要求进行提供，</w:t>
      </w:r>
      <w:r>
        <w:rPr>
          <w:rFonts w:hint="eastAsia" w:ascii="宋体"/>
          <w:color w:val="auto"/>
          <w:spacing w:val="10"/>
          <w:kern w:val="0"/>
          <w:highlight w:val="none"/>
        </w:rPr>
        <w:t>格式自拟）</w:t>
      </w:r>
    </w:p>
    <w:p w14:paraId="19D21248">
      <w:pPr>
        <w:autoSpaceDE w:val="0"/>
        <w:autoSpaceDN w:val="0"/>
        <w:adjustRightInd w:val="0"/>
        <w:spacing w:line="560" w:lineRule="atLeast"/>
        <w:jc w:val="center"/>
        <w:rPr>
          <w:rFonts w:hint="eastAsia" w:ascii="宋体" w:hAnsi="宋体"/>
          <w:b/>
          <w:bCs/>
          <w:color w:val="auto"/>
          <w:sz w:val="30"/>
          <w:szCs w:val="30"/>
          <w:highlight w:val="none"/>
        </w:rPr>
      </w:pPr>
      <w:r>
        <w:rPr>
          <w:color w:val="auto"/>
          <w:highlight w:val="none"/>
        </w:rPr>
        <w:br w:type="page"/>
      </w:r>
    </w:p>
    <w:p w14:paraId="0A6970A4">
      <w:pPr>
        <w:jc w:val="center"/>
        <w:rPr>
          <w:rFonts w:ascii="Cambria" w:hAnsi="Cambria"/>
          <w:b/>
          <w:bCs/>
          <w:color w:val="auto"/>
          <w:sz w:val="32"/>
          <w:szCs w:val="32"/>
          <w:highlight w:val="none"/>
        </w:rPr>
      </w:pPr>
      <w:bookmarkStart w:id="923" w:name="_Toc16495"/>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w:t>
      </w:r>
      <w:bookmarkEnd w:id="923"/>
      <w:r>
        <w:rPr>
          <w:rFonts w:hint="eastAsia" w:ascii="宋体" w:hAnsi="宋体"/>
          <w:b/>
          <w:bCs/>
          <w:color w:val="auto"/>
          <w:sz w:val="32"/>
          <w:szCs w:val="32"/>
          <w:highlight w:val="none"/>
        </w:rPr>
        <w:t>资格审查资料</w:t>
      </w:r>
    </w:p>
    <w:p w14:paraId="0F43F893">
      <w:pPr>
        <w:pStyle w:val="3"/>
        <w:spacing w:line="480" w:lineRule="auto"/>
        <w:ind w:left="0" w:firstLine="0"/>
        <w:jc w:val="center"/>
        <w:rPr>
          <w:color w:val="auto"/>
          <w:sz w:val="24"/>
          <w:szCs w:val="24"/>
          <w:highlight w:val="none"/>
        </w:rPr>
      </w:pPr>
      <w:bookmarkStart w:id="924" w:name="_Toc11575"/>
      <w:bookmarkEnd w:id="924"/>
      <w:r>
        <w:rPr>
          <w:rFonts w:hint="eastAsia" w:ascii="宋体" w:hAnsi="宋体"/>
          <w:color w:val="auto"/>
          <w:sz w:val="24"/>
          <w:szCs w:val="24"/>
          <w:highlight w:val="none"/>
        </w:rPr>
        <w:t>（一）供应商基本情况表</w:t>
      </w:r>
    </w:p>
    <w:tbl>
      <w:tblPr>
        <w:tblStyle w:val="25"/>
        <w:tblW w:w="902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714"/>
        <w:gridCol w:w="538"/>
        <w:gridCol w:w="1089"/>
        <w:gridCol w:w="176"/>
        <w:gridCol w:w="723"/>
        <w:gridCol w:w="929"/>
      </w:tblGrid>
      <w:tr w14:paraId="7FDD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Borders>
              <w:top w:val="single" w:color="auto" w:sz="4" w:space="0"/>
              <w:left w:val="single" w:color="auto" w:sz="4" w:space="0"/>
              <w:bottom w:val="single" w:color="auto" w:sz="4" w:space="0"/>
              <w:right w:val="single" w:color="auto" w:sz="4" w:space="0"/>
            </w:tcBorders>
            <w:vAlign w:val="center"/>
          </w:tcPr>
          <w:p w14:paraId="2C7A8590">
            <w:pPr>
              <w:spacing w:line="360" w:lineRule="auto"/>
              <w:jc w:val="center"/>
              <w:rPr>
                <w:rFonts w:hint="eastAsia" w:ascii="宋体" w:hAnsi="宋体"/>
                <w:color w:val="auto"/>
                <w:highlight w:val="none"/>
              </w:rPr>
            </w:pPr>
            <w:r>
              <w:rPr>
                <w:rFonts w:hint="eastAsia" w:ascii="宋体" w:hAnsi="宋体"/>
                <w:color w:val="auto"/>
                <w:highlight w:val="none"/>
              </w:rPr>
              <w:t>供应商名称</w:t>
            </w:r>
          </w:p>
        </w:tc>
        <w:tc>
          <w:tcPr>
            <w:tcW w:w="7049" w:type="dxa"/>
            <w:gridSpan w:val="8"/>
            <w:tcBorders>
              <w:top w:val="single" w:color="auto" w:sz="4" w:space="0"/>
              <w:left w:val="nil"/>
              <w:bottom w:val="single" w:color="auto" w:sz="4" w:space="0"/>
              <w:right w:val="single" w:color="auto" w:sz="4" w:space="0"/>
            </w:tcBorders>
            <w:vAlign w:val="center"/>
          </w:tcPr>
          <w:p w14:paraId="27D1E8C9">
            <w:pPr>
              <w:spacing w:line="360" w:lineRule="auto"/>
              <w:jc w:val="center"/>
              <w:rPr>
                <w:rFonts w:hint="eastAsia" w:ascii="宋体" w:hAnsi="宋体"/>
                <w:color w:val="auto"/>
                <w:highlight w:val="none"/>
              </w:rPr>
            </w:pPr>
          </w:p>
        </w:tc>
      </w:tr>
      <w:tr w14:paraId="2723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980" w:type="dxa"/>
            <w:tcBorders>
              <w:top w:val="single" w:color="auto" w:sz="4" w:space="0"/>
              <w:left w:val="single" w:color="auto" w:sz="4" w:space="0"/>
              <w:bottom w:val="single" w:color="auto" w:sz="4" w:space="0"/>
              <w:right w:val="single" w:color="auto" w:sz="4" w:space="0"/>
            </w:tcBorders>
            <w:vAlign w:val="center"/>
          </w:tcPr>
          <w:p w14:paraId="0E731370">
            <w:pPr>
              <w:spacing w:line="360" w:lineRule="auto"/>
              <w:jc w:val="center"/>
              <w:rPr>
                <w:rFonts w:hint="eastAsia" w:ascii="宋体" w:hAnsi="宋体"/>
                <w:color w:val="auto"/>
                <w:highlight w:val="none"/>
              </w:rPr>
            </w:pPr>
            <w:r>
              <w:rPr>
                <w:rFonts w:hint="eastAsia" w:ascii="宋体" w:hAnsi="宋体"/>
                <w:color w:val="auto"/>
                <w:highlight w:val="none"/>
              </w:rPr>
              <w:t>注册地址</w:t>
            </w:r>
          </w:p>
        </w:tc>
        <w:tc>
          <w:tcPr>
            <w:tcW w:w="4132" w:type="dxa"/>
            <w:gridSpan w:val="4"/>
            <w:tcBorders>
              <w:top w:val="single" w:color="auto" w:sz="4" w:space="0"/>
              <w:left w:val="nil"/>
              <w:bottom w:val="single" w:color="auto" w:sz="4" w:space="0"/>
              <w:right w:val="single" w:color="auto" w:sz="4" w:space="0"/>
            </w:tcBorders>
            <w:vAlign w:val="center"/>
          </w:tcPr>
          <w:p w14:paraId="380AE813">
            <w:pPr>
              <w:spacing w:line="360" w:lineRule="auto"/>
              <w:jc w:val="center"/>
              <w:rPr>
                <w:rFonts w:hint="eastAsia" w:ascii="宋体" w:hAnsi="宋体"/>
                <w:color w:val="auto"/>
                <w:highlight w:val="none"/>
              </w:rPr>
            </w:pPr>
          </w:p>
        </w:tc>
        <w:tc>
          <w:tcPr>
            <w:tcW w:w="1089" w:type="dxa"/>
            <w:tcBorders>
              <w:top w:val="single" w:color="auto" w:sz="4" w:space="0"/>
              <w:left w:val="nil"/>
              <w:bottom w:val="single" w:color="auto" w:sz="4" w:space="0"/>
              <w:right w:val="single" w:color="auto" w:sz="4" w:space="0"/>
            </w:tcBorders>
            <w:vAlign w:val="center"/>
          </w:tcPr>
          <w:p w14:paraId="50ADE25D">
            <w:pPr>
              <w:spacing w:line="360" w:lineRule="auto"/>
              <w:jc w:val="center"/>
              <w:rPr>
                <w:rFonts w:hint="eastAsia" w:ascii="宋体" w:hAnsi="宋体"/>
                <w:color w:val="auto"/>
                <w:highlight w:val="none"/>
              </w:rPr>
            </w:pPr>
            <w:r>
              <w:rPr>
                <w:rFonts w:hint="eastAsia" w:ascii="宋体" w:hAnsi="宋体"/>
                <w:color w:val="auto"/>
                <w:highlight w:val="none"/>
              </w:rPr>
              <w:t>邮政编码</w:t>
            </w:r>
          </w:p>
        </w:tc>
        <w:tc>
          <w:tcPr>
            <w:tcW w:w="1828" w:type="dxa"/>
            <w:gridSpan w:val="3"/>
            <w:tcBorders>
              <w:top w:val="single" w:color="auto" w:sz="4" w:space="0"/>
              <w:left w:val="nil"/>
              <w:bottom w:val="single" w:color="auto" w:sz="4" w:space="0"/>
              <w:right w:val="single" w:color="auto" w:sz="4" w:space="0"/>
            </w:tcBorders>
            <w:vAlign w:val="center"/>
          </w:tcPr>
          <w:p w14:paraId="7332411F">
            <w:pPr>
              <w:spacing w:line="360" w:lineRule="auto"/>
              <w:jc w:val="center"/>
              <w:rPr>
                <w:rFonts w:hint="eastAsia" w:ascii="宋体" w:hAnsi="宋体"/>
                <w:color w:val="auto"/>
                <w:highlight w:val="none"/>
              </w:rPr>
            </w:pPr>
          </w:p>
        </w:tc>
      </w:tr>
      <w:tr w14:paraId="23F2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80" w:type="dxa"/>
            <w:vMerge w:val="restart"/>
            <w:tcBorders>
              <w:top w:val="nil"/>
              <w:left w:val="single" w:color="auto" w:sz="4" w:space="0"/>
              <w:bottom w:val="single" w:color="auto" w:sz="4" w:space="0"/>
              <w:right w:val="single" w:color="auto" w:sz="4" w:space="0"/>
            </w:tcBorders>
            <w:vAlign w:val="center"/>
          </w:tcPr>
          <w:p w14:paraId="6AF09760">
            <w:pPr>
              <w:spacing w:line="360" w:lineRule="auto"/>
              <w:jc w:val="center"/>
              <w:rPr>
                <w:rFonts w:hint="eastAsia" w:ascii="宋体" w:hAnsi="宋体"/>
                <w:color w:val="auto"/>
                <w:highlight w:val="none"/>
              </w:rPr>
            </w:pPr>
            <w:r>
              <w:rPr>
                <w:rFonts w:hint="eastAsia" w:ascii="宋体" w:hAnsi="宋体"/>
                <w:color w:val="auto"/>
                <w:highlight w:val="none"/>
              </w:rPr>
              <w:t>联系方式</w:t>
            </w:r>
          </w:p>
        </w:tc>
        <w:tc>
          <w:tcPr>
            <w:tcW w:w="1077" w:type="dxa"/>
            <w:tcBorders>
              <w:top w:val="single" w:color="auto" w:sz="4" w:space="0"/>
              <w:left w:val="nil"/>
              <w:bottom w:val="single" w:color="auto" w:sz="4" w:space="0"/>
              <w:right w:val="single" w:color="auto" w:sz="4" w:space="0"/>
            </w:tcBorders>
            <w:vAlign w:val="center"/>
          </w:tcPr>
          <w:p w14:paraId="3193D8C8">
            <w:pPr>
              <w:spacing w:line="360" w:lineRule="auto"/>
              <w:jc w:val="center"/>
              <w:rPr>
                <w:rFonts w:hint="eastAsia" w:ascii="宋体" w:hAnsi="宋体"/>
                <w:color w:val="auto"/>
                <w:highlight w:val="none"/>
              </w:rPr>
            </w:pPr>
            <w:r>
              <w:rPr>
                <w:rFonts w:hint="eastAsia" w:ascii="宋体" w:hAnsi="宋体"/>
                <w:color w:val="auto"/>
                <w:highlight w:val="none"/>
              </w:rPr>
              <w:t>联系人</w:t>
            </w:r>
          </w:p>
        </w:tc>
        <w:tc>
          <w:tcPr>
            <w:tcW w:w="3055" w:type="dxa"/>
            <w:gridSpan w:val="3"/>
            <w:tcBorders>
              <w:top w:val="single" w:color="auto" w:sz="4" w:space="0"/>
              <w:left w:val="nil"/>
              <w:bottom w:val="single" w:color="auto" w:sz="4" w:space="0"/>
              <w:right w:val="single" w:color="auto" w:sz="4" w:space="0"/>
            </w:tcBorders>
            <w:vAlign w:val="center"/>
          </w:tcPr>
          <w:p w14:paraId="63A0E5D0">
            <w:pPr>
              <w:spacing w:line="360" w:lineRule="auto"/>
              <w:jc w:val="center"/>
              <w:rPr>
                <w:rFonts w:hint="eastAsia" w:ascii="宋体" w:hAnsi="宋体"/>
                <w:color w:val="auto"/>
                <w:highlight w:val="none"/>
              </w:rPr>
            </w:pPr>
          </w:p>
        </w:tc>
        <w:tc>
          <w:tcPr>
            <w:tcW w:w="1089" w:type="dxa"/>
            <w:tcBorders>
              <w:top w:val="single" w:color="auto" w:sz="4" w:space="0"/>
              <w:left w:val="nil"/>
              <w:bottom w:val="single" w:color="auto" w:sz="4" w:space="0"/>
              <w:right w:val="single" w:color="auto" w:sz="4" w:space="0"/>
            </w:tcBorders>
            <w:vAlign w:val="center"/>
          </w:tcPr>
          <w:p w14:paraId="0EA678CD">
            <w:pPr>
              <w:spacing w:line="360" w:lineRule="auto"/>
              <w:jc w:val="center"/>
              <w:rPr>
                <w:rFonts w:hint="eastAsia" w:ascii="宋体" w:hAnsi="宋体"/>
                <w:color w:val="auto"/>
                <w:highlight w:val="none"/>
              </w:rPr>
            </w:pPr>
            <w:r>
              <w:rPr>
                <w:rFonts w:hint="eastAsia" w:ascii="宋体" w:hAnsi="宋体"/>
                <w:color w:val="auto"/>
                <w:highlight w:val="none"/>
              </w:rPr>
              <w:t>电话</w:t>
            </w:r>
          </w:p>
        </w:tc>
        <w:tc>
          <w:tcPr>
            <w:tcW w:w="1828" w:type="dxa"/>
            <w:gridSpan w:val="3"/>
            <w:tcBorders>
              <w:top w:val="single" w:color="auto" w:sz="4" w:space="0"/>
              <w:left w:val="nil"/>
              <w:bottom w:val="single" w:color="auto" w:sz="4" w:space="0"/>
              <w:right w:val="single" w:color="auto" w:sz="4" w:space="0"/>
            </w:tcBorders>
            <w:vAlign w:val="center"/>
          </w:tcPr>
          <w:p w14:paraId="7EFFF70E">
            <w:pPr>
              <w:spacing w:line="360" w:lineRule="auto"/>
              <w:jc w:val="center"/>
              <w:rPr>
                <w:rFonts w:hint="eastAsia" w:ascii="宋体" w:hAnsi="宋体"/>
                <w:color w:val="auto"/>
                <w:highlight w:val="none"/>
              </w:rPr>
            </w:pPr>
          </w:p>
        </w:tc>
      </w:tr>
      <w:tr w14:paraId="4D129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980" w:type="dxa"/>
            <w:vMerge w:val="continue"/>
            <w:tcBorders>
              <w:top w:val="nil"/>
              <w:left w:val="single" w:color="auto" w:sz="4" w:space="0"/>
              <w:bottom w:val="single" w:color="auto" w:sz="4" w:space="0"/>
              <w:right w:val="single" w:color="auto" w:sz="4" w:space="0"/>
            </w:tcBorders>
            <w:vAlign w:val="center"/>
          </w:tcPr>
          <w:p w14:paraId="4EEFE8F1">
            <w:pPr>
              <w:widowControl/>
              <w:jc w:val="left"/>
              <w:rPr>
                <w:rFonts w:hint="eastAsia" w:ascii="宋体" w:hAnsi="宋体"/>
                <w:color w:val="auto"/>
                <w:highlight w:val="none"/>
              </w:rPr>
            </w:pPr>
          </w:p>
        </w:tc>
        <w:tc>
          <w:tcPr>
            <w:tcW w:w="1077" w:type="dxa"/>
            <w:tcBorders>
              <w:top w:val="single" w:color="auto" w:sz="4" w:space="0"/>
              <w:left w:val="nil"/>
              <w:bottom w:val="single" w:color="auto" w:sz="4" w:space="0"/>
              <w:right w:val="single" w:color="auto" w:sz="4" w:space="0"/>
            </w:tcBorders>
            <w:vAlign w:val="center"/>
          </w:tcPr>
          <w:p w14:paraId="5F16E53E">
            <w:pPr>
              <w:spacing w:line="360" w:lineRule="auto"/>
              <w:jc w:val="center"/>
              <w:rPr>
                <w:rFonts w:hint="eastAsia" w:ascii="宋体" w:hAnsi="宋体"/>
                <w:color w:val="auto"/>
                <w:highlight w:val="none"/>
              </w:rPr>
            </w:pPr>
            <w:r>
              <w:rPr>
                <w:rFonts w:hint="eastAsia" w:ascii="宋体" w:hAnsi="宋体"/>
                <w:color w:val="auto"/>
                <w:highlight w:val="none"/>
              </w:rPr>
              <w:t>传真</w:t>
            </w:r>
          </w:p>
        </w:tc>
        <w:tc>
          <w:tcPr>
            <w:tcW w:w="3055" w:type="dxa"/>
            <w:gridSpan w:val="3"/>
            <w:tcBorders>
              <w:top w:val="single" w:color="auto" w:sz="4" w:space="0"/>
              <w:left w:val="nil"/>
              <w:bottom w:val="single" w:color="auto" w:sz="4" w:space="0"/>
              <w:right w:val="single" w:color="auto" w:sz="4" w:space="0"/>
            </w:tcBorders>
            <w:vAlign w:val="center"/>
          </w:tcPr>
          <w:p w14:paraId="22A384F5">
            <w:pPr>
              <w:spacing w:line="360" w:lineRule="auto"/>
              <w:jc w:val="center"/>
              <w:rPr>
                <w:rFonts w:hint="eastAsia" w:ascii="宋体" w:hAnsi="宋体"/>
                <w:color w:val="auto"/>
                <w:highlight w:val="none"/>
              </w:rPr>
            </w:pPr>
          </w:p>
        </w:tc>
        <w:tc>
          <w:tcPr>
            <w:tcW w:w="1089" w:type="dxa"/>
            <w:tcBorders>
              <w:top w:val="single" w:color="auto" w:sz="4" w:space="0"/>
              <w:left w:val="nil"/>
              <w:bottom w:val="single" w:color="auto" w:sz="4" w:space="0"/>
              <w:right w:val="single" w:color="auto" w:sz="4" w:space="0"/>
            </w:tcBorders>
            <w:vAlign w:val="center"/>
          </w:tcPr>
          <w:p w14:paraId="3E60EF8A">
            <w:pPr>
              <w:spacing w:line="360" w:lineRule="auto"/>
              <w:jc w:val="center"/>
              <w:rPr>
                <w:rFonts w:hint="eastAsia" w:ascii="宋体" w:hAnsi="宋体"/>
                <w:color w:val="auto"/>
                <w:highlight w:val="none"/>
              </w:rPr>
            </w:pPr>
            <w:r>
              <w:rPr>
                <w:rFonts w:hint="eastAsia" w:ascii="宋体" w:hAnsi="宋体"/>
                <w:color w:val="auto"/>
                <w:highlight w:val="none"/>
              </w:rPr>
              <w:t>网址</w:t>
            </w:r>
          </w:p>
        </w:tc>
        <w:tc>
          <w:tcPr>
            <w:tcW w:w="1828" w:type="dxa"/>
            <w:gridSpan w:val="3"/>
            <w:tcBorders>
              <w:top w:val="single" w:color="auto" w:sz="4" w:space="0"/>
              <w:left w:val="nil"/>
              <w:bottom w:val="single" w:color="auto" w:sz="4" w:space="0"/>
              <w:right w:val="single" w:color="auto" w:sz="4" w:space="0"/>
            </w:tcBorders>
            <w:vAlign w:val="center"/>
          </w:tcPr>
          <w:p w14:paraId="5E026C31">
            <w:pPr>
              <w:spacing w:line="360" w:lineRule="auto"/>
              <w:jc w:val="center"/>
              <w:rPr>
                <w:rFonts w:hint="eastAsia" w:ascii="宋体" w:hAnsi="宋体"/>
                <w:color w:val="auto"/>
                <w:highlight w:val="none"/>
              </w:rPr>
            </w:pPr>
          </w:p>
        </w:tc>
      </w:tr>
      <w:tr w14:paraId="155F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Borders>
              <w:top w:val="single" w:color="auto" w:sz="4" w:space="0"/>
              <w:left w:val="single" w:color="auto" w:sz="4" w:space="0"/>
              <w:bottom w:val="single" w:color="auto" w:sz="4" w:space="0"/>
              <w:right w:val="single" w:color="auto" w:sz="4" w:space="0"/>
            </w:tcBorders>
            <w:vAlign w:val="center"/>
          </w:tcPr>
          <w:p w14:paraId="0938086F">
            <w:pPr>
              <w:spacing w:line="360" w:lineRule="auto"/>
              <w:jc w:val="center"/>
              <w:rPr>
                <w:rFonts w:hint="eastAsia" w:ascii="宋体" w:hAnsi="宋体"/>
                <w:color w:val="auto"/>
                <w:highlight w:val="none"/>
              </w:rPr>
            </w:pPr>
            <w:r>
              <w:rPr>
                <w:rFonts w:hint="eastAsia" w:ascii="宋体" w:hAnsi="宋体"/>
                <w:color w:val="auto"/>
                <w:highlight w:val="none"/>
              </w:rPr>
              <w:t>组织结构</w:t>
            </w:r>
          </w:p>
        </w:tc>
        <w:tc>
          <w:tcPr>
            <w:tcW w:w="7049" w:type="dxa"/>
            <w:gridSpan w:val="8"/>
            <w:tcBorders>
              <w:top w:val="single" w:color="auto" w:sz="4" w:space="0"/>
              <w:left w:val="nil"/>
              <w:bottom w:val="single" w:color="auto" w:sz="4" w:space="0"/>
              <w:right w:val="single" w:color="auto" w:sz="4" w:space="0"/>
            </w:tcBorders>
            <w:vAlign w:val="center"/>
          </w:tcPr>
          <w:p w14:paraId="499E7153">
            <w:pPr>
              <w:spacing w:line="360" w:lineRule="auto"/>
              <w:jc w:val="center"/>
              <w:rPr>
                <w:rFonts w:hint="eastAsia" w:ascii="宋体" w:hAnsi="宋体"/>
                <w:color w:val="auto"/>
                <w:highlight w:val="none"/>
              </w:rPr>
            </w:pPr>
          </w:p>
        </w:tc>
      </w:tr>
      <w:tr w14:paraId="2615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980" w:type="dxa"/>
            <w:tcBorders>
              <w:top w:val="single" w:color="auto" w:sz="4" w:space="0"/>
              <w:left w:val="single" w:color="auto" w:sz="4" w:space="0"/>
              <w:bottom w:val="single" w:color="auto" w:sz="4" w:space="0"/>
              <w:right w:val="single" w:color="auto" w:sz="4" w:space="0"/>
            </w:tcBorders>
            <w:vAlign w:val="center"/>
          </w:tcPr>
          <w:p w14:paraId="0DF8AA9A">
            <w:pPr>
              <w:spacing w:line="360" w:lineRule="auto"/>
              <w:jc w:val="center"/>
              <w:rPr>
                <w:rFonts w:hint="eastAsia" w:ascii="宋体" w:hAnsi="宋体"/>
                <w:color w:val="auto"/>
                <w:highlight w:val="none"/>
              </w:rPr>
            </w:pPr>
            <w:r>
              <w:rPr>
                <w:rFonts w:hint="eastAsia" w:ascii="宋体" w:hAnsi="宋体"/>
                <w:color w:val="auto"/>
                <w:highlight w:val="none"/>
              </w:rPr>
              <w:t>法定代表人</w:t>
            </w:r>
          </w:p>
        </w:tc>
        <w:tc>
          <w:tcPr>
            <w:tcW w:w="1077" w:type="dxa"/>
            <w:tcBorders>
              <w:top w:val="single" w:color="auto" w:sz="4" w:space="0"/>
              <w:left w:val="nil"/>
              <w:bottom w:val="single" w:color="auto" w:sz="4" w:space="0"/>
              <w:right w:val="single" w:color="auto" w:sz="4" w:space="0"/>
            </w:tcBorders>
            <w:vAlign w:val="center"/>
          </w:tcPr>
          <w:p w14:paraId="32C12F44">
            <w:pPr>
              <w:spacing w:line="360" w:lineRule="auto"/>
              <w:jc w:val="center"/>
              <w:rPr>
                <w:rFonts w:hint="eastAsia" w:ascii="宋体" w:hAnsi="宋体"/>
                <w:color w:val="auto"/>
                <w:highlight w:val="none"/>
              </w:rPr>
            </w:pPr>
            <w:r>
              <w:rPr>
                <w:rFonts w:hint="eastAsia" w:ascii="宋体" w:hAnsi="宋体"/>
                <w:color w:val="auto"/>
                <w:highlight w:val="none"/>
              </w:rPr>
              <w:t>姓名</w:t>
            </w:r>
          </w:p>
        </w:tc>
        <w:tc>
          <w:tcPr>
            <w:tcW w:w="1803" w:type="dxa"/>
            <w:tcBorders>
              <w:top w:val="single" w:color="auto" w:sz="4" w:space="0"/>
              <w:left w:val="nil"/>
              <w:bottom w:val="single" w:color="auto" w:sz="4" w:space="0"/>
              <w:right w:val="single" w:color="auto" w:sz="4" w:space="0"/>
            </w:tcBorders>
            <w:vAlign w:val="center"/>
          </w:tcPr>
          <w:p w14:paraId="3BD7CF3F">
            <w:pPr>
              <w:spacing w:line="360" w:lineRule="auto"/>
              <w:jc w:val="center"/>
              <w:rPr>
                <w:rFonts w:hint="eastAsia" w:ascii="宋体" w:hAnsi="宋体"/>
                <w:color w:val="auto"/>
                <w:highlight w:val="none"/>
              </w:rPr>
            </w:pPr>
          </w:p>
        </w:tc>
        <w:tc>
          <w:tcPr>
            <w:tcW w:w="1252" w:type="dxa"/>
            <w:gridSpan w:val="2"/>
            <w:tcBorders>
              <w:top w:val="single" w:color="auto" w:sz="4" w:space="0"/>
              <w:left w:val="nil"/>
              <w:bottom w:val="single" w:color="auto" w:sz="4" w:space="0"/>
              <w:right w:val="single" w:color="auto" w:sz="4" w:space="0"/>
            </w:tcBorders>
            <w:vAlign w:val="center"/>
          </w:tcPr>
          <w:p w14:paraId="774B1656">
            <w:pPr>
              <w:spacing w:line="360" w:lineRule="auto"/>
              <w:jc w:val="center"/>
              <w:rPr>
                <w:rFonts w:hint="eastAsia" w:ascii="宋体" w:hAnsi="宋体"/>
                <w:color w:val="auto"/>
                <w:highlight w:val="none"/>
              </w:rPr>
            </w:pPr>
            <w:r>
              <w:rPr>
                <w:rFonts w:hint="eastAsia" w:ascii="宋体" w:hAnsi="宋体"/>
                <w:color w:val="auto"/>
                <w:highlight w:val="none"/>
              </w:rPr>
              <w:t>技术职称</w:t>
            </w:r>
          </w:p>
        </w:tc>
        <w:tc>
          <w:tcPr>
            <w:tcW w:w="1265" w:type="dxa"/>
            <w:gridSpan w:val="2"/>
            <w:tcBorders>
              <w:top w:val="single" w:color="auto" w:sz="4" w:space="0"/>
              <w:left w:val="nil"/>
              <w:bottom w:val="single" w:color="auto" w:sz="4" w:space="0"/>
              <w:right w:val="single" w:color="auto" w:sz="4" w:space="0"/>
            </w:tcBorders>
            <w:vAlign w:val="center"/>
          </w:tcPr>
          <w:p w14:paraId="47033BD4">
            <w:pPr>
              <w:spacing w:line="360" w:lineRule="auto"/>
              <w:jc w:val="center"/>
              <w:rPr>
                <w:rFonts w:hint="eastAsia" w:ascii="宋体" w:hAnsi="宋体"/>
                <w:color w:val="auto"/>
                <w:highlight w:val="none"/>
              </w:rPr>
            </w:pPr>
          </w:p>
        </w:tc>
        <w:tc>
          <w:tcPr>
            <w:tcW w:w="723" w:type="dxa"/>
            <w:tcBorders>
              <w:top w:val="single" w:color="auto" w:sz="4" w:space="0"/>
              <w:left w:val="nil"/>
              <w:bottom w:val="single" w:color="auto" w:sz="4" w:space="0"/>
              <w:right w:val="single" w:color="auto" w:sz="4" w:space="0"/>
            </w:tcBorders>
            <w:vAlign w:val="center"/>
          </w:tcPr>
          <w:p w14:paraId="3007D300">
            <w:pPr>
              <w:spacing w:line="360" w:lineRule="auto"/>
              <w:jc w:val="center"/>
              <w:rPr>
                <w:rFonts w:hint="eastAsia" w:ascii="宋体" w:hAnsi="宋体"/>
                <w:color w:val="auto"/>
                <w:highlight w:val="none"/>
              </w:rPr>
            </w:pPr>
            <w:r>
              <w:rPr>
                <w:rFonts w:hint="eastAsia" w:ascii="宋体" w:hAnsi="宋体"/>
                <w:color w:val="auto"/>
                <w:highlight w:val="none"/>
              </w:rPr>
              <w:t>电话</w:t>
            </w:r>
          </w:p>
        </w:tc>
        <w:tc>
          <w:tcPr>
            <w:tcW w:w="929" w:type="dxa"/>
            <w:tcBorders>
              <w:top w:val="single" w:color="auto" w:sz="4" w:space="0"/>
              <w:left w:val="nil"/>
              <w:bottom w:val="single" w:color="auto" w:sz="4" w:space="0"/>
              <w:right w:val="single" w:color="auto" w:sz="4" w:space="0"/>
            </w:tcBorders>
            <w:vAlign w:val="center"/>
          </w:tcPr>
          <w:p w14:paraId="3D5D7A3A">
            <w:pPr>
              <w:spacing w:line="360" w:lineRule="auto"/>
              <w:jc w:val="center"/>
              <w:rPr>
                <w:rFonts w:hint="eastAsia" w:ascii="宋体" w:hAnsi="宋体"/>
                <w:color w:val="auto"/>
                <w:highlight w:val="none"/>
              </w:rPr>
            </w:pPr>
          </w:p>
        </w:tc>
      </w:tr>
      <w:tr w14:paraId="6037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980" w:type="dxa"/>
            <w:tcBorders>
              <w:top w:val="single" w:color="auto" w:sz="4" w:space="0"/>
              <w:left w:val="single" w:color="auto" w:sz="4" w:space="0"/>
              <w:bottom w:val="single" w:color="auto" w:sz="4" w:space="0"/>
              <w:right w:val="single" w:color="auto" w:sz="4" w:space="0"/>
            </w:tcBorders>
            <w:vAlign w:val="center"/>
          </w:tcPr>
          <w:p w14:paraId="72B7F9BE">
            <w:pPr>
              <w:spacing w:line="360" w:lineRule="auto"/>
              <w:jc w:val="center"/>
              <w:rPr>
                <w:rFonts w:hint="eastAsia" w:ascii="宋体" w:hAnsi="宋体"/>
                <w:color w:val="auto"/>
                <w:highlight w:val="none"/>
              </w:rPr>
            </w:pPr>
            <w:r>
              <w:rPr>
                <w:rFonts w:hint="eastAsia" w:ascii="宋体" w:hAnsi="宋体"/>
                <w:color w:val="auto"/>
                <w:highlight w:val="none"/>
              </w:rPr>
              <w:t>技术负责人</w:t>
            </w:r>
          </w:p>
        </w:tc>
        <w:tc>
          <w:tcPr>
            <w:tcW w:w="1077" w:type="dxa"/>
            <w:tcBorders>
              <w:top w:val="single" w:color="auto" w:sz="4" w:space="0"/>
              <w:left w:val="nil"/>
              <w:bottom w:val="single" w:color="auto" w:sz="4" w:space="0"/>
              <w:right w:val="single" w:color="auto" w:sz="4" w:space="0"/>
            </w:tcBorders>
            <w:vAlign w:val="center"/>
          </w:tcPr>
          <w:p w14:paraId="5589C5C7">
            <w:pPr>
              <w:spacing w:line="360" w:lineRule="auto"/>
              <w:jc w:val="center"/>
              <w:rPr>
                <w:rFonts w:hint="eastAsia" w:ascii="宋体" w:hAnsi="宋体"/>
                <w:color w:val="auto"/>
                <w:highlight w:val="none"/>
              </w:rPr>
            </w:pPr>
            <w:r>
              <w:rPr>
                <w:rFonts w:hint="eastAsia" w:ascii="宋体" w:hAnsi="宋体"/>
                <w:color w:val="auto"/>
                <w:highlight w:val="none"/>
              </w:rPr>
              <w:t>姓名</w:t>
            </w:r>
          </w:p>
        </w:tc>
        <w:tc>
          <w:tcPr>
            <w:tcW w:w="1803" w:type="dxa"/>
            <w:tcBorders>
              <w:top w:val="single" w:color="auto" w:sz="4" w:space="0"/>
              <w:left w:val="nil"/>
              <w:bottom w:val="single" w:color="auto" w:sz="4" w:space="0"/>
              <w:right w:val="single" w:color="auto" w:sz="4" w:space="0"/>
            </w:tcBorders>
            <w:vAlign w:val="center"/>
          </w:tcPr>
          <w:p w14:paraId="45EDAD78">
            <w:pPr>
              <w:spacing w:line="360" w:lineRule="auto"/>
              <w:jc w:val="center"/>
              <w:rPr>
                <w:rFonts w:hint="eastAsia" w:ascii="宋体" w:hAnsi="宋体"/>
                <w:color w:val="auto"/>
                <w:highlight w:val="none"/>
              </w:rPr>
            </w:pPr>
          </w:p>
        </w:tc>
        <w:tc>
          <w:tcPr>
            <w:tcW w:w="1252" w:type="dxa"/>
            <w:gridSpan w:val="2"/>
            <w:tcBorders>
              <w:top w:val="single" w:color="auto" w:sz="4" w:space="0"/>
              <w:left w:val="nil"/>
              <w:bottom w:val="single" w:color="auto" w:sz="4" w:space="0"/>
              <w:right w:val="single" w:color="auto" w:sz="4" w:space="0"/>
            </w:tcBorders>
            <w:vAlign w:val="center"/>
          </w:tcPr>
          <w:p w14:paraId="2295DB1D">
            <w:pPr>
              <w:spacing w:line="360" w:lineRule="auto"/>
              <w:jc w:val="center"/>
              <w:rPr>
                <w:rFonts w:hint="eastAsia" w:ascii="宋体" w:hAnsi="宋体"/>
                <w:color w:val="auto"/>
                <w:highlight w:val="none"/>
              </w:rPr>
            </w:pPr>
            <w:r>
              <w:rPr>
                <w:rFonts w:hint="eastAsia" w:ascii="宋体" w:hAnsi="宋体"/>
                <w:color w:val="auto"/>
                <w:highlight w:val="none"/>
              </w:rPr>
              <w:t>技术职称</w:t>
            </w:r>
          </w:p>
        </w:tc>
        <w:tc>
          <w:tcPr>
            <w:tcW w:w="1265" w:type="dxa"/>
            <w:gridSpan w:val="2"/>
            <w:tcBorders>
              <w:top w:val="single" w:color="auto" w:sz="4" w:space="0"/>
              <w:left w:val="nil"/>
              <w:bottom w:val="single" w:color="auto" w:sz="4" w:space="0"/>
              <w:right w:val="single" w:color="auto" w:sz="4" w:space="0"/>
            </w:tcBorders>
            <w:vAlign w:val="center"/>
          </w:tcPr>
          <w:p w14:paraId="09EEEBBF">
            <w:pPr>
              <w:spacing w:line="360" w:lineRule="auto"/>
              <w:jc w:val="center"/>
              <w:rPr>
                <w:rFonts w:hint="eastAsia" w:ascii="宋体" w:hAnsi="宋体"/>
                <w:color w:val="auto"/>
                <w:highlight w:val="none"/>
              </w:rPr>
            </w:pPr>
          </w:p>
        </w:tc>
        <w:tc>
          <w:tcPr>
            <w:tcW w:w="723" w:type="dxa"/>
            <w:tcBorders>
              <w:top w:val="single" w:color="auto" w:sz="4" w:space="0"/>
              <w:left w:val="nil"/>
              <w:bottom w:val="single" w:color="auto" w:sz="4" w:space="0"/>
              <w:right w:val="single" w:color="auto" w:sz="4" w:space="0"/>
            </w:tcBorders>
            <w:vAlign w:val="center"/>
          </w:tcPr>
          <w:p w14:paraId="02DF6D2A">
            <w:pPr>
              <w:spacing w:line="360" w:lineRule="auto"/>
              <w:jc w:val="center"/>
              <w:rPr>
                <w:rFonts w:hint="eastAsia" w:ascii="宋体" w:hAnsi="宋体"/>
                <w:color w:val="auto"/>
                <w:highlight w:val="none"/>
              </w:rPr>
            </w:pPr>
            <w:r>
              <w:rPr>
                <w:rFonts w:hint="eastAsia" w:ascii="宋体" w:hAnsi="宋体"/>
                <w:color w:val="auto"/>
                <w:highlight w:val="none"/>
              </w:rPr>
              <w:t>电话</w:t>
            </w:r>
          </w:p>
        </w:tc>
        <w:tc>
          <w:tcPr>
            <w:tcW w:w="929" w:type="dxa"/>
            <w:tcBorders>
              <w:top w:val="single" w:color="auto" w:sz="4" w:space="0"/>
              <w:left w:val="nil"/>
              <w:bottom w:val="single" w:color="auto" w:sz="4" w:space="0"/>
              <w:right w:val="single" w:color="auto" w:sz="4" w:space="0"/>
            </w:tcBorders>
            <w:vAlign w:val="center"/>
          </w:tcPr>
          <w:p w14:paraId="37FF69D4">
            <w:pPr>
              <w:spacing w:line="360" w:lineRule="auto"/>
              <w:jc w:val="center"/>
              <w:rPr>
                <w:rFonts w:hint="eastAsia" w:ascii="宋体" w:hAnsi="宋体"/>
                <w:color w:val="auto"/>
                <w:highlight w:val="none"/>
              </w:rPr>
            </w:pPr>
          </w:p>
        </w:tc>
      </w:tr>
      <w:tr w14:paraId="7362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Borders>
              <w:top w:val="single" w:color="auto" w:sz="4" w:space="0"/>
              <w:left w:val="single" w:color="auto" w:sz="4" w:space="0"/>
              <w:bottom w:val="single" w:color="auto" w:sz="4" w:space="0"/>
              <w:right w:val="single" w:color="auto" w:sz="4" w:space="0"/>
            </w:tcBorders>
            <w:vAlign w:val="center"/>
          </w:tcPr>
          <w:p w14:paraId="43E07EBB">
            <w:pPr>
              <w:spacing w:line="360" w:lineRule="auto"/>
              <w:jc w:val="center"/>
              <w:rPr>
                <w:rFonts w:hint="eastAsia" w:ascii="宋体" w:hAnsi="宋体"/>
                <w:color w:val="auto"/>
                <w:highlight w:val="none"/>
              </w:rPr>
            </w:pPr>
            <w:r>
              <w:rPr>
                <w:rFonts w:hint="eastAsia" w:ascii="宋体" w:hAnsi="宋体"/>
                <w:color w:val="auto"/>
                <w:highlight w:val="none"/>
              </w:rPr>
              <w:t>成立时间</w:t>
            </w:r>
          </w:p>
        </w:tc>
        <w:tc>
          <w:tcPr>
            <w:tcW w:w="2880" w:type="dxa"/>
            <w:gridSpan w:val="2"/>
            <w:tcBorders>
              <w:top w:val="single" w:color="auto" w:sz="4" w:space="0"/>
              <w:left w:val="nil"/>
              <w:bottom w:val="single" w:color="auto" w:sz="4" w:space="0"/>
              <w:right w:val="single" w:color="auto" w:sz="4" w:space="0"/>
            </w:tcBorders>
            <w:vAlign w:val="center"/>
          </w:tcPr>
          <w:p w14:paraId="2A091392">
            <w:pPr>
              <w:spacing w:line="360" w:lineRule="auto"/>
              <w:jc w:val="center"/>
              <w:rPr>
                <w:rFonts w:hint="eastAsia" w:ascii="宋体" w:hAnsi="宋体"/>
                <w:color w:val="auto"/>
                <w:highlight w:val="none"/>
              </w:rPr>
            </w:pPr>
          </w:p>
        </w:tc>
        <w:tc>
          <w:tcPr>
            <w:tcW w:w="4169" w:type="dxa"/>
            <w:gridSpan w:val="6"/>
            <w:tcBorders>
              <w:top w:val="single" w:color="auto" w:sz="4" w:space="0"/>
              <w:left w:val="nil"/>
              <w:bottom w:val="single" w:color="auto" w:sz="4" w:space="0"/>
              <w:right w:val="single" w:color="auto" w:sz="4" w:space="0"/>
            </w:tcBorders>
            <w:vAlign w:val="center"/>
          </w:tcPr>
          <w:p w14:paraId="415A72C1">
            <w:pPr>
              <w:spacing w:line="360" w:lineRule="auto"/>
              <w:rPr>
                <w:rFonts w:hint="eastAsia" w:ascii="宋体" w:hAnsi="宋体"/>
                <w:color w:val="auto"/>
                <w:highlight w:val="none"/>
              </w:rPr>
            </w:pPr>
            <w:r>
              <w:rPr>
                <w:rFonts w:hint="eastAsia" w:ascii="宋体" w:hAnsi="宋体"/>
                <w:color w:val="auto"/>
                <w:highlight w:val="none"/>
              </w:rPr>
              <w:t>员工总人数：</w:t>
            </w:r>
          </w:p>
        </w:tc>
      </w:tr>
      <w:tr w14:paraId="3517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980" w:type="dxa"/>
            <w:tcBorders>
              <w:top w:val="single" w:color="auto" w:sz="4" w:space="0"/>
              <w:left w:val="single" w:color="auto" w:sz="4" w:space="0"/>
              <w:bottom w:val="single" w:color="auto" w:sz="4" w:space="0"/>
              <w:right w:val="single" w:color="auto" w:sz="4" w:space="0"/>
            </w:tcBorders>
            <w:vAlign w:val="center"/>
          </w:tcPr>
          <w:p w14:paraId="16A426A8">
            <w:pPr>
              <w:spacing w:line="360" w:lineRule="auto"/>
              <w:jc w:val="center"/>
              <w:rPr>
                <w:rFonts w:hint="eastAsia" w:ascii="宋体" w:hAnsi="宋体"/>
                <w:color w:val="auto"/>
                <w:highlight w:val="none"/>
              </w:rPr>
            </w:pPr>
            <w:r>
              <w:rPr>
                <w:rFonts w:hint="eastAsia" w:ascii="宋体" w:hAnsi="宋体"/>
                <w:color w:val="auto"/>
                <w:highlight w:val="none"/>
              </w:rPr>
              <w:t>营业执照号</w:t>
            </w:r>
          </w:p>
        </w:tc>
        <w:tc>
          <w:tcPr>
            <w:tcW w:w="2880" w:type="dxa"/>
            <w:gridSpan w:val="2"/>
            <w:tcBorders>
              <w:top w:val="single" w:color="auto" w:sz="4" w:space="0"/>
              <w:left w:val="nil"/>
              <w:bottom w:val="single" w:color="auto" w:sz="4" w:space="0"/>
              <w:right w:val="single" w:color="auto" w:sz="4" w:space="0"/>
            </w:tcBorders>
            <w:vAlign w:val="center"/>
          </w:tcPr>
          <w:p w14:paraId="35547184">
            <w:pPr>
              <w:spacing w:line="360" w:lineRule="auto"/>
              <w:jc w:val="center"/>
              <w:rPr>
                <w:rFonts w:hint="eastAsia" w:ascii="宋体" w:hAnsi="宋体"/>
                <w:color w:val="auto"/>
                <w:highlight w:val="none"/>
              </w:rPr>
            </w:pPr>
          </w:p>
        </w:tc>
        <w:tc>
          <w:tcPr>
            <w:tcW w:w="714" w:type="dxa"/>
            <w:vMerge w:val="restart"/>
            <w:tcBorders>
              <w:top w:val="nil"/>
              <w:left w:val="nil"/>
              <w:bottom w:val="single" w:color="auto" w:sz="4" w:space="0"/>
              <w:right w:val="single" w:color="auto" w:sz="4" w:space="0"/>
            </w:tcBorders>
            <w:vAlign w:val="center"/>
          </w:tcPr>
          <w:p w14:paraId="7C531003">
            <w:pPr>
              <w:spacing w:line="360" w:lineRule="auto"/>
              <w:jc w:val="center"/>
              <w:rPr>
                <w:rFonts w:hint="eastAsia" w:ascii="宋体" w:hAnsi="宋体"/>
                <w:color w:val="auto"/>
                <w:highlight w:val="none"/>
              </w:rPr>
            </w:pPr>
            <w:r>
              <w:rPr>
                <w:rFonts w:hint="eastAsia" w:ascii="宋体" w:hAnsi="宋体"/>
                <w:color w:val="auto"/>
                <w:highlight w:val="none"/>
              </w:rPr>
              <w:t>其中</w:t>
            </w:r>
          </w:p>
        </w:tc>
        <w:tc>
          <w:tcPr>
            <w:tcW w:w="1803" w:type="dxa"/>
            <w:gridSpan w:val="3"/>
            <w:tcBorders>
              <w:top w:val="single" w:color="auto" w:sz="4" w:space="0"/>
              <w:left w:val="nil"/>
              <w:bottom w:val="single" w:color="auto" w:sz="4" w:space="0"/>
              <w:right w:val="single" w:color="auto" w:sz="4" w:space="0"/>
            </w:tcBorders>
            <w:vAlign w:val="center"/>
          </w:tcPr>
          <w:p w14:paraId="22B3D783">
            <w:pPr>
              <w:spacing w:line="360" w:lineRule="auto"/>
              <w:jc w:val="center"/>
              <w:rPr>
                <w:rFonts w:hint="eastAsia" w:ascii="宋体" w:hAnsi="宋体"/>
                <w:color w:val="auto"/>
                <w:highlight w:val="none"/>
              </w:rPr>
            </w:pPr>
            <w:r>
              <w:rPr>
                <w:rFonts w:hint="eastAsia" w:ascii="宋体" w:hAnsi="宋体"/>
                <w:color w:val="auto"/>
                <w:highlight w:val="none"/>
              </w:rPr>
              <w:t>高级职称人员</w:t>
            </w:r>
          </w:p>
        </w:tc>
        <w:tc>
          <w:tcPr>
            <w:tcW w:w="1652" w:type="dxa"/>
            <w:gridSpan w:val="2"/>
            <w:tcBorders>
              <w:top w:val="single" w:color="auto" w:sz="4" w:space="0"/>
              <w:left w:val="nil"/>
              <w:bottom w:val="single" w:color="auto" w:sz="4" w:space="0"/>
              <w:right w:val="single" w:color="auto" w:sz="4" w:space="0"/>
            </w:tcBorders>
            <w:vAlign w:val="center"/>
          </w:tcPr>
          <w:p w14:paraId="3916FCBB">
            <w:pPr>
              <w:spacing w:line="360" w:lineRule="auto"/>
              <w:jc w:val="center"/>
              <w:rPr>
                <w:rFonts w:hint="eastAsia" w:ascii="宋体" w:hAnsi="宋体"/>
                <w:color w:val="auto"/>
                <w:highlight w:val="none"/>
              </w:rPr>
            </w:pPr>
          </w:p>
        </w:tc>
      </w:tr>
      <w:tr w14:paraId="5111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80" w:type="dxa"/>
            <w:tcBorders>
              <w:top w:val="single" w:color="auto" w:sz="4" w:space="0"/>
              <w:left w:val="single" w:color="auto" w:sz="4" w:space="0"/>
              <w:bottom w:val="single" w:color="auto" w:sz="4" w:space="0"/>
              <w:right w:val="single" w:color="auto" w:sz="4" w:space="0"/>
            </w:tcBorders>
            <w:vAlign w:val="center"/>
          </w:tcPr>
          <w:p w14:paraId="79013CBE">
            <w:pPr>
              <w:spacing w:line="360" w:lineRule="auto"/>
              <w:jc w:val="center"/>
              <w:rPr>
                <w:rFonts w:hint="eastAsia" w:ascii="宋体" w:hAnsi="宋体"/>
                <w:color w:val="auto"/>
                <w:highlight w:val="none"/>
              </w:rPr>
            </w:pPr>
            <w:r>
              <w:rPr>
                <w:rFonts w:hint="eastAsia" w:ascii="宋体" w:hAnsi="宋体"/>
                <w:color w:val="auto"/>
                <w:highlight w:val="none"/>
              </w:rPr>
              <w:t>注册资金</w:t>
            </w:r>
          </w:p>
        </w:tc>
        <w:tc>
          <w:tcPr>
            <w:tcW w:w="2880" w:type="dxa"/>
            <w:gridSpan w:val="2"/>
            <w:tcBorders>
              <w:top w:val="single" w:color="auto" w:sz="4" w:space="0"/>
              <w:left w:val="nil"/>
              <w:bottom w:val="single" w:color="auto" w:sz="4" w:space="0"/>
              <w:right w:val="single" w:color="auto" w:sz="4" w:space="0"/>
            </w:tcBorders>
            <w:vAlign w:val="center"/>
          </w:tcPr>
          <w:p w14:paraId="3A7DC79A">
            <w:pPr>
              <w:spacing w:line="360" w:lineRule="auto"/>
              <w:jc w:val="center"/>
              <w:rPr>
                <w:rFonts w:hint="eastAsia" w:ascii="宋体" w:hAnsi="宋体"/>
                <w:color w:val="auto"/>
                <w:highlight w:val="none"/>
              </w:rPr>
            </w:pPr>
          </w:p>
        </w:tc>
        <w:tc>
          <w:tcPr>
            <w:tcW w:w="714" w:type="dxa"/>
            <w:vMerge w:val="continue"/>
            <w:tcBorders>
              <w:top w:val="nil"/>
              <w:left w:val="nil"/>
              <w:bottom w:val="single" w:color="auto" w:sz="4" w:space="0"/>
              <w:right w:val="single" w:color="auto" w:sz="4" w:space="0"/>
            </w:tcBorders>
            <w:vAlign w:val="center"/>
          </w:tcPr>
          <w:p w14:paraId="714013A0">
            <w:pPr>
              <w:widowControl/>
              <w:jc w:val="left"/>
              <w:rPr>
                <w:rFonts w:hint="eastAsia" w:ascii="宋体" w:hAnsi="宋体"/>
                <w:color w:val="auto"/>
                <w:highlight w:val="none"/>
              </w:rPr>
            </w:pPr>
          </w:p>
        </w:tc>
        <w:tc>
          <w:tcPr>
            <w:tcW w:w="1803" w:type="dxa"/>
            <w:gridSpan w:val="3"/>
            <w:tcBorders>
              <w:top w:val="single" w:color="auto" w:sz="4" w:space="0"/>
              <w:left w:val="nil"/>
              <w:bottom w:val="single" w:color="auto" w:sz="4" w:space="0"/>
              <w:right w:val="single" w:color="auto" w:sz="4" w:space="0"/>
            </w:tcBorders>
            <w:vAlign w:val="center"/>
          </w:tcPr>
          <w:p w14:paraId="4B3A961A">
            <w:pPr>
              <w:spacing w:line="360" w:lineRule="auto"/>
              <w:jc w:val="center"/>
              <w:rPr>
                <w:rFonts w:hint="eastAsia" w:ascii="宋体" w:hAnsi="宋体"/>
                <w:color w:val="auto"/>
                <w:highlight w:val="none"/>
              </w:rPr>
            </w:pPr>
            <w:r>
              <w:rPr>
                <w:rFonts w:hint="eastAsia" w:ascii="宋体" w:hAnsi="宋体"/>
                <w:color w:val="auto"/>
                <w:highlight w:val="none"/>
              </w:rPr>
              <w:t>中级职称人员</w:t>
            </w:r>
          </w:p>
        </w:tc>
        <w:tc>
          <w:tcPr>
            <w:tcW w:w="1652" w:type="dxa"/>
            <w:gridSpan w:val="2"/>
            <w:tcBorders>
              <w:top w:val="single" w:color="auto" w:sz="4" w:space="0"/>
              <w:left w:val="nil"/>
              <w:bottom w:val="single" w:color="auto" w:sz="4" w:space="0"/>
              <w:right w:val="single" w:color="auto" w:sz="4" w:space="0"/>
            </w:tcBorders>
            <w:vAlign w:val="center"/>
          </w:tcPr>
          <w:p w14:paraId="17C92B26">
            <w:pPr>
              <w:spacing w:line="360" w:lineRule="auto"/>
              <w:jc w:val="center"/>
              <w:rPr>
                <w:rFonts w:hint="eastAsia" w:ascii="宋体" w:hAnsi="宋体"/>
                <w:color w:val="auto"/>
                <w:highlight w:val="none"/>
              </w:rPr>
            </w:pPr>
          </w:p>
        </w:tc>
      </w:tr>
      <w:tr w14:paraId="6CC8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980" w:type="dxa"/>
            <w:tcBorders>
              <w:top w:val="single" w:color="auto" w:sz="4" w:space="0"/>
              <w:left w:val="single" w:color="auto" w:sz="4" w:space="0"/>
              <w:bottom w:val="single" w:color="auto" w:sz="4" w:space="0"/>
              <w:right w:val="single" w:color="auto" w:sz="4" w:space="0"/>
            </w:tcBorders>
            <w:vAlign w:val="center"/>
          </w:tcPr>
          <w:p w14:paraId="3EAA4C8E">
            <w:pPr>
              <w:spacing w:line="360" w:lineRule="auto"/>
              <w:jc w:val="center"/>
              <w:rPr>
                <w:rFonts w:hint="eastAsia" w:ascii="宋体" w:hAnsi="宋体"/>
                <w:color w:val="auto"/>
                <w:highlight w:val="none"/>
              </w:rPr>
            </w:pPr>
            <w:r>
              <w:rPr>
                <w:rFonts w:hint="eastAsia" w:ascii="宋体" w:hAnsi="宋体"/>
                <w:color w:val="auto"/>
                <w:highlight w:val="none"/>
              </w:rPr>
              <w:t>开户银行</w:t>
            </w:r>
          </w:p>
        </w:tc>
        <w:tc>
          <w:tcPr>
            <w:tcW w:w="2880" w:type="dxa"/>
            <w:gridSpan w:val="2"/>
            <w:tcBorders>
              <w:top w:val="single" w:color="auto" w:sz="4" w:space="0"/>
              <w:left w:val="nil"/>
              <w:bottom w:val="single" w:color="auto" w:sz="4" w:space="0"/>
              <w:right w:val="single" w:color="auto" w:sz="4" w:space="0"/>
            </w:tcBorders>
            <w:vAlign w:val="center"/>
          </w:tcPr>
          <w:p w14:paraId="24A6C53C">
            <w:pPr>
              <w:spacing w:line="360" w:lineRule="auto"/>
              <w:jc w:val="center"/>
              <w:rPr>
                <w:rFonts w:hint="eastAsia" w:ascii="宋体" w:hAnsi="宋体"/>
                <w:color w:val="auto"/>
                <w:highlight w:val="none"/>
              </w:rPr>
            </w:pPr>
          </w:p>
        </w:tc>
        <w:tc>
          <w:tcPr>
            <w:tcW w:w="714" w:type="dxa"/>
            <w:vMerge w:val="continue"/>
            <w:tcBorders>
              <w:top w:val="nil"/>
              <w:left w:val="nil"/>
              <w:bottom w:val="single" w:color="auto" w:sz="4" w:space="0"/>
              <w:right w:val="single" w:color="auto" w:sz="4" w:space="0"/>
            </w:tcBorders>
            <w:vAlign w:val="center"/>
          </w:tcPr>
          <w:p w14:paraId="16AA7DB8">
            <w:pPr>
              <w:widowControl/>
              <w:jc w:val="left"/>
              <w:rPr>
                <w:rFonts w:hint="eastAsia" w:ascii="宋体" w:hAnsi="宋体"/>
                <w:color w:val="auto"/>
                <w:highlight w:val="none"/>
              </w:rPr>
            </w:pPr>
          </w:p>
        </w:tc>
        <w:tc>
          <w:tcPr>
            <w:tcW w:w="1803" w:type="dxa"/>
            <w:gridSpan w:val="3"/>
            <w:tcBorders>
              <w:top w:val="single" w:color="auto" w:sz="4" w:space="0"/>
              <w:left w:val="nil"/>
              <w:bottom w:val="single" w:color="auto" w:sz="4" w:space="0"/>
              <w:right w:val="single" w:color="auto" w:sz="4" w:space="0"/>
            </w:tcBorders>
            <w:vAlign w:val="center"/>
          </w:tcPr>
          <w:p w14:paraId="0A5FA5A5">
            <w:pPr>
              <w:spacing w:line="360" w:lineRule="auto"/>
              <w:jc w:val="center"/>
              <w:rPr>
                <w:rFonts w:hint="eastAsia" w:ascii="宋体" w:hAnsi="宋体"/>
                <w:color w:val="auto"/>
                <w:highlight w:val="none"/>
              </w:rPr>
            </w:pPr>
            <w:r>
              <w:rPr>
                <w:rFonts w:hint="eastAsia" w:ascii="宋体" w:hAnsi="宋体"/>
                <w:color w:val="auto"/>
                <w:highlight w:val="none"/>
              </w:rPr>
              <w:t>初级职称人员</w:t>
            </w:r>
          </w:p>
        </w:tc>
        <w:tc>
          <w:tcPr>
            <w:tcW w:w="1652" w:type="dxa"/>
            <w:gridSpan w:val="2"/>
            <w:tcBorders>
              <w:top w:val="single" w:color="auto" w:sz="4" w:space="0"/>
              <w:left w:val="nil"/>
              <w:bottom w:val="single" w:color="auto" w:sz="4" w:space="0"/>
              <w:right w:val="single" w:color="auto" w:sz="4" w:space="0"/>
            </w:tcBorders>
            <w:vAlign w:val="center"/>
          </w:tcPr>
          <w:p w14:paraId="6409FB88">
            <w:pPr>
              <w:spacing w:line="360" w:lineRule="auto"/>
              <w:jc w:val="center"/>
              <w:rPr>
                <w:rFonts w:hint="eastAsia" w:ascii="宋体" w:hAnsi="宋体"/>
                <w:color w:val="auto"/>
                <w:highlight w:val="none"/>
              </w:rPr>
            </w:pPr>
          </w:p>
        </w:tc>
      </w:tr>
      <w:tr w14:paraId="50D4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980" w:type="dxa"/>
            <w:tcBorders>
              <w:top w:val="single" w:color="auto" w:sz="4" w:space="0"/>
              <w:left w:val="single" w:color="auto" w:sz="4" w:space="0"/>
              <w:bottom w:val="single" w:color="auto" w:sz="4" w:space="0"/>
              <w:right w:val="single" w:color="auto" w:sz="4" w:space="0"/>
            </w:tcBorders>
            <w:vAlign w:val="center"/>
          </w:tcPr>
          <w:p w14:paraId="1E9AA7F1">
            <w:pPr>
              <w:spacing w:line="360" w:lineRule="auto"/>
              <w:jc w:val="center"/>
              <w:rPr>
                <w:rFonts w:hint="eastAsia" w:ascii="宋体" w:hAnsi="宋体"/>
                <w:color w:val="auto"/>
                <w:highlight w:val="none"/>
              </w:rPr>
            </w:pPr>
            <w:r>
              <w:rPr>
                <w:rFonts w:hint="eastAsia" w:ascii="宋体" w:hAnsi="宋体"/>
                <w:color w:val="auto"/>
                <w:highlight w:val="none"/>
              </w:rPr>
              <w:t>账号</w:t>
            </w:r>
          </w:p>
        </w:tc>
        <w:tc>
          <w:tcPr>
            <w:tcW w:w="2880" w:type="dxa"/>
            <w:gridSpan w:val="2"/>
            <w:tcBorders>
              <w:top w:val="single" w:color="auto" w:sz="4" w:space="0"/>
              <w:left w:val="nil"/>
              <w:bottom w:val="single" w:color="auto" w:sz="4" w:space="0"/>
              <w:right w:val="single" w:color="auto" w:sz="4" w:space="0"/>
            </w:tcBorders>
            <w:vAlign w:val="center"/>
          </w:tcPr>
          <w:p w14:paraId="2653A4B2">
            <w:pPr>
              <w:spacing w:line="360" w:lineRule="auto"/>
              <w:jc w:val="center"/>
              <w:rPr>
                <w:rFonts w:hint="eastAsia" w:ascii="宋体" w:hAnsi="宋体"/>
                <w:color w:val="auto"/>
                <w:highlight w:val="none"/>
              </w:rPr>
            </w:pPr>
          </w:p>
        </w:tc>
        <w:tc>
          <w:tcPr>
            <w:tcW w:w="714" w:type="dxa"/>
            <w:vMerge w:val="continue"/>
            <w:tcBorders>
              <w:top w:val="nil"/>
              <w:left w:val="nil"/>
              <w:bottom w:val="single" w:color="auto" w:sz="4" w:space="0"/>
              <w:right w:val="single" w:color="auto" w:sz="4" w:space="0"/>
            </w:tcBorders>
            <w:vAlign w:val="center"/>
          </w:tcPr>
          <w:p w14:paraId="58F5204E">
            <w:pPr>
              <w:widowControl/>
              <w:jc w:val="left"/>
              <w:rPr>
                <w:rFonts w:hint="eastAsia" w:ascii="宋体" w:hAnsi="宋体"/>
                <w:color w:val="auto"/>
                <w:highlight w:val="none"/>
              </w:rPr>
            </w:pPr>
          </w:p>
        </w:tc>
        <w:tc>
          <w:tcPr>
            <w:tcW w:w="1803" w:type="dxa"/>
            <w:gridSpan w:val="3"/>
            <w:tcBorders>
              <w:top w:val="single" w:color="auto" w:sz="4" w:space="0"/>
              <w:left w:val="nil"/>
              <w:bottom w:val="single" w:color="auto" w:sz="4" w:space="0"/>
              <w:right w:val="single" w:color="auto" w:sz="4" w:space="0"/>
            </w:tcBorders>
            <w:vAlign w:val="center"/>
          </w:tcPr>
          <w:p w14:paraId="2ADE4820">
            <w:pPr>
              <w:spacing w:line="360" w:lineRule="auto"/>
              <w:jc w:val="center"/>
              <w:rPr>
                <w:rFonts w:hint="eastAsia" w:ascii="宋体" w:hAnsi="宋体"/>
                <w:color w:val="auto"/>
                <w:highlight w:val="none"/>
              </w:rPr>
            </w:pPr>
            <w:r>
              <w:rPr>
                <w:rFonts w:hint="eastAsia" w:ascii="宋体" w:hAnsi="宋体"/>
                <w:color w:val="auto"/>
                <w:highlight w:val="none"/>
              </w:rPr>
              <w:t>技工</w:t>
            </w:r>
          </w:p>
        </w:tc>
        <w:tc>
          <w:tcPr>
            <w:tcW w:w="1652" w:type="dxa"/>
            <w:gridSpan w:val="2"/>
            <w:tcBorders>
              <w:top w:val="single" w:color="auto" w:sz="4" w:space="0"/>
              <w:left w:val="nil"/>
              <w:bottom w:val="single" w:color="auto" w:sz="4" w:space="0"/>
              <w:right w:val="single" w:color="auto" w:sz="4" w:space="0"/>
            </w:tcBorders>
            <w:vAlign w:val="center"/>
          </w:tcPr>
          <w:p w14:paraId="340F8F83">
            <w:pPr>
              <w:spacing w:line="360" w:lineRule="auto"/>
              <w:jc w:val="center"/>
              <w:rPr>
                <w:rFonts w:hint="eastAsia" w:ascii="宋体" w:hAnsi="宋体"/>
                <w:color w:val="auto"/>
                <w:highlight w:val="none"/>
              </w:rPr>
            </w:pPr>
          </w:p>
        </w:tc>
      </w:tr>
      <w:tr w14:paraId="7E45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980" w:type="dxa"/>
            <w:tcBorders>
              <w:top w:val="single" w:color="auto" w:sz="4" w:space="0"/>
              <w:left w:val="single" w:color="auto" w:sz="4" w:space="0"/>
              <w:bottom w:val="single" w:color="auto" w:sz="4" w:space="0"/>
              <w:right w:val="single" w:color="auto" w:sz="4" w:space="0"/>
            </w:tcBorders>
            <w:vAlign w:val="center"/>
          </w:tcPr>
          <w:p w14:paraId="51B84D1F">
            <w:pPr>
              <w:spacing w:line="360" w:lineRule="auto"/>
              <w:jc w:val="center"/>
              <w:rPr>
                <w:rFonts w:hint="eastAsia" w:ascii="宋体" w:hAnsi="宋体"/>
                <w:color w:val="auto"/>
                <w:highlight w:val="none"/>
              </w:rPr>
            </w:pPr>
            <w:r>
              <w:rPr>
                <w:rFonts w:hint="eastAsia" w:ascii="宋体" w:hAnsi="宋体"/>
                <w:color w:val="auto"/>
                <w:highlight w:val="none"/>
              </w:rPr>
              <w:t>经营范围备注</w:t>
            </w:r>
          </w:p>
        </w:tc>
        <w:tc>
          <w:tcPr>
            <w:tcW w:w="7049" w:type="dxa"/>
            <w:gridSpan w:val="8"/>
            <w:tcBorders>
              <w:top w:val="single" w:color="auto" w:sz="4" w:space="0"/>
              <w:left w:val="nil"/>
              <w:bottom w:val="single" w:color="auto" w:sz="4" w:space="0"/>
              <w:right w:val="single" w:color="auto" w:sz="4" w:space="0"/>
            </w:tcBorders>
            <w:vAlign w:val="center"/>
          </w:tcPr>
          <w:p w14:paraId="2D4C67AB">
            <w:pPr>
              <w:spacing w:line="360" w:lineRule="auto"/>
              <w:ind w:firstLine="420" w:firstLineChars="200"/>
              <w:jc w:val="center"/>
              <w:rPr>
                <w:rFonts w:hint="eastAsia" w:ascii="宋体" w:hAnsi="宋体"/>
                <w:color w:val="auto"/>
                <w:highlight w:val="none"/>
              </w:rPr>
            </w:pPr>
          </w:p>
        </w:tc>
      </w:tr>
    </w:tbl>
    <w:p w14:paraId="11B5E2E5">
      <w:pPr>
        <w:autoSpaceDE w:val="0"/>
        <w:autoSpaceDN w:val="0"/>
        <w:adjustRightInd w:val="0"/>
        <w:spacing w:line="360" w:lineRule="auto"/>
        <w:rPr>
          <w:rFonts w:hint="eastAsia" w:ascii="宋体" w:hAnsi="宋体"/>
          <w:color w:val="auto"/>
          <w:highlight w:val="none"/>
        </w:rPr>
      </w:pPr>
      <w:r>
        <w:rPr>
          <w:rFonts w:hint="eastAsia" w:ascii="宋体" w:hAnsi="宋体"/>
          <w:color w:val="auto"/>
          <w:highlight w:val="none"/>
        </w:rPr>
        <w:t>（附企业营业执照</w:t>
      </w:r>
      <w:r>
        <w:rPr>
          <w:rFonts w:hint="eastAsia" w:ascii="宋体" w:hAnsi="宋体"/>
          <w:color w:val="auto"/>
          <w:kern w:val="10"/>
          <w:highlight w:val="none"/>
        </w:rPr>
        <w:t>等有关资格证明文件</w:t>
      </w:r>
      <w:r>
        <w:rPr>
          <w:rFonts w:hint="eastAsia" w:ascii="宋体" w:hAnsi="宋体"/>
          <w:b/>
          <w:bCs/>
          <w:color w:val="auto"/>
          <w:kern w:val="10"/>
          <w:highlight w:val="none"/>
        </w:rPr>
        <w:t>扫描件</w:t>
      </w:r>
      <w:r>
        <w:rPr>
          <w:rFonts w:hint="eastAsia" w:ascii="宋体" w:hAnsi="宋体"/>
          <w:color w:val="auto"/>
          <w:highlight w:val="none"/>
        </w:rPr>
        <w:t>）</w:t>
      </w:r>
    </w:p>
    <w:p w14:paraId="479417F6">
      <w:pPr>
        <w:pStyle w:val="34"/>
        <w:rPr>
          <w:color w:val="auto"/>
          <w:highlight w:val="none"/>
        </w:rPr>
      </w:pPr>
    </w:p>
    <w:p w14:paraId="5E1CB074">
      <w:pPr>
        <w:pStyle w:val="3"/>
        <w:ind w:left="0" w:firstLine="0"/>
        <w:rPr>
          <w:color w:val="auto"/>
          <w:sz w:val="30"/>
          <w:szCs w:val="30"/>
          <w:highlight w:val="none"/>
        </w:rPr>
      </w:pPr>
      <w:bookmarkStart w:id="925" w:name="_Toc29044"/>
      <w:bookmarkEnd w:id="925"/>
      <w:bookmarkStart w:id="926" w:name="_Toc478120679"/>
      <w:bookmarkEnd w:id="926"/>
      <w:bookmarkStart w:id="927" w:name="_Toc478120102"/>
      <w:bookmarkEnd w:id="927"/>
    </w:p>
    <w:p w14:paraId="353F490D">
      <w:pPr>
        <w:rPr>
          <w:color w:val="auto"/>
          <w:sz w:val="30"/>
          <w:szCs w:val="30"/>
          <w:highlight w:val="none"/>
        </w:rPr>
      </w:pPr>
    </w:p>
    <w:p w14:paraId="3A83D837">
      <w:pPr>
        <w:spacing w:before="66"/>
        <w:ind w:left="8" w:right="199"/>
        <w:jc w:val="center"/>
        <w:rPr>
          <w:b/>
          <w:color w:val="auto"/>
          <w:sz w:val="24"/>
          <w:highlight w:val="none"/>
        </w:rPr>
      </w:pPr>
      <w:bookmarkStart w:id="928" w:name="_Toc16069"/>
      <w:bookmarkEnd w:id="928"/>
      <w:bookmarkStart w:id="929" w:name="（一）项目管理机构组成表"/>
      <w:bookmarkEnd w:id="929"/>
    </w:p>
    <w:p w14:paraId="02D62CA3">
      <w:pPr>
        <w:spacing w:before="66"/>
        <w:ind w:left="8" w:right="199"/>
        <w:jc w:val="center"/>
        <w:rPr>
          <w:b/>
          <w:color w:val="auto"/>
          <w:sz w:val="24"/>
          <w:highlight w:val="none"/>
        </w:rPr>
      </w:pPr>
    </w:p>
    <w:p w14:paraId="73A683E9">
      <w:pPr>
        <w:pStyle w:val="3"/>
        <w:ind w:left="0" w:firstLine="0"/>
        <w:jc w:val="center"/>
        <w:rPr>
          <w:rFonts w:hint="eastAsia" w:ascii="宋体" w:hAnsi="宋体"/>
          <w:color w:val="auto"/>
          <w:highlight w:val="none"/>
        </w:rPr>
      </w:pPr>
      <w:bookmarkStart w:id="930" w:name="_Toc478120103"/>
      <w:bookmarkEnd w:id="930"/>
      <w:bookmarkStart w:id="931" w:name="_Toc478120680"/>
      <w:bookmarkEnd w:id="931"/>
      <w:bookmarkStart w:id="932" w:name="_Toc16421"/>
      <w:r>
        <w:rPr>
          <w:rFonts w:hint="eastAsia"/>
          <w:color w:val="auto"/>
          <w:highlight w:val="none"/>
          <w:lang w:val="en-US" w:eastAsia="zh-CN"/>
        </w:rPr>
        <w:t>7</w:t>
      </w:r>
      <w:r>
        <w:rPr>
          <w:rFonts w:hint="eastAsia" w:ascii="宋体" w:hAnsi="宋体"/>
          <w:color w:val="auto"/>
          <w:highlight w:val="none"/>
        </w:rPr>
        <w:t>、供应商反商业贿赂书（固定格式）</w:t>
      </w:r>
    </w:p>
    <w:p w14:paraId="1811BC85">
      <w:pPr>
        <w:spacing w:line="480" w:lineRule="auto"/>
        <w:rPr>
          <w:color w:val="auto"/>
          <w:highlight w:val="none"/>
        </w:rPr>
      </w:pPr>
      <w:r>
        <w:rPr>
          <w:rFonts w:hint="eastAsia" w:ascii="宋体" w:hAnsi="宋体"/>
          <w:color w:val="auto"/>
          <w:highlight w:val="none"/>
        </w:rPr>
        <w:t>我公司承诺：</w:t>
      </w:r>
      <w:bookmarkEnd w:id="932"/>
    </w:p>
    <w:p w14:paraId="7E968C3D">
      <w:pPr>
        <w:spacing w:line="480" w:lineRule="auto"/>
        <w:rPr>
          <w:rFonts w:ascii="宋体"/>
          <w:color w:val="auto"/>
          <w:highlight w:val="none"/>
        </w:rPr>
      </w:pPr>
      <w:bookmarkStart w:id="933" w:name="_Toc478120681"/>
      <w:bookmarkEnd w:id="933"/>
      <w:bookmarkStart w:id="934" w:name="_Toc478120104"/>
      <w:bookmarkEnd w:id="934"/>
      <w:bookmarkStart w:id="935" w:name="_Toc29169"/>
      <w:r>
        <w:rPr>
          <w:rFonts w:hint="eastAsia" w:ascii="宋体" w:hAnsi="宋体"/>
          <w:color w:val="auto"/>
          <w:highlight w:val="none"/>
        </w:rPr>
        <w:t>在</w:t>
      </w:r>
      <w:bookmarkEnd w:id="935"/>
      <w:r>
        <w:rPr>
          <w:rFonts w:hint="eastAsia" w:ascii="宋体" w:hAnsi="宋体"/>
          <w:color w:val="auto"/>
          <w:highlight w:val="none"/>
          <w:u w:val="single"/>
        </w:rPr>
        <w:t xml:space="preserve">              （项目名称）</w:t>
      </w:r>
      <w:r>
        <w:rPr>
          <w:rFonts w:hint="eastAsia" w:ascii="宋体" w:hAnsi="宋体"/>
          <w:color w:val="auto"/>
          <w:highlight w:val="none"/>
        </w:rPr>
        <w:t>招标活动中，我公司保证做到：</w:t>
      </w:r>
    </w:p>
    <w:p w14:paraId="5B4FA92B">
      <w:pPr>
        <w:spacing w:line="480" w:lineRule="auto"/>
        <w:rPr>
          <w:color w:val="auto"/>
          <w:highlight w:val="none"/>
        </w:rPr>
      </w:pPr>
      <w:bookmarkStart w:id="936" w:name="_Toc5352"/>
      <w:bookmarkEnd w:id="936"/>
      <w:bookmarkStart w:id="937" w:name="_Toc478120682"/>
      <w:bookmarkEnd w:id="937"/>
      <w:bookmarkStart w:id="938" w:name="_Toc478120105"/>
      <w:r>
        <w:rPr>
          <w:rFonts w:hint="eastAsia" w:ascii="宋体" w:hAnsi="宋体"/>
          <w:color w:val="auto"/>
          <w:highlight w:val="none"/>
        </w:rPr>
        <w:t>一、公平竞争参加本次招标活动。</w:t>
      </w:r>
      <w:bookmarkEnd w:id="938"/>
    </w:p>
    <w:p w14:paraId="5D344060">
      <w:pPr>
        <w:spacing w:line="480" w:lineRule="auto"/>
        <w:rPr>
          <w:color w:val="auto"/>
          <w:highlight w:val="none"/>
        </w:rPr>
      </w:pPr>
      <w:bookmarkStart w:id="939" w:name="_Toc8674"/>
      <w:bookmarkEnd w:id="939"/>
      <w:bookmarkStart w:id="940" w:name="_Toc478120683"/>
      <w:bookmarkEnd w:id="940"/>
      <w:bookmarkStart w:id="941" w:name="_Toc478120106"/>
      <w:r>
        <w:rPr>
          <w:rFonts w:hint="eastAsia" w:ascii="宋体" w:hAnsi="宋体"/>
          <w:color w:val="auto"/>
          <w:highlight w:val="none"/>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bookmarkEnd w:id="941"/>
    </w:p>
    <w:p w14:paraId="7ECB665F">
      <w:pPr>
        <w:spacing w:line="480" w:lineRule="auto"/>
        <w:rPr>
          <w:color w:val="auto"/>
          <w:highlight w:val="none"/>
        </w:rPr>
      </w:pPr>
      <w:bookmarkStart w:id="942" w:name="_Toc31878"/>
      <w:bookmarkEnd w:id="942"/>
      <w:bookmarkStart w:id="943" w:name="_Toc478120684"/>
      <w:bookmarkEnd w:id="943"/>
      <w:bookmarkStart w:id="944" w:name="_Toc478120107"/>
      <w:r>
        <w:rPr>
          <w:rFonts w:hint="eastAsia" w:ascii="宋体" w:hAnsi="宋体"/>
          <w:color w:val="auto"/>
          <w:highlight w:val="none"/>
        </w:rPr>
        <w:t>三、若出现上述行为，我公司及参与投标的工作人员愿意接受按照国家法律法规等有关规定给予的处罚。</w:t>
      </w:r>
      <w:bookmarkEnd w:id="944"/>
    </w:p>
    <w:p w14:paraId="4B1CCBE5">
      <w:pPr>
        <w:spacing w:line="480" w:lineRule="auto"/>
        <w:rPr>
          <w:color w:val="auto"/>
          <w:highlight w:val="none"/>
        </w:rPr>
      </w:pPr>
    </w:p>
    <w:p w14:paraId="28FE6524">
      <w:pPr>
        <w:spacing w:line="480" w:lineRule="auto"/>
        <w:rPr>
          <w:color w:val="auto"/>
          <w:highlight w:val="none"/>
        </w:rPr>
      </w:pPr>
    </w:p>
    <w:p w14:paraId="498EB4F6">
      <w:pPr>
        <w:spacing w:line="480" w:lineRule="auto"/>
        <w:rPr>
          <w:color w:val="auto"/>
          <w:highlight w:val="none"/>
        </w:rPr>
      </w:pPr>
    </w:p>
    <w:p w14:paraId="5969FC88">
      <w:pPr>
        <w:spacing w:line="480" w:lineRule="auto"/>
        <w:rPr>
          <w:color w:val="auto"/>
          <w:highlight w:val="none"/>
        </w:rPr>
      </w:pPr>
    </w:p>
    <w:p w14:paraId="372FD480">
      <w:pPr>
        <w:autoSpaceDE w:val="0"/>
        <w:autoSpaceDN w:val="0"/>
        <w:adjustRightInd w:val="0"/>
        <w:spacing w:line="560" w:lineRule="atLeast"/>
        <w:jc w:val="left"/>
        <w:rPr>
          <w:rFonts w:ascii="宋体"/>
          <w:color w:val="auto"/>
          <w:spacing w:val="10"/>
          <w:kern w:val="0"/>
          <w:highlight w:val="none"/>
        </w:rPr>
      </w:pPr>
      <w:r>
        <w:rPr>
          <w:rFonts w:hint="eastAsia" w:ascii="宋体" w:hAnsi="宋体"/>
          <w:color w:val="auto"/>
          <w:spacing w:val="10"/>
          <w:kern w:val="0"/>
          <w:highlight w:val="none"/>
        </w:rPr>
        <w:t>供应商：</w:t>
      </w:r>
      <w:r>
        <w:rPr>
          <w:rFonts w:hint="eastAsia" w:ascii="宋体"/>
          <w:color w:val="auto"/>
          <w:highlight w:val="none"/>
          <w:u w:val="single"/>
          <w:shd w:val="clear" w:color="auto" w:fill="FFFFFF"/>
        </w:rPr>
        <w:t xml:space="preserve">                           </w:t>
      </w:r>
      <w:r>
        <w:rPr>
          <w:rFonts w:hint="eastAsia" w:ascii="宋体" w:hAnsi="宋体"/>
          <w:color w:val="auto"/>
          <w:kern w:val="0"/>
          <w:highlight w:val="none"/>
        </w:rPr>
        <w:t>（企业电子</w:t>
      </w:r>
      <w:r>
        <w:rPr>
          <w:rFonts w:hint="eastAsia" w:ascii="宋体" w:hAnsi="宋体"/>
          <w:color w:val="auto"/>
          <w:highlight w:val="none"/>
        </w:rPr>
        <w:t>签</w:t>
      </w:r>
      <w:r>
        <w:rPr>
          <w:rFonts w:hint="eastAsia" w:ascii="宋体" w:hAnsi="宋体"/>
          <w:color w:val="auto"/>
          <w:kern w:val="0"/>
          <w:highlight w:val="none"/>
        </w:rPr>
        <w:t>章）</w:t>
      </w:r>
    </w:p>
    <w:p w14:paraId="54B67525">
      <w:pPr>
        <w:autoSpaceDE w:val="0"/>
        <w:autoSpaceDN w:val="0"/>
        <w:adjustRightInd w:val="0"/>
        <w:spacing w:line="560" w:lineRule="atLeast"/>
        <w:jc w:val="left"/>
        <w:rPr>
          <w:rFonts w:ascii="宋体"/>
          <w:color w:val="auto"/>
          <w:spacing w:val="10"/>
          <w:kern w:val="0"/>
          <w:highlight w:val="none"/>
        </w:rPr>
      </w:pPr>
      <w:r>
        <w:rPr>
          <w:rFonts w:hint="eastAsia" w:ascii="宋体" w:hAnsi="宋体"/>
          <w:color w:val="auto"/>
          <w:highlight w:val="none"/>
        </w:rPr>
        <w:t>法定代表人或委托代理人</w:t>
      </w:r>
      <w:r>
        <w:rPr>
          <w:rFonts w:hint="eastAsia" w:ascii="宋体" w:hAnsi="宋体"/>
          <w:color w:val="auto"/>
          <w:spacing w:val="10"/>
          <w:kern w:val="0"/>
          <w:highlight w:val="none"/>
        </w:rPr>
        <w:t>：</w:t>
      </w:r>
      <w:r>
        <w:rPr>
          <w:rFonts w:hint="eastAsia" w:ascii="宋体"/>
          <w:color w:val="auto"/>
          <w:highlight w:val="none"/>
          <w:u w:val="single"/>
          <w:shd w:val="clear" w:color="auto" w:fill="FFFFFF"/>
        </w:rPr>
        <w:t xml:space="preserve">                           </w:t>
      </w:r>
      <w:r>
        <w:rPr>
          <w:rFonts w:hint="eastAsia" w:ascii="宋体" w:hAnsi="宋体"/>
          <w:color w:val="auto"/>
          <w:kern w:val="0"/>
          <w:highlight w:val="none"/>
        </w:rPr>
        <w:t>（个人电子</w:t>
      </w:r>
      <w:r>
        <w:rPr>
          <w:rFonts w:hint="eastAsia" w:ascii="宋体" w:hAnsi="宋体"/>
          <w:color w:val="auto"/>
          <w:highlight w:val="none"/>
        </w:rPr>
        <w:t>签</w:t>
      </w:r>
      <w:r>
        <w:rPr>
          <w:rFonts w:hint="eastAsia" w:ascii="宋体" w:hAnsi="宋体"/>
          <w:color w:val="auto"/>
          <w:kern w:val="0"/>
          <w:highlight w:val="none"/>
        </w:rPr>
        <w:t>章）</w:t>
      </w:r>
    </w:p>
    <w:p w14:paraId="093FA334">
      <w:pPr>
        <w:autoSpaceDE w:val="0"/>
        <w:autoSpaceDN w:val="0"/>
        <w:adjustRightInd w:val="0"/>
        <w:spacing w:line="560" w:lineRule="atLeast"/>
        <w:jc w:val="left"/>
        <w:rPr>
          <w:rFonts w:ascii="宋体"/>
          <w:color w:val="auto"/>
          <w:spacing w:val="10"/>
          <w:kern w:val="0"/>
          <w:highlight w:val="none"/>
        </w:rPr>
      </w:pPr>
      <w:r>
        <w:rPr>
          <w:rFonts w:hint="eastAsia" w:ascii="宋体" w:hAnsi="宋体"/>
          <w:color w:val="auto"/>
          <w:spacing w:val="10"/>
          <w:kern w:val="0"/>
          <w:highlight w:val="none"/>
        </w:rPr>
        <w:t>日期：</w:t>
      </w:r>
      <w:r>
        <w:rPr>
          <w:rFonts w:hint="eastAsia" w:ascii="宋体"/>
          <w:color w:val="auto"/>
          <w:highlight w:val="none"/>
          <w:u w:val="single"/>
          <w:shd w:val="clear" w:color="auto" w:fill="FFFFFF"/>
        </w:rPr>
        <w:t xml:space="preserve">                           </w:t>
      </w:r>
    </w:p>
    <w:p w14:paraId="2F300556">
      <w:pPr>
        <w:spacing w:line="360" w:lineRule="auto"/>
        <w:rPr>
          <w:color w:val="auto"/>
          <w:highlight w:val="none"/>
        </w:rPr>
      </w:pPr>
    </w:p>
    <w:p w14:paraId="7B1549D4">
      <w:pPr>
        <w:rPr>
          <w:color w:val="auto"/>
          <w:highlight w:val="none"/>
        </w:rPr>
      </w:pPr>
    </w:p>
    <w:p w14:paraId="17958C7D">
      <w:pPr>
        <w:rPr>
          <w:color w:val="auto"/>
          <w:highlight w:val="none"/>
        </w:rPr>
      </w:pPr>
    </w:p>
    <w:p w14:paraId="5BC30632">
      <w:pPr>
        <w:rPr>
          <w:color w:val="auto"/>
          <w:highlight w:val="none"/>
        </w:rPr>
      </w:pPr>
    </w:p>
    <w:p w14:paraId="234A8196">
      <w:pPr>
        <w:rPr>
          <w:color w:val="auto"/>
          <w:highlight w:val="none"/>
        </w:rPr>
      </w:pPr>
    </w:p>
    <w:p w14:paraId="589FB796">
      <w:pPr>
        <w:rPr>
          <w:color w:val="auto"/>
          <w:highlight w:val="none"/>
        </w:rPr>
      </w:pPr>
    </w:p>
    <w:p w14:paraId="516C4FE7">
      <w:pPr>
        <w:pStyle w:val="36"/>
        <w:ind w:firstLine="210"/>
        <w:rPr>
          <w:color w:val="auto"/>
          <w:highlight w:val="none"/>
        </w:rPr>
      </w:pPr>
    </w:p>
    <w:p w14:paraId="2F9295C8">
      <w:pPr>
        <w:rPr>
          <w:color w:val="auto"/>
          <w:highlight w:val="none"/>
        </w:rPr>
      </w:pPr>
    </w:p>
    <w:p w14:paraId="5A98C05D">
      <w:pPr>
        <w:rPr>
          <w:color w:val="auto"/>
          <w:highlight w:val="none"/>
        </w:rPr>
      </w:pPr>
    </w:p>
    <w:p w14:paraId="0CA310AB">
      <w:pPr>
        <w:rPr>
          <w:color w:val="auto"/>
          <w:highlight w:val="none"/>
        </w:rPr>
      </w:pPr>
    </w:p>
    <w:p w14:paraId="14EA627F">
      <w:pPr>
        <w:rPr>
          <w:color w:val="auto"/>
          <w:highlight w:val="none"/>
        </w:rPr>
      </w:pPr>
    </w:p>
    <w:p w14:paraId="11B56534">
      <w:pPr>
        <w:shd w:val="clear" w:color="auto" w:fill="FFFFFF"/>
        <w:snapToGrid w:val="0"/>
        <w:spacing w:line="500" w:lineRule="exact"/>
        <w:jc w:val="center"/>
        <w:rPr>
          <w:color w:val="auto"/>
          <w:highlight w:val="none"/>
        </w:rPr>
      </w:pPr>
      <w:bookmarkStart w:id="945" w:name="_Toc12993"/>
      <w:bookmarkEnd w:id="945"/>
      <w:bookmarkStart w:id="946" w:name="_Toc7170"/>
      <w:bookmarkEnd w:id="946"/>
      <w:bookmarkStart w:id="947" w:name="_Toc23869"/>
      <w:bookmarkEnd w:id="947"/>
      <w:bookmarkStart w:id="948" w:name="_Toc478120691"/>
      <w:bookmarkEnd w:id="948"/>
      <w:r>
        <w:rPr>
          <w:rFonts w:hint="eastAsia"/>
          <w:color w:val="auto"/>
          <w:sz w:val="30"/>
          <w:szCs w:val="30"/>
          <w:highlight w:val="none"/>
          <w:lang w:val="en-US" w:eastAsia="zh-CN"/>
        </w:rPr>
        <w:t>8</w:t>
      </w:r>
      <w:r>
        <w:rPr>
          <w:rFonts w:hint="eastAsia" w:ascii="宋体" w:hAnsi="宋体"/>
          <w:color w:val="auto"/>
          <w:sz w:val="30"/>
          <w:szCs w:val="30"/>
          <w:highlight w:val="none"/>
        </w:rPr>
        <w:t>、</w:t>
      </w:r>
      <w:r>
        <w:rPr>
          <w:rFonts w:hint="eastAsia" w:ascii="宋体" w:hAnsi="宋体"/>
          <w:b/>
          <w:bCs/>
          <w:color w:val="auto"/>
          <w:sz w:val="30"/>
          <w:szCs w:val="30"/>
          <w:highlight w:val="none"/>
        </w:rPr>
        <w:t>相关证明材料</w:t>
      </w:r>
    </w:p>
    <w:p w14:paraId="21E0FA6C">
      <w:pPr>
        <w:spacing w:before="156" w:beforeLines="50" w:after="156" w:afterLines="50" w:line="480" w:lineRule="auto"/>
        <w:rPr>
          <w:b/>
          <w:bCs/>
          <w:color w:val="auto"/>
          <w:sz w:val="28"/>
          <w:szCs w:val="28"/>
          <w:highlight w:val="none"/>
        </w:rPr>
      </w:pPr>
      <w:r>
        <w:rPr>
          <w:rFonts w:hint="eastAsia"/>
          <w:b/>
          <w:bCs/>
          <w:color w:val="auto"/>
          <w:sz w:val="28"/>
          <w:szCs w:val="28"/>
          <w:highlight w:val="none"/>
        </w:rPr>
        <w:t>1</w:t>
      </w:r>
      <w:r>
        <w:rPr>
          <w:rFonts w:hint="eastAsia" w:ascii="宋体" w:hAnsi="宋体"/>
          <w:b/>
          <w:bCs/>
          <w:color w:val="auto"/>
          <w:sz w:val="28"/>
          <w:szCs w:val="28"/>
          <w:highlight w:val="none"/>
        </w:rPr>
        <w:t>、 声明函</w:t>
      </w:r>
    </w:p>
    <w:p w14:paraId="7DCB5F94">
      <w:pPr>
        <w:pStyle w:val="34"/>
        <w:rPr>
          <w:color w:val="auto"/>
          <w:highlight w:val="none"/>
        </w:rPr>
      </w:pPr>
    </w:p>
    <w:p w14:paraId="73A16B35">
      <w:pPr>
        <w:spacing w:before="156" w:beforeLines="50" w:after="156" w:afterLines="50" w:line="480" w:lineRule="auto"/>
        <w:ind w:firstLine="630" w:firstLineChars="300"/>
        <w:rPr>
          <w:color w:val="auto"/>
          <w:highlight w:val="none"/>
        </w:rPr>
      </w:pPr>
      <w:r>
        <w:rPr>
          <w:rFonts w:hint="eastAsia"/>
          <w:color w:val="auto"/>
          <w:highlight w:val="none"/>
          <w:u w:val="single"/>
        </w:rPr>
        <w:tab/>
      </w:r>
      <w:r>
        <w:rPr>
          <w:rFonts w:hint="eastAsia"/>
          <w:color w:val="auto"/>
          <w:highlight w:val="none"/>
          <w:u w:val="single"/>
        </w:rPr>
        <w:t xml:space="preserve">            </w:t>
      </w:r>
      <w:r>
        <w:rPr>
          <w:rFonts w:hint="eastAsia" w:ascii="宋体" w:hAnsi="宋体"/>
          <w:color w:val="auto"/>
          <w:highlight w:val="none"/>
        </w:rPr>
        <w:t>（项目名称），我公司具有独立承担民事责任的能力,具有履行合同所必需的设备和专业技术能力及法律、行政法规规定的其他条件 。</w:t>
      </w:r>
    </w:p>
    <w:p w14:paraId="51DE544D">
      <w:pPr>
        <w:spacing w:line="360" w:lineRule="auto"/>
        <w:ind w:firstLine="420" w:firstLineChars="200"/>
        <w:rPr>
          <w:color w:val="auto"/>
          <w:highlight w:val="none"/>
        </w:rPr>
      </w:pPr>
      <w:r>
        <w:rPr>
          <w:rFonts w:hint="eastAsia"/>
          <w:color w:val="auto"/>
          <w:highlight w:val="none"/>
        </w:rPr>
        <w:tab/>
      </w:r>
    </w:p>
    <w:p w14:paraId="536A867C">
      <w:pPr>
        <w:pStyle w:val="24"/>
        <w:rPr>
          <w:color w:val="auto"/>
          <w:highlight w:val="none"/>
        </w:rPr>
      </w:pPr>
    </w:p>
    <w:p w14:paraId="47A04AC5">
      <w:pPr>
        <w:rPr>
          <w:color w:val="auto"/>
          <w:highlight w:val="none"/>
        </w:rPr>
      </w:pPr>
    </w:p>
    <w:p w14:paraId="195E125F">
      <w:pPr>
        <w:spacing w:line="360" w:lineRule="exact"/>
        <w:jc w:val="right"/>
        <w:rPr>
          <w:rFonts w:hint="eastAsia" w:ascii="宋体" w:hAnsi="宋体"/>
          <w:color w:val="auto"/>
          <w:highlight w:val="none"/>
        </w:rPr>
      </w:pPr>
      <w:r>
        <w:rPr>
          <w:rFonts w:hint="eastAsia" w:ascii="宋体" w:hAnsi="宋体"/>
          <w:color w:val="auto"/>
          <w:highlight w:val="none"/>
        </w:rPr>
        <w:t>供应商：</w:t>
      </w:r>
      <w:r>
        <w:rPr>
          <w:rFonts w:hint="eastAsia" w:ascii="宋体"/>
          <w:color w:val="auto"/>
          <w:highlight w:val="none"/>
          <w:u w:val="single"/>
          <w:shd w:val="clear" w:color="auto" w:fill="FFFFFF"/>
        </w:rPr>
        <w:t xml:space="preserve">                           </w:t>
      </w:r>
      <w:r>
        <w:rPr>
          <w:rFonts w:hint="eastAsia" w:ascii="宋体" w:hAnsi="宋体"/>
          <w:color w:val="auto"/>
          <w:highlight w:val="none"/>
        </w:rPr>
        <w:t>（企业电子签章）</w:t>
      </w:r>
    </w:p>
    <w:p w14:paraId="05FB67DE">
      <w:pPr>
        <w:pStyle w:val="34"/>
        <w:rPr>
          <w:color w:val="auto"/>
          <w:highlight w:val="none"/>
        </w:rPr>
      </w:pPr>
    </w:p>
    <w:p w14:paraId="7934CEFC">
      <w:pPr>
        <w:spacing w:line="360" w:lineRule="exact"/>
        <w:jc w:val="right"/>
        <w:rPr>
          <w:rFonts w:hint="eastAsia" w:ascii="宋体" w:hAnsi="宋体"/>
          <w:color w:val="auto"/>
          <w:highlight w:val="none"/>
        </w:rPr>
      </w:pPr>
      <w:r>
        <w:rPr>
          <w:rFonts w:hint="eastAsia" w:ascii="宋体" w:hAnsi="宋体"/>
          <w:color w:val="auto"/>
          <w:highlight w:val="none"/>
        </w:rPr>
        <w:t xml:space="preserve">                         法定代表人或委托代理人：</w:t>
      </w:r>
      <w:r>
        <w:rPr>
          <w:rFonts w:hint="eastAsia" w:ascii="宋体"/>
          <w:color w:val="auto"/>
          <w:highlight w:val="none"/>
          <w:u w:val="single"/>
          <w:shd w:val="clear" w:color="auto" w:fill="FFFFFF"/>
        </w:rPr>
        <w:t xml:space="preserve">              </w:t>
      </w:r>
      <w:r>
        <w:rPr>
          <w:rFonts w:hint="eastAsia" w:ascii="宋体" w:hAnsi="宋体"/>
          <w:color w:val="auto"/>
          <w:highlight w:val="none"/>
        </w:rPr>
        <w:t>（个人电子签章）</w:t>
      </w:r>
    </w:p>
    <w:p w14:paraId="0F68F750">
      <w:pPr>
        <w:pStyle w:val="34"/>
        <w:jc w:val="right"/>
        <w:rPr>
          <w:color w:val="auto"/>
          <w:highlight w:val="none"/>
          <w:u w:val="single"/>
          <w:shd w:val="clear" w:color="auto" w:fill="FFFFFF"/>
        </w:rPr>
      </w:pPr>
    </w:p>
    <w:p w14:paraId="08D92BA3">
      <w:pPr>
        <w:pStyle w:val="34"/>
        <w:jc w:val="right"/>
        <w:rPr>
          <w:color w:val="auto"/>
          <w:highlight w:val="none"/>
          <w:shd w:val="clear" w:color="auto" w:fill="FFFFFF"/>
        </w:rPr>
      </w:pPr>
      <w:r>
        <w:rPr>
          <w:rFonts w:hint="eastAsia"/>
          <w:color w:val="auto"/>
          <w:highlight w:val="none"/>
          <w:u w:val="single"/>
          <w:shd w:val="clear" w:color="auto" w:fill="FFFFFF"/>
        </w:rPr>
        <w:t xml:space="preserve">      </w:t>
      </w:r>
      <w:r>
        <w:rPr>
          <w:rFonts w:hint="eastAsia"/>
          <w:color w:val="auto"/>
          <w:highlight w:val="none"/>
          <w:shd w:val="clear" w:color="auto" w:fill="FFFFFF"/>
        </w:rPr>
        <w:t xml:space="preserve">年 </w:t>
      </w:r>
      <w:r>
        <w:rPr>
          <w:rFonts w:hint="eastAsia"/>
          <w:color w:val="auto"/>
          <w:highlight w:val="none"/>
          <w:u w:val="single"/>
          <w:shd w:val="clear" w:color="auto" w:fill="FFFFFF"/>
        </w:rPr>
        <w:t xml:space="preserve">      </w:t>
      </w:r>
      <w:r>
        <w:rPr>
          <w:rFonts w:hint="eastAsia"/>
          <w:color w:val="auto"/>
          <w:highlight w:val="none"/>
          <w:shd w:val="clear" w:color="auto" w:fill="FFFFFF"/>
        </w:rPr>
        <w:t>月</w:t>
      </w:r>
      <w:r>
        <w:rPr>
          <w:rFonts w:hint="eastAsia"/>
          <w:color w:val="auto"/>
          <w:highlight w:val="none"/>
          <w:u w:val="single"/>
          <w:shd w:val="clear" w:color="auto" w:fill="FFFFFF"/>
        </w:rPr>
        <w:t xml:space="preserve">     </w:t>
      </w:r>
      <w:r>
        <w:rPr>
          <w:rFonts w:hint="eastAsia"/>
          <w:color w:val="auto"/>
          <w:highlight w:val="none"/>
          <w:shd w:val="clear" w:color="auto" w:fill="FFFFFF"/>
        </w:rPr>
        <w:t>日</w:t>
      </w:r>
    </w:p>
    <w:p w14:paraId="1917921F">
      <w:pPr>
        <w:pStyle w:val="34"/>
        <w:rPr>
          <w:color w:val="auto"/>
          <w:highlight w:val="none"/>
          <w:shd w:val="clear" w:color="auto" w:fill="FFFFFF"/>
        </w:rPr>
      </w:pPr>
    </w:p>
    <w:p w14:paraId="4CE1BDA0">
      <w:pPr>
        <w:pStyle w:val="3"/>
        <w:ind w:left="0" w:firstLine="0"/>
        <w:rPr>
          <w:rFonts w:hint="eastAsia" w:hAnsi="宋体"/>
          <w:color w:val="auto"/>
          <w:sz w:val="28"/>
          <w:szCs w:val="28"/>
          <w:highlight w:val="none"/>
        </w:rPr>
      </w:pPr>
    </w:p>
    <w:p w14:paraId="1215815A">
      <w:pPr>
        <w:pStyle w:val="3"/>
        <w:ind w:left="0" w:firstLine="0"/>
        <w:rPr>
          <w:color w:val="auto"/>
          <w:highlight w:val="none"/>
          <w:shd w:val="clear" w:color="auto" w:fill="FFFFFF"/>
        </w:rPr>
      </w:pPr>
      <w:r>
        <w:rPr>
          <w:rFonts w:hint="eastAsia" w:hAnsi="宋体"/>
          <w:color w:val="auto"/>
          <w:sz w:val="28"/>
          <w:szCs w:val="28"/>
          <w:highlight w:val="none"/>
        </w:rPr>
        <w:t>2、</w:t>
      </w:r>
      <w:r>
        <w:rPr>
          <w:rFonts w:hint="eastAsia" w:ascii="黑体" w:hAnsi="黑体"/>
          <w:color w:val="auto"/>
          <w:sz w:val="28"/>
          <w:szCs w:val="28"/>
          <w:highlight w:val="none"/>
          <w:shd w:val="clear" w:color="auto" w:fill="FFFFFF"/>
        </w:rPr>
        <w:t>参加政府采购活动前三年内，在经营活动中没有重大违法记录声明函</w:t>
      </w:r>
      <w:r>
        <w:rPr>
          <w:color w:val="auto"/>
          <w:highlight w:val="none"/>
          <w:shd w:val="clear" w:color="auto" w:fill="FFFFFF"/>
        </w:rPr>
        <w:t xml:space="preserve"> </w:t>
      </w:r>
    </w:p>
    <w:p w14:paraId="78816807">
      <w:pPr>
        <w:pStyle w:val="3"/>
        <w:jc w:val="left"/>
        <w:rPr>
          <w:rFonts w:ascii="宋体"/>
          <w:b w:val="0"/>
          <w:bCs w:val="0"/>
          <w:color w:val="auto"/>
          <w:sz w:val="24"/>
          <w:szCs w:val="24"/>
          <w:highlight w:val="none"/>
          <w:u w:val="single"/>
          <w:shd w:val="clear" w:color="auto" w:fill="FFFFFF"/>
        </w:rPr>
      </w:pPr>
      <w:r>
        <w:rPr>
          <w:rFonts w:hint="eastAsia" w:ascii="宋体" w:hAnsi="宋体"/>
          <w:b w:val="0"/>
          <w:bCs w:val="0"/>
          <w:color w:val="auto"/>
          <w:sz w:val="24"/>
          <w:szCs w:val="24"/>
          <w:highlight w:val="none"/>
          <w:u w:val="single"/>
          <w:shd w:val="clear" w:color="auto" w:fill="FFFFFF"/>
        </w:rPr>
        <w:t>（采购人）         ：</w:t>
      </w:r>
    </w:p>
    <w:p w14:paraId="3D7FAF5D">
      <w:pPr>
        <w:pStyle w:val="34"/>
        <w:spacing w:line="360" w:lineRule="auto"/>
        <w:rPr>
          <w:rFonts w:hint="eastAsia" w:hAnsi="宋体"/>
          <w:color w:val="auto"/>
          <w:sz w:val="21"/>
          <w:szCs w:val="21"/>
          <w:highlight w:val="none"/>
          <w:shd w:val="clear" w:color="auto" w:fill="FFFFFF"/>
        </w:rPr>
      </w:pPr>
      <w:r>
        <w:rPr>
          <w:rFonts w:hint="eastAsia" w:hAnsi="宋体"/>
          <w:color w:val="auto"/>
          <w:sz w:val="21"/>
          <w:szCs w:val="21"/>
          <w:highlight w:val="none"/>
          <w:shd w:val="clear" w:color="auto" w:fill="FFFFFF"/>
        </w:rPr>
        <w:t xml:space="preserve"> </w:t>
      </w:r>
    </w:p>
    <w:p w14:paraId="121F8138">
      <w:pPr>
        <w:autoSpaceDE w:val="0"/>
        <w:autoSpaceDN w:val="0"/>
        <w:spacing w:line="360" w:lineRule="auto"/>
        <w:ind w:firstLine="464" w:firstLineChars="221"/>
        <w:rPr>
          <w:rFonts w:ascii="宋体"/>
          <w:color w:val="auto"/>
          <w:highlight w:val="none"/>
          <w:shd w:val="clear" w:color="auto" w:fill="FFFFFF"/>
        </w:rPr>
      </w:pPr>
      <w:r>
        <w:rPr>
          <w:rFonts w:hint="eastAsia" w:ascii="宋体" w:hAnsi="宋体"/>
          <w:color w:val="auto"/>
          <w:highlight w:val="none"/>
          <w:shd w:val="clear" w:color="auto" w:fill="FFFFFF"/>
        </w:rPr>
        <w:t>我公司在此声明</w:t>
      </w:r>
      <w:r>
        <w:rPr>
          <w:rFonts w:hint="eastAsia" w:ascii="宋体" w:hAnsi="宋体"/>
          <w:b/>
          <w:bCs/>
          <w:color w:val="auto"/>
          <w:highlight w:val="none"/>
          <w:shd w:val="clear" w:color="auto" w:fill="FFFFFF"/>
        </w:rPr>
        <w:t>：</w:t>
      </w:r>
      <w:r>
        <w:rPr>
          <w:rFonts w:hint="eastAsia" w:ascii="黑体" w:hAnsi="黑体"/>
          <w:color w:val="auto"/>
          <w:highlight w:val="none"/>
          <w:shd w:val="clear" w:color="auto" w:fill="FFFFFF"/>
        </w:rPr>
        <w:t>参加政府采购活动前三年内，在经营活动中没有重大违法记录</w:t>
      </w:r>
      <w:r>
        <w:rPr>
          <w:rFonts w:hint="eastAsia" w:ascii="宋体" w:hAnsi="宋体"/>
          <w:color w:val="auto"/>
          <w:highlight w:val="none"/>
          <w:shd w:val="clear" w:color="auto" w:fill="FFFFFF"/>
        </w:rPr>
        <w:t>。如有不实，自愿放弃投标资格并愿意承担因我方就此弄虚作假所引起的一切法律后果。</w:t>
      </w:r>
    </w:p>
    <w:p w14:paraId="3C7513FE">
      <w:pPr>
        <w:autoSpaceDE w:val="0"/>
        <w:autoSpaceDN w:val="0"/>
        <w:spacing w:line="360" w:lineRule="auto"/>
        <w:ind w:firstLine="480"/>
        <w:rPr>
          <w:rFonts w:ascii="宋体"/>
          <w:color w:val="auto"/>
          <w:sz w:val="24"/>
          <w:szCs w:val="24"/>
          <w:highlight w:val="none"/>
          <w:shd w:val="clear" w:color="auto" w:fill="FFFFFF"/>
        </w:rPr>
      </w:pPr>
      <w:r>
        <w:rPr>
          <w:rFonts w:hint="eastAsia" w:ascii="宋体"/>
          <w:color w:val="auto"/>
          <w:sz w:val="24"/>
          <w:szCs w:val="24"/>
          <w:highlight w:val="none"/>
          <w:shd w:val="clear" w:color="auto" w:fill="FFFFFF"/>
        </w:rPr>
        <w:t xml:space="preserve"> </w:t>
      </w:r>
    </w:p>
    <w:p w14:paraId="093F74A8">
      <w:pPr>
        <w:spacing w:line="360" w:lineRule="exact"/>
        <w:jc w:val="center"/>
        <w:rPr>
          <w:color w:val="auto"/>
          <w:highlight w:val="none"/>
          <w:shd w:val="clear" w:color="auto" w:fill="FFFFFF"/>
        </w:rPr>
      </w:pPr>
      <w:r>
        <w:rPr>
          <w:rFonts w:hint="eastAsia" w:ascii="宋体" w:hAnsi="宋体"/>
          <w:color w:val="auto"/>
          <w:highlight w:val="none"/>
          <w:shd w:val="clear" w:color="auto" w:fill="FFFFFF"/>
        </w:rPr>
        <w:t xml:space="preserve">                        供应商：</w:t>
      </w:r>
      <w:r>
        <w:rPr>
          <w:rFonts w:hint="eastAsia" w:ascii="宋体" w:hAnsi="宋体"/>
          <w:color w:val="auto"/>
          <w:highlight w:val="none"/>
          <w:u w:val="single"/>
          <w:shd w:val="clear" w:color="auto" w:fill="FFFFFF"/>
        </w:rPr>
        <w:t xml:space="preserve">                     </w:t>
      </w:r>
      <w:r>
        <w:rPr>
          <w:rFonts w:hint="eastAsia" w:ascii="宋体" w:hAnsi="宋体"/>
          <w:color w:val="auto"/>
          <w:highlight w:val="none"/>
          <w:shd w:val="clear" w:color="auto" w:fill="FFFFFF"/>
        </w:rPr>
        <w:t xml:space="preserve"> （企业电子签章）</w:t>
      </w:r>
    </w:p>
    <w:p w14:paraId="143E6D8C">
      <w:pPr>
        <w:spacing w:line="360" w:lineRule="exact"/>
        <w:jc w:val="left"/>
        <w:rPr>
          <w:rFonts w:ascii="宋体"/>
          <w:color w:val="auto"/>
          <w:highlight w:val="none"/>
          <w:shd w:val="clear" w:color="auto" w:fill="FFFFFF"/>
        </w:rPr>
      </w:pPr>
      <w:r>
        <w:rPr>
          <w:rFonts w:hint="eastAsia" w:ascii="宋体" w:hAnsi="宋体"/>
          <w:color w:val="auto"/>
          <w:highlight w:val="none"/>
          <w:shd w:val="clear" w:color="auto" w:fill="FFFFFF"/>
        </w:rPr>
        <w:t xml:space="preserve">                                 法定代表人</w:t>
      </w:r>
      <w:r>
        <w:rPr>
          <w:rFonts w:hint="eastAsia" w:ascii="宋体" w:hAnsi="宋体"/>
          <w:color w:val="auto"/>
          <w:highlight w:val="none"/>
        </w:rPr>
        <w:t>或委托代理人</w:t>
      </w:r>
      <w:r>
        <w:rPr>
          <w:rFonts w:hint="eastAsia" w:ascii="宋体" w:hAnsi="宋体"/>
          <w:color w:val="auto"/>
          <w:highlight w:val="none"/>
          <w:shd w:val="clear" w:color="auto" w:fill="FFFFFF"/>
        </w:rPr>
        <w:t xml:space="preserve">： </w:t>
      </w:r>
      <w:r>
        <w:rPr>
          <w:rFonts w:hint="eastAsia" w:ascii="宋体" w:hAnsi="宋体"/>
          <w:color w:val="auto"/>
          <w:highlight w:val="none"/>
          <w:u w:val="single"/>
          <w:shd w:val="clear" w:color="auto" w:fill="FFFFFF"/>
        </w:rPr>
        <w:t xml:space="preserve">     </w:t>
      </w:r>
      <w:r>
        <w:rPr>
          <w:rFonts w:hint="eastAsia" w:ascii="宋体" w:hAnsi="宋体"/>
          <w:color w:val="auto"/>
          <w:highlight w:val="none"/>
          <w:shd w:val="clear" w:color="auto" w:fill="FFFFFF"/>
        </w:rPr>
        <w:t>（个人电子签章）</w:t>
      </w:r>
      <w:r>
        <w:rPr>
          <w:rFonts w:hint="eastAsia" w:ascii="宋体"/>
          <w:color w:val="auto"/>
          <w:highlight w:val="none"/>
          <w:shd w:val="clear" w:color="auto" w:fill="FFFFFF"/>
        </w:rPr>
        <w:t xml:space="preserve"> </w:t>
      </w:r>
    </w:p>
    <w:p w14:paraId="045DDC2C">
      <w:pPr>
        <w:spacing w:line="360" w:lineRule="auto"/>
        <w:jc w:val="center"/>
        <w:rPr>
          <w:rFonts w:ascii="宋体"/>
          <w:color w:val="auto"/>
          <w:highlight w:val="none"/>
          <w:shd w:val="clear" w:color="auto" w:fill="FFFFFF"/>
        </w:rPr>
      </w:pPr>
      <w:r>
        <w:rPr>
          <w:rFonts w:hint="eastAsia" w:ascii="宋体" w:hAnsi="宋体"/>
          <w:color w:val="auto"/>
          <w:highlight w:val="none"/>
          <w:shd w:val="clear" w:color="auto" w:fill="FFFFFF"/>
        </w:rPr>
        <w:t xml:space="preserve">                                          </w:t>
      </w:r>
      <w:r>
        <w:rPr>
          <w:rFonts w:hint="eastAsia"/>
          <w:color w:val="auto"/>
          <w:highlight w:val="none"/>
          <w:u w:val="single"/>
          <w:shd w:val="clear" w:color="auto" w:fill="FFFFFF"/>
        </w:rPr>
        <w:t xml:space="preserve">      </w:t>
      </w:r>
      <w:r>
        <w:rPr>
          <w:rFonts w:hint="eastAsia"/>
          <w:color w:val="auto"/>
          <w:highlight w:val="none"/>
          <w:shd w:val="clear" w:color="auto" w:fill="FFFFFF"/>
        </w:rPr>
        <w:t xml:space="preserve">年 </w:t>
      </w:r>
      <w:r>
        <w:rPr>
          <w:rFonts w:hint="eastAsia"/>
          <w:color w:val="auto"/>
          <w:highlight w:val="none"/>
          <w:u w:val="single"/>
          <w:shd w:val="clear" w:color="auto" w:fill="FFFFFF"/>
        </w:rPr>
        <w:t xml:space="preserve">      </w:t>
      </w:r>
      <w:r>
        <w:rPr>
          <w:rFonts w:hint="eastAsia"/>
          <w:color w:val="auto"/>
          <w:highlight w:val="none"/>
          <w:shd w:val="clear" w:color="auto" w:fill="FFFFFF"/>
        </w:rPr>
        <w:t>月</w:t>
      </w:r>
      <w:r>
        <w:rPr>
          <w:rFonts w:hint="eastAsia"/>
          <w:color w:val="auto"/>
          <w:highlight w:val="none"/>
          <w:u w:val="single"/>
          <w:shd w:val="clear" w:color="auto" w:fill="FFFFFF"/>
        </w:rPr>
        <w:t xml:space="preserve">     </w:t>
      </w:r>
      <w:r>
        <w:rPr>
          <w:rFonts w:hint="eastAsia"/>
          <w:color w:val="auto"/>
          <w:highlight w:val="none"/>
          <w:shd w:val="clear" w:color="auto" w:fill="FFFFFF"/>
        </w:rPr>
        <w:t>日</w:t>
      </w:r>
    </w:p>
    <w:p w14:paraId="330D912F">
      <w:pPr>
        <w:pStyle w:val="34"/>
        <w:rPr>
          <w:rFonts w:hint="eastAsia" w:hAnsi="宋体"/>
          <w:color w:val="auto"/>
          <w:highlight w:val="none"/>
        </w:rPr>
      </w:pPr>
    </w:p>
    <w:p w14:paraId="7472651D">
      <w:pPr>
        <w:pStyle w:val="34"/>
        <w:rPr>
          <w:rFonts w:hint="eastAsia" w:hAnsi="宋体"/>
          <w:b/>
          <w:bCs/>
          <w:color w:val="auto"/>
          <w:highlight w:val="none"/>
        </w:rPr>
      </w:pPr>
    </w:p>
    <w:p w14:paraId="233E90C3">
      <w:pPr>
        <w:pStyle w:val="42"/>
        <w:ind w:left="0" w:firstLine="0"/>
        <w:jc w:val="left"/>
        <w:rPr>
          <w:rFonts w:hint="eastAsia" w:ascii="宋体" w:hAnsi="宋体"/>
          <w:b/>
          <w:bCs/>
          <w:color w:val="auto"/>
          <w:sz w:val="24"/>
          <w:szCs w:val="24"/>
          <w:highlight w:val="none"/>
        </w:rPr>
      </w:pPr>
      <w:r>
        <w:rPr>
          <w:rFonts w:hint="eastAsia" w:hAnsi="宋体"/>
          <w:b/>
          <w:bCs/>
          <w:color w:val="auto"/>
          <w:highlight w:val="none"/>
        </w:rPr>
        <w:t>3、</w:t>
      </w:r>
      <w:r>
        <w:rPr>
          <w:rFonts w:hint="eastAsia" w:ascii="宋体" w:hAnsi="宋体"/>
          <w:b/>
          <w:bCs/>
          <w:color w:val="auto"/>
          <w:sz w:val="24"/>
          <w:szCs w:val="24"/>
          <w:highlight w:val="none"/>
        </w:rPr>
        <w:t>我公司承诺独立制作、修改和上传响应文件，并承担因“硬件特征码一致”所造成的不良后果。</w:t>
      </w:r>
    </w:p>
    <w:p w14:paraId="1FC9A838">
      <w:pPr>
        <w:pStyle w:val="42"/>
        <w:ind w:left="0" w:firstLine="0"/>
        <w:jc w:val="center"/>
        <w:rPr>
          <w:rFonts w:hint="eastAsia" w:ascii="宋体" w:hAnsi="宋体"/>
          <w:b/>
          <w:bCs/>
          <w:color w:val="auto"/>
          <w:highlight w:val="none"/>
        </w:rPr>
      </w:pPr>
    </w:p>
    <w:p w14:paraId="0690AC54">
      <w:pPr>
        <w:pStyle w:val="42"/>
        <w:ind w:left="0" w:firstLine="0"/>
        <w:jc w:val="center"/>
        <w:rPr>
          <w:rFonts w:hint="eastAsia" w:ascii="宋体" w:hAnsi="宋体"/>
          <w:b/>
          <w:bCs/>
          <w:color w:val="auto"/>
          <w:highlight w:val="none"/>
        </w:rPr>
      </w:pPr>
    </w:p>
    <w:p w14:paraId="4EEA5737">
      <w:pPr>
        <w:pStyle w:val="42"/>
        <w:ind w:left="0" w:firstLine="0"/>
        <w:jc w:val="center"/>
        <w:rPr>
          <w:rFonts w:hint="eastAsia" w:ascii="宋体" w:hAnsi="宋体"/>
          <w:b/>
          <w:bCs/>
          <w:color w:val="auto"/>
          <w:highlight w:val="none"/>
        </w:rPr>
      </w:pPr>
    </w:p>
    <w:p w14:paraId="4C7F16E6">
      <w:pPr>
        <w:spacing w:line="360" w:lineRule="exact"/>
        <w:jc w:val="right"/>
        <w:rPr>
          <w:rFonts w:hint="eastAsia" w:ascii="宋体" w:hAnsi="宋体"/>
          <w:color w:val="auto"/>
          <w:highlight w:val="none"/>
        </w:rPr>
      </w:pPr>
      <w:r>
        <w:rPr>
          <w:rFonts w:hint="eastAsia" w:ascii="宋体" w:hAnsi="宋体"/>
          <w:color w:val="auto"/>
          <w:highlight w:val="none"/>
        </w:rPr>
        <w:t>供应商：</w:t>
      </w:r>
      <w:r>
        <w:rPr>
          <w:rFonts w:hint="eastAsia" w:ascii="宋体"/>
          <w:color w:val="auto"/>
          <w:highlight w:val="none"/>
          <w:u w:val="single"/>
          <w:shd w:val="clear" w:color="auto" w:fill="FFFFFF"/>
        </w:rPr>
        <w:t xml:space="preserve">                           </w:t>
      </w:r>
      <w:r>
        <w:rPr>
          <w:rFonts w:hint="eastAsia" w:ascii="宋体" w:hAnsi="宋体"/>
          <w:color w:val="auto"/>
          <w:highlight w:val="none"/>
        </w:rPr>
        <w:t>（企业电子签章）</w:t>
      </w:r>
    </w:p>
    <w:p w14:paraId="4E742831">
      <w:pPr>
        <w:pStyle w:val="34"/>
        <w:rPr>
          <w:color w:val="auto"/>
          <w:highlight w:val="none"/>
        </w:rPr>
      </w:pPr>
    </w:p>
    <w:p w14:paraId="66FFAA3A">
      <w:pPr>
        <w:spacing w:line="360" w:lineRule="exact"/>
        <w:jc w:val="right"/>
        <w:rPr>
          <w:rFonts w:hint="eastAsia" w:ascii="宋体" w:hAnsi="宋体"/>
          <w:color w:val="auto"/>
          <w:highlight w:val="none"/>
        </w:rPr>
      </w:pPr>
      <w:r>
        <w:rPr>
          <w:rFonts w:hint="eastAsia" w:ascii="宋体" w:hAnsi="宋体"/>
          <w:color w:val="auto"/>
          <w:highlight w:val="none"/>
        </w:rPr>
        <w:t xml:space="preserve">                         法定代表人或委托代理人：</w:t>
      </w:r>
      <w:r>
        <w:rPr>
          <w:rFonts w:hint="eastAsia" w:ascii="宋体"/>
          <w:color w:val="auto"/>
          <w:highlight w:val="none"/>
          <w:u w:val="single"/>
          <w:shd w:val="clear" w:color="auto" w:fill="FFFFFF"/>
        </w:rPr>
        <w:t xml:space="preserve">              </w:t>
      </w:r>
      <w:r>
        <w:rPr>
          <w:rFonts w:hint="eastAsia" w:ascii="宋体" w:hAnsi="宋体"/>
          <w:color w:val="auto"/>
          <w:highlight w:val="none"/>
        </w:rPr>
        <w:t>（个人电子签章）</w:t>
      </w:r>
    </w:p>
    <w:p w14:paraId="6D392F6E">
      <w:pPr>
        <w:tabs>
          <w:tab w:val="left" w:pos="6801"/>
        </w:tabs>
        <w:spacing w:before="156" w:beforeLines="50" w:after="156" w:afterLines="50" w:line="480" w:lineRule="auto"/>
        <w:jc w:val="right"/>
        <w:rPr>
          <w:color w:val="auto"/>
          <w:highlight w:val="none"/>
          <w:shd w:val="clear" w:color="auto" w:fill="FFFFFF"/>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7C4BC28E">
      <w:pPr>
        <w:autoSpaceDE w:val="0"/>
        <w:autoSpaceDN w:val="0"/>
        <w:adjustRightInd w:val="0"/>
        <w:spacing w:line="296" w:lineRule="exact"/>
        <w:ind w:right="-20"/>
        <w:jc w:val="left"/>
        <w:rPr>
          <w:rFonts w:hint="eastAsia" w:hAnsi="宋体"/>
          <w:b/>
          <w:bCs/>
          <w:color w:val="auto"/>
          <w:sz w:val="28"/>
          <w:szCs w:val="28"/>
          <w:highlight w:val="none"/>
        </w:rPr>
      </w:pPr>
    </w:p>
    <w:p w14:paraId="4B840582">
      <w:pPr>
        <w:autoSpaceDE w:val="0"/>
        <w:autoSpaceDN w:val="0"/>
        <w:adjustRightInd w:val="0"/>
        <w:spacing w:line="296" w:lineRule="exact"/>
        <w:ind w:right="-20"/>
        <w:jc w:val="left"/>
        <w:rPr>
          <w:rFonts w:hint="eastAsia" w:hAnsi="宋体"/>
          <w:b/>
          <w:bCs/>
          <w:color w:val="auto"/>
          <w:sz w:val="28"/>
          <w:szCs w:val="28"/>
          <w:highlight w:val="none"/>
        </w:rPr>
      </w:pPr>
    </w:p>
    <w:p w14:paraId="61885B0C">
      <w:pPr>
        <w:autoSpaceDE w:val="0"/>
        <w:autoSpaceDN w:val="0"/>
        <w:adjustRightInd w:val="0"/>
        <w:spacing w:line="296" w:lineRule="exact"/>
        <w:ind w:right="-20"/>
        <w:jc w:val="left"/>
        <w:rPr>
          <w:rFonts w:hint="eastAsia" w:hAnsi="宋体"/>
          <w:b/>
          <w:bCs/>
          <w:color w:val="auto"/>
          <w:sz w:val="28"/>
          <w:szCs w:val="28"/>
          <w:highlight w:val="none"/>
        </w:rPr>
      </w:pPr>
    </w:p>
    <w:p w14:paraId="5A5232AA">
      <w:pPr>
        <w:autoSpaceDE w:val="0"/>
        <w:autoSpaceDN w:val="0"/>
        <w:adjustRightInd w:val="0"/>
        <w:spacing w:line="296" w:lineRule="exact"/>
        <w:ind w:right="-20"/>
        <w:jc w:val="left"/>
        <w:rPr>
          <w:rFonts w:hint="eastAsia" w:hAnsi="宋体"/>
          <w:b/>
          <w:bCs/>
          <w:color w:val="auto"/>
          <w:sz w:val="28"/>
          <w:szCs w:val="28"/>
          <w:highlight w:val="none"/>
        </w:rPr>
      </w:pPr>
    </w:p>
    <w:p w14:paraId="1393420D">
      <w:pPr>
        <w:autoSpaceDE w:val="0"/>
        <w:autoSpaceDN w:val="0"/>
        <w:adjustRightInd w:val="0"/>
        <w:spacing w:line="296" w:lineRule="exact"/>
        <w:ind w:right="-20"/>
        <w:jc w:val="left"/>
        <w:rPr>
          <w:rFonts w:hint="eastAsia" w:hAnsi="宋体"/>
          <w:b/>
          <w:bCs/>
          <w:color w:val="auto"/>
          <w:sz w:val="28"/>
          <w:szCs w:val="28"/>
          <w:highlight w:val="none"/>
        </w:rPr>
      </w:pPr>
    </w:p>
    <w:p w14:paraId="1C25AC56">
      <w:pPr>
        <w:autoSpaceDE w:val="0"/>
        <w:autoSpaceDN w:val="0"/>
        <w:adjustRightInd w:val="0"/>
        <w:spacing w:line="296" w:lineRule="exact"/>
        <w:ind w:right="-20"/>
        <w:jc w:val="left"/>
        <w:rPr>
          <w:rFonts w:hint="eastAsia" w:hAnsi="宋体"/>
          <w:b/>
          <w:bCs/>
          <w:color w:val="auto"/>
          <w:sz w:val="28"/>
          <w:szCs w:val="28"/>
          <w:highlight w:val="none"/>
        </w:rPr>
      </w:pPr>
    </w:p>
    <w:p w14:paraId="21443D70">
      <w:pPr>
        <w:autoSpaceDE w:val="0"/>
        <w:autoSpaceDN w:val="0"/>
        <w:adjustRightInd w:val="0"/>
        <w:spacing w:line="296" w:lineRule="exact"/>
        <w:ind w:right="-20"/>
        <w:jc w:val="left"/>
        <w:rPr>
          <w:rFonts w:hint="eastAsia" w:hAnsi="宋体" w:eastAsia="宋体" w:cs="Times New Roman"/>
          <w:b/>
          <w:bCs/>
          <w:color w:val="auto"/>
          <w:sz w:val="24"/>
          <w:szCs w:val="24"/>
          <w:highlight w:val="none"/>
        </w:rPr>
      </w:pPr>
      <w:r>
        <w:rPr>
          <w:rFonts w:hint="eastAsia" w:hAnsi="宋体" w:eastAsia="宋体" w:cs="Times New Roman"/>
          <w:b/>
          <w:bCs/>
          <w:color w:val="auto"/>
          <w:sz w:val="28"/>
          <w:szCs w:val="28"/>
          <w:highlight w:val="none"/>
        </w:rPr>
        <w:t>4</w:t>
      </w:r>
      <w:r>
        <w:rPr>
          <w:rFonts w:hint="eastAsia" w:hAnsi="宋体" w:eastAsia="宋体" w:cs="Times New Roman"/>
          <w:b/>
          <w:bCs/>
          <w:color w:val="auto"/>
          <w:sz w:val="24"/>
          <w:szCs w:val="24"/>
          <w:highlight w:val="none"/>
        </w:rPr>
        <w:t>、承诺书</w:t>
      </w:r>
    </w:p>
    <w:p w14:paraId="626989EE">
      <w:pPr>
        <w:snapToGrid w:val="0"/>
        <w:spacing w:line="360" w:lineRule="auto"/>
        <w:rPr>
          <w:rFonts w:hint="eastAsia" w:ascii="宋体" w:hAnsi="宋体" w:eastAsia="宋体" w:cs="宋体"/>
          <w:color w:val="auto"/>
          <w:sz w:val="21"/>
          <w:szCs w:val="21"/>
          <w:highlight w:val="none"/>
          <w:u w:val="single"/>
        </w:rPr>
      </w:pPr>
    </w:p>
    <w:p w14:paraId="587B04DC">
      <w:pPr>
        <w:snapToGrid w:val="0"/>
        <w:spacing w:line="360" w:lineRule="auto"/>
        <w:rPr>
          <w:rFonts w:hint="eastAsia" w:ascii="宋体" w:hAnsi="宋体" w:eastAsia="宋体" w:cs="宋体"/>
          <w:color w:val="auto"/>
          <w:sz w:val="21"/>
          <w:szCs w:val="21"/>
          <w:highlight w:val="none"/>
          <w:u w:val="single"/>
        </w:rPr>
      </w:pPr>
    </w:p>
    <w:p w14:paraId="07E46357">
      <w:pPr>
        <w:snapToGrid w:val="0"/>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（采购人）         ：</w:t>
      </w:r>
    </w:p>
    <w:p w14:paraId="63F9B859">
      <w:pPr>
        <w:pStyle w:val="3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EA14A88">
      <w:pPr>
        <w:autoSpaceDE w:val="0"/>
        <w:autoSpaceDN w:val="0"/>
        <w:spacing w:line="360" w:lineRule="auto"/>
        <w:ind w:firstLine="464" w:firstLineChars="22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我公司在此承诺</w:t>
      </w:r>
      <w:r>
        <w:rPr>
          <w:rFonts w:hint="eastAsia" w:ascii="宋体" w:hAnsi="宋体" w:eastAsia="宋体" w:cs="宋体"/>
          <w:b/>
          <w:bCs/>
          <w:color w:val="auto"/>
          <w:sz w:val="21"/>
          <w:szCs w:val="21"/>
          <w:highlight w:val="none"/>
        </w:rPr>
        <w:t>：</w:t>
      </w:r>
      <w:r>
        <w:rPr>
          <w:color w:val="auto"/>
          <w:highlight w:val="none"/>
        </w:rPr>
        <w:t>单位负责人为同一人或者存在直接控股、管理关系的不同供应商，不得参加同一合同项下的政府采购活动</w:t>
      </w:r>
      <w:r>
        <w:rPr>
          <w:rFonts w:hint="eastAsia" w:ascii="宋体" w:hAnsi="宋体" w:eastAsia="宋体" w:cs="宋体"/>
          <w:color w:val="auto"/>
          <w:sz w:val="21"/>
          <w:szCs w:val="21"/>
          <w:highlight w:val="none"/>
        </w:rPr>
        <w:t>。如有不实，自愿放弃投标资格并愿意承担因我方就此弄虚作假所引起的一切法律后果。</w:t>
      </w:r>
    </w:p>
    <w:p w14:paraId="7182CF9D">
      <w:pPr>
        <w:autoSpaceDE w:val="0"/>
        <w:autoSpaceDN w:val="0"/>
        <w:spacing w:line="360" w:lineRule="auto"/>
        <w:ind w:firstLine="480"/>
        <w:rPr>
          <w:rFonts w:hint="eastAsia" w:ascii="宋体" w:hAnsi="宋体" w:eastAsia="宋体" w:cs="宋体"/>
          <w:color w:val="auto"/>
          <w:sz w:val="21"/>
          <w:szCs w:val="21"/>
          <w:highlight w:val="none"/>
        </w:rPr>
      </w:pPr>
    </w:p>
    <w:p w14:paraId="5A550DCB">
      <w:pPr>
        <w:pStyle w:val="34"/>
        <w:spacing w:line="360" w:lineRule="auto"/>
        <w:rPr>
          <w:rFonts w:hint="eastAsia" w:ascii="宋体" w:hAnsi="宋体" w:eastAsia="宋体" w:cs="宋体"/>
          <w:color w:val="auto"/>
          <w:sz w:val="21"/>
          <w:szCs w:val="21"/>
          <w:highlight w:val="none"/>
        </w:rPr>
      </w:pPr>
    </w:p>
    <w:p w14:paraId="795707A9">
      <w:pPr>
        <w:spacing w:line="360" w:lineRule="exact"/>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（企业电子签章）</w:t>
      </w:r>
    </w:p>
    <w:p w14:paraId="6E1F7FE5">
      <w:pPr>
        <w:spacing w:line="360" w:lineRule="exact"/>
        <w:jc w:val="right"/>
        <w:rPr>
          <w:rFonts w:hint="eastAsia" w:hAnsi="宋体"/>
          <w:b/>
          <w:bCs/>
          <w:color w:val="auto"/>
          <w:sz w:val="28"/>
          <w:szCs w:val="28"/>
          <w:highlight w:val="none"/>
        </w:rPr>
      </w:pPr>
      <w:r>
        <w:rPr>
          <w:rFonts w:hint="eastAsia" w:ascii="宋体" w:hAnsi="宋体" w:eastAsia="宋体" w:cs="宋体"/>
          <w:color w:val="auto"/>
          <w:sz w:val="21"/>
          <w:szCs w:val="21"/>
          <w:highlight w:val="none"/>
        </w:rPr>
        <w:t xml:space="preserve">                            法定代表人或委托代理人：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（个人电子签章）                                        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1EF66D21">
      <w:pPr>
        <w:autoSpaceDE w:val="0"/>
        <w:autoSpaceDN w:val="0"/>
        <w:adjustRightInd w:val="0"/>
        <w:spacing w:line="296" w:lineRule="exact"/>
        <w:ind w:right="-20"/>
        <w:jc w:val="left"/>
        <w:rPr>
          <w:rFonts w:hint="eastAsia" w:hAnsi="宋体"/>
          <w:b/>
          <w:bCs/>
          <w:color w:val="auto"/>
          <w:sz w:val="28"/>
          <w:szCs w:val="28"/>
          <w:highlight w:val="none"/>
        </w:rPr>
      </w:pPr>
    </w:p>
    <w:p w14:paraId="70D4C869">
      <w:pPr>
        <w:autoSpaceDE w:val="0"/>
        <w:autoSpaceDN w:val="0"/>
        <w:adjustRightInd w:val="0"/>
        <w:spacing w:line="296" w:lineRule="exact"/>
        <w:ind w:right="-20"/>
        <w:jc w:val="left"/>
        <w:rPr>
          <w:rFonts w:hint="eastAsia" w:hAnsi="宋体"/>
          <w:b/>
          <w:bCs/>
          <w:color w:val="auto"/>
          <w:sz w:val="28"/>
          <w:szCs w:val="28"/>
          <w:highlight w:val="none"/>
        </w:rPr>
      </w:pPr>
      <w:r>
        <w:rPr>
          <w:rFonts w:hint="eastAsia" w:hAnsi="宋体"/>
          <w:b/>
          <w:bCs/>
          <w:color w:val="auto"/>
          <w:sz w:val="28"/>
          <w:szCs w:val="28"/>
          <w:highlight w:val="none"/>
        </w:rPr>
        <w:t>5、其他相关材料</w:t>
      </w:r>
    </w:p>
    <w:p w14:paraId="75C16D41">
      <w:pPr>
        <w:spacing w:line="440" w:lineRule="exact"/>
        <w:jc w:val="center"/>
        <w:rPr>
          <w:rFonts w:hint="eastAsia" w:ascii="宋体" w:hAnsi="宋体"/>
          <w:b/>
          <w:color w:val="auto"/>
          <w:kern w:val="44"/>
          <w:sz w:val="32"/>
          <w:szCs w:val="32"/>
          <w:highlight w:val="none"/>
        </w:rPr>
      </w:pPr>
    </w:p>
    <w:p w14:paraId="67F55D77">
      <w:pPr>
        <w:spacing w:line="440" w:lineRule="exact"/>
        <w:jc w:val="center"/>
        <w:rPr>
          <w:rFonts w:hint="eastAsia" w:ascii="宋体" w:hAnsi="宋体"/>
          <w:b/>
          <w:color w:val="auto"/>
          <w:kern w:val="44"/>
          <w:sz w:val="32"/>
          <w:szCs w:val="32"/>
          <w:highlight w:val="none"/>
        </w:rPr>
      </w:pPr>
    </w:p>
    <w:p w14:paraId="65CA85A9">
      <w:pPr>
        <w:spacing w:line="440" w:lineRule="exact"/>
        <w:jc w:val="center"/>
        <w:rPr>
          <w:rFonts w:ascii="宋体"/>
          <w:b/>
          <w:bCs/>
          <w:color w:val="auto"/>
          <w:sz w:val="32"/>
          <w:szCs w:val="32"/>
          <w:highlight w:val="none"/>
        </w:rPr>
      </w:pPr>
      <w:r>
        <w:rPr>
          <w:rFonts w:hint="eastAsia" w:ascii="宋体" w:hAnsi="宋体"/>
          <w:b/>
          <w:color w:val="auto"/>
          <w:kern w:val="44"/>
          <w:sz w:val="32"/>
          <w:szCs w:val="32"/>
          <w:highlight w:val="none"/>
        </w:rPr>
        <w:t>附件1</w:t>
      </w:r>
      <w:r>
        <w:rPr>
          <w:rFonts w:hint="eastAsia" w:ascii="宋体" w:hAnsi="宋体" w:cs="宋体"/>
          <w:b/>
          <w:bCs/>
          <w:color w:val="auto"/>
          <w:sz w:val="32"/>
          <w:szCs w:val="32"/>
          <w:highlight w:val="none"/>
        </w:rPr>
        <w:t>中小企业声明函</w:t>
      </w:r>
    </w:p>
    <w:p w14:paraId="01367F47">
      <w:pPr>
        <w:spacing w:line="440" w:lineRule="exact"/>
        <w:ind w:firstLine="2833" w:firstLineChars="1176"/>
        <w:rPr>
          <w:rFonts w:ascii="宋体"/>
          <w:b/>
          <w:bCs/>
          <w:color w:val="auto"/>
          <w:sz w:val="24"/>
          <w:szCs w:val="24"/>
          <w:highlight w:val="none"/>
        </w:rPr>
      </w:pPr>
    </w:p>
    <w:p w14:paraId="1D0C127E">
      <w:pPr>
        <w:spacing w:line="440" w:lineRule="exact"/>
        <w:ind w:firstLine="560" w:firstLineChars="200"/>
        <w:jc w:val="left"/>
        <w:rPr>
          <w:rFonts w:hint="eastAsia" w:ascii="宋体" w:hAnsi="宋体" w:cs="宋体"/>
          <w:color w:val="auto"/>
          <w:sz w:val="28"/>
          <w:szCs w:val="28"/>
          <w:highlight w:val="none"/>
        </w:rPr>
      </w:pPr>
      <w:r>
        <w:rPr>
          <w:rFonts w:hint="eastAsia" w:ascii="宋体" w:hAnsi="宋体" w:cs="宋体"/>
          <w:color w:val="auto"/>
          <w:sz w:val="28"/>
          <w:szCs w:val="28"/>
          <w:highlight w:val="none"/>
        </w:rPr>
        <w:t>本公司（联合体）郑重声明，根据《政府采购促进中小企业发展管理办法》（财库﹝2020﹞46 号）的规定，本公司 （联合体）参加</w:t>
      </w:r>
      <w:r>
        <w:rPr>
          <w:rFonts w:hint="eastAsia" w:ascii="宋体" w:hAnsi="宋体" w:cs="宋体"/>
          <w:color w:val="auto"/>
          <w:sz w:val="28"/>
          <w:szCs w:val="28"/>
          <w:highlight w:val="none"/>
          <w:u w:val="single"/>
        </w:rPr>
        <w:t>（单位名称）</w:t>
      </w:r>
      <w:r>
        <w:rPr>
          <w:rFonts w:hint="eastAsia" w:ascii="宋体" w:hAnsi="宋体" w:cs="宋体"/>
          <w:color w:val="auto"/>
          <w:sz w:val="28"/>
          <w:szCs w:val="28"/>
          <w:highlight w:val="none"/>
        </w:rPr>
        <w:t>的</w:t>
      </w:r>
      <w:r>
        <w:rPr>
          <w:rFonts w:hint="eastAsia" w:ascii="宋体" w:hAnsi="宋体" w:cs="宋体"/>
          <w:color w:val="auto"/>
          <w:sz w:val="28"/>
          <w:szCs w:val="28"/>
          <w:highlight w:val="none"/>
          <w:u w:val="single"/>
        </w:rPr>
        <w:t>（项目名称）</w:t>
      </w:r>
      <w:r>
        <w:rPr>
          <w:rFonts w:hint="eastAsia" w:ascii="宋体" w:hAnsi="宋体" w:cs="宋体"/>
          <w:color w:val="auto"/>
          <w:sz w:val="28"/>
          <w:szCs w:val="28"/>
          <w:highlight w:val="none"/>
        </w:rPr>
        <w:t>采购活动，服务全部由符合政策要求的中小企业承接。相关企业（含联合体中的中小企业、签订分包意向协议的中小企业）的具体情况如下：</w:t>
      </w:r>
    </w:p>
    <w:p w14:paraId="3B1B427A">
      <w:pPr>
        <w:spacing w:line="440" w:lineRule="exact"/>
        <w:ind w:firstLine="700" w:firstLineChars="250"/>
        <w:rPr>
          <w:rFonts w:hint="eastAsia" w:ascii="宋体" w:hAnsi="宋体" w:cs="宋体"/>
          <w:color w:val="auto"/>
          <w:sz w:val="28"/>
          <w:szCs w:val="28"/>
          <w:highlight w:val="none"/>
        </w:rPr>
      </w:pPr>
      <w:r>
        <w:rPr>
          <w:rFonts w:hint="eastAsia" w:ascii="宋体" w:hAnsi="宋体" w:cs="宋体"/>
          <w:color w:val="auto"/>
          <w:sz w:val="28"/>
          <w:szCs w:val="28"/>
          <w:highlight w:val="none"/>
        </w:rPr>
        <w:t>1.</w:t>
      </w:r>
      <w:r>
        <w:rPr>
          <w:rFonts w:hint="eastAsia" w:ascii="宋体" w:hAnsi="宋体" w:cs="宋体"/>
          <w:color w:val="auto"/>
          <w:sz w:val="28"/>
          <w:szCs w:val="28"/>
          <w:highlight w:val="none"/>
          <w:u w:val="single"/>
        </w:rPr>
        <w:t>（标的名称     ）</w:t>
      </w:r>
      <w:r>
        <w:rPr>
          <w:rFonts w:hint="eastAsia" w:ascii="宋体" w:hAnsi="宋体" w:cs="宋体"/>
          <w:color w:val="auto"/>
          <w:sz w:val="28"/>
          <w:szCs w:val="28"/>
          <w:highlight w:val="none"/>
        </w:rPr>
        <w:t>，属于</w:t>
      </w:r>
      <w:r>
        <w:rPr>
          <w:rFonts w:hint="eastAsia" w:ascii="宋体" w:hAnsi="宋体" w:cs="宋体"/>
          <w:color w:val="auto"/>
          <w:sz w:val="28"/>
          <w:szCs w:val="28"/>
          <w:highlight w:val="none"/>
          <w:u w:val="single"/>
        </w:rPr>
        <w:t>（采购文件中明确的所属行业    ）</w:t>
      </w:r>
      <w:r>
        <w:rPr>
          <w:rFonts w:hint="eastAsia" w:ascii="宋体" w:hAnsi="宋体" w:cs="宋体"/>
          <w:color w:val="auto"/>
          <w:sz w:val="28"/>
          <w:szCs w:val="28"/>
          <w:highlight w:val="none"/>
        </w:rPr>
        <w:t>；承建（承接）企业为</w:t>
      </w:r>
      <w:r>
        <w:rPr>
          <w:rFonts w:hint="eastAsia" w:ascii="宋体" w:hAnsi="宋体" w:cs="宋体"/>
          <w:color w:val="auto"/>
          <w:sz w:val="28"/>
          <w:szCs w:val="28"/>
          <w:highlight w:val="none"/>
          <w:u w:val="single"/>
        </w:rPr>
        <w:t>（企业名称    ）</w:t>
      </w:r>
      <w:r>
        <w:rPr>
          <w:rFonts w:hint="eastAsia" w:ascii="宋体" w:hAnsi="宋体" w:cs="宋体"/>
          <w:color w:val="auto"/>
          <w:sz w:val="28"/>
          <w:szCs w:val="28"/>
          <w:highlight w:val="none"/>
        </w:rPr>
        <w:t>，从业人员</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人，营业收入为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万元，资产总额为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万元，属于</w:t>
      </w:r>
      <w:r>
        <w:rPr>
          <w:rFonts w:hint="eastAsia" w:ascii="宋体" w:hAnsi="宋体" w:cs="宋体"/>
          <w:color w:val="auto"/>
          <w:sz w:val="28"/>
          <w:szCs w:val="28"/>
          <w:highlight w:val="none"/>
          <w:u w:val="single"/>
        </w:rPr>
        <w:t>（中型企业、小型企业、微型企业）</w:t>
      </w:r>
      <w:r>
        <w:rPr>
          <w:rFonts w:hint="eastAsia" w:ascii="宋体" w:hAnsi="宋体" w:cs="宋体"/>
          <w:color w:val="auto"/>
          <w:sz w:val="28"/>
          <w:szCs w:val="28"/>
          <w:highlight w:val="none"/>
        </w:rPr>
        <w:t>；</w:t>
      </w:r>
    </w:p>
    <w:p w14:paraId="1EA84CE7">
      <w:pPr>
        <w:spacing w:line="440" w:lineRule="exact"/>
        <w:ind w:firstLine="700" w:firstLineChars="250"/>
        <w:rPr>
          <w:rFonts w:hint="eastAsia" w:ascii="宋体" w:hAnsi="宋体" w:cs="宋体"/>
          <w:color w:val="auto"/>
          <w:sz w:val="28"/>
          <w:szCs w:val="28"/>
          <w:highlight w:val="none"/>
        </w:rPr>
      </w:pPr>
      <w:r>
        <w:rPr>
          <w:rFonts w:hint="eastAsia" w:ascii="宋体" w:hAnsi="宋体" w:cs="宋体"/>
          <w:color w:val="auto"/>
          <w:sz w:val="28"/>
          <w:szCs w:val="28"/>
          <w:highlight w:val="none"/>
        </w:rPr>
        <w:t>2.</w:t>
      </w:r>
      <w:r>
        <w:rPr>
          <w:rFonts w:hint="eastAsia" w:ascii="宋体" w:hAnsi="宋体" w:cs="宋体"/>
          <w:color w:val="auto"/>
          <w:sz w:val="28"/>
          <w:szCs w:val="28"/>
          <w:highlight w:val="none"/>
          <w:u w:val="single"/>
        </w:rPr>
        <w:t>（标的名称     ）</w:t>
      </w:r>
      <w:r>
        <w:rPr>
          <w:rFonts w:hint="eastAsia" w:ascii="宋体" w:hAnsi="宋体" w:cs="宋体"/>
          <w:color w:val="auto"/>
          <w:sz w:val="28"/>
          <w:szCs w:val="28"/>
          <w:highlight w:val="none"/>
        </w:rPr>
        <w:t>，属于</w:t>
      </w:r>
      <w:r>
        <w:rPr>
          <w:rFonts w:hint="eastAsia" w:ascii="宋体" w:hAnsi="宋体" w:cs="宋体"/>
          <w:color w:val="auto"/>
          <w:sz w:val="28"/>
          <w:szCs w:val="28"/>
          <w:highlight w:val="none"/>
          <w:u w:val="single"/>
        </w:rPr>
        <w:t>（采购文件中明确的所属行业    ）</w:t>
      </w:r>
      <w:r>
        <w:rPr>
          <w:rFonts w:hint="eastAsia" w:ascii="宋体" w:hAnsi="宋体" w:cs="宋体"/>
          <w:color w:val="auto"/>
          <w:sz w:val="28"/>
          <w:szCs w:val="28"/>
          <w:highlight w:val="none"/>
        </w:rPr>
        <w:t>；承建（承接）企业为</w:t>
      </w:r>
      <w:r>
        <w:rPr>
          <w:rFonts w:hint="eastAsia" w:ascii="宋体" w:hAnsi="宋体" w:cs="宋体"/>
          <w:color w:val="auto"/>
          <w:sz w:val="28"/>
          <w:szCs w:val="28"/>
          <w:highlight w:val="none"/>
          <w:u w:val="single"/>
        </w:rPr>
        <w:t>（企业名称   ）</w:t>
      </w:r>
      <w:r>
        <w:rPr>
          <w:rFonts w:hint="eastAsia" w:ascii="宋体" w:hAnsi="宋体" w:cs="宋体"/>
          <w:color w:val="auto"/>
          <w:sz w:val="28"/>
          <w:szCs w:val="28"/>
          <w:highlight w:val="none"/>
        </w:rPr>
        <w:t>，从业人员</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人，营业收入为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万元，资产总额为</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万元，属于</w:t>
      </w:r>
      <w:r>
        <w:rPr>
          <w:rFonts w:hint="eastAsia" w:ascii="宋体" w:hAnsi="宋体" w:cs="宋体"/>
          <w:color w:val="auto"/>
          <w:sz w:val="28"/>
          <w:szCs w:val="28"/>
          <w:highlight w:val="none"/>
          <w:u w:val="single"/>
        </w:rPr>
        <w:t>（中型企业、小型企业、微型企业）</w:t>
      </w:r>
      <w:r>
        <w:rPr>
          <w:rFonts w:hint="eastAsia" w:ascii="宋体" w:hAnsi="宋体" w:cs="宋体"/>
          <w:color w:val="auto"/>
          <w:sz w:val="28"/>
          <w:szCs w:val="28"/>
          <w:highlight w:val="none"/>
        </w:rPr>
        <w:t>；</w:t>
      </w:r>
    </w:p>
    <w:p w14:paraId="54DE689D">
      <w:pPr>
        <w:spacing w:line="440" w:lineRule="exact"/>
        <w:ind w:firstLine="700" w:firstLineChars="250"/>
        <w:rPr>
          <w:rFonts w:hint="eastAsia" w:ascii="宋体" w:hAnsi="宋体" w:cs="宋体"/>
          <w:color w:val="auto"/>
          <w:sz w:val="28"/>
          <w:szCs w:val="28"/>
          <w:highlight w:val="none"/>
        </w:rPr>
      </w:pPr>
      <w:r>
        <w:rPr>
          <w:rFonts w:hint="eastAsia" w:ascii="宋体" w:hAnsi="宋体" w:cs="宋体"/>
          <w:color w:val="auto"/>
          <w:sz w:val="28"/>
          <w:szCs w:val="28"/>
          <w:highlight w:val="none"/>
        </w:rPr>
        <w:t>……</w:t>
      </w:r>
    </w:p>
    <w:p w14:paraId="725CCAD2">
      <w:pPr>
        <w:spacing w:line="440" w:lineRule="exact"/>
        <w:ind w:firstLine="700" w:firstLineChars="250"/>
        <w:rPr>
          <w:rFonts w:hint="eastAsia" w:ascii="宋体" w:hAnsi="宋体" w:cs="宋体"/>
          <w:color w:val="auto"/>
          <w:sz w:val="28"/>
          <w:szCs w:val="28"/>
          <w:highlight w:val="none"/>
        </w:rPr>
      </w:pPr>
      <w:r>
        <w:rPr>
          <w:rFonts w:hint="eastAsia" w:ascii="宋体" w:hAnsi="宋体" w:cs="宋体"/>
          <w:color w:val="auto"/>
          <w:sz w:val="28"/>
          <w:szCs w:val="28"/>
          <w:highlight w:val="none"/>
        </w:rPr>
        <w:t>以上企业，不属于大企业的分支机构，不存在控股股东为大企业的情形，也不存在与大企业的负责人为同一人的情形。</w:t>
      </w:r>
    </w:p>
    <w:p w14:paraId="6D901B4A">
      <w:pPr>
        <w:spacing w:line="440" w:lineRule="exact"/>
        <w:ind w:firstLine="700" w:firstLineChars="250"/>
        <w:rPr>
          <w:rFonts w:hint="eastAsia" w:ascii="宋体" w:hAnsi="宋体" w:cs="宋体"/>
          <w:color w:val="auto"/>
          <w:sz w:val="28"/>
          <w:szCs w:val="28"/>
          <w:highlight w:val="none"/>
        </w:rPr>
      </w:pPr>
      <w:r>
        <w:rPr>
          <w:rFonts w:hint="eastAsia" w:ascii="宋体" w:hAnsi="宋体" w:cs="宋体"/>
          <w:color w:val="auto"/>
          <w:sz w:val="28"/>
          <w:szCs w:val="28"/>
          <w:highlight w:val="none"/>
        </w:rPr>
        <w:t>本企业对上述声明内容的真实性负责。如有虚假，将依法承担相应责任。</w:t>
      </w:r>
    </w:p>
    <w:p w14:paraId="2F9C67B9">
      <w:pPr>
        <w:pStyle w:val="11"/>
        <w:spacing w:after="0" w:line="440" w:lineRule="exact"/>
        <w:ind w:left="0" w:leftChars="0"/>
        <w:rPr>
          <w:rFonts w:hint="eastAsia" w:ascii="宋体" w:hAnsi="宋体" w:cs="宋体"/>
          <w:color w:val="auto"/>
          <w:sz w:val="28"/>
          <w:szCs w:val="28"/>
          <w:highlight w:val="none"/>
        </w:rPr>
      </w:pPr>
    </w:p>
    <w:p w14:paraId="78D7DF6B">
      <w:pPr>
        <w:pStyle w:val="11"/>
        <w:spacing w:after="0" w:line="440" w:lineRule="exact"/>
        <w:ind w:left="0" w:leftChars="0"/>
        <w:rPr>
          <w:rFonts w:hint="eastAsia" w:ascii="宋体" w:hAnsi="宋体" w:cs="宋体"/>
          <w:color w:val="auto"/>
          <w:sz w:val="28"/>
          <w:szCs w:val="28"/>
          <w:highlight w:val="none"/>
        </w:rPr>
      </w:pPr>
    </w:p>
    <w:p w14:paraId="469504AC">
      <w:pPr>
        <w:spacing w:line="44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     企业名称：</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rPr>
        <w:t>（企业电子签章）</w:t>
      </w:r>
    </w:p>
    <w:p w14:paraId="13912FD8">
      <w:pPr>
        <w:spacing w:line="44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 xml:space="preserve">     日 期：</w:t>
      </w:r>
      <w:r>
        <w:rPr>
          <w:rFonts w:hint="eastAsia" w:ascii="宋体" w:hAnsi="宋体" w:cs="宋体"/>
          <w:color w:val="auto"/>
          <w:sz w:val="28"/>
          <w:szCs w:val="28"/>
          <w:highlight w:val="none"/>
          <w:u w:val="single"/>
        </w:rPr>
        <w:t xml:space="preserve">                   </w:t>
      </w:r>
    </w:p>
    <w:p w14:paraId="392FF61F">
      <w:pPr>
        <w:spacing w:line="440" w:lineRule="exact"/>
        <w:ind w:firstLine="703" w:firstLineChars="250"/>
        <w:rPr>
          <w:rFonts w:hint="eastAsia" w:ascii="宋体" w:hAnsi="宋体" w:cs="宋体"/>
          <w:b/>
          <w:bCs/>
          <w:color w:val="auto"/>
          <w:sz w:val="28"/>
          <w:szCs w:val="28"/>
          <w:highlight w:val="none"/>
        </w:rPr>
      </w:pPr>
    </w:p>
    <w:p w14:paraId="6F8E1248">
      <w:pPr>
        <w:spacing w:line="440" w:lineRule="exact"/>
        <w:ind w:firstLine="703" w:firstLineChars="25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注 ：1、从业人员 、 营业收入 、 资产总额填报上一年度数据 ，无上一年度数据的新成立企业可不填报。</w:t>
      </w:r>
    </w:p>
    <w:p w14:paraId="7B78E3E6">
      <w:pPr>
        <w:spacing w:line="440" w:lineRule="exact"/>
        <w:ind w:firstLine="1405" w:firstLineChars="5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2、</w:t>
      </w:r>
      <w:r>
        <w:rPr>
          <w:rFonts w:hint="eastAsia" w:ascii="宋体" w:hAnsi="宋体" w:cs="宋体"/>
          <w:b/>
          <w:bCs/>
          <w:color w:val="auto"/>
          <w:sz w:val="28"/>
          <w:szCs w:val="28"/>
          <w:highlight w:val="none"/>
          <w:lang w:val="en-US" w:eastAsia="zh-CN"/>
        </w:rPr>
        <w:t>本项目</w:t>
      </w:r>
      <w:r>
        <w:rPr>
          <w:rFonts w:hint="eastAsia" w:ascii="宋体" w:hAnsi="宋体" w:cs="宋体"/>
          <w:b/>
          <w:bCs/>
          <w:color w:val="auto"/>
          <w:sz w:val="28"/>
          <w:szCs w:val="28"/>
          <w:highlight w:val="none"/>
        </w:rPr>
        <w:t>专门面向中小企业采购的项目</w:t>
      </w:r>
      <w:r>
        <w:rPr>
          <w:rFonts w:hint="eastAsia" w:ascii="宋体" w:hAnsi="宋体" w:cs="宋体"/>
          <w:b/>
          <w:bCs/>
          <w:color w:val="auto"/>
          <w:sz w:val="28"/>
          <w:szCs w:val="28"/>
          <w:highlight w:val="none"/>
          <w:lang w:eastAsia="zh-CN"/>
        </w:rPr>
        <w:t>，</w:t>
      </w:r>
      <w:r>
        <w:rPr>
          <w:rFonts w:hint="eastAsia" w:ascii="宋体" w:hAnsi="宋体" w:cs="宋体"/>
          <w:b/>
          <w:bCs/>
          <w:color w:val="auto"/>
          <w:sz w:val="28"/>
          <w:szCs w:val="28"/>
          <w:highlight w:val="none"/>
        </w:rPr>
        <w:t>中小企业</w:t>
      </w:r>
      <w:r>
        <w:rPr>
          <w:rFonts w:hint="eastAsia" w:ascii="宋体" w:hAnsi="宋体" w:cs="宋体"/>
          <w:b/>
          <w:bCs/>
          <w:color w:val="auto"/>
          <w:sz w:val="28"/>
          <w:szCs w:val="28"/>
          <w:highlight w:val="none"/>
          <w:lang w:val="en-US" w:eastAsia="zh-CN"/>
        </w:rPr>
        <w:t>必须</w:t>
      </w:r>
      <w:r>
        <w:rPr>
          <w:rFonts w:hint="eastAsia" w:ascii="宋体" w:hAnsi="宋体" w:cs="宋体"/>
          <w:b/>
          <w:bCs/>
          <w:color w:val="auto"/>
          <w:sz w:val="28"/>
          <w:szCs w:val="28"/>
          <w:highlight w:val="none"/>
        </w:rPr>
        <w:t>提供此函。</w:t>
      </w:r>
    </w:p>
    <w:p w14:paraId="39C6F0C1">
      <w:pPr>
        <w:spacing w:line="400" w:lineRule="exact"/>
        <w:rPr>
          <w:rFonts w:hint="eastAsia" w:ascii="宋体" w:hAnsi="宋体" w:cs="宋体"/>
          <w:b/>
          <w:bCs/>
          <w:color w:val="auto"/>
          <w:sz w:val="30"/>
          <w:szCs w:val="30"/>
          <w:highlight w:val="none"/>
        </w:rPr>
      </w:pPr>
    </w:p>
    <w:p w14:paraId="2EA43EB3">
      <w:pPr>
        <w:spacing w:line="400" w:lineRule="exact"/>
        <w:rPr>
          <w:rFonts w:hint="eastAsia" w:ascii="宋体" w:hAnsi="宋体" w:cs="宋体"/>
          <w:b/>
          <w:bCs/>
          <w:color w:val="auto"/>
          <w:sz w:val="30"/>
          <w:szCs w:val="30"/>
          <w:highlight w:val="none"/>
        </w:rPr>
      </w:pPr>
    </w:p>
    <w:p w14:paraId="080B8205">
      <w:pPr>
        <w:spacing w:line="400" w:lineRule="exact"/>
        <w:rPr>
          <w:rFonts w:ascii="宋体"/>
          <w:b/>
          <w:bCs/>
          <w:color w:val="auto"/>
          <w:sz w:val="30"/>
          <w:szCs w:val="30"/>
          <w:highlight w:val="none"/>
        </w:rPr>
      </w:pPr>
      <w:r>
        <w:rPr>
          <w:rFonts w:hint="eastAsia" w:ascii="宋体" w:hAnsi="宋体" w:cs="宋体"/>
          <w:b/>
          <w:bCs/>
          <w:color w:val="auto"/>
          <w:sz w:val="30"/>
          <w:szCs w:val="30"/>
          <w:highlight w:val="none"/>
        </w:rPr>
        <w:t>附件2</w:t>
      </w:r>
      <w:r>
        <w:rPr>
          <w:rFonts w:ascii="宋体" w:hAnsi="宋体" w:cs="宋体"/>
          <w:b/>
          <w:bCs/>
          <w:color w:val="auto"/>
          <w:sz w:val="30"/>
          <w:szCs w:val="30"/>
          <w:highlight w:val="none"/>
        </w:rPr>
        <w:t>:</w:t>
      </w:r>
    </w:p>
    <w:p w14:paraId="04F406E3">
      <w:pPr>
        <w:spacing w:line="400" w:lineRule="exact"/>
        <w:jc w:val="center"/>
        <w:rPr>
          <w:rFonts w:ascii="宋体"/>
          <w:b/>
          <w:bCs/>
          <w:color w:val="auto"/>
          <w:spacing w:val="6"/>
          <w:sz w:val="32"/>
          <w:szCs w:val="32"/>
          <w:highlight w:val="none"/>
        </w:rPr>
      </w:pPr>
      <w:bookmarkStart w:id="949" w:name="OLE_LINK14"/>
      <w:bookmarkStart w:id="950" w:name="OLE_LINK13"/>
      <w:r>
        <w:rPr>
          <w:rFonts w:hint="eastAsia" w:ascii="宋体" w:hAnsi="宋体" w:cs="宋体"/>
          <w:b/>
          <w:bCs/>
          <w:color w:val="auto"/>
          <w:spacing w:val="6"/>
          <w:sz w:val="32"/>
          <w:szCs w:val="32"/>
          <w:highlight w:val="none"/>
        </w:rPr>
        <w:t>残疾人福利性单位声明函</w:t>
      </w:r>
    </w:p>
    <w:bookmarkEnd w:id="949"/>
    <w:bookmarkEnd w:id="950"/>
    <w:p w14:paraId="4D576254">
      <w:pPr>
        <w:spacing w:line="400" w:lineRule="exact"/>
        <w:rPr>
          <w:rFonts w:ascii="宋体"/>
          <w:b/>
          <w:bCs/>
          <w:color w:val="auto"/>
          <w:spacing w:val="6"/>
          <w:sz w:val="32"/>
          <w:szCs w:val="32"/>
          <w:highlight w:val="none"/>
        </w:rPr>
      </w:pPr>
    </w:p>
    <w:p w14:paraId="18ACE8E8">
      <w:pPr>
        <w:spacing w:line="480" w:lineRule="exact"/>
        <w:ind w:firstLine="584" w:firstLineChars="200"/>
        <w:rPr>
          <w:rFonts w:ascii="宋体"/>
          <w:color w:val="auto"/>
          <w:spacing w:val="6"/>
          <w:sz w:val="28"/>
          <w:szCs w:val="28"/>
          <w:highlight w:val="none"/>
        </w:rPr>
      </w:pPr>
      <w:r>
        <w:rPr>
          <w:rFonts w:hint="eastAsia" w:ascii="宋体" w:hAnsi="宋体" w:cs="宋体"/>
          <w:color w:val="auto"/>
          <w:spacing w:val="6"/>
          <w:sz w:val="28"/>
          <w:szCs w:val="28"/>
          <w:highlight w:val="none"/>
        </w:rPr>
        <w:t>本单位郑重声明，根据《财政部</w:t>
      </w:r>
      <w:r>
        <w:rPr>
          <w:rFonts w:ascii="宋体" w:hAnsi="宋体" w:cs="宋体"/>
          <w:color w:val="auto"/>
          <w:spacing w:val="6"/>
          <w:sz w:val="28"/>
          <w:szCs w:val="28"/>
          <w:highlight w:val="none"/>
        </w:rPr>
        <w:t xml:space="preserve"> </w:t>
      </w:r>
      <w:r>
        <w:rPr>
          <w:rFonts w:hint="eastAsia" w:ascii="宋体" w:hAnsi="宋体" w:cs="宋体"/>
          <w:color w:val="auto"/>
          <w:spacing w:val="6"/>
          <w:sz w:val="28"/>
          <w:szCs w:val="28"/>
          <w:highlight w:val="none"/>
        </w:rPr>
        <w:t>民政部</w:t>
      </w:r>
      <w:r>
        <w:rPr>
          <w:rFonts w:ascii="宋体" w:hAnsi="宋体" w:cs="宋体"/>
          <w:color w:val="auto"/>
          <w:spacing w:val="6"/>
          <w:sz w:val="28"/>
          <w:szCs w:val="28"/>
          <w:highlight w:val="none"/>
        </w:rPr>
        <w:t xml:space="preserve"> </w:t>
      </w:r>
      <w:r>
        <w:rPr>
          <w:rFonts w:hint="eastAsia" w:ascii="宋体" w:hAnsi="宋体" w:cs="宋体"/>
          <w:color w:val="auto"/>
          <w:spacing w:val="6"/>
          <w:sz w:val="28"/>
          <w:szCs w:val="28"/>
          <w:highlight w:val="none"/>
        </w:rPr>
        <w:t>中国残疾人联合会关于促进残疾人就业政府采购政策的通知》（财库</w:t>
      </w:r>
      <w:r>
        <w:rPr>
          <w:rFonts w:hint="eastAsia" w:ascii="宋体" w:hAnsi="宋体" w:cs="宋体"/>
          <w:color w:val="auto"/>
          <w:sz w:val="28"/>
          <w:szCs w:val="28"/>
          <w:highlight w:val="none"/>
        </w:rPr>
        <w:t>〔</w:t>
      </w:r>
      <w:r>
        <w:rPr>
          <w:rFonts w:ascii="宋体" w:hAnsi="宋体" w:cs="宋体"/>
          <w:color w:val="auto"/>
          <w:sz w:val="28"/>
          <w:szCs w:val="28"/>
          <w:highlight w:val="none"/>
        </w:rPr>
        <w:t>2017</w:t>
      </w:r>
      <w:r>
        <w:rPr>
          <w:rFonts w:hint="eastAsia" w:ascii="宋体" w:hAnsi="宋体" w:cs="宋体"/>
          <w:color w:val="auto"/>
          <w:sz w:val="28"/>
          <w:szCs w:val="28"/>
          <w:highlight w:val="none"/>
        </w:rPr>
        <w:t>〕</w:t>
      </w:r>
      <w:r>
        <w:rPr>
          <w:rFonts w:ascii="宋体" w:hAnsi="宋体" w:cs="宋体"/>
          <w:color w:val="auto"/>
          <w:sz w:val="28"/>
          <w:szCs w:val="28"/>
          <w:highlight w:val="none"/>
        </w:rPr>
        <w:t xml:space="preserve"> 141</w:t>
      </w:r>
      <w:r>
        <w:rPr>
          <w:rFonts w:hint="eastAsia" w:ascii="宋体" w:hAnsi="宋体" w:cs="宋体"/>
          <w:color w:val="auto"/>
          <w:spacing w:val="6"/>
          <w:sz w:val="28"/>
          <w:szCs w:val="28"/>
          <w:highlight w:val="none"/>
        </w:rPr>
        <w:t>号）的规定，本单位为符合条件的残疾人福利性单位，且本单位参加</w:t>
      </w:r>
      <w:r>
        <w:rPr>
          <w:rFonts w:ascii="宋体" w:hAnsi="宋体" w:cs="宋体"/>
          <w:color w:val="auto"/>
          <w:spacing w:val="6"/>
          <w:sz w:val="28"/>
          <w:szCs w:val="28"/>
          <w:highlight w:val="none"/>
        </w:rPr>
        <w:t>_</w:t>
      </w:r>
      <w:r>
        <w:rPr>
          <w:rFonts w:hint="eastAsia" w:ascii="宋体" w:hAnsi="宋体" w:cs="宋体"/>
          <w:color w:val="auto"/>
          <w:spacing w:val="6"/>
          <w:sz w:val="28"/>
          <w:szCs w:val="28"/>
          <w:highlight w:val="none"/>
          <w:u w:val="single"/>
        </w:rPr>
        <w:t>（采购单位名称）</w:t>
      </w:r>
      <w:r>
        <w:rPr>
          <w:rFonts w:ascii="宋体" w:hAnsi="宋体" w:cs="宋体"/>
          <w:color w:val="auto"/>
          <w:spacing w:val="6"/>
          <w:sz w:val="28"/>
          <w:szCs w:val="28"/>
          <w:highlight w:val="none"/>
        </w:rPr>
        <w:t>_</w:t>
      </w:r>
      <w:r>
        <w:rPr>
          <w:rFonts w:hint="eastAsia" w:ascii="宋体" w:hAnsi="宋体" w:cs="宋体"/>
          <w:color w:val="auto"/>
          <w:spacing w:val="6"/>
          <w:sz w:val="28"/>
          <w:szCs w:val="28"/>
          <w:highlight w:val="none"/>
        </w:rPr>
        <w:t>单位的</w:t>
      </w:r>
      <w:r>
        <w:rPr>
          <w:rFonts w:ascii="宋体" w:hAnsi="宋体" w:cs="宋体"/>
          <w:color w:val="auto"/>
          <w:spacing w:val="6"/>
          <w:sz w:val="28"/>
          <w:szCs w:val="28"/>
          <w:highlight w:val="none"/>
        </w:rPr>
        <w:t>_</w:t>
      </w:r>
      <w:r>
        <w:rPr>
          <w:rFonts w:hint="eastAsia" w:ascii="宋体" w:hAnsi="宋体" w:cs="宋体"/>
          <w:color w:val="auto"/>
          <w:spacing w:val="6"/>
          <w:sz w:val="28"/>
          <w:szCs w:val="28"/>
          <w:highlight w:val="none"/>
          <w:u w:val="single"/>
        </w:rPr>
        <w:t>（采购项目名称）</w:t>
      </w:r>
      <w:r>
        <w:rPr>
          <w:rFonts w:ascii="宋体" w:hAnsi="宋体" w:cs="宋体"/>
          <w:color w:val="auto"/>
          <w:spacing w:val="6"/>
          <w:sz w:val="28"/>
          <w:szCs w:val="28"/>
          <w:highlight w:val="none"/>
        </w:rPr>
        <w:t>_</w:t>
      </w:r>
      <w:r>
        <w:rPr>
          <w:rFonts w:hint="eastAsia" w:ascii="宋体" w:hAnsi="宋体" w:cs="宋体"/>
          <w:color w:val="auto"/>
          <w:spacing w:val="6"/>
          <w:sz w:val="28"/>
          <w:szCs w:val="28"/>
          <w:highlight w:val="none"/>
        </w:rPr>
        <w:t>项目采购活动提供本单位制造的货物（由本单位承担工程</w:t>
      </w:r>
      <w:r>
        <w:rPr>
          <w:rFonts w:ascii="宋体" w:hAnsi="宋体" w:cs="宋体"/>
          <w:color w:val="auto"/>
          <w:spacing w:val="6"/>
          <w:sz w:val="28"/>
          <w:szCs w:val="28"/>
          <w:highlight w:val="none"/>
        </w:rPr>
        <w:t>/</w:t>
      </w:r>
      <w:r>
        <w:rPr>
          <w:rFonts w:hint="eastAsia" w:ascii="宋体" w:hAnsi="宋体" w:cs="宋体"/>
          <w:color w:val="auto"/>
          <w:spacing w:val="6"/>
          <w:sz w:val="28"/>
          <w:szCs w:val="28"/>
          <w:highlight w:val="none"/>
        </w:rPr>
        <w:t>提供服务），或者提供其他残疾人福利性单位制造的货物（不包括使用非残疾人福利性单位注册商标的货物）。</w:t>
      </w:r>
    </w:p>
    <w:p w14:paraId="17BEB72D">
      <w:pPr>
        <w:spacing w:line="480" w:lineRule="exact"/>
        <w:ind w:firstLine="584" w:firstLineChars="200"/>
        <w:rPr>
          <w:rFonts w:ascii="宋体"/>
          <w:color w:val="auto"/>
          <w:spacing w:val="6"/>
          <w:sz w:val="28"/>
          <w:szCs w:val="28"/>
          <w:highlight w:val="none"/>
        </w:rPr>
      </w:pPr>
      <w:r>
        <w:rPr>
          <w:rFonts w:hint="eastAsia" w:ascii="宋体" w:hAnsi="宋体" w:cs="宋体"/>
          <w:color w:val="auto"/>
          <w:spacing w:val="6"/>
          <w:sz w:val="28"/>
          <w:szCs w:val="28"/>
          <w:highlight w:val="none"/>
        </w:rPr>
        <w:t>本单位对上述声明的真实性负责。如有虚假，将依法承担相应责任。</w:t>
      </w:r>
    </w:p>
    <w:p w14:paraId="06B27104">
      <w:pPr>
        <w:spacing w:line="480" w:lineRule="exact"/>
        <w:ind w:firstLine="584" w:firstLineChars="200"/>
        <w:rPr>
          <w:rFonts w:ascii="宋体"/>
          <w:color w:val="auto"/>
          <w:spacing w:val="6"/>
          <w:sz w:val="28"/>
          <w:szCs w:val="28"/>
          <w:highlight w:val="none"/>
        </w:rPr>
      </w:pPr>
    </w:p>
    <w:p w14:paraId="6AFAADD2">
      <w:pPr>
        <w:spacing w:line="480" w:lineRule="exact"/>
        <w:ind w:firstLine="584" w:firstLineChars="200"/>
        <w:rPr>
          <w:rFonts w:ascii="宋体"/>
          <w:color w:val="auto"/>
          <w:spacing w:val="6"/>
          <w:sz w:val="28"/>
          <w:szCs w:val="28"/>
          <w:highlight w:val="none"/>
        </w:rPr>
      </w:pPr>
    </w:p>
    <w:p w14:paraId="05B1B08C">
      <w:pPr>
        <w:pStyle w:val="11"/>
        <w:spacing w:after="0" w:line="480" w:lineRule="exact"/>
        <w:ind w:left="0" w:leftChars="0"/>
        <w:rPr>
          <w:color w:val="auto"/>
          <w:sz w:val="28"/>
          <w:szCs w:val="28"/>
          <w:highlight w:val="none"/>
        </w:rPr>
      </w:pPr>
    </w:p>
    <w:p w14:paraId="1E59CCE3">
      <w:pPr>
        <w:tabs>
          <w:tab w:val="left" w:pos="4860"/>
        </w:tabs>
        <w:spacing w:line="480" w:lineRule="exact"/>
        <w:ind w:firstLine="584" w:firstLineChars="200"/>
        <w:jc w:val="center"/>
        <w:rPr>
          <w:rFonts w:ascii="宋体"/>
          <w:color w:val="auto"/>
          <w:spacing w:val="6"/>
          <w:sz w:val="28"/>
          <w:szCs w:val="28"/>
          <w:highlight w:val="none"/>
          <w:u w:val="single"/>
        </w:rPr>
      </w:pPr>
      <w:r>
        <w:rPr>
          <w:rFonts w:ascii="宋体" w:hAnsi="宋体" w:cs="宋体"/>
          <w:color w:val="auto"/>
          <w:spacing w:val="6"/>
          <w:sz w:val="28"/>
          <w:szCs w:val="28"/>
          <w:highlight w:val="none"/>
        </w:rPr>
        <w:t xml:space="preserve">                    </w:t>
      </w:r>
      <w:r>
        <w:rPr>
          <w:rFonts w:hint="eastAsia" w:ascii="宋体" w:hAnsi="宋体" w:cs="宋体"/>
          <w:color w:val="auto"/>
          <w:spacing w:val="6"/>
          <w:sz w:val="28"/>
          <w:szCs w:val="28"/>
          <w:highlight w:val="none"/>
        </w:rPr>
        <w:t>单位名称：</w:t>
      </w:r>
      <w:r>
        <w:rPr>
          <w:rFonts w:hint="eastAsia" w:ascii="宋体" w:hAnsi="宋体" w:cs="宋体"/>
          <w:color w:val="auto"/>
          <w:spacing w:val="6"/>
          <w:sz w:val="28"/>
          <w:szCs w:val="28"/>
          <w:highlight w:val="none"/>
          <w:u w:val="single"/>
        </w:rPr>
        <w:t xml:space="preserve">     </w:t>
      </w:r>
      <w:r>
        <w:rPr>
          <w:rFonts w:hint="eastAsia" w:ascii="宋体" w:hAnsi="宋体" w:cs="宋体"/>
          <w:color w:val="auto"/>
          <w:spacing w:val="6"/>
          <w:sz w:val="28"/>
          <w:szCs w:val="28"/>
          <w:highlight w:val="none"/>
        </w:rPr>
        <w:t>（企业电子签章）</w:t>
      </w:r>
    </w:p>
    <w:p w14:paraId="0A8FA353">
      <w:pPr>
        <w:tabs>
          <w:tab w:val="left" w:pos="4860"/>
        </w:tabs>
        <w:spacing w:line="480" w:lineRule="exact"/>
        <w:ind w:firstLine="584" w:firstLineChars="200"/>
        <w:jc w:val="center"/>
        <w:rPr>
          <w:rFonts w:hint="eastAsia" w:ascii="宋体" w:hAnsi="宋体" w:cs="宋体"/>
          <w:color w:val="auto"/>
          <w:spacing w:val="6"/>
          <w:sz w:val="28"/>
          <w:szCs w:val="28"/>
          <w:highlight w:val="none"/>
        </w:rPr>
      </w:pPr>
      <w:r>
        <w:rPr>
          <w:rFonts w:ascii="宋体" w:hAnsi="宋体" w:cs="宋体"/>
          <w:color w:val="auto"/>
          <w:spacing w:val="6"/>
          <w:sz w:val="28"/>
          <w:szCs w:val="28"/>
          <w:highlight w:val="none"/>
        </w:rPr>
        <w:t xml:space="preserve">                   </w:t>
      </w:r>
    </w:p>
    <w:p w14:paraId="166B4A29">
      <w:pPr>
        <w:tabs>
          <w:tab w:val="left" w:pos="4860"/>
        </w:tabs>
        <w:spacing w:line="480" w:lineRule="exact"/>
        <w:ind w:firstLine="584" w:firstLineChars="200"/>
        <w:jc w:val="center"/>
        <w:rPr>
          <w:rFonts w:ascii="宋体"/>
          <w:color w:val="auto"/>
          <w:spacing w:val="6"/>
          <w:sz w:val="28"/>
          <w:szCs w:val="28"/>
          <w:highlight w:val="none"/>
        </w:rPr>
      </w:pPr>
      <w:r>
        <w:rPr>
          <w:rFonts w:hint="eastAsia" w:ascii="宋体" w:hAnsi="宋体" w:cs="宋体"/>
          <w:color w:val="auto"/>
          <w:spacing w:val="6"/>
          <w:sz w:val="28"/>
          <w:szCs w:val="28"/>
          <w:highlight w:val="none"/>
        </w:rPr>
        <w:t xml:space="preserve">  日</w:t>
      </w:r>
      <w:r>
        <w:rPr>
          <w:rFonts w:ascii="宋体" w:hAnsi="宋体" w:cs="宋体"/>
          <w:color w:val="auto"/>
          <w:spacing w:val="6"/>
          <w:sz w:val="28"/>
          <w:szCs w:val="28"/>
          <w:highlight w:val="none"/>
        </w:rPr>
        <w:t xml:space="preserve">    </w:t>
      </w:r>
      <w:r>
        <w:rPr>
          <w:rFonts w:hint="eastAsia" w:ascii="宋体" w:hAnsi="宋体" w:cs="宋体"/>
          <w:color w:val="auto"/>
          <w:spacing w:val="6"/>
          <w:sz w:val="28"/>
          <w:szCs w:val="28"/>
          <w:highlight w:val="none"/>
        </w:rPr>
        <w:t>期：</w:t>
      </w:r>
      <w:r>
        <w:rPr>
          <w:rFonts w:hint="eastAsia" w:ascii="宋体" w:hAnsi="宋体" w:cs="宋体"/>
          <w:color w:val="auto"/>
          <w:spacing w:val="6"/>
          <w:sz w:val="28"/>
          <w:szCs w:val="28"/>
          <w:highlight w:val="none"/>
          <w:u w:val="single"/>
        </w:rPr>
        <w:t xml:space="preserve">                   </w:t>
      </w:r>
    </w:p>
    <w:p w14:paraId="6B10ADBE">
      <w:pPr>
        <w:spacing w:line="480" w:lineRule="exact"/>
        <w:jc w:val="left"/>
        <w:rPr>
          <w:rFonts w:hint="eastAsia" w:ascii="宋体" w:hAnsi="宋体" w:cs="宋体"/>
          <w:b/>
          <w:bCs/>
          <w:color w:val="auto"/>
          <w:sz w:val="28"/>
          <w:szCs w:val="28"/>
          <w:highlight w:val="none"/>
        </w:rPr>
      </w:pPr>
    </w:p>
    <w:p w14:paraId="5625D9A4">
      <w:pPr>
        <w:spacing w:line="480" w:lineRule="exact"/>
        <w:jc w:val="left"/>
        <w:rPr>
          <w:rFonts w:hint="eastAsia" w:ascii="宋体" w:hAnsi="宋体" w:cs="宋体"/>
          <w:b/>
          <w:bCs/>
          <w:color w:val="auto"/>
          <w:sz w:val="28"/>
          <w:szCs w:val="28"/>
          <w:highlight w:val="none"/>
        </w:rPr>
      </w:pPr>
    </w:p>
    <w:p w14:paraId="559CED52">
      <w:pPr>
        <w:spacing w:line="480" w:lineRule="exact"/>
        <w:jc w:val="left"/>
        <w:rPr>
          <w:rFonts w:hint="eastAsia" w:ascii="宋体" w:hAnsi="宋体" w:cs="宋体"/>
          <w:b/>
          <w:bCs/>
          <w:color w:val="auto"/>
          <w:sz w:val="28"/>
          <w:szCs w:val="28"/>
          <w:highlight w:val="none"/>
        </w:rPr>
      </w:pPr>
    </w:p>
    <w:p w14:paraId="6529FDCE">
      <w:pPr>
        <w:spacing w:line="480" w:lineRule="exact"/>
        <w:jc w:val="left"/>
        <w:rPr>
          <w:rFonts w:ascii="宋体"/>
          <w:b/>
          <w:bCs/>
          <w:color w:val="auto"/>
          <w:sz w:val="28"/>
          <w:szCs w:val="28"/>
          <w:highlight w:val="none"/>
        </w:rPr>
      </w:pPr>
      <w:r>
        <w:rPr>
          <w:rFonts w:hint="eastAsia" w:ascii="宋体" w:hAnsi="宋体" w:cs="宋体"/>
          <w:b/>
          <w:bCs/>
          <w:color w:val="auto"/>
          <w:sz w:val="28"/>
          <w:szCs w:val="28"/>
          <w:highlight w:val="none"/>
        </w:rPr>
        <w:t>备注：</w:t>
      </w:r>
    </w:p>
    <w:p w14:paraId="5391924D">
      <w:pPr>
        <w:spacing w:line="480" w:lineRule="exact"/>
        <w:ind w:firstLine="562" w:firstLineChars="200"/>
        <w:jc w:val="left"/>
        <w:rPr>
          <w:rFonts w:hint="eastAsia" w:ascii="宋体" w:hAnsi="宋体" w:cs="宋体"/>
          <w:b/>
          <w:bCs/>
          <w:color w:val="auto"/>
          <w:sz w:val="28"/>
          <w:szCs w:val="28"/>
          <w:highlight w:val="none"/>
        </w:rPr>
      </w:pPr>
    </w:p>
    <w:p w14:paraId="2AB074F5">
      <w:pPr>
        <w:spacing w:line="480" w:lineRule="exact"/>
        <w:ind w:firstLine="562" w:firstLineChars="200"/>
        <w:jc w:val="left"/>
        <w:rPr>
          <w:rFonts w:ascii="宋体"/>
          <w:b/>
          <w:bCs/>
          <w:color w:val="auto"/>
          <w:sz w:val="28"/>
          <w:szCs w:val="28"/>
          <w:highlight w:val="none"/>
        </w:rPr>
      </w:pPr>
      <w:r>
        <w:rPr>
          <w:rFonts w:ascii="宋体" w:hAnsi="宋体" w:cs="宋体"/>
          <w:b/>
          <w:bCs/>
          <w:color w:val="auto"/>
          <w:sz w:val="28"/>
          <w:szCs w:val="28"/>
          <w:highlight w:val="none"/>
        </w:rPr>
        <w:t>1</w:t>
      </w:r>
      <w:r>
        <w:rPr>
          <w:rFonts w:hint="eastAsia" w:ascii="宋体" w:hAnsi="宋体" w:cs="宋体"/>
          <w:b/>
          <w:bCs/>
          <w:color w:val="auto"/>
          <w:sz w:val="28"/>
          <w:szCs w:val="28"/>
          <w:highlight w:val="none"/>
        </w:rPr>
        <w:t>、该声明函是针对残疾人福利性单位的，非福利性单位投标时不用提供该声明函。</w:t>
      </w:r>
    </w:p>
    <w:p w14:paraId="67D22D52">
      <w:pPr>
        <w:pStyle w:val="11"/>
        <w:rPr>
          <w:color w:val="auto"/>
          <w:highlight w:val="none"/>
        </w:rPr>
      </w:pPr>
    </w:p>
    <w:p w14:paraId="56EAFE3E">
      <w:pPr>
        <w:pStyle w:val="11"/>
        <w:rPr>
          <w:color w:val="auto"/>
          <w:highlight w:val="none"/>
        </w:rPr>
      </w:pPr>
    </w:p>
    <w:p w14:paraId="0B10A7F0">
      <w:pPr>
        <w:pStyle w:val="11"/>
        <w:rPr>
          <w:color w:val="auto"/>
          <w:highlight w:val="none"/>
        </w:rPr>
      </w:pPr>
    </w:p>
    <w:p w14:paraId="4F9A6410">
      <w:pPr>
        <w:spacing w:line="400" w:lineRule="exact"/>
        <w:rPr>
          <w:rFonts w:hint="eastAsia" w:ascii="宋体" w:hAnsi="宋体" w:cs="宋体"/>
          <w:b/>
          <w:bCs/>
          <w:color w:val="auto"/>
          <w:sz w:val="30"/>
          <w:szCs w:val="30"/>
          <w:highlight w:val="none"/>
        </w:rPr>
      </w:pPr>
    </w:p>
    <w:p w14:paraId="323739E2">
      <w:pPr>
        <w:spacing w:line="400" w:lineRule="exact"/>
        <w:rPr>
          <w:rFonts w:hint="eastAsia" w:ascii="宋体" w:hAnsi="宋体" w:cs="宋体"/>
          <w:b/>
          <w:bCs/>
          <w:color w:val="auto"/>
          <w:sz w:val="30"/>
          <w:szCs w:val="30"/>
          <w:highlight w:val="none"/>
        </w:rPr>
      </w:pPr>
    </w:p>
    <w:p w14:paraId="6CBEB941">
      <w:pPr>
        <w:spacing w:line="400" w:lineRule="exact"/>
        <w:rPr>
          <w:rFonts w:ascii="宋体"/>
          <w:b/>
          <w:bCs/>
          <w:color w:val="auto"/>
          <w:sz w:val="30"/>
          <w:szCs w:val="30"/>
          <w:highlight w:val="none"/>
        </w:rPr>
      </w:pPr>
      <w:r>
        <w:rPr>
          <w:rFonts w:hint="eastAsia" w:ascii="宋体" w:hAnsi="宋体" w:cs="宋体"/>
          <w:b/>
          <w:bCs/>
          <w:color w:val="auto"/>
          <w:sz w:val="30"/>
          <w:szCs w:val="30"/>
          <w:highlight w:val="none"/>
        </w:rPr>
        <w:t>附件3</w:t>
      </w:r>
      <w:r>
        <w:rPr>
          <w:rFonts w:ascii="宋体" w:hAnsi="宋体" w:cs="宋体"/>
          <w:b/>
          <w:bCs/>
          <w:color w:val="auto"/>
          <w:sz w:val="30"/>
          <w:szCs w:val="30"/>
          <w:highlight w:val="none"/>
        </w:rPr>
        <w:t>:</w:t>
      </w:r>
    </w:p>
    <w:p w14:paraId="45FB6B15">
      <w:pPr>
        <w:pStyle w:val="34"/>
        <w:spacing w:line="400" w:lineRule="exact"/>
        <w:rPr>
          <w:b/>
          <w:bCs/>
          <w:color w:val="auto"/>
          <w:sz w:val="32"/>
          <w:szCs w:val="32"/>
          <w:highlight w:val="none"/>
        </w:rPr>
      </w:pPr>
    </w:p>
    <w:p w14:paraId="07B60E09">
      <w:pPr>
        <w:pStyle w:val="34"/>
        <w:spacing w:line="400" w:lineRule="exact"/>
        <w:rPr>
          <w:b/>
          <w:bCs/>
          <w:color w:val="auto"/>
          <w:sz w:val="32"/>
          <w:szCs w:val="32"/>
          <w:highlight w:val="none"/>
        </w:rPr>
      </w:pPr>
    </w:p>
    <w:p w14:paraId="4C6E297B">
      <w:pPr>
        <w:pStyle w:val="34"/>
        <w:spacing w:line="400" w:lineRule="exact"/>
        <w:rPr>
          <w:b/>
          <w:bCs/>
          <w:color w:val="auto"/>
          <w:sz w:val="32"/>
          <w:szCs w:val="32"/>
          <w:highlight w:val="none"/>
        </w:rPr>
      </w:pPr>
    </w:p>
    <w:p w14:paraId="30ED42B9">
      <w:pPr>
        <w:pStyle w:val="34"/>
        <w:spacing w:line="400" w:lineRule="exact"/>
        <w:jc w:val="center"/>
        <w:rPr>
          <w:b/>
          <w:bCs/>
          <w:color w:val="auto"/>
          <w:sz w:val="32"/>
          <w:szCs w:val="32"/>
          <w:highlight w:val="none"/>
        </w:rPr>
      </w:pPr>
      <w:r>
        <w:rPr>
          <w:rFonts w:hint="eastAsia"/>
          <w:b/>
          <w:bCs/>
          <w:color w:val="auto"/>
          <w:sz w:val="32"/>
          <w:szCs w:val="32"/>
          <w:highlight w:val="none"/>
        </w:rPr>
        <w:t>监狱企业的证明文件</w:t>
      </w:r>
    </w:p>
    <w:p w14:paraId="6AEE010F">
      <w:pPr>
        <w:pStyle w:val="34"/>
        <w:spacing w:line="400" w:lineRule="exact"/>
        <w:jc w:val="center"/>
        <w:rPr>
          <w:b/>
          <w:bCs/>
          <w:color w:val="auto"/>
          <w:sz w:val="32"/>
          <w:szCs w:val="32"/>
          <w:highlight w:val="none"/>
        </w:rPr>
      </w:pPr>
    </w:p>
    <w:p w14:paraId="0BF18B5C">
      <w:pPr>
        <w:pStyle w:val="34"/>
        <w:spacing w:line="400" w:lineRule="exact"/>
        <w:jc w:val="center"/>
        <w:rPr>
          <w:rFonts w:cs="Times New Roman"/>
          <w:color w:val="auto"/>
          <w:highlight w:val="none"/>
        </w:rPr>
      </w:pPr>
      <w:r>
        <w:rPr>
          <w:rFonts w:hint="eastAsia"/>
          <w:color w:val="auto"/>
          <w:highlight w:val="none"/>
        </w:rPr>
        <w:t>（格式自拟）</w:t>
      </w:r>
    </w:p>
    <w:p w14:paraId="7E0EFA8A">
      <w:pPr>
        <w:pStyle w:val="34"/>
        <w:spacing w:line="400" w:lineRule="exact"/>
        <w:jc w:val="center"/>
        <w:rPr>
          <w:rFonts w:cs="Times New Roman"/>
          <w:color w:val="auto"/>
          <w:highlight w:val="none"/>
        </w:rPr>
      </w:pPr>
    </w:p>
    <w:p w14:paraId="26B222A8">
      <w:pPr>
        <w:pStyle w:val="34"/>
        <w:spacing w:line="400" w:lineRule="exact"/>
        <w:jc w:val="center"/>
        <w:rPr>
          <w:rFonts w:cs="Times New Roman"/>
          <w:color w:val="auto"/>
          <w:highlight w:val="none"/>
        </w:rPr>
      </w:pPr>
    </w:p>
    <w:p w14:paraId="3EE72FD2">
      <w:pPr>
        <w:pStyle w:val="34"/>
        <w:spacing w:line="400" w:lineRule="exact"/>
        <w:jc w:val="center"/>
        <w:rPr>
          <w:rFonts w:cs="Times New Roman"/>
          <w:color w:val="auto"/>
          <w:highlight w:val="none"/>
        </w:rPr>
      </w:pPr>
    </w:p>
    <w:p w14:paraId="17B4A098">
      <w:pPr>
        <w:pStyle w:val="34"/>
        <w:spacing w:line="400" w:lineRule="exact"/>
        <w:jc w:val="center"/>
        <w:rPr>
          <w:rFonts w:cs="Times New Roman"/>
          <w:color w:val="auto"/>
          <w:highlight w:val="none"/>
        </w:rPr>
      </w:pPr>
    </w:p>
    <w:p w14:paraId="138898AD">
      <w:pPr>
        <w:pStyle w:val="34"/>
        <w:spacing w:line="400" w:lineRule="exact"/>
        <w:jc w:val="center"/>
        <w:rPr>
          <w:rFonts w:cs="Times New Roman"/>
          <w:color w:val="auto"/>
          <w:highlight w:val="none"/>
        </w:rPr>
      </w:pPr>
    </w:p>
    <w:p w14:paraId="0042B501">
      <w:pPr>
        <w:pStyle w:val="34"/>
        <w:spacing w:line="400" w:lineRule="exact"/>
        <w:jc w:val="center"/>
        <w:rPr>
          <w:rFonts w:cs="Times New Roman"/>
          <w:color w:val="auto"/>
          <w:highlight w:val="none"/>
        </w:rPr>
      </w:pPr>
    </w:p>
    <w:p w14:paraId="46A06656">
      <w:pPr>
        <w:tabs>
          <w:tab w:val="left" w:pos="4860"/>
        </w:tabs>
        <w:spacing w:line="480" w:lineRule="exact"/>
        <w:ind w:firstLine="504" w:firstLineChars="200"/>
        <w:jc w:val="center"/>
        <w:rPr>
          <w:rFonts w:ascii="宋体"/>
          <w:color w:val="auto"/>
          <w:spacing w:val="6"/>
          <w:sz w:val="28"/>
          <w:szCs w:val="28"/>
          <w:highlight w:val="none"/>
        </w:rPr>
      </w:pPr>
      <w:r>
        <w:rPr>
          <w:rFonts w:hint="eastAsia" w:ascii="宋体" w:hAnsi="宋体" w:cs="宋体"/>
          <w:color w:val="auto"/>
          <w:spacing w:val="6"/>
          <w:sz w:val="24"/>
          <w:szCs w:val="24"/>
          <w:highlight w:val="none"/>
        </w:rPr>
        <w:t xml:space="preserve">                        </w:t>
      </w:r>
      <w:r>
        <w:rPr>
          <w:rFonts w:hint="eastAsia" w:ascii="宋体" w:hAnsi="宋体" w:cs="宋体"/>
          <w:color w:val="auto"/>
          <w:spacing w:val="6"/>
          <w:sz w:val="28"/>
          <w:szCs w:val="28"/>
          <w:highlight w:val="none"/>
        </w:rPr>
        <w:t>单位名称：</w:t>
      </w:r>
      <w:r>
        <w:rPr>
          <w:rFonts w:hint="eastAsia" w:ascii="宋体" w:hAnsi="宋体" w:cs="宋体"/>
          <w:color w:val="auto"/>
          <w:spacing w:val="6"/>
          <w:sz w:val="28"/>
          <w:szCs w:val="28"/>
          <w:highlight w:val="none"/>
          <w:u w:val="single"/>
        </w:rPr>
        <w:t xml:space="preserve">     </w:t>
      </w:r>
      <w:r>
        <w:rPr>
          <w:rFonts w:hint="eastAsia" w:ascii="宋体" w:hAnsi="宋体" w:cs="宋体"/>
          <w:color w:val="auto"/>
          <w:spacing w:val="6"/>
          <w:sz w:val="28"/>
          <w:szCs w:val="28"/>
          <w:highlight w:val="none"/>
        </w:rPr>
        <w:t>（企业电子签章）</w:t>
      </w:r>
    </w:p>
    <w:p w14:paraId="4795B835">
      <w:pPr>
        <w:tabs>
          <w:tab w:val="left" w:pos="4860"/>
        </w:tabs>
        <w:spacing w:line="480" w:lineRule="exact"/>
        <w:ind w:firstLine="584" w:firstLineChars="200"/>
        <w:jc w:val="center"/>
        <w:rPr>
          <w:rFonts w:ascii="宋体"/>
          <w:color w:val="auto"/>
          <w:spacing w:val="6"/>
          <w:sz w:val="28"/>
          <w:szCs w:val="28"/>
          <w:highlight w:val="none"/>
          <w:u w:val="single"/>
        </w:rPr>
      </w:pPr>
      <w:r>
        <w:rPr>
          <w:rFonts w:ascii="宋体" w:hAnsi="宋体" w:cs="宋体"/>
          <w:color w:val="auto"/>
          <w:spacing w:val="6"/>
          <w:sz w:val="28"/>
          <w:szCs w:val="28"/>
          <w:highlight w:val="none"/>
        </w:rPr>
        <w:t xml:space="preserve">        </w:t>
      </w:r>
      <w:r>
        <w:rPr>
          <w:rFonts w:hint="eastAsia" w:ascii="宋体" w:hAnsi="宋体" w:cs="宋体"/>
          <w:color w:val="auto"/>
          <w:spacing w:val="6"/>
          <w:sz w:val="28"/>
          <w:szCs w:val="28"/>
          <w:highlight w:val="none"/>
        </w:rPr>
        <w:t>日</w:t>
      </w:r>
      <w:r>
        <w:rPr>
          <w:rFonts w:ascii="宋体" w:hAnsi="宋体" w:cs="宋体"/>
          <w:color w:val="auto"/>
          <w:spacing w:val="6"/>
          <w:sz w:val="28"/>
          <w:szCs w:val="28"/>
          <w:highlight w:val="none"/>
        </w:rPr>
        <w:t xml:space="preserve">    </w:t>
      </w:r>
      <w:r>
        <w:rPr>
          <w:rFonts w:hint="eastAsia" w:ascii="宋体" w:hAnsi="宋体" w:cs="宋体"/>
          <w:color w:val="auto"/>
          <w:spacing w:val="6"/>
          <w:sz w:val="28"/>
          <w:szCs w:val="28"/>
          <w:highlight w:val="none"/>
        </w:rPr>
        <w:t>期：</w:t>
      </w:r>
      <w:r>
        <w:rPr>
          <w:rFonts w:hint="eastAsia" w:ascii="宋体" w:hAnsi="宋体" w:cs="宋体"/>
          <w:color w:val="auto"/>
          <w:spacing w:val="6"/>
          <w:sz w:val="28"/>
          <w:szCs w:val="28"/>
          <w:highlight w:val="none"/>
          <w:u w:val="single"/>
        </w:rPr>
        <w:t xml:space="preserve">                   </w:t>
      </w:r>
    </w:p>
    <w:p w14:paraId="478FBB0F">
      <w:pPr>
        <w:pStyle w:val="34"/>
        <w:spacing w:line="480" w:lineRule="exact"/>
        <w:jc w:val="center"/>
        <w:rPr>
          <w:rFonts w:cs="Times New Roman"/>
          <w:color w:val="auto"/>
          <w:sz w:val="28"/>
          <w:szCs w:val="28"/>
          <w:highlight w:val="none"/>
        </w:rPr>
      </w:pPr>
    </w:p>
    <w:p w14:paraId="62816D30">
      <w:pPr>
        <w:pStyle w:val="34"/>
        <w:spacing w:line="480" w:lineRule="exact"/>
        <w:jc w:val="center"/>
        <w:rPr>
          <w:rFonts w:cs="Times New Roman"/>
          <w:color w:val="auto"/>
          <w:sz w:val="28"/>
          <w:szCs w:val="28"/>
          <w:highlight w:val="none"/>
        </w:rPr>
      </w:pPr>
    </w:p>
    <w:p w14:paraId="16F7638A">
      <w:pPr>
        <w:pStyle w:val="34"/>
        <w:spacing w:line="480" w:lineRule="exact"/>
        <w:jc w:val="center"/>
        <w:rPr>
          <w:rFonts w:cs="Times New Roman"/>
          <w:color w:val="auto"/>
          <w:sz w:val="28"/>
          <w:szCs w:val="28"/>
          <w:highlight w:val="none"/>
        </w:rPr>
      </w:pPr>
    </w:p>
    <w:p w14:paraId="75FF61D3">
      <w:pPr>
        <w:pStyle w:val="34"/>
        <w:spacing w:line="480" w:lineRule="exact"/>
        <w:jc w:val="center"/>
        <w:rPr>
          <w:rFonts w:cs="Times New Roman"/>
          <w:color w:val="auto"/>
          <w:sz w:val="28"/>
          <w:szCs w:val="28"/>
          <w:highlight w:val="none"/>
        </w:rPr>
      </w:pPr>
    </w:p>
    <w:p w14:paraId="0C2B9C60">
      <w:pPr>
        <w:spacing w:line="480" w:lineRule="exact"/>
        <w:jc w:val="left"/>
        <w:rPr>
          <w:rFonts w:hint="eastAsia" w:ascii="宋体" w:hAnsi="宋体" w:cs="宋体"/>
          <w:color w:val="auto"/>
          <w:sz w:val="28"/>
          <w:szCs w:val="28"/>
          <w:highlight w:val="none"/>
        </w:rPr>
      </w:pPr>
    </w:p>
    <w:p w14:paraId="54623A22">
      <w:pPr>
        <w:spacing w:line="480" w:lineRule="exact"/>
        <w:jc w:val="left"/>
        <w:rPr>
          <w:rFonts w:hint="eastAsia" w:ascii="宋体" w:hAnsi="宋体" w:cs="宋体"/>
          <w:color w:val="auto"/>
          <w:sz w:val="28"/>
          <w:szCs w:val="28"/>
          <w:highlight w:val="none"/>
        </w:rPr>
      </w:pPr>
    </w:p>
    <w:p w14:paraId="03421695">
      <w:pPr>
        <w:spacing w:line="480" w:lineRule="exact"/>
        <w:jc w:val="left"/>
        <w:rPr>
          <w:rFonts w:ascii="宋体"/>
          <w:color w:val="auto"/>
          <w:sz w:val="28"/>
          <w:szCs w:val="28"/>
          <w:highlight w:val="none"/>
        </w:rPr>
      </w:pPr>
      <w:r>
        <w:rPr>
          <w:rFonts w:hint="eastAsia" w:ascii="宋体" w:hAnsi="宋体" w:cs="宋体"/>
          <w:color w:val="auto"/>
          <w:sz w:val="28"/>
          <w:szCs w:val="28"/>
          <w:highlight w:val="none"/>
        </w:rPr>
        <w:t>备注：</w:t>
      </w:r>
    </w:p>
    <w:p w14:paraId="746AA318">
      <w:pPr>
        <w:spacing w:line="480" w:lineRule="exact"/>
        <w:ind w:firstLine="560" w:firstLineChars="200"/>
        <w:jc w:val="left"/>
        <w:rPr>
          <w:rFonts w:ascii="宋体"/>
          <w:color w:val="auto"/>
          <w:sz w:val="28"/>
          <w:szCs w:val="28"/>
          <w:highlight w:val="none"/>
        </w:rPr>
      </w:pPr>
      <w:r>
        <w:rPr>
          <w:rFonts w:ascii="宋体" w:hAnsi="宋体" w:cs="宋体"/>
          <w:color w:val="auto"/>
          <w:sz w:val="28"/>
          <w:szCs w:val="28"/>
          <w:highlight w:val="none"/>
        </w:rPr>
        <w:t>1</w:t>
      </w:r>
      <w:r>
        <w:rPr>
          <w:rFonts w:hint="eastAsia" w:ascii="宋体" w:hAnsi="宋体" w:cs="宋体"/>
          <w:color w:val="auto"/>
          <w:sz w:val="28"/>
          <w:szCs w:val="28"/>
          <w:highlight w:val="none"/>
        </w:rPr>
        <w:t>、该证明文件是针对监狱企业的，非监狱企业投标时不用提供该证明文件。</w:t>
      </w:r>
    </w:p>
    <w:p w14:paraId="3D445AE4">
      <w:pPr>
        <w:spacing w:line="480" w:lineRule="exact"/>
        <w:ind w:firstLine="560" w:firstLineChars="200"/>
        <w:rPr>
          <w:rFonts w:ascii="宋体"/>
          <w:color w:val="auto"/>
          <w:sz w:val="28"/>
          <w:szCs w:val="28"/>
          <w:highlight w:val="none"/>
        </w:rPr>
      </w:pPr>
      <w:r>
        <w:rPr>
          <w:rFonts w:ascii="宋体" w:hAnsi="宋体" w:cs="宋体"/>
          <w:color w:val="auto"/>
          <w:sz w:val="28"/>
          <w:szCs w:val="28"/>
          <w:highlight w:val="none"/>
        </w:rPr>
        <w:t>2</w:t>
      </w:r>
      <w:r>
        <w:rPr>
          <w:rFonts w:hint="eastAsia" w:ascii="宋体" w:hAnsi="宋体" w:cs="宋体"/>
          <w:color w:val="auto"/>
          <w:sz w:val="28"/>
          <w:szCs w:val="28"/>
          <w:highlight w:val="none"/>
        </w:rPr>
        <w:t>、监狱企业视同小型、微型企业，享受小型、微型企业同等政策待遇。监狱企业参加政府采购活动时，应当提供省级以上监狱管理局、戒毒管理局（含新疆生产建设兵团）出具的属于监狱企业的证明文件。</w:t>
      </w:r>
    </w:p>
    <w:p w14:paraId="247A1724">
      <w:pPr>
        <w:spacing w:line="480" w:lineRule="exact"/>
        <w:ind w:firstLine="560" w:firstLineChars="200"/>
        <w:rPr>
          <w:rFonts w:ascii="宋体"/>
          <w:color w:val="auto"/>
          <w:sz w:val="28"/>
          <w:szCs w:val="28"/>
          <w:highlight w:val="none"/>
        </w:rPr>
      </w:pPr>
    </w:p>
    <w:p w14:paraId="2125F4E6">
      <w:pPr>
        <w:pStyle w:val="71"/>
        <w:spacing w:before="156" w:beforeLines="50" w:after="156" w:afterLines="50" w:line="440" w:lineRule="exact"/>
        <w:ind w:left="0" w:firstLine="0"/>
        <w:rPr>
          <w:rFonts w:hint="eastAsia"/>
          <w:b/>
          <w:color w:val="auto"/>
          <w:sz w:val="32"/>
          <w:szCs w:val="32"/>
          <w:highlight w:val="none"/>
        </w:rPr>
      </w:pPr>
    </w:p>
    <w:p w14:paraId="21813F56">
      <w:pPr>
        <w:rPr>
          <w:color w:val="auto"/>
          <w:highlight w:val="none"/>
        </w:rPr>
      </w:pPr>
    </w:p>
    <w:p w14:paraId="23A5638D">
      <w:pPr>
        <w:jc w:val="left"/>
        <w:rPr>
          <w:color w:val="auto"/>
          <w:highlight w:val="none"/>
        </w:rPr>
      </w:pPr>
    </w:p>
    <w:p w14:paraId="35C5489E">
      <w:pPr>
        <w:pStyle w:val="71"/>
        <w:spacing w:before="156" w:beforeLines="50" w:after="156" w:afterLines="50" w:line="440" w:lineRule="exact"/>
        <w:ind w:left="0" w:firstLine="0"/>
        <w:jc w:val="center"/>
        <w:rPr>
          <w:rFonts w:hint="eastAsia"/>
          <w:b/>
          <w:color w:val="auto"/>
          <w:sz w:val="32"/>
          <w:szCs w:val="32"/>
          <w:highlight w:val="none"/>
        </w:rPr>
      </w:pPr>
      <w:r>
        <w:rPr>
          <w:rFonts w:hint="eastAsia"/>
          <w:b/>
          <w:color w:val="auto"/>
          <w:sz w:val="32"/>
          <w:szCs w:val="32"/>
          <w:highlight w:val="none"/>
        </w:rPr>
        <w:t>河南省政府采购合同融资政策告知函</w:t>
      </w:r>
    </w:p>
    <w:p w14:paraId="586FB0F3">
      <w:pPr>
        <w:spacing w:line="360" w:lineRule="auto"/>
        <w:rPr>
          <w:rFonts w:hint="eastAsia" w:ascii="宋体" w:hAnsi="宋体" w:cs="宋体"/>
          <w:color w:val="auto"/>
          <w:sz w:val="24"/>
          <w:szCs w:val="24"/>
          <w:highlight w:val="none"/>
        </w:rPr>
      </w:pPr>
    </w:p>
    <w:p w14:paraId="2FAFEEBA">
      <w:pPr>
        <w:spacing w:line="480" w:lineRule="exact"/>
        <w:rPr>
          <w:rFonts w:hint="eastAsia" w:ascii="宋体" w:hAnsi="宋体" w:cs="宋体"/>
          <w:color w:val="auto"/>
          <w:sz w:val="28"/>
          <w:szCs w:val="28"/>
          <w:highlight w:val="none"/>
        </w:rPr>
      </w:pPr>
      <w:r>
        <w:rPr>
          <w:rFonts w:hint="eastAsia" w:ascii="宋体" w:hAnsi="宋体" w:cs="宋体"/>
          <w:color w:val="auto"/>
          <w:sz w:val="28"/>
          <w:szCs w:val="28"/>
          <w:highlight w:val="none"/>
        </w:rPr>
        <w:t>各供应商：</w:t>
      </w:r>
    </w:p>
    <w:p w14:paraId="3ADD6A87">
      <w:pPr>
        <w:spacing w:line="48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欢迎贵公司参与河南省政府采购活动！</w:t>
      </w:r>
    </w:p>
    <w:p w14:paraId="566B699E">
      <w:pPr>
        <w:spacing w:line="48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2793040F">
      <w:pPr>
        <w:pStyle w:val="23"/>
        <w:spacing w:after="0" w:line="480" w:lineRule="exact"/>
        <w:ind w:firstLine="571" w:firstLineChars="204"/>
        <w:rPr>
          <w:rFonts w:hint="eastAsia" w:ascii="宋体" w:hAnsi="宋体" w:cs="宋体"/>
          <w:color w:val="auto"/>
          <w:sz w:val="28"/>
          <w:szCs w:val="28"/>
          <w:highlight w:val="none"/>
        </w:rPr>
      </w:pPr>
      <w:r>
        <w:rPr>
          <w:rFonts w:hint="eastAsia" w:ascii="宋体" w:hAnsi="宋体" w:cs="宋体"/>
          <w:color w:val="auto"/>
          <w:sz w:val="28"/>
          <w:szCs w:val="28"/>
          <w:highlight w:val="none"/>
        </w:rPr>
        <w:t>贷款渠道和提供贷款的金融机构，可在河南省政府采购网“河南省政府采购合同融资平台”查询联系。</w:t>
      </w:r>
    </w:p>
    <w:p w14:paraId="6A3AA7E4">
      <w:pPr>
        <w:widowControl/>
        <w:jc w:val="left"/>
        <w:rPr>
          <w:color w:val="auto"/>
          <w:highlight w:val="none"/>
        </w:rPr>
      </w:pPr>
    </w:p>
    <w:p w14:paraId="11EE4CFD">
      <w:pPr>
        <w:pStyle w:val="32"/>
        <w:rPr>
          <w:color w:val="auto"/>
          <w:highlight w:val="none"/>
        </w:rPr>
      </w:pPr>
    </w:p>
    <w:p w14:paraId="7EB1CE6B">
      <w:pPr>
        <w:pStyle w:val="39"/>
        <w:rPr>
          <w:color w:val="auto"/>
          <w:highlight w:val="none"/>
        </w:rPr>
      </w:pPr>
    </w:p>
    <w:p w14:paraId="50C17B21">
      <w:pPr>
        <w:rPr>
          <w:color w:val="auto"/>
          <w:highlight w:val="none"/>
        </w:rPr>
      </w:pPr>
    </w:p>
    <w:p w14:paraId="1ADBB82F">
      <w:pPr>
        <w:pStyle w:val="39"/>
        <w:rPr>
          <w:color w:val="auto"/>
          <w:highlight w:val="none"/>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E1B93">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0052AD">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380052AD">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F0E5D">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A5D6F5"/>
    <w:multiLevelType w:val="singleLevel"/>
    <w:tmpl w:val="A3A5D6F5"/>
    <w:lvl w:ilvl="0" w:tentative="0">
      <w:start w:val="1"/>
      <w:numFmt w:val="decimal"/>
      <w:suff w:val="space"/>
      <w:lvlText w:val="%1."/>
      <w:lvlJc w:val="left"/>
    </w:lvl>
  </w:abstractNum>
  <w:abstractNum w:abstractNumId="1">
    <w:nsid w:val="DB38D125"/>
    <w:multiLevelType w:val="singleLevel"/>
    <w:tmpl w:val="DB38D125"/>
    <w:lvl w:ilvl="0" w:tentative="0">
      <w:start w:val="6"/>
      <w:numFmt w:val="decimal"/>
      <w:suff w:val="nothing"/>
      <w:lvlText w:val="%1、"/>
      <w:lvlJc w:val="left"/>
    </w:lvl>
  </w:abstractNum>
  <w:abstractNum w:abstractNumId="2">
    <w:nsid w:val="154F2F07"/>
    <w:multiLevelType w:val="multilevel"/>
    <w:tmpl w:val="154F2F07"/>
    <w:lvl w:ilvl="0" w:tentative="0">
      <w:start w:val="1"/>
      <w:numFmt w:val="decimal"/>
      <w:suff w:val="nothing"/>
      <w:lvlText w:val="（%1）"/>
      <w:lvlJc w:val="left"/>
      <w:pPr>
        <w:tabs>
          <w:tab w:val="left" w:pos="0"/>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VlMzJmMjE3MGZkYjEyMmU4Y2E0NzZjMDhkNzc2ODkifQ=="/>
  </w:docVars>
  <w:rsids>
    <w:rsidRoot w:val="00172A27"/>
    <w:rsid w:val="00034957"/>
    <w:rsid w:val="000418DC"/>
    <w:rsid w:val="000545B7"/>
    <w:rsid w:val="0009075B"/>
    <w:rsid w:val="000969AD"/>
    <w:rsid w:val="000F4E37"/>
    <w:rsid w:val="00112E33"/>
    <w:rsid w:val="001252B2"/>
    <w:rsid w:val="00161595"/>
    <w:rsid w:val="00172A27"/>
    <w:rsid w:val="001B5909"/>
    <w:rsid w:val="001B7BD7"/>
    <w:rsid w:val="001F468C"/>
    <w:rsid w:val="00213F35"/>
    <w:rsid w:val="00220516"/>
    <w:rsid w:val="00263299"/>
    <w:rsid w:val="002B67F3"/>
    <w:rsid w:val="003000C2"/>
    <w:rsid w:val="00354E0D"/>
    <w:rsid w:val="003A2CF3"/>
    <w:rsid w:val="003A545A"/>
    <w:rsid w:val="003E228A"/>
    <w:rsid w:val="004106A0"/>
    <w:rsid w:val="00463B12"/>
    <w:rsid w:val="00473964"/>
    <w:rsid w:val="004A3D02"/>
    <w:rsid w:val="004B726F"/>
    <w:rsid w:val="004E75E4"/>
    <w:rsid w:val="00520C5B"/>
    <w:rsid w:val="00554CF7"/>
    <w:rsid w:val="005C408C"/>
    <w:rsid w:val="006303F1"/>
    <w:rsid w:val="00672FA6"/>
    <w:rsid w:val="00694EF8"/>
    <w:rsid w:val="00696396"/>
    <w:rsid w:val="007253B2"/>
    <w:rsid w:val="00744C81"/>
    <w:rsid w:val="00750329"/>
    <w:rsid w:val="007B5BD0"/>
    <w:rsid w:val="007E7569"/>
    <w:rsid w:val="00817532"/>
    <w:rsid w:val="00822975"/>
    <w:rsid w:val="0084023C"/>
    <w:rsid w:val="008578AD"/>
    <w:rsid w:val="00890839"/>
    <w:rsid w:val="008A7D01"/>
    <w:rsid w:val="008C44E3"/>
    <w:rsid w:val="008E2A0E"/>
    <w:rsid w:val="00950240"/>
    <w:rsid w:val="009603FF"/>
    <w:rsid w:val="00962040"/>
    <w:rsid w:val="009A5857"/>
    <w:rsid w:val="009F7E7C"/>
    <w:rsid w:val="00A81E19"/>
    <w:rsid w:val="00A91555"/>
    <w:rsid w:val="00AB2632"/>
    <w:rsid w:val="00B46918"/>
    <w:rsid w:val="00C12280"/>
    <w:rsid w:val="00C152E6"/>
    <w:rsid w:val="00C31D8E"/>
    <w:rsid w:val="00C76E9F"/>
    <w:rsid w:val="00C819C4"/>
    <w:rsid w:val="00CA679E"/>
    <w:rsid w:val="00D06008"/>
    <w:rsid w:val="00D074CA"/>
    <w:rsid w:val="00D23B47"/>
    <w:rsid w:val="00D45F64"/>
    <w:rsid w:val="00D94F52"/>
    <w:rsid w:val="00DA3406"/>
    <w:rsid w:val="00DF36FD"/>
    <w:rsid w:val="00E31EE9"/>
    <w:rsid w:val="00E62B78"/>
    <w:rsid w:val="00E6382D"/>
    <w:rsid w:val="00EB0B9E"/>
    <w:rsid w:val="00ED28DC"/>
    <w:rsid w:val="00EE4DF0"/>
    <w:rsid w:val="00FB7ED9"/>
    <w:rsid w:val="00FD7B65"/>
    <w:rsid w:val="01041216"/>
    <w:rsid w:val="011C7226"/>
    <w:rsid w:val="011E3D92"/>
    <w:rsid w:val="012515C4"/>
    <w:rsid w:val="01305B72"/>
    <w:rsid w:val="0159126E"/>
    <w:rsid w:val="01637BD8"/>
    <w:rsid w:val="016B6039"/>
    <w:rsid w:val="017E0CD4"/>
    <w:rsid w:val="01A164CC"/>
    <w:rsid w:val="01A74ED9"/>
    <w:rsid w:val="01AC3A93"/>
    <w:rsid w:val="01AD39BE"/>
    <w:rsid w:val="01BE5A7A"/>
    <w:rsid w:val="01DF79C5"/>
    <w:rsid w:val="01EE279F"/>
    <w:rsid w:val="01F86CD9"/>
    <w:rsid w:val="02014F2A"/>
    <w:rsid w:val="02104022"/>
    <w:rsid w:val="021138F7"/>
    <w:rsid w:val="02117D9A"/>
    <w:rsid w:val="02364BD2"/>
    <w:rsid w:val="028D7EBF"/>
    <w:rsid w:val="029D518A"/>
    <w:rsid w:val="02BC7D06"/>
    <w:rsid w:val="02D23086"/>
    <w:rsid w:val="02DA4630"/>
    <w:rsid w:val="02E66B31"/>
    <w:rsid w:val="02F13D60"/>
    <w:rsid w:val="02F2197A"/>
    <w:rsid w:val="02F65379"/>
    <w:rsid w:val="03162A63"/>
    <w:rsid w:val="032064E7"/>
    <w:rsid w:val="03305FFE"/>
    <w:rsid w:val="033159DB"/>
    <w:rsid w:val="034321D6"/>
    <w:rsid w:val="03483348"/>
    <w:rsid w:val="035B751F"/>
    <w:rsid w:val="035D7386"/>
    <w:rsid w:val="03625A84"/>
    <w:rsid w:val="0370464D"/>
    <w:rsid w:val="037D1AC0"/>
    <w:rsid w:val="038E7670"/>
    <w:rsid w:val="03906A9D"/>
    <w:rsid w:val="039616C5"/>
    <w:rsid w:val="039A2F9E"/>
    <w:rsid w:val="03A20C7A"/>
    <w:rsid w:val="03A27FAA"/>
    <w:rsid w:val="03A96E17"/>
    <w:rsid w:val="03B46218"/>
    <w:rsid w:val="03B849E7"/>
    <w:rsid w:val="03C06684"/>
    <w:rsid w:val="03CF5817"/>
    <w:rsid w:val="03DE6EEA"/>
    <w:rsid w:val="0400149E"/>
    <w:rsid w:val="040A1845"/>
    <w:rsid w:val="04243DB5"/>
    <w:rsid w:val="044C50BA"/>
    <w:rsid w:val="04625A43"/>
    <w:rsid w:val="048605CC"/>
    <w:rsid w:val="048C1897"/>
    <w:rsid w:val="04974587"/>
    <w:rsid w:val="04AC0E08"/>
    <w:rsid w:val="04F33787"/>
    <w:rsid w:val="051C683A"/>
    <w:rsid w:val="052A53FB"/>
    <w:rsid w:val="05544226"/>
    <w:rsid w:val="056B77C2"/>
    <w:rsid w:val="05731FCD"/>
    <w:rsid w:val="057743B8"/>
    <w:rsid w:val="058C7E64"/>
    <w:rsid w:val="058F34B0"/>
    <w:rsid w:val="05AF3B52"/>
    <w:rsid w:val="05BE3D95"/>
    <w:rsid w:val="0615185F"/>
    <w:rsid w:val="061B4ED3"/>
    <w:rsid w:val="063302DF"/>
    <w:rsid w:val="06383B48"/>
    <w:rsid w:val="064867ED"/>
    <w:rsid w:val="064E336B"/>
    <w:rsid w:val="066D79A8"/>
    <w:rsid w:val="06732DD2"/>
    <w:rsid w:val="068B011B"/>
    <w:rsid w:val="06AB0764"/>
    <w:rsid w:val="06AC0092"/>
    <w:rsid w:val="06AD62E4"/>
    <w:rsid w:val="06B34F7C"/>
    <w:rsid w:val="06B76CEF"/>
    <w:rsid w:val="06C13B3D"/>
    <w:rsid w:val="06C158EB"/>
    <w:rsid w:val="06C37E8D"/>
    <w:rsid w:val="06C61153"/>
    <w:rsid w:val="06C758D4"/>
    <w:rsid w:val="06C76C7A"/>
    <w:rsid w:val="06DC0977"/>
    <w:rsid w:val="06E1204B"/>
    <w:rsid w:val="06F540CA"/>
    <w:rsid w:val="070677A2"/>
    <w:rsid w:val="070954E4"/>
    <w:rsid w:val="07125749"/>
    <w:rsid w:val="072735DA"/>
    <w:rsid w:val="072F6604"/>
    <w:rsid w:val="07302A71"/>
    <w:rsid w:val="07664F46"/>
    <w:rsid w:val="07673310"/>
    <w:rsid w:val="076F6AE2"/>
    <w:rsid w:val="0781058D"/>
    <w:rsid w:val="07834FAC"/>
    <w:rsid w:val="078C05E9"/>
    <w:rsid w:val="08047DDB"/>
    <w:rsid w:val="08395955"/>
    <w:rsid w:val="08412F0D"/>
    <w:rsid w:val="084A1910"/>
    <w:rsid w:val="08590491"/>
    <w:rsid w:val="085B58CB"/>
    <w:rsid w:val="086418D1"/>
    <w:rsid w:val="08843074"/>
    <w:rsid w:val="08A059D4"/>
    <w:rsid w:val="08A62291"/>
    <w:rsid w:val="08BF6C7E"/>
    <w:rsid w:val="08E104C7"/>
    <w:rsid w:val="08E371D4"/>
    <w:rsid w:val="08FB305F"/>
    <w:rsid w:val="09120E73"/>
    <w:rsid w:val="092403B3"/>
    <w:rsid w:val="0925126B"/>
    <w:rsid w:val="097223E4"/>
    <w:rsid w:val="097F0856"/>
    <w:rsid w:val="09976DD7"/>
    <w:rsid w:val="09AF5ECF"/>
    <w:rsid w:val="09DE226D"/>
    <w:rsid w:val="09EF03C8"/>
    <w:rsid w:val="09F71456"/>
    <w:rsid w:val="0A026946"/>
    <w:rsid w:val="0A03621B"/>
    <w:rsid w:val="0A0A475A"/>
    <w:rsid w:val="0A1246B0"/>
    <w:rsid w:val="0A3960E0"/>
    <w:rsid w:val="0A4C0388"/>
    <w:rsid w:val="0A6C3DC0"/>
    <w:rsid w:val="0A77181A"/>
    <w:rsid w:val="0A77527D"/>
    <w:rsid w:val="0A7B2019"/>
    <w:rsid w:val="0A825391"/>
    <w:rsid w:val="0A92134D"/>
    <w:rsid w:val="0A9A38E4"/>
    <w:rsid w:val="0ABD0ABF"/>
    <w:rsid w:val="0AD32091"/>
    <w:rsid w:val="0B0E3B8C"/>
    <w:rsid w:val="0B124EEF"/>
    <w:rsid w:val="0B401175"/>
    <w:rsid w:val="0B487CF5"/>
    <w:rsid w:val="0B4B1C27"/>
    <w:rsid w:val="0B5F56D3"/>
    <w:rsid w:val="0B5F73AF"/>
    <w:rsid w:val="0B624C18"/>
    <w:rsid w:val="0B8E7D66"/>
    <w:rsid w:val="0B974AFD"/>
    <w:rsid w:val="0B974E6D"/>
    <w:rsid w:val="0BC452B6"/>
    <w:rsid w:val="0BD6502D"/>
    <w:rsid w:val="0BDE5C27"/>
    <w:rsid w:val="0BE30887"/>
    <w:rsid w:val="0BED2CDE"/>
    <w:rsid w:val="0BF22EF9"/>
    <w:rsid w:val="0C1001F8"/>
    <w:rsid w:val="0C1B5E46"/>
    <w:rsid w:val="0C360B29"/>
    <w:rsid w:val="0C36141E"/>
    <w:rsid w:val="0C450D6C"/>
    <w:rsid w:val="0C476893"/>
    <w:rsid w:val="0C727688"/>
    <w:rsid w:val="0C78023E"/>
    <w:rsid w:val="0C833643"/>
    <w:rsid w:val="0CA75583"/>
    <w:rsid w:val="0CB67574"/>
    <w:rsid w:val="0CBC6B11"/>
    <w:rsid w:val="0CC53C5B"/>
    <w:rsid w:val="0CDA3846"/>
    <w:rsid w:val="0CFF122E"/>
    <w:rsid w:val="0D0E73B0"/>
    <w:rsid w:val="0D1351A3"/>
    <w:rsid w:val="0D277D54"/>
    <w:rsid w:val="0D3F3A0E"/>
    <w:rsid w:val="0D49663A"/>
    <w:rsid w:val="0D4B23B2"/>
    <w:rsid w:val="0D543EBF"/>
    <w:rsid w:val="0D5B7857"/>
    <w:rsid w:val="0D5D5C42"/>
    <w:rsid w:val="0D60101F"/>
    <w:rsid w:val="0D767F89"/>
    <w:rsid w:val="0D7D62E4"/>
    <w:rsid w:val="0D8C67E5"/>
    <w:rsid w:val="0D9F27A6"/>
    <w:rsid w:val="0DA0684E"/>
    <w:rsid w:val="0DB60512"/>
    <w:rsid w:val="0DB84106"/>
    <w:rsid w:val="0DCC25F5"/>
    <w:rsid w:val="0DE545B5"/>
    <w:rsid w:val="0E100F06"/>
    <w:rsid w:val="0E2A4D50"/>
    <w:rsid w:val="0E342E47"/>
    <w:rsid w:val="0E347DEE"/>
    <w:rsid w:val="0E3C1CFB"/>
    <w:rsid w:val="0E5928AD"/>
    <w:rsid w:val="0E6C3B8A"/>
    <w:rsid w:val="0E6D0107"/>
    <w:rsid w:val="0E7552C3"/>
    <w:rsid w:val="0E78434C"/>
    <w:rsid w:val="0E7B0A75"/>
    <w:rsid w:val="0E862101"/>
    <w:rsid w:val="0E927B6D"/>
    <w:rsid w:val="0E9437E5"/>
    <w:rsid w:val="0E9B1118"/>
    <w:rsid w:val="0E9C09EC"/>
    <w:rsid w:val="0EA224A6"/>
    <w:rsid w:val="0EA33B28"/>
    <w:rsid w:val="0EBF3BBE"/>
    <w:rsid w:val="0ECE5049"/>
    <w:rsid w:val="0ED32FD6"/>
    <w:rsid w:val="0ED92B09"/>
    <w:rsid w:val="0EF96B1B"/>
    <w:rsid w:val="0EFC7A03"/>
    <w:rsid w:val="0F2033CB"/>
    <w:rsid w:val="0F277867"/>
    <w:rsid w:val="0F385A04"/>
    <w:rsid w:val="0F781459"/>
    <w:rsid w:val="0F8E2A2A"/>
    <w:rsid w:val="0F900447"/>
    <w:rsid w:val="0FC4485D"/>
    <w:rsid w:val="0FCD3553"/>
    <w:rsid w:val="0FD50659"/>
    <w:rsid w:val="0FE32D76"/>
    <w:rsid w:val="0FE34B24"/>
    <w:rsid w:val="0FEC4946"/>
    <w:rsid w:val="10046849"/>
    <w:rsid w:val="1011504A"/>
    <w:rsid w:val="101C0036"/>
    <w:rsid w:val="103B4960"/>
    <w:rsid w:val="105E064F"/>
    <w:rsid w:val="10654350"/>
    <w:rsid w:val="10672195"/>
    <w:rsid w:val="106F0166"/>
    <w:rsid w:val="108C615E"/>
    <w:rsid w:val="10953945"/>
    <w:rsid w:val="10961B97"/>
    <w:rsid w:val="10991687"/>
    <w:rsid w:val="10AA2E0E"/>
    <w:rsid w:val="10B160B7"/>
    <w:rsid w:val="10D42E78"/>
    <w:rsid w:val="10FA2C0C"/>
    <w:rsid w:val="10FF173E"/>
    <w:rsid w:val="1102547E"/>
    <w:rsid w:val="110B2711"/>
    <w:rsid w:val="11140D0D"/>
    <w:rsid w:val="11194576"/>
    <w:rsid w:val="112847B9"/>
    <w:rsid w:val="11453ECD"/>
    <w:rsid w:val="115B2DE0"/>
    <w:rsid w:val="11651569"/>
    <w:rsid w:val="116E3312"/>
    <w:rsid w:val="117235B3"/>
    <w:rsid w:val="117874EE"/>
    <w:rsid w:val="117B6FDE"/>
    <w:rsid w:val="1199562A"/>
    <w:rsid w:val="119A3908"/>
    <w:rsid w:val="119C5E35"/>
    <w:rsid w:val="11AC7198"/>
    <w:rsid w:val="11B2320C"/>
    <w:rsid w:val="11C20769"/>
    <w:rsid w:val="11E81ABA"/>
    <w:rsid w:val="11EB2842"/>
    <w:rsid w:val="11EB7CC0"/>
    <w:rsid w:val="11FD5C45"/>
    <w:rsid w:val="12415790"/>
    <w:rsid w:val="125B21A9"/>
    <w:rsid w:val="127FDF87"/>
    <w:rsid w:val="129201D0"/>
    <w:rsid w:val="12955661"/>
    <w:rsid w:val="129739A4"/>
    <w:rsid w:val="12A44951"/>
    <w:rsid w:val="12CE5E1B"/>
    <w:rsid w:val="12E15F22"/>
    <w:rsid w:val="12F727EF"/>
    <w:rsid w:val="12F773AA"/>
    <w:rsid w:val="131B6383"/>
    <w:rsid w:val="131D659F"/>
    <w:rsid w:val="132316DC"/>
    <w:rsid w:val="13382DC7"/>
    <w:rsid w:val="133F61FB"/>
    <w:rsid w:val="13501344"/>
    <w:rsid w:val="13510EEC"/>
    <w:rsid w:val="135E3CB7"/>
    <w:rsid w:val="136175FC"/>
    <w:rsid w:val="13721649"/>
    <w:rsid w:val="13765C8B"/>
    <w:rsid w:val="138F28CD"/>
    <w:rsid w:val="139B36A7"/>
    <w:rsid w:val="139B5716"/>
    <w:rsid w:val="139D323C"/>
    <w:rsid w:val="13BD38DE"/>
    <w:rsid w:val="13C848D4"/>
    <w:rsid w:val="13E7095B"/>
    <w:rsid w:val="13F41F7E"/>
    <w:rsid w:val="13F61681"/>
    <w:rsid w:val="141379EB"/>
    <w:rsid w:val="14156350"/>
    <w:rsid w:val="141C6857"/>
    <w:rsid w:val="14211DF0"/>
    <w:rsid w:val="14307B9A"/>
    <w:rsid w:val="145002AE"/>
    <w:rsid w:val="146B6E96"/>
    <w:rsid w:val="147107B9"/>
    <w:rsid w:val="14754326"/>
    <w:rsid w:val="14A61CE9"/>
    <w:rsid w:val="14AD5152"/>
    <w:rsid w:val="14B4083D"/>
    <w:rsid w:val="14BC76F2"/>
    <w:rsid w:val="14C36137"/>
    <w:rsid w:val="14D57B21"/>
    <w:rsid w:val="150A4901"/>
    <w:rsid w:val="150C54BA"/>
    <w:rsid w:val="15175270"/>
    <w:rsid w:val="152D239E"/>
    <w:rsid w:val="15431BC1"/>
    <w:rsid w:val="15712BD2"/>
    <w:rsid w:val="15782E5E"/>
    <w:rsid w:val="15783497"/>
    <w:rsid w:val="15836462"/>
    <w:rsid w:val="15AB3FB2"/>
    <w:rsid w:val="15AC7C19"/>
    <w:rsid w:val="15AD7FB9"/>
    <w:rsid w:val="15BF56EC"/>
    <w:rsid w:val="15C40F54"/>
    <w:rsid w:val="15DE5DC9"/>
    <w:rsid w:val="15E93B2F"/>
    <w:rsid w:val="15FA489C"/>
    <w:rsid w:val="15FD4466"/>
    <w:rsid w:val="16175528"/>
    <w:rsid w:val="162714E3"/>
    <w:rsid w:val="16325248"/>
    <w:rsid w:val="16453A31"/>
    <w:rsid w:val="1653052A"/>
    <w:rsid w:val="165D2C28"/>
    <w:rsid w:val="16663DB9"/>
    <w:rsid w:val="167D6051"/>
    <w:rsid w:val="167E696F"/>
    <w:rsid w:val="168E33BC"/>
    <w:rsid w:val="16EA14E8"/>
    <w:rsid w:val="16EC2EBB"/>
    <w:rsid w:val="1706734A"/>
    <w:rsid w:val="17171557"/>
    <w:rsid w:val="171F21BA"/>
    <w:rsid w:val="17494458"/>
    <w:rsid w:val="176A6226"/>
    <w:rsid w:val="176F119F"/>
    <w:rsid w:val="177366C3"/>
    <w:rsid w:val="17971FAD"/>
    <w:rsid w:val="179E17D6"/>
    <w:rsid w:val="17AA0418"/>
    <w:rsid w:val="17D262FB"/>
    <w:rsid w:val="17D73561"/>
    <w:rsid w:val="17F11DA8"/>
    <w:rsid w:val="17F51899"/>
    <w:rsid w:val="180B10BC"/>
    <w:rsid w:val="18100480"/>
    <w:rsid w:val="181066D2"/>
    <w:rsid w:val="181A1524"/>
    <w:rsid w:val="182B52BA"/>
    <w:rsid w:val="184150FD"/>
    <w:rsid w:val="185D4159"/>
    <w:rsid w:val="18602A8A"/>
    <w:rsid w:val="18756535"/>
    <w:rsid w:val="187F410D"/>
    <w:rsid w:val="18833D8C"/>
    <w:rsid w:val="18852354"/>
    <w:rsid w:val="188D07EF"/>
    <w:rsid w:val="189A2440"/>
    <w:rsid w:val="18A021C4"/>
    <w:rsid w:val="18B828C6"/>
    <w:rsid w:val="18BA2CE9"/>
    <w:rsid w:val="18CD45C3"/>
    <w:rsid w:val="18E216F1"/>
    <w:rsid w:val="18FC079D"/>
    <w:rsid w:val="19224EDD"/>
    <w:rsid w:val="19292DF4"/>
    <w:rsid w:val="19436634"/>
    <w:rsid w:val="19462E10"/>
    <w:rsid w:val="194B6B86"/>
    <w:rsid w:val="196B16E7"/>
    <w:rsid w:val="19720CC7"/>
    <w:rsid w:val="1977008B"/>
    <w:rsid w:val="19832ED4"/>
    <w:rsid w:val="19854595"/>
    <w:rsid w:val="199B3BE4"/>
    <w:rsid w:val="19A05834"/>
    <w:rsid w:val="19C84D8B"/>
    <w:rsid w:val="19DB4112"/>
    <w:rsid w:val="19DE010A"/>
    <w:rsid w:val="1A205092"/>
    <w:rsid w:val="1A266185"/>
    <w:rsid w:val="1A400DC5"/>
    <w:rsid w:val="1A450189"/>
    <w:rsid w:val="1A552578"/>
    <w:rsid w:val="1A5E7C33"/>
    <w:rsid w:val="1A720D6D"/>
    <w:rsid w:val="1A8B7228"/>
    <w:rsid w:val="1ABD2416"/>
    <w:rsid w:val="1AD804B9"/>
    <w:rsid w:val="1AE71AD9"/>
    <w:rsid w:val="1AF35E37"/>
    <w:rsid w:val="1B0606ED"/>
    <w:rsid w:val="1B093E10"/>
    <w:rsid w:val="1B117088"/>
    <w:rsid w:val="1B1919F5"/>
    <w:rsid w:val="1B375D24"/>
    <w:rsid w:val="1B397CEE"/>
    <w:rsid w:val="1B5B0DB9"/>
    <w:rsid w:val="1B7725C5"/>
    <w:rsid w:val="1B776A68"/>
    <w:rsid w:val="1B9A2F54"/>
    <w:rsid w:val="1BCA6B98"/>
    <w:rsid w:val="1C097BD5"/>
    <w:rsid w:val="1C200EAE"/>
    <w:rsid w:val="1C2E0FB7"/>
    <w:rsid w:val="1C4701E9"/>
    <w:rsid w:val="1C4E0B38"/>
    <w:rsid w:val="1C5B1EE6"/>
    <w:rsid w:val="1C672639"/>
    <w:rsid w:val="1C817B9F"/>
    <w:rsid w:val="1C943607"/>
    <w:rsid w:val="1C961F5B"/>
    <w:rsid w:val="1C98798D"/>
    <w:rsid w:val="1CAD2F68"/>
    <w:rsid w:val="1CBF0D82"/>
    <w:rsid w:val="1CBF4223"/>
    <w:rsid w:val="1CC74D2A"/>
    <w:rsid w:val="1CD777BF"/>
    <w:rsid w:val="1CDF08B4"/>
    <w:rsid w:val="1D14783F"/>
    <w:rsid w:val="1D152095"/>
    <w:rsid w:val="1D1F4CC2"/>
    <w:rsid w:val="1D210A3A"/>
    <w:rsid w:val="1D2E1F25"/>
    <w:rsid w:val="1D4F16F8"/>
    <w:rsid w:val="1D5E3A3C"/>
    <w:rsid w:val="1D73644C"/>
    <w:rsid w:val="1D7671A5"/>
    <w:rsid w:val="1D7F1C04"/>
    <w:rsid w:val="1D940AC8"/>
    <w:rsid w:val="1DB00D8D"/>
    <w:rsid w:val="1DCB4E4A"/>
    <w:rsid w:val="1DD261D8"/>
    <w:rsid w:val="1DDD39A3"/>
    <w:rsid w:val="1DF575C7"/>
    <w:rsid w:val="1DF80998"/>
    <w:rsid w:val="1E005A8E"/>
    <w:rsid w:val="1E2210EC"/>
    <w:rsid w:val="1E350B91"/>
    <w:rsid w:val="1E556CA9"/>
    <w:rsid w:val="1E605592"/>
    <w:rsid w:val="1E890F8D"/>
    <w:rsid w:val="1EA062D6"/>
    <w:rsid w:val="1EB8717C"/>
    <w:rsid w:val="1EDD3086"/>
    <w:rsid w:val="1EE066D3"/>
    <w:rsid w:val="1EF0174A"/>
    <w:rsid w:val="1EF76541"/>
    <w:rsid w:val="1EFEC258"/>
    <w:rsid w:val="1F132604"/>
    <w:rsid w:val="1F240CB5"/>
    <w:rsid w:val="1F4957F0"/>
    <w:rsid w:val="1F5C3FAB"/>
    <w:rsid w:val="1F645AA5"/>
    <w:rsid w:val="1F667C26"/>
    <w:rsid w:val="1F792FB7"/>
    <w:rsid w:val="1F8317EF"/>
    <w:rsid w:val="1FAF762F"/>
    <w:rsid w:val="1FB738D7"/>
    <w:rsid w:val="1FB931AC"/>
    <w:rsid w:val="1FBC0EEE"/>
    <w:rsid w:val="1FEC17D3"/>
    <w:rsid w:val="1FFC1CAB"/>
    <w:rsid w:val="20092124"/>
    <w:rsid w:val="203B1E13"/>
    <w:rsid w:val="206F416E"/>
    <w:rsid w:val="2080016D"/>
    <w:rsid w:val="208357A8"/>
    <w:rsid w:val="208A05B3"/>
    <w:rsid w:val="208F2908"/>
    <w:rsid w:val="20A17954"/>
    <w:rsid w:val="20A26336"/>
    <w:rsid w:val="20A57BD4"/>
    <w:rsid w:val="20AC2D10"/>
    <w:rsid w:val="20C341FC"/>
    <w:rsid w:val="20D02EA3"/>
    <w:rsid w:val="20DB1848"/>
    <w:rsid w:val="20ED342F"/>
    <w:rsid w:val="20F052F3"/>
    <w:rsid w:val="20F326ED"/>
    <w:rsid w:val="21022930"/>
    <w:rsid w:val="2107518F"/>
    <w:rsid w:val="211B39F2"/>
    <w:rsid w:val="21201AD6"/>
    <w:rsid w:val="21325751"/>
    <w:rsid w:val="21360800"/>
    <w:rsid w:val="21470C8B"/>
    <w:rsid w:val="21537780"/>
    <w:rsid w:val="21562C7C"/>
    <w:rsid w:val="217C0935"/>
    <w:rsid w:val="218062BF"/>
    <w:rsid w:val="21843C8D"/>
    <w:rsid w:val="21A34113"/>
    <w:rsid w:val="21AD0AEE"/>
    <w:rsid w:val="21B5056A"/>
    <w:rsid w:val="21C37EA6"/>
    <w:rsid w:val="21C422DC"/>
    <w:rsid w:val="21C633F0"/>
    <w:rsid w:val="21CE03AD"/>
    <w:rsid w:val="21DB1036"/>
    <w:rsid w:val="21DF2C72"/>
    <w:rsid w:val="21F77FBB"/>
    <w:rsid w:val="21FC3824"/>
    <w:rsid w:val="22123047"/>
    <w:rsid w:val="222C4A21"/>
    <w:rsid w:val="223643DF"/>
    <w:rsid w:val="224F6049"/>
    <w:rsid w:val="225B679C"/>
    <w:rsid w:val="22906CF9"/>
    <w:rsid w:val="229323DA"/>
    <w:rsid w:val="229D5007"/>
    <w:rsid w:val="22A95919"/>
    <w:rsid w:val="22B97967"/>
    <w:rsid w:val="22C95DFC"/>
    <w:rsid w:val="22D11B18"/>
    <w:rsid w:val="22E83DA8"/>
    <w:rsid w:val="22F94CC3"/>
    <w:rsid w:val="22FB05B6"/>
    <w:rsid w:val="230230BC"/>
    <w:rsid w:val="23130E25"/>
    <w:rsid w:val="23156444"/>
    <w:rsid w:val="231A2735"/>
    <w:rsid w:val="231F6A45"/>
    <w:rsid w:val="233D5A7C"/>
    <w:rsid w:val="234E00AF"/>
    <w:rsid w:val="2369313B"/>
    <w:rsid w:val="23721DF1"/>
    <w:rsid w:val="2383244E"/>
    <w:rsid w:val="238D507B"/>
    <w:rsid w:val="238E0DF3"/>
    <w:rsid w:val="23AB3753"/>
    <w:rsid w:val="23C44815"/>
    <w:rsid w:val="23CC6729"/>
    <w:rsid w:val="23D305B4"/>
    <w:rsid w:val="23D83E1C"/>
    <w:rsid w:val="23EB000D"/>
    <w:rsid w:val="23ED3D6C"/>
    <w:rsid w:val="23EE53EE"/>
    <w:rsid w:val="23F00CA3"/>
    <w:rsid w:val="23F92930"/>
    <w:rsid w:val="24081020"/>
    <w:rsid w:val="240E6D64"/>
    <w:rsid w:val="241430A6"/>
    <w:rsid w:val="242B03F0"/>
    <w:rsid w:val="244032E4"/>
    <w:rsid w:val="24550339"/>
    <w:rsid w:val="24794ABC"/>
    <w:rsid w:val="247E4746"/>
    <w:rsid w:val="2485503C"/>
    <w:rsid w:val="24A02B8C"/>
    <w:rsid w:val="24B30B11"/>
    <w:rsid w:val="24C23163"/>
    <w:rsid w:val="24CA5B3A"/>
    <w:rsid w:val="251A3E4A"/>
    <w:rsid w:val="251C789E"/>
    <w:rsid w:val="257C53A7"/>
    <w:rsid w:val="25AF4EDF"/>
    <w:rsid w:val="25B252C4"/>
    <w:rsid w:val="25BF7042"/>
    <w:rsid w:val="25C5032F"/>
    <w:rsid w:val="25D30D3F"/>
    <w:rsid w:val="25DC7BF4"/>
    <w:rsid w:val="25E847EB"/>
    <w:rsid w:val="25F3318F"/>
    <w:rsid w:val="25FB7465"/>
    <w:rsid w:val="2605498B"/>
    <w:rsid w:val="261D5D35"/>
    <w:rsid w:val="26322643"/>
    <w:rsid w:val="263961BD"/>
    <w:rsid w:val="263A7E00"/>
    <w:rsid w:val="264A1001"/>
    <w:rsid w:val="264F7292"/>
    <w:rsid w:val="267322E0"/>
    <w:rsid w:val="268D0EEE"/>
    <w:rsid w:val="269D6920"/>
    <w:rsid w:val="269F1BCA"/>
    <w:rsid w:val="26A320C1"/>
    <w:rsid w:val="26A8264D"/>
    <w:rsid w:val="26AA1B3B"/>
    <w:rsid w:val="26CB24F5"/>
    <w:rsid w:val="26CD1C32"/>
    <w:rsid w:val="26D11723"/>
    <w:rsid w:val="26F37399"/>
    <w:rsid w:val="272A2BE1"/>
    <w:rsid w:val="274041B2"/>
    <w:rsid w:val="274176DD"/>
    <w:rsid w:val="276274D0"/>
    <w:rsid w:val="27693709"/>
    <w:rsid w:val="27787767"/>
    <w:rsid w:val="277F2F2D"/>
    <w:rsid w:val="27873B8F"/>
    <w:rsid w:val="27B70919"/>
    <w:rsid w:val="27BC0403"/>
    <w:rsid w:val="27BF3329"/>
    <w:rsid w:val="27D9565A"/>
    <w:rsid w:val="27E849D0"/>
    <w:rsid w:val="27FE61E0"/>
    <w:rsid w:val="28016B4E"/>
    <w:rsid w:val="280F37BA"/>
    <w:rsid w:val="28156C49"/>
    <w:rsid w:val="28247365"/>
    <w:rsid w:val="282D521C"/>
    <w:rsid w:val="28433954"/>
    <w:rsid w:val="28B058EF"/>
    <w:rsid w:val="28BD2100"/>
    <w:rsid w:val="28CA467C"/>
    <w:rsid w:val="28D177B8"/>
    <w:rsid w:val="28D76D98"/>
    <w:rsid w:val="28DD136B"/>
    <w:rsid w:val="28F77EB5"/>
    <w:rsid w:val="28FB3ED4"/>
    <w:rsid w:val="29115E06"/>
    <w:rsid w:val="2919544E"/>
    <w:rsid w:val="291D29FD"/>
    <w:rsid w:val="2944442E"/>
    <w:rsid w:val="29727A8E"/>
    <w:rsid w:val="297B3BC8"/>
    <w:rsid w:val="29982084"/>
    <w:rsid w:val="29AC3D81"/>
    <w:rsid w:val="29B07417"/>
    <w:rsid w:val="29C94933"/>
    <w:rsid w:val="29C966E1"/>
    <w:rsid w:val="29CF181E"/>
    <w:rsid w:val="29D96C31"/>
    <w:rsid w:val="29DB6414"/>
    <w:rsid w:val="29F92976"/>
    <w:rsid w:val="2A070FB7"/>
    <w:rsid w:val="2A133E00"/>
    <w:rsid w:val="2A1B05EA"/>
    <w:rsid w:val="2A1D614B"/>
    <w:rsid w:val="2A2C0A1E"/>
    <w:rsid w:val="2A337FFE"/>
    <w:rsid w:val="2A481CFC"/>
    <w:rsid w:val="2A4B17EC"/>
    <w:rsid w:val="2A506E02"/>
    <w:rsid w:val="2A554419"/>
    <w:rsid w:val="2A5D7292"/>
    <w:rsid w:val="2A6E6B76"/>
    <w:rsid w:val="2A922F77"/>
    <w:rsid w:val="2A946422"/>
    <w:rsid w:val="2A9D36CA"/>
    <w:rsid w:val="2AAA3BF6"/>
    <w:rsid w:val="2ABB774C"/>
    <w:rsid w:val="2AC11AAE"/>
    <w:rsid w:val="2AEC14D5"/>
    <w:rsid w:val="2AF015D1"/>
    <w:rsid w:val="2B0767F0"/>
    <w:rsid w:val="2B083239"/>
    <w:rsid w:val="2B0A496F"/>
    <w:rsid w:val="2B1716CE"/>
    <w:rsid w:val="2B797C93"/>
    <w:rsid w:val="2B7B1C5D"/>
    <w:rsid w:val="2B8C74A8"/>
    <w:rsid w:val="2BAB7DC3"/>
    <w:rsid w:val="2BBC40AF"/>
    <w:rsid w:val="2BD3135B"/>
    <w:rsid w:val="2BDD46C6"/>
    <w:rsid w:val="2BE617CC"/>
    <w:rsid w:val="2BFD7DB0"/>
    <w:rsid w:val="2C1236E4"/>
    <w:rsid w:val="2C3D69B2"/>
    <w:rsid w:val="2C6401BF"/>
    <w:rsid w:val="2C7F78F6"/>
    <w:rsid w:val="2CA741A0"/>
    <w:rsid w:val="2CBD526B"/>
    <w:rsid w:val="2CD74B8C"/>
    <w:rsid w:val="2CDA3122"/>
    <w:rsid w:val="2CE04825"/>
    <w:rsid w:val="2CE453B8"/>
    <w:rsid w:val="2CF33A75"/>
    <w:rsid w:val="2D047A30"/>
    <w:rsid w:val="2D095047"/>
    <w:rsid w:val="2D216834"/>
    <w:rsid w:val="2D295BF4"/>
    <w:rsid w:val="2D315717"/>
    <w:rsid w:val="2D3E07E1"/>
    <w:rsid w:val="2D3E1194"/>
    <w:rsid w:val="2D4B6ECC"/>
    <w:rsid w:val="2D76092E"/>
    <w:rsid w:val="2D77117A"/>
    <w:rsid w:val="2D870D8D"/>
    <w:rsid w:val="2D8A4948"/>
    <w:rsid w:val="2D936FC9"/>
    <w:rsid w:val="2D9B65E7"/>
    <w:rsid w:val="2DB74896"/>
    <w:rsid w:val="2DBE22D5"/>
    <w:rsid w:val="2DC20777"/>
    <w:rsid w:val="2DC378EB"/>
    <w:rsid w:val="2DD51FBA"/>
    <w:rsid w:val="2DF45CF7"/>
    <w:rsid w:val="2E053A60"/>
    <w:rsid w:val="2E057F04"/>
    <w:rsid w:val="2E496043"/>
    <w:rsid w:val="2E4B1DBB"/>
    <w:rsid w:val="2E6022F4"/>
    <w:rsid w:val="2E610538"/>
    <w:rsid w:val="2E64195E"/>
    <w:rsid w:val="2E7F7CB6"/>
    <w:rsid w:val="2E9378A0"/>
    <w:rsid w:val="2E980D78"/>
    <w:rsid w:val="2EA4771D"/>
    <w:rsid w:val="2EBA6F40"/>
    <w:rsid w:val="2ED00512"/>
    <w:rsid w:val="2ED8486D"/>
    <w:rsid w:val="2EE23DA1"/>
    <w:rsid w:val="2F0D52C2"/>
    <w:rsid w:val="2F177EEF"/>
    <w:rsid w:val="2F236894"/>
    <w:rsid w:val="2F242FD5"/>
    <w:rsid w:val="2F2924A1"/>
    <w:rsid w:val="2F364819"/>
    <w:rsid w:val="2F3D2EE2"/>
    <w:rsid w:val="2F452CAE"/>
    <w:rsid w:val="2F4767F8"/>
    <w:rsid w:val="2F656EAC"/>
    <w:rsid w:val="2F884949"/>
    <w:rsid w:val="2F994D8C"/>
    <w:rsid w:val="2FF2129F"/>
    <w:rsid w:val="300A1801"/>
    <w:rsid w:val="303055A0"/>
    <w:rsid w:val="30496CFD"/>
    <w:rsid w:val="304A60A2"/>
    <w:rsid w:val="304C67C6"/>
    <w:rsid w:val="305C6361"/>
    <w:rsid w:val="307F5D4C"/>
    <w:rsid w:val="30B55C5E"/>
    <w:rsid w:val="30E307C4"/>
    <w:rsid w:val="30F178EC"/>
    <w:rsid w:val="30F93D50"/>
    <w:rsid w:val="31102E48"/>
    <w:rsid w:val="3118764E"/>
    <w:rsid w:val="31410B53"/>
    <w:rsid w:val="316513E5"/>
    <w:rsid w:val="31707A72"/>
    <w:rsid w:val="31B605DF"/>
    <w:rsid w:val="31E0281A"/>
    <w:rsid w:val="31EB11BF"/>
    <w:rsid w:val="32004C6A"/>
    <w:rsid w:val="320B64DD"/>
    <w:rsid w:val="32144BB9"/>
    <w:rsid w:val="32314A42"/>
    <w:rsid w:val="3237795F"/>
    <w:rsid w:val="3240150B"/>
    <w:rsid w:val="32535ADA"/>
    <w:rsid w:val="3270215C"/>
    <w:rsid w:val="327D5E32"/>
    <w:rsid w:val="32943E85"/>
    <w:rsid w:val="32D22AAA"/>
    <w:rsid w:val="32D3237F"/>
    <w:rsid w:val="32EB3B6C"/>
    <w:rsid w:val="32F04CDF"/>
    <w:rsid w:val="32F13002"/>
    <w:rsid w:val="330C201A"/>
    <w:rsid w:val="33124B92"/>
    <w:rsid w:val="331B12E0"/>
    <w:rsid w:val="331B68CE"/>
    <w:rsid w:val="331E53BF"/>
    <w:rsid w:val="333102EF"/>
    <w:rsid w:val="333948D8"/>
    <w:rsid w:val="33476B0E"/>
    <w:rsid w:val="334F40FB"/>
    <w:rsid w:val="33552D94"/>
    <w:rsid w:val="33702581"/>
    <w:rsid w:val="338A7955"/>
    <w:rsid w:val="338D69D1"/>
    <w:rsid w:val="3392129A"/>
    <w:rsid w:val="33B73A4E"/>
    <w:rsid w:val="33E45593"/>
    <w:rsid w:val="33F56325"/>
    <w:rsid w:val="33FE28AB"/>
    <w:rsid w:val="34041AC7"/>
    <w:rsid w:val="34052A0C"/>
    <w:rsid w:val="341B3FDD"/>
    <w:rsid w:val="34246895"/>
    <w:rsid w:val="342C78C7"/>
    <w:rsid w:val="34362BC5"/>
    <w:rsid w:val="34433F05"/>
    <w:rsid w:val="3458408E"/>
    <w:rsid w:val="34756830"/>
    <w:rsid w:val="34842A78"/>
    <w:rsid w:val="34967B08"/>
    <w:rsid w:val="349B40FC"/>
    <w:rsid w:val="349B6ECC"/>
    <w:rsid w:val="34A02734"/>
    <w:rsid w:val="34A30175"/>
    <w:rsid w:val="34AB35B3"/>
    <w:rsid w:val="34AF3CF0"/>
    <w:rsid w:val="34CA75C7"/>
    <w:rsid w:val="34F66E4B"/>
    <w:rsid w:val="351F4753"/>
    <w:rsid w:val="35396D05"/>
    <w:rsid w:val="356E11CF"/>
    <w:rsid w:val="357D65D2"/>
    <w:rsid w:val="358856A2"/>
    <w:rsid w:val="358F4C83"/>
    <w:rsid w:val="3590253F"/>
    <w:rsid w:val="359155B1"/>
    <w:rsid w:val="359A7184"/>
    <w:rsid w:val="35B2271F"/>
    <w:rsid w:val="35B92BDE"/>
    <w:rsid w:val="35CD1307"/>
    <w:rsid w:val="35E76410"/>
    <w:rsid w:val="35F965A0"/>
    <w:rsid w:val="36352B3E"/>
    <w:rsid w:val="36435A6D"/>
    <w:rsid w:val="36835E6A"/>
    <w:rsid w:val="369368B8"/>
    <w:rsid w:val="36B349A1"/>
    <w:rsid w:val="36B81FB7"/>
    <w:rsid w:val="36BD312A"/>
    <w:rsid w:val="36D6243D"/>
    <w:rsid w:val="36E21F6A"/>
    <w:rsid w:val="37046FAB"/>
    <w:rsid w:val="37075AA3"/>
    <w:rsid w:val="375266A3"/>
    <w:rsid w:val="37557806"/>
    <w:rsid w:val="375A306E"/>
    <w:rsid w:val="37702140"/>
    <w:rsid w:val="377E4F02"/>
    <w:rsid w:val="37FB65FF"/>
    <w:rsid w:val="38034CAF"/>
    <w:rsid w:val="38097CF5"/>
    <w:rsid w:val="381948A5"/>
    <w:rsid w:val="38237475"/>
    <w:rsid w:val="382C24AB"/>
    <w:rsid w:val="382F44FB"/>
    <w:rsid w:val="383218F5"/>
    <w:rsid w:val="385A007E"/>
    <w:rsid w:val="385D6796"/>
    <w:rsid w:val="38815A6C"/>
    <w:rsid w:val="388C1256"/>
    <w:rsid w:val="388F0AF6"/>
    <w:rsid w:val="38983E4E"/>
    <w:rsid w:val="38BF587F"/>
    <w:rsid w:val="38DB3D3B"/>
    <w:rsid w:val="38DB6AAA"/>
    <w:rsid w:val="38E44374"/>
    <w:rsid w:val="38E5105E"/>
    <w:rsid w:val="38EA6674"/>
    <w:rsid w:val="38F0200D"/>
    <w:rsid w:val="396E6FB5"/>
    <w:rsid w:val="39B12A88"/>
    <w:rsid w:val="39B747A8"/>
    <w:rsid w:val="39CC0365"/>
    <w:rsid w:val="39D709A6"/>
    <w:rsid w:val="39DE1D35"/>
    <w:rsid w:val="39F94DC1"/>
    <w:rsid w:val="39FE5559"/>
    <w:rsid w:val="3A296D28"/>
    <w:rsid w:val="3A4E0557"/>
    <w:rsid w:val="3A6A19FB"/>
    <w:rsid w:val="3A84435F"/>
    <w:rsid w:val="3A876884"/>
    <w:rsid w:val="3A8C0A4A"/>
    <w:rsid w:val="3A960861"/>
    <w:rsid w:val="3A9755A9"/>
    <w:rsid w:val="3A9A5240"/>
    <w:rsid w:val="3AAC26D9"/>
    <w:rsid w:val="3AC56413"/>
    <w:rsid w:val="3ACA6E04"/>
    <w:rsid w:val="3AF2711D"/>
    <w:rsid w:val="3AFF03DB"/>
    <w:rsid w:val="3B003F2D"/>
    <w:rsid w:val="3B032C8D"/>
    <w:rsid w:val="3B11613A"/>
    <w:rsid w:val="3B2220F5"/>
    <w:rsid w:val="3B342CC3"/>
    <w:rsid w:val="3B3B6167"/>
    <w:rsid w:val="3B451BF4"/>
    <w:rsid w:val="3B516536"/>
    <w:rsid w:val="3B781D15"/>
    <w:rsid w:val="3B900F16"/>
    <w:rsid w:val="3BB50387"/>
    <w:rsid w:val="3BC433D9"/>
    <w:rsid w:val="3BD86275"/>
    <w:rsid w:val="3BEC625F"/>
    <w:rsid w:val="3BFD046C"/>
    <w:rsid w:val="3C0417FB"/>
    <w:rsid w:val="3C097582"/>
    <w:rsid w:val="3C196B5E"/>
    <w:rsid w:val="3C1C0895"/>
    <w:rsid w:val="3C395948"/>
    <w:rsid w:val="3C4A1903"/>
    <w:rsid w:val="3C5C1637"/>
    <w:rsid w:val="3C81292C"/>
    <w:rsid w:val="3C8446EA"/>
    <w:rsid w:val="3C8F37BA"/>
    <w:rsid w:val="3CA27762"/>
    <w:rsid w:val="3CCF1E09"/>
    <w:rsid w:val="3CED228F"/>
    <w:rsid w:val="3D121CF5"/>
    <w:rsid w:val="3D1E68EC"/>
    <w:rsid w:val="3D1F532A"/>
    <w:rsid w:val="3D2B67D5"/>
    <w:rsid w:val="3D324146"/>
    <w:rsid w:val="3D35635B"/>
    <w:rsid w:val="3D4721F7"/>
    <w:rsid w:val="3D765342"/>
    <w:rsid w:val="3D76749F"/>
    <w:rsid w:val="3D7D258C"/>
    <w:rsid w:val="3D87623F"/>
    <w:rsid w:val="3DA72FF0"/>
    <w:rsid w:val="3DA74BAD"/>
    <w:rsid w:val="3DA91EB2"/>
    <w:rsid w:val="3DBB4F53"/>
    <w:rsid w:val="3DBF4855"/>
    <w:rsid w:val="3DCE0312"/>
    <w:rsid w:val="3DE23DBE"/>
    <w:rsid w:val="3DE52B1A"/>
    <w:rsid w:val="3DEA1981"/>
    <w:rsid w:val="3E085F2F"/>
    <w:rsid w:val="3E194B2A"/>
    <w:rsid w:val="3E1A5306"/>
    <w:rsid w:val="3E2E7003"/>
    <w:rsid w:val="3E3356A5"/>
    <w:rsid w:val="3E416D36"/>
    <w:rsid w:val="3E482CD6"/>
    <w:rsid w:val="3E4D5A93"/>
    <w:rsid w:val="3E584405"/>
    <w:rsid w:val="3E6B63FA"/>
    <w:rsid w:val="3E6F5651"/>
    <w:rsid w:val="3E9078C4"/>
    <w:rsid w:val="3EA35D19"/>
    <w:rsid w:val="3EBC025E"/>
    <w:rsid w:val="3EC15781"/>
    <w:rsid w:val="3EC56DB4"/>
    <w:rsid w:val="3ECF4446"/>
    <w:rsid w:val="3EE31B9B"/>
    <w:rsid w:val="3EE6343A"/>
    <w:rsid w:val="3F2D60E8"/>
    <w:rsid w:val="3F312907"/>
    <w:rsid w:val="3F3348D1"/>
    <w:rsid w:val="3F3641D6"/>
    <w:rsid w:val="3F395C5F"/>
    <w:rsid w:val="3F3F36A7"/>
    <w:rsid w:val="3F513F7A"/>
    <w:rsid w:val="3F6067AD"/>
    <w:rsid w:val="3F7848EB"/>
    <w:rsid w:val="3F890995"/>
    <w:rsid w:val="3F963603"/>
    <w:rsid w:val="3FB00BB9"/>
    <w:rsid w:val="3FB36478"/>
    <w:rsid w:val="3FBE7F13"/>
    <w:rsid w:val="3FC67328"/>
    <w:rsid w:val="3FDD483D"/>
    <w:rsid w:val="3FF4450C"/>
    <w:rsid w:val="3FF73B50"/>
    <w:rsid w:val="400E2C48"/>
    <w:rsid w:val="40235AB6"/>
    <w:rsid w:val="40351191"/>
    <w:rsid w:val="404E573A"/>
    <w:rsid w:val="40552625"/>
    <w:rsid w:val="40567C2B"/>
    <w:rsid w:val="4083624B"/>
    <w:rsid w:val="408D6263"/>
    <w:rsid w:val="4090619B"/>
    <w:rsid w:val="40921BA4"/>
    <w:rsid w:val="40A435AC"/>
    <w:rsid w:val="40A62E81"/>
    <w:rsid w:val="40D828DA"/>
    <w:rsid w:val="40E33C5C"/>
    <w:rsid w:val="40EA5463"/>
    <w:rsid w:val="40F74083"/>
    <w:rsid w:val="412D70FE"/>
    <w:rsid w:val="41390199"/>
    <w:rsid w:val="4148218A"/>
    <w:rsid w:val="416A449C"/>
    <w:rsid w:val="416D399E"/>
    <w:rsid w:val="417A3584"/>
    <w:rsid w:val="41983A9F"/>
    <w:rsid w:val="41A61C9B"/>
    <w:rsid w:val="41C95B88"/>
    <w:rsid w:val="41D24430"/>
    <w:rsid w:val="41D57EC1"/>
    <w:rsid w:val="41DF489C"/>
    <w:rsid w:val="41F320F5"/>
    <w:rsid w:val="41FC6490"/>
    <w:rsid w:val="41FE2170"/>
    <w:rsid w:val="42024A2E"/>
    <w:rsid w:val="420267DC"/>
    <w:rsid w:val="420F4A55"/>
    <w:rsid w:val="42147BB1"/>
    <w:rsid w:val="42276243"/>
    <w:rsid w:val="422E75D1"/>
    <w:rsid w:val="423D5A66"/>
    <w:rsid w:val="423F305C"/>
    <w:rsid w:val="424B1F31"/>
    <w:rsid w:val="426018CC"/>
    <w:rsid w:val="42615609"/>
    <w:rsid w:val="427F1BDB"/>
    <w:rsid w:val="427F607F"/>
    <w:rsid w:val="42870A90"/>
    <w:rsid w:val="42975177"/>
    <w:rsid w:val="42B016E9"/>
    <w:rsid w:val="42CC60D2"/>
    <w:rsid w:val="42D53C5B"/>
    <w:rsid w:val="42DE593E"/>
    <w:rsid w:val="42F779C3"/>
    <w:rsid w:val="42FF4E6B"/>
    <w:rsid w:val="43231A39"/>
    <w:rsid w:val="432664FB"/>
    <w:rsid w:val="436C532A"/>
    <w:rsid w:val="43827BD5"/>
    <w:rsid w:val="43963AF3"/>
    <w:rsid w:val="43A23C04"/>
    <w:rsid w:val="43B92ECB"/>
    <w:rsid w:val="43CE2E1A"/>
    <w:rsid w:val="447A4D50"/>
    <w:rsid w:val="44B251E3"/>
    <w:rsid w:val="44CB1108"/>
    <w:rsid w:val="44D70C16"/>
    <w:rsid w:val="44ED5522"/>
    <w:rsid w:val="44ED72D0"/>
    <w:rsid w:val="44EE2D8E"/>
    <w:rsid w:val="450268B9"/>
    <w:rsid w:val="45090FCA"/>
    <w:rsid w:val="451A208F"/>
    <w:rsid w:val="45214425"/>
    <w:rsid w:val="45232CF2"/>
    <w:rsid w:val="453749EF"/>
    <w:rsid w:val="45435142"/>
    <w:rsid w:val="456C7BDC"/>
    <w:rsid w:val="4573786A"/>
    <w:rsid w:val="457B0D80"/>
    <w:rsid w:val="457C4AF8"/>
    <w:rsid w:val="45967968"/>
    <w:rsid w:val="45A554D2"/>
    <w:rsid w:val="45B147C7"/>
    <w:rsid w:val="45CC5137"/>
    <w:rsid w:val="45E561F9"/>
    <w:rsid w:val="45F716A6"/>
    <w:rsid w:val="45F8417E"/>
    <w:rsid w:val="46195EA3"/>
    <w:rsid w:val="462B65DA"/>
    <w:rsid w:val="46513A2C"/>
    <w:rsid w:val="466A1436"/>
    <w:rsid w:val="466E61EE"/>
    <w:rsid w:val="46707D25"/>
    <w:rsid w:val="46761547"/>
    <w:rsid w:val="4681606A"/>
    <w:rsid w:val="46875F36"/>
    <w:rsid w:val="469618BE"/>
    <w:rsid w:val="469C6830"/>
    <w:rsid w:val="46A21315"/>
    <w:rsid w:val="46CE4EDF"/>
    <w:rsid w:val="46D83FB0"/>
    <w:rsid w:val="46E94D43"/>
    <w:rsid w:val="47064679"/>
    <w:rsid w:val="473D3E13"/>
    <w:rsid w:val="476F66C2"/>
    <w:rsid w:val="47801C7C"/>
    <w:rsid w:val="478308A0"/>
    <w:rsid w:val="47875E2B"/>
    <w:rsid w:val="47887784"/>
    <w:rsid w:val="47B95B8F"/>
    <w:rsid w:val="47C12099"/>
    <w:rsid w:val="47C22DE4"/>
    <w:rsid w:val="47EC7D13"/>
    <w:rsid w:val="47ED5192"/>
    <w:rsid w:val="47F40975"/>
    <w:rsid w:val="47F70466"/>
    <w:rsid w:val="47F80756"/>
    <w:rsid w:val="480F57AF"/>
    <w:rsid w:val="48454840"/>
    <w:rsid w:val="487B2E45"/>
    <w:rsid w:val="489952C2"/>
    <w:rsid w:val="489A151D"/>
    <w:rsid w:val="48A405ED"/>
    <w:rsid w:val="48BD345D"/>
    <w:rsid w:val="48E75901"/>
    <w:rsid w:val="48EC5483"/>
    <w:rsid w:val="49217723"/>
    <w:rsid w:val="493C25D4"/>
    <w:rsid w:val="49583186"/>
    <w:rsid w:val="495D513B"/>
    <w:rsid w:val="495E079C"/>
    <w:rsid w:val="496862D1"/>
    <w:rsid w:val="49916515"/>
    <w:rsid w:val="49935235"/>
    <w:rsid w:val="49A4254F"/>
    <w:rsid w:val="49A62F4D"/>
    <w:rsid w:val="49A82308"/>
    <w:rsid w:val="49C24D29"/>
    <w:rsid w:val="49ED7D72"/>
    <w:rsid w:val="49F83C6F"/>
    <w:rsid w:val="4A282B58"/>
    <w:rsid w:val="4A2D016F"/>
    <w:rsid w:val="4A3E05CE"/>
    <w:rsid w:val="4A595408"/>
    <w:rsid w:val="4A836AFC"/>
    <w:rsid w:val="4A8449EB"/>
    <w:rsid w:val="4A8455F8"/>
    <w:rsid w:val="4A895CED"/>
    <w:rsid w:val="4A8F4985"/>
    <w:rsid w:val="4AB12712"/>
    <w:rsid w:val="4AD4136D"/>
    <w:rsid w:val="4AE178D7"/>
    <w:rsid w:val="4AEC627C"/>
    <w:rsid w:val="4AEF07E9"/>
    <w:rsid w:val="4B007A0F"/>
    <w:rsid w:val="4B3F0159"/>
    <w:rsid w:val="4B49547C"/>
    <w:rsid w:val="4B4C0498"/>
    <w:rsid w:val="4B4D6D1A"/>
    <w:rsid w:val="4B53686D"/>
    <w:rsid w:val="4B667DDC"/>
    <w:rsid w:val="4B683B54"/>
    <w:rsid w:val="4B797B0F"/>
    <w:rsid w:val="4B984048"/>
    <w:rsid w:val="4BAC2BA5"/>
    <w:rsid w:val="4BB56398"/>
    <w:rsid w:val="4BBD6194"/>
    <w:rsid w:val="4C084298"/>
    <w:rsid w:val="4C0A0B5C"/>
    <w:rsid w:val="4C144A62"/>
    <w:rsid w:val="4C4B0D80"/>
    <w:rsid w:val="4C4C6FD2"/>
    <w:rsid w:val="4C59349D"/>
    <w:rsid w:val="4C6F0F12"/>
    <w:rsid w:val="4C710189"/>
    <w:rsid w:val="4C8E2177"/>
    <w:rsid w:val="4CC05476"/>
    <w:rsid w:val="4CC34092"/>
    <w:rsid w:val="4CD826A8"/>
    <w:rsid w:val="4CD86AB8"/>
    <w:rsid w:val="4CE52F83"/>
    <w:rsid w:val="4CEB7A50"/>
    <w:rsid w:val="4CEC3A70"/>
    <w:rsid w:val="4D151ABA"/>
    <w:rsid w:val="4D21045F"/>
    <w:rsid w:val="4D227D33"/>
    <w:rsid w:val="4D4F2269"/>
    <w:rsid w:val="4D834C75"/>
    <w:rsid w:val="4DA42E3E"/>
    <w:rsid w:val="4DAD5669"/>
    <w:rsid w:val="4DD6317B"/>
    <w:rsid w:val="4DEB6B7E"/>
    <w:rsid w:val="4DFE6D01"/>
    <w:rsid w:val="4E121F23"/>
    <w:rsid w:val="4E126D20"/>
    <w:rsid w:val="4E1B3100"/>
    <w:rsid w:val="4E600B13"/>
    <w:rsid w:val="4E612ADD"/>
    <w:rsid w:val="4E6974F8"/>
    <w:rsid w:val="4EB45FC3"/>
    <w:rsid w:val="4ED212E5"/>
    <w:rsid w:val="4EE5177C"/>
    <w:rsid w:val="4EE96D5A"/>
    <w:rsid w:val="4F053468"/>
    <w:rsid w:val="4F1162B1"/>
    <w:rsid w:val="4F175DCA"/>
    <w:rsid w:val="4F2A1121"/>
    <w:rsid w:val="4F666C6C"/>
    <w:rsid w:val="4F8B237C"/>
    <w:rsid w:val="4F8D3C00"/>
    <w:rsid w:val="4F9F53EC"/>
    <w:rsid w:val="4FA113E3"/>
    <w:rsid w:val="4FD77E00"/>
    <w:rsid w:val="4FF61688"/>
    <w:rsid w:val="4FF64BED"/>
    <w:rsid w:val="4FFC0D0F"/>
    <w:rsid w:val="50096F88"/>
    <w:rsid w:val="50267B3A"/>
    <w:rsid w:val="504B75A0"/>
    <w:rsid w:val="507C3BFE"/>
    <w:rsid w:val="50852AB2"/>
    <w:rsid w:val="50874A7C"/>
    <w:rsid w:val="50B27620"/>
    <w:rsid w:val="50D70E34"/>
    <w:rsid w:val="50F6750C"/>
    <w:rsid w:val="50F814D6"/>
    <w:rsid w:val="50FB0FC7"/>
    <w:rsid w:val="51037225"/>
    <w:rsid w:val="51157B15"/>
    <w:rsid w:val="512C73D2"/>
    <w:rsid w:val="512F2A1E"/>
    <w:rsid w:val="51392193"/>
    <w:rsid w:val="514069D9"/>
    <w:rsid w:val="51506F82"/>
    <w:rsid w:val="515E007F"/>
    <w:rsid w:val="516052CE"/>
    <w:rsid w:val="516923D4"/>
    <w:rsid w:val="51825244"/>
    <w:rsid w:val="51A055A9"/>
    <w:rsid w:val="51B02A99"/>
    <w:rsid w:val="51D3784E"/>
    <w:rsid w:val="51EA25B0"/>
    <w:rsid w:val="51EC4A0D"/>
    <w:rsid w:val="51F55E55"/>
    <w:rsid w:val="52021EE1"/>
    <w:rsid w:val="52102850"/>
    <w:rsid w:val="52285DEB"/>
    <w:rsid w:val="522956BF"/>
    <w:rsid w:val="522D51B0"/>
    <w:rsid w:val="523D3FF4"/>
    <w:rsid w:val="52432C25"/>
    <w:rsid w:val="52541D33"/>
    <w:rsid w:val="525F10E1"/>
    <w:rsid w:val="52714BD7"/>
    <w:rsid w:val="527C6137"/>
    <w:rsid w:val="527E3C5D"/>
    <w:rsid w:val="52904682"/>
    <w:rsid w:val="52962202"/>
    <w:rsid w:val="52B21B59"/>
    <w:rsid w:val="52B92EE7"/>
    <w:rsid w:val="52C12799"/>
    <w:rsid w:val="52CF6267"/>
    <w:rsid w:val="52DF5704"/>
    <w:rsid w:val="52E635B0"/>
    <w:rsid w:val="52ED0DE3"/>
    <w:rsid w:val="52F45CCD"/>
    <w:rsid w:val="52F8430A"/>
    <w:rsid w:val="52FF6498"/>
    <w:rsid w:val="531225F7"/>
    <w:rsid w:val="532760A3"/>
    <w:rsid w:val="53390D71"/>
    <w:rsid w:val="535D6952"/>
    <w:rsid w:val="53681DCC"/>
    <w:rsid w:val="538A6632"/>
    <w:rsid w:val="539109B8"/>
    <w:rsid w:val="53A2777C"/>
    <w:rsid w:val="53A40D6F"/>
    <w:rsid w:val="53A56FC8"/>
    <w:rsid w:val="53B536AF"/>
    <w:rsid w:val="53C060BC"/>
    <w:rsid w:val="53C41B44"/>
    <w:rsid w:val="53EA03B2"/>
    <w:rsid w:val="53EA0E7E"/>
    <w:rsid w:val="53F063BE"/>
    <w:rsid w:val="5421100E"/>
    <w:rsid w:val="542D593B"/>
    <w:rsid w:val="545D50B5"/>
    <w:rsid w:val="545F0F72"/>
    <w:rsid w:val="545F7ABE"/>
    <w:rsid w:val="54684BC5"/>
    <w:rsid w:val="547A66A6"/>
    <w:rsid w:val="54813591"/>
    <w:rsid w:val="549332C4"/>
    <w:rsid w:val="54AB5EDD"/>
    <w:rsid w:val="54B75204"/>
    <w:rsid w:val="54C539B3"/>
    <w:rsid w:val="54DE6C35"/>
    <w:rsid w:val="55202DAA"/>
    <w:rsid w:val="552F123F"/>
    <w:rsid w:val="5540169E"/>
    <w:rsid w:val="55425416"/>
    <w:rsid w:val="554C3B9F"/>
    <w:rsid w:val="555667CB"/>
    <w:rsid w:val="55570796"/>
    <w:rsid w:val="556709D9"/>
    <w:rsid w:val="55735C18"/>
    <w:rsid w:val="557E6EEB"/>
    <w:rsid w:val="5587116B"/>
    <w:rsid w:val="558D7736"/>
    <w:rsid w:val="559612BE"/>
    <w:rsid w:val="55AA0DFE"/>
    <w:rsid w:val="55E53FF3"/>
    <w:rsid w:val="562E3936"/>
    <w:rsid w:val="56576C9F"/>
    <w:rsid w:val="565E627F"/>
    <w:rsid w:val="5669518F"/>
    <w:rsid w:val="56703E46"/>
    <w:rsid w:val="568630E0"/>
    <w:rsid w:val="56981066"/>
    <w:rsid w:val="56A1616C"/>
    <w:rsid w:val="56CF2CD9"/>
    <w:rsid w:val="56CF30C3"/>
    <w:rsid w:val="56D227CA"/>
    <w:rsid w:val="56DE4CCA"/>
    <w:rsid w:val="56EB73E7"/>
    <w:rsid w:val="57221DB1"/>
    <w:rsid w:val="574C4DC8"/>
    <w:rsid w:val="57666460"/>
    <w:rsid w:val="578E70FE"/>
    <w:rsid w:val="57BC62E1"/>
    <w:rsid w:val="57BD2E27"/>
    <w:rsid w:val="57C06AC6"/>
    <w:rsid w:val="57CC77E6"/>
    <w:rsid w:val="57CF4588"/>
    <w:rsid w:val="57E24C8E"/>
    <w:rsid w:val="57EE3633"/>
    <w:rsid w:val="58202161"/>
    <w:rsid w:val="58297208"/>
    <w:rsid w:val="584B05FF"/>
    <w:rsid w:val="58613E05"/>
    <w:rsid w:val="58750420"/>
    <w:rsid w:val="58A50488"/>
    <w:rsid w:val="58B54151"/>
    <w:rsid w:val="58BE3005"/>
    <w:rsid w:val="58C3641F"/>
    <w:rsid w:val="58ED7447"/>
    <w:rsid w:val="58F24A5D"/>
    <w:rsid w:val="58F76517"/>
    <w:rsid w:val="58F96817"/>
    <w:rsid w:val="59101387"/>
    <w:rsid w:val="591F6EC9"/>
    <w:rsid w:val="593B659B"/>
    <w:rsid w:val="59657925"/>
    <w:rsid w:val="59746760"/>
    <w:rsid w:val="597C07CB"/>
    <w:rsid w:val="59B368E2"/>
    <w:rsid w:val="59BB5797"/>
    <w:rsid w:val="59D80FE8"/>
    <w:rsid w:val="59DD570D"/>
    <w:rsid w:val="59EE791A"/>
    <w:rsid w:val="5A0E3B19"/>
    <w:rsid w:val="5A170F22"/>
    <w:rsid w:val="5A1E436B"/>
    <w:rsid w:val="5A206A87"/>
    <w:rsid w:val="5A2E0C74"/>
    <w:rsid w:val="5A341784"/>
    <w:rsid w:val="5A7B2EF7"/>
    <w:rsid w:val="5A811162"/>
    <w:rsid w:val="5A93401E"/>
    <w:rsid w:val="5A9A35FE"/>
    <w:rsid w:val="5AA45755"/>
    <w:rsid w:val="5AB61A99"/>
    <w:rsid w:val="5AC22B5F"/>
    <w:rsid w:val="5ACB2D0F"/>
    <w:rsid w:val="5AD20FEA"/>
    <w:rsid w:val="5AD90A8B"/>
    <w:rsid w:val="5AF01470"/>
    <w:rsid w:val="5AF4612E"/>
    <w:rsid w:val="5B101B12"/>
    <w:rsid w:val="5B1F709F"/>
    <w:rsid w:val="5B24683E"/>
    <w:rsid w:val="5B25654A"/>
    <w:rsid w:val="5B600D44"/>
    <w:rsid w:val="5B631C42"/>
    <w:rsid w:val="5B89341C"/>
    <w:rsid w:val="5B8C73EB"/>
    <w:rsid w:val="5B90055D"/>
    <w:rsid w:val="5B9718EC"/>
    <w:rsid w:val="5BA83CAD"/>
    <w:rsid w:val="5BB727DA"/>
    <w:rsid w:val="5BC14BBB"/>
    <w:rsid w:val="5BF33FE7"/>
    <w:rsid w:val="5C3138A2"/>
    <w:rsid w:val="5C34586C"/>
    <w:rsid w:val="5C5617A7"/>
    <w:rsid w:val="5C5B500F"/>
    <w:rsid w:val="5C715BE5"/>
    <w:rsid w:val="5C98264B"/>
    <w:rsid w:val="5CA63ECF"/>
    <w:rsid w:val="5CC76201"/>
    <w:rsid w:val="5CD50E1E"/>
    <w:rsid w:val="5CDD2D86"/>
    <w:rsid w:val="5CE17147"/>
    <w:rsid w:val="5CE60D7D"/>
    <w:rsid w:val="5CEB1032"/>
    <w:rsid w:val="5CEC65FA"/>
    <w:rsid w:val="5CF80AB0"/>
    <w:rsid w:val="5CF819F0"/>
    <w:rsid w:val="5D094A6B"/>
    <w:rsid w:val="5D107D9C"/>
    <w:rsid w:val="5D1C02FB"/>
    <w:rsid w:val="5D333896"/>
    <w:rsid w:val="5D347D3A"/>
    <w:rsid w:val="5D391219"/>
    <w:rsid w:val="5D3F66DF"/>
    <w:rsid w:val="5D441947"/>
    <w:rsid w:val="5D50269A"/>
    <w:rsid w:val="5D6D0B56"/>
    <w:rsid w:val="5D867E6A"/>
    <w:rsid w:val="5D973E25"/>
    <w:rsid w:val="5D9957AF"/>
    <w:rsid w:val="5DAF116F"/>
    <w:rsid w:val="5DBE13B2"/>
    <w:rsid w:val="5DCA41FA"/>
    <w:rsid w:val="5DCA6601"/>
    <w:rsid w:val="5DD84FD7"/>
    <w:rsid w:val="5DE41BFC"/>
    <w:rsid w:val="5DFE081C"/>
    <w:rsid w:val="5E0542D6"/>
    <w:rsid w:val="5E41226D"/>
    <w:rsid w:val="5E5E4943"/>
    <w:rsid w:val="5E940365"/>
    <w:rsid w:val="5EA000E8"/>
    <w:rsid w:val="5EBF2FA1"/>
    <w:rsid w:val="5EDD7F5D"/>
    <w:rsid w:val="5F082616"/>
    <w:rsid w:val="5F241E6D"/>
    <w:rsid w:val="5F4D1FEE"/>
    <w:rsid w:val="5F5B0D96"/>
    <w:rsid w:val="5F5C3500"/>
    <w:rsid w:val="5F622211"/>
    <w:rsid w:val="5F6737E9"/>
    <w:rsid w:val="5F781A34"/>
    <w:rsid w:val="5F7A39FE"/>
    <w:rsid w:val="5F814D8D"/>
    <w:rsid w:val="5F88611B"/>
    <w:rsid w:val="5F887EC9"/>
    <w:rsid w:val="5F984EEC"/>
    <w:rsid w:val="5F9A3518"/>
    <w:rsid w:val="5FA171DD"/>
    <w:rsid w:val="5FC30F01"/>
    <w:rsid w:val="5FC353A5"/>
    <w:rsid w:val="5FC41398"/>
    <w:rsid w:val="5FFB057B"/>
    <w:rsid w:val="60114363"/>
    <w:rsid w:val="603269C5"/>
    <w:rsid w:val="604C539B"/>
    <w:rsid w:val="605E0C2A"/>
    <w:rsid w:val="60635574"/>
    <w:rsid w:val="60867D9F"/>
    <w:rsid w:val="608763D3"/>
    <w:rsid w:val="60AA0313"/>
    <w:rsid w:val="60AE44C0"/>
    <w:rsid w:val="60BA1CEF"/>
    <w:rsid w:val="60C70EC5"/>
    <w:rsid w:val="61007F33"/>
    <w:rsid w:val="61151C31"/>
    <w:rsid w:val="612B536C"/>
    <w:rsid w:val="613A51F3"/>
    <w:rsid w:val="61691F7C"/>
    <w:rsid w:val="61774699"/>
    <w:rsid w:val="61941A38"/>
    <w:rsid w:val="61B24D16"/>
    <w:rsid w:val="61D4389A"/>
    <w:rsid w:val="61D4660E"/>
    <w:rsid w:val="61E37565"/>
    <w:rsid w:val="62017A8E"/>
    <w:rsid w:val="621041A6"/>
    <w:rsid w:val="622C3AD5"/>
    <w:rsid w:val="62327820"/>
    <w:rsid w:val="624A3B5C"/>
    <w:rsid w:val="62650996"/>
    <w:rsid w:val="62663A22"/>
    <w:rsid w:val="627604AD"/>
    <w:rsid w:val="627D03F3"/>
    <w:rsid w:val="62894684"/>
    <w:rsid w:val="629253D6"/>
    <w:rsid w:val="62944DD7"/>
    <w:rsid w:val="62AC3CB0"/>
    <w:rsid w:val="62BB6808"/>
    <w:rsid w:val="62C90F25"/>
    <w:rsid w:val="62D552F0"/>
    <w:rsid w:val="62E47B0C"/>
    <w:rsid w:val="62E80F2F"/>
    <w:rsid w:val="62F863BE"/>
    <w:rsid w:val="63057A83"/>
    <w:rsid w:val="633D0FCB"/>
    <w:rsid w:val="63426FCC"/>
    <w:rsid w:val="634B33DD"/>
    <w:rsid w:val="635B58F5"/>
    <w:rsid w:val="637A7E79"/>
    <w:rsid w:val="63807F12"/>
    <w:rsid w:val="63860BC4"/>
    <w:rsid w:val="63A1155A"/>
    <w:rsid w:val="63C77F4B"/>
    <w:rsid w:val="63E27B04"/>
    <w:rsid w:val="63E8362C"/>
    <w:rsid w:val="63ED47CD"/>
    <w:rsid w:val="641206A9"/>
    <w:rsid w:val="641C6E32"/>
    <w:rsid w:val="64462101"/>
    <w:rsid w:val="64540CC2"/>
    <w:rsid w:val="645E38EF"/>
    <w:rsid w:val="646F3406"/>
    <w:rsid w:val="64721CF3"/>
    <w:rsid w:val="64722EF6"/>
    <w:rsid w:val="647253AC"/>
    <w:rsid w:val="6472739A"/>
    <w:rsid w:val="64D21BE7"/>
    <w:rsid w:val="64D23995"/>
    <w:rsid w:val="64D8544F"/>
    <w:rsid w:val="65044496"/>
    <w:rsid w:val="65051963"/>
    <w:rsid w:val="651469CF"/>
    <w:rsid w:val="651B3FBA"/>
    <w:rsid w:val="65451ACC"/>
    <w:rsid w:val="657809E0"/>
    <w:rsid w:val="65811E6C"/>
    <w:rsid w:val="658B0713"/>
    <w:rsid w:val="658C7FE7"/>
    <w:rsid w:val="65905D2A"/>
    <w:rsid w:val="65943C08"/>
    <w:rsid w:val="65AB4911"/>
    <w:rsid w:val="65BD2897"/>
    <w:rsid w:val="65C44362"/>
    <w:rsid w:val="65DE1E02"/>
    <w:rsid w:val="65DF0A5F"/>
    <w:rsid w:val="65E676F8"/>
    <w:rsid w:val="65EC1DAC"/>
    <w:rsid w:val="65F31BE0"/>
    <w:rsid w:val="65F818D5"/>
    <w:rsid w:val="66134265"/>
    <w:rsid w:val="6618187B"/>
    <w:rsid w:val="66240220"/>
    <w:rsid w:val="66342B59"/>
    <w:rsid w:val="663A5311"/>
    <w:rsid w:val="66552ACF"/>
    <w:rsid w:val="66680A54"/>
    <w:rsid w:val="668B64F1"/>
    <w:rsid w:val="668F5FE1"/>
    <w:rsid w:val="66B53B4E"/>
    <w:rsid w:val="66B71094"/>
    <w:rsid w:val="66B90BAB"/>
    <w:rsid w:val="66C719A1"/>
    <w:rsid w:val="66E8749F"/>
    <w:rsid w:val="66F53763"/>
    <w:rsid w:val="66F81DD8"/>
    <w:rsid w:val="670562A3"/>
    <w:rsid w:val="67256946"/>
    <w:rsid w:val="673E3563"/>
    <w:rsid w:val="675221F7"/>
    <w:rsid w:val="67552193"/>
    <w:rsid w:val="6775682D"/>
    <w:rsid w:val="6780592A"/>
    <w:rsid w:val="67A53372"/>
    <w:rsid w:val="67B336DA"/>
    <w:rsid w:val="67CC6DC1"/>
    <w:rsid w:val="67E114F7"/>
    <w:rsid w:val="67F869E9"/>
    <w:rsid w:val="68035841"/>
    <w:rsid w:val="681349F0"/>
    <w:rsid w:val="68182006"/>
    <w:rsid w:val="684828EC"/>
    <w:rsid w:val="68482F62"/>
    <w:rsid w:val="68580655"/>
    <w:rsid w:val="685D3005"/>
    <w:rsid w:val="68637725"/>
    <w:rsid w:val="68706C4B"/>
    <w:rsid w:val="687436E1"/>
    <w:rsid w:val="687A681D"/>
    <w:rsid w:val="689A25B5"/>
    <w:rsid w:val="689B6077"/>
    <w:rsid w:val="68BD25DE"/>
    <w:rsid w:val="68C30E40"/>
    <w:rsid w:val="68CA1553"/>
    <w:rsid w:val="68D53E8D"/>
    <w:rsid w:val="68F14D31"/>
    <w:rsid w:val="68F3049A"/>
    <w:rsid w:val="68F63911"/>
    <w:rsid w:val="691E53FA"/>
    <w:rsid w:val="69213BDC"/>
    <w:rsid w:val="694A35EE"/>
    <w:rsid w:val="69580428"/>
    <w:rsid w:val="695A0B28"/>
    <w:rsid w:val="6983025A"/>
    <w:rsid w:val="69A917F7"/>
    <w:rsid w:val="69B4192B"/>
    <w:rsid w:val="69BE00B1"/>
    <w:rsid w:val="6A136F29"/>
    <w:rsid w:val="6A4120B6"/>
    <w:rsid w:val="6A7C70F9"/>
    <w:rsid w:val="6A890F99"/>
    <w:rsid w:val="6A8D3CF3"/>
    <w:rsid w:val="6ADA0D3A"/>
    <w:rsid w:val="6B0825A3"/>
    <w:rsid w:val="6B0D2DCF"/>
    <w:rsid w:val="6B1B6095"/>
    <w:rsid w:val="6B256F14"/>
    <w:rsid w:val="6B2807B2"/>
    <w:rsid w:val="6B2B5906"/>
    <w:rsid w:val="6B2C02A3"/>
    <w:rsid w:val="6B302DDD"/>
    <w:rsid w:val="6B362ECF"/>
    <w:rsid w:val="6B403D4E"/>
    <w:rsid w:val="6B52582F"/>
    <w:rsid w:val="6B573F99"/>
    <w:rsid w:val="6B80239C"/>
    <w:rsid w:val="6BB31B2A"/>
    <w:rsid w:val="6BBB5183"/>
    <w:rsid w:val="6BE24E05"/>
    <w:rsid w:val="6BE75F78"/>
    <w:rsid w:val="6BF95CAB"/>
    <w:rsid w:val="6C194266"/>
    <w:rsid w:val="6C1C0317"/>
    <w:rsid w:val="6C404060"/>
    <w:rsid w:val="6C494E84"/>
    <w:rsid w:val="6C8859AD"/>
    <w:rsid w:val="6C8C0918"/>
    <w:rsid w:val="6C8C3A60"/>
    <w:rsid w:val="6CA4030D"/>
    <w:rsid w:val="6CB542C8"/>
    <w:rsid w:val="6CC91B21"/>
    <w:rsid w:val="6CC91FA1"/>
    <w:rsid w:val="6CD24E7A"/>
    <w:rsid w:val="6CF603BC"/>
    <w:rsid w:val="6CFB45C3"/>
    <w:rsid w:val="6D06067F"/>
    <w:rsid w:val="6D2429BD"/>
    <w:rsid w:val="6D280196"/>
    <w:rsid w:val="6D2F5E28"/>
    <w:rsid w:val="6D317DF2"/>
    <w:rsid w:val="6D3C6797"/>
    <w:rsid w:val="6D3F1081"/>
    <w:rsid w:val="6D4505F8"/>
    <w:rsid w:val="6D5160E3"/>
    <w:rsid w:val="6D9028D9"/>
    <w:rsid w:val="6DA25E7F"/>
    <w:rsid w:val="6DB14A8F"/>
    <w:rsid w:val="6DB36A59"/>
    <w:rsid w:val="6DCA78FF"/>
    <w:rsid w:val="6DCF69E2"/>
    <w:rsid w:val="6DD44EFF"/>
    <w:rsid w:val="6DE66A63"/>
    <w:rsid w:val="6DE767DF"/>
    <w:rsid w:val="6E0B5C06"/>
    <w:rsid w:val="6E30322B"/>
    <w:rsid w:val="6E79009B"/>
    <w:rsid w:val="6E9B55FD"/>
    <w:rsid w:val="6EAE5472"/>
    <w:rsid w:val="6EBF31DC"/>
    <w:rsid w:val="6EC10752"/>
    <w:rsid w:val="6ED72B70"/>
    <w:rsid w:val="6EF23796"/>
    <w:rsid w:val="6EF32E85"/>
    <w:rsid w:val="6EF70BC7"/>
    <w:rsid w:val="6EF961C2"/>
    <w:rsid w:val="6F0707FF"/>
    <w:rsid w:val="6F1928EC"/>
    <w:rsid w:val="6F1E3B46"/>
    <w:rsid w:val="6F23068C"/>
    <w:rsid w:val="6F3E67F6"/>
    <w:rsid w:val="6F5B6D90"/>
    <w:rsid w:val="6F6C4D08"/>
    <w:rsid w:val="6F704A01"/>
    <w:rsid w:val="6F8B1310"/>
    <w:rsid w:val="6F8B6A13"/>
    <w:rsid w:val="6F9B1553"/>
    <w:rsid w:val="6FA83C70"/>
    <w:rsid w:val="6FB14B95"/>
    <w:rsid w:val="6FC7237C"/>
    <w:rsid w:val="6FD74555"/>
    <w:rsid w:val="6FE167E0"/>
    <w:rsid w:val="700E5902"/>
    <w:rsid w:val="705B5186"/>
    <w:rsid w:val="7064403B"/>
    <w:rsid w:val="7075449A"/>
    <w:rsid w:val="708E2E66"/>
    <w:rsid w:val="70950698"/>
    <w:rsid w:val="70A1528F"/>
    <w:rsid w:val="70AB3A18"/>
    <w:rsid w:val="70BA297C"/>
    <w:rsid w:val="70CC1BE0"/>
    <w:rsid w:val="70D04B95"/>
    <w:rsid w:val="70DB35B7"/>
    <w:rsid w:val="70E707C8"/>
    <w:rsid w:val="7101188A"/>
    <w:rsid w:val="71033854"/>
    <w:rsid w:val="711A6DEF"/>
    <w:rsid w:val="712D267F"/>
    <w:rsid w:val="713C2EC4"/>
    <w:rsid w:val="713D4BE9"/>
    <w:rsid w:val="714D647D"/>
    <w:rsid w:val="717E2EDA"/>
    <w:rsid w:val="71900E5F"/>
    <w:rsid w:val="71B763EC"/>
    <w:rsid w:val="71D62F4D"/>
    <w:rsid w:val="71FB452B"/>
    <w:rsid w:val="7200787E"/>
    <w:rsid w:val="72023B0B"/>
    <w:rsid w:val="722577FA"/>
    <w:rsid w:val="723637B5"/>
    <w:rsid w:val="724265FE"/>
    <w:rsid w:val="724B2778"/>
    <w:rsid w:val="724F053E"/>
    <w:rsid w:val="725E4ABA"/>
    <w:rsid w:val="72914E8F"/>
    <w:rsid w:val="729A042B"/>
    <w:rsid w:val="72AC7F1B"/>
    <w:rsid w:val="72C765E6"/>
    <w:rsid w:val="72DB4FF9"/>
    <w:rsid w:val="730406AF"/>
    <w:rsid w:val="731735E6"/>
    <w:rsid w:val="73223D39"/>
    <w:rsid w:val="732A297D"/>
    <w:rsid w:val="73337CF4"/>
    <w:rsid w:val="73410663"/>
    <w:rsid w:val="73490E1B"/>
    <w:rsid w:val="734D4891"/>
    <w:rsid w:val="735008A6"/>
    <w:rsid w:val="73661E78"/>
    <w:rsid w:val="7386076C"/>
    <w:rsid w:val="73BF5B0E"/>
    <w:rsid w:val="73D61E58"/>
    <w:rsid w:val="73DA2024"/>
    <w:rsid w:val="7427526F"/>
    <w:rsid w:val="742D0BE7"/>
    <w:rsid w:val="74393993"/>
    <w:rsid w:val="74575C64"/>
    <w:rsid w:val="745F3497"/>
    <w:rsid w:val="74687E72"/>
    <w:rsid w:val="746C65D1"/>
    <w:rsid w:val="74B862DE"/>
    <w:rsid w:val="74CE4179"/>
    <w:rsid w:val="74F33BDF"/>
    <w:rsid w:val="75086BF7"/>
    <w:rsid w:val="750A2CD7"/>
    <w:rsid w:val="751055CD"/>
    <w:rsid w:val="752A6DE2"/>
    <w:rsid w:val="752B2514"/>
    <w:rsid w:val="7535244A"/>
    <w:rsid w:val="75366F8A"/>
    <w:rsid w:val="753B1377"/>
    <w:rsid w:val="75410DEE"/>
    <w:rsid w:val="75524DAA"/>
    <w:rsid w:val="75662603"/>
    <w:rsid w:val="758038A9"/>
    <w:rsid w:val="75921EF6"/>
    <w:rsid w:val="759A1119"/>
    <w:rsid w:val="75A944DE"/>
    <w:rsid w:val="75B423BF"/>
    <w:rsid w:val="75E77AA8"/>
    <w:rsid w:val="75E85AA6"/>
    <w:rsid w:val="75F34591"/>
    <w:rsid w:val="75FD4CFA"/>
    <w:rsid w:val="76063127"/>
    <w:rsid w:val="761107C1"/>
    <w:rsid w:val="7621477C"/>
    <w:rsid w:val="762C55FB"/>
    <w:rsid w:val="76496EC6"/>
    <w:rsid w:val="765B2C62"/>
    <w:rsid w:val="765B3F2D"/>
    <w:rsid w:val="766052A4"/>
    <w:rsid w:val="76640912"/>
    <w:rsid w:val="769431A0"/>
    <w:rsid w:val="76AE24B4"/>
    <w:rsid w:val="76CA0970"/>
    <w:rsid w:val="76EB7909"/>
    <w:rsid w:val="76FB0C8A"/>
    <w:rsid w:val="76FD1D20"/>
    <w:rsid w:val="77170059"/>
    <w:rsid w:val="774600BC"/>
    <w:rsid w:val="77550B81"/>
    <w:rsid w:val="775A6197"/>
    <w:rsid w:val="775C1D94"/>
    <w:rsid w:val="7763329E"/>
    <w:rsid w:val="776572CC"/>
    <w:rsid w:val="776E39F1"/>
    <w:rsid w:val="7798281C"/>
    <w:rsid w:val="779A6594"/>
    <w:rsid w:val="77B57AA4"/>
    <w:rsid w:val="77D46E9B"/>
    <w:rsid w:val="77DC6BAC"/>
    <w:rsid w:val="78027867"/>
    <w:rsid w:val="780D320A"/>
    <w:rsid w:val="78170117"/>
    <w:rsid w:val="78267E28"/>
    <w:rsid w:val="786B3C79"/>
    <w:rsid w:val="78756656"/>
    <w:rsid w:val="787943FB"/>
    <w:rsid w:val="78880AE2"/>
    <w:rsid w:val="788A2AAC"/>
    <w:rsid w:val="78922CE5"/>
    <w:rsid w:val="789E3E62"/>
    <w:rsid w:val="78A519A2"/>
    <w:rsid w:val="78A605F1"/>
    <w:rsid w:val="791B1956"/>
    <w:rsid w:val="79244FB3"/>
    <w:rsid w:val="792720A9"/>
    <w:rsid w:val="7936053E"/>
    <w:rsid w:val="79372177"/>
    <w:rsid w:val="7945666C"/>
    <w:rsid w:val="795F5515"/>
    <w:rsid w:val="79704913"/>
    <w:rsid w:val="797F5A41"/>
    <w:rsid w:val="79817A0B"/>
    <w:rsid w:val="798A2D4E"/>
    <w:rsid w:val="79951709"/>
    <w:rsid w:val="7997722F"/>
    <w:rsid w:val="79A20EE4"/>
    <w:rsid w:val="79AE5C7C"/>
    <w:rsid w:val="79B55948"/>
    <w:rsid w:val="79C03DBC"/>
    <w:rsid w:val="79C8563A"/>
    <w:rsid w:val="79DF0BD6"/>
    <w:rsid w:val="79E47F9A"/>
    <w:rsid w:val="79EA3060"/>
    <w:rsid w:val="7A044199"/>
    <w:rsid w:val="7A061CE7"/>
    <w:rsid w:val="7A1A39BC"/>
    <w:rsid w:val="7A1B519F"/>
    <w:rsid w:val="7A1F1323"/>
    <w:rsid w:val="7A203C64"/>
    <w:rsid w:val="7A5F5B80"/>
    <w:rsid w:val="7A6B246A"/>
    <w:rsid w:val="7A7E1079"/>
    <w:rsid w:val="7A8B754F"/>
    <w:rsid w:val="7A8C48BA"/>
    <w:rsid w:val="7A8D23E0"/>
    <w:rsid w:val="7A903C7E"/>
    <w:rsid w:val="7AA65250"/>
    <w:rsid w:val="7ABE6BC8"/>
    <w:rsid w:val="7AC34054"/>
    <w:rsid w:val="7AFB559C"/>
    <w:rsid w:val="7B0326A2"/>
    <w:rsid w:val="7B144E55"/>
    <w:rsid w:val="7B315461"/>
    <w:rsid w:val="7B566C76"/>
    <w:rsid w:val="7B760941"/>
    <w:rsid w:val="7B8437E3"/>
    <w:rsid w:val="7B890DF9"/>
    <w:rsid w:val="7B9003DA"/>
    <w:rsid w:val="7BA75723"/>
    <w:rsid w:val="7BBC26E0"/>
    <w:rsid w:val="7BC2430B"/>
    <w:rsid w:val="7BC34966"/>
    <w:rsid w:val="7BCA369D"/>
    <w:rsid w:val="7BD62147"/>
    <w:rsid w:val="7BE129E3"/>
    <w:rsid w:val="7BE81EEB"/>
    <w:rsid w:val="7C043959"/>
    <w:rsid w:val="7C3B784B"/>
    <w:rsid w:val="7C3C0380"/>
    <w:rsid w:val="7C482A62"/>
    <w:rsid w:val="7C4A3C58"/>
    <w:rsid w:val="7C5D4B55"/>
    <w:rsid w:val="7C767704"/>
    <w:rsid w:val="7C814A9E"/>
    <w:rsid w:val="7C9061B7"/>
    <w:rsid w:val="7CB73744"/>
    <w:rsid w:val="7CD04806"/>
    <w:rsid w:val="7CF9751E"/>
    <w:rsid w:val="7CFA3C1A"/>
    <w:rsid w:val="7CFE75C5"/>
    <w:rsid w:val="7CFF1B20"/>
    <w:rsid w:val="7D0458A3"/>
    <w:rsid w:val="7D1B3CD3"/>
    <w:rsid w:val="7D240CA5"/>
    <w:rsid w:val="7D32297F"/>
    <w:rsid w:val="7D5A7112"/>
    <w:rsid w:val="7D8C4BD1"/>
    <w:rsid w:val="7DAC2BAA"/>
    <w:rsid w:val="7DB22D48"/>
    <w:rsid w:val="7DDD367E"/>
    <w:rsid w:val="7DE85190"/>
    <w:rsid w:val="7DF10ED8"/>
    <w:rsid w:val="7DFC1D56"/>
    <w:rsid w:val="7DFD162B"/>
    <w:rsid w:val="7E152E18"/>
    <w:rsid w:val="7E1626EC"/>
    <w:rsid w:val="7E260B81"/>
    <w:rsid w:val="7E2766A8"/>
    <w:rsid w:val="7E2B263C"/>
    <w:rsid w:val="7E2F5792"/>
    <w:rsid w:val="7E372D8F"/>
    <w:rsid w:val="7E37478D"/>
    <w:rsid w:val="7E39592E"/>
    <w:rsid w:val="7E4A7E37"/>
    <w:rsid w:val="7E5F2F15"/>
    <w:rsid w:val="7E7B2C87"/>
    <w:rsid w:val="7E8D29AE"/>
    <w:rsid w:val="7EA61CC2"/>
    <w:rsid w:val="7EB74DC6"/>
    <w:rsid w:val="7EC42148"/>
    <w:rsid w:val="7EC6772E"/>
    <w:rsid w:val="7EEB5927"/>
    <w:rsid w:val="7F007624"/>
    <w:rsid w:val="7F17496E"/>
    <w:rsid w:val="7F3A222F"/>
    <w:rsid w:val="7F3E1DFA"/>
    <w:rsid w:val="7F5434CC"/>
    <w:rsid w:val="7F572FBC"/>
    <w:rsid w:val="7F594F87"/>
    <w:rsid w:val="7F5B0CFF"/>
    <w:rsid w:val="7F690797"/>
    <w:rsid w:val="7F842003"/>
    <w:rsid w:val="7F8C6299"/>
    <w:rsid w:val="7F94762A"/>
    <w:rsid w:val="7F9C0ED6"/>
    <w:rsid w:val="7FC543CA"/>
    <w:rsid w:val="7FC60B48"/>
    <w:rsid w:val="BBDD6460"/>
    <w:rsid w:val="BF72070F"/>
    <w:rsid w:val="CFFE24DA"/>
    <w:rsid w:val="EF7F6176"/>
    <w:rsid w:val="EF9F8819"/>
    <w:rsid w:val="FBA61A9C"/>
    <w:rsid w:val="FE3EE9D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qFormat="1"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qFormat="1" w:uiPriority="99"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qFormat/>
    <w:uiPriority w:val="99"/>
    <w:pPr>
      <w:keepNext/>
      <w:keepLines/>
      <w:adjustRightInd w:val="0"/>
      <w:spacing w:before="100" w:beforeAutospacing="1" w:after="100" w:afterAutospacing="1" w:line="240" w:lineRule="atLeast"/>
      <w:ind w:left="425" w:hanging="425"/>
      <w:textAlignment w:val="baseline"/>
      <w:outlineLvl w:val="0"/>
    </w:pPr>
    <w:rPr>
      <w:b/>
      <w:bCs/>
      <w:kern w:val="44"/>
      <w:sz w:val="44"/>
      <w:szCs w:val="44"/>
    </w:rPr>
  </w:style>
  <w:style w:type="paragraph" w:styleId="3">
    <w:name w:val="heading 2"/>
    <w:basedOn w:val="1"/>
    <w:next w:val="1"/>
    <w:qFormat/>
    <w:uiPriority w:val="99"/>
    <w:pPr>
      <w:keepNext/>
      <w:keepLines/>
      <w:adjustRightInd w:val="0"/>
      <w:spacing w:before="100" w:beforeAutospacing="1" w:after="100" w:afterAutospacing="1" w:line="240" w:lineRule="atLeast"/>
      <w:ind w:left="851" w:hanging="425"/>
      <w:textAlignment w:val="baseline"/>
      <w:outlineLvl w:val="1"/>
    </w:pPr>
    <w:rPr>
      <w:rFonts w:ascii="Cambria" w:hAnsi="Cambria"/>
      <w:b/>
      <w:bCs/>
      <w:sz w:val="32"/>
      <w:szCs w:val="32"/>
    </w:rPr>
  </w:style>
  <w:style w:type="paragraph" w:styleId="4">
    <w:name w:val="heading 3"/>
    <w:basedOn w:val="1"/>
    <w:next w:val="1"/>
    <w:link w:val="73"/>
    <w:qFormat/>
    <w:uiPriority w:val="99"/>
    <w:pPr>
      <w:keepNext/>
      <w:keepLines/>
      <w:spacing w:before="260" w:after="260" w:line="412" w:lineRule="auto"/>
      <w:outlineLvl w:val="2"/>
    </w:pPr>
    <w:rPr>
      <w:b/>
      <w:bCs/>
      <w:sz w:val="32"/>
      <w:szCs w:val="32"/>
    </w:rPr>
  </w:style>
  <w:style w:type="paragraph" w:styleId="5">
    <w:name w:val="heading 4"/>
    <w:basedOn w:val="1"/>
    <w:next w:val="1"/>
    <w:qFormat/>
    <w:uiPriority w:val="9"/>
    <w:pPr>
      <w:keepNext/>
      <w:keepLines/>
      <w:spacing w:before="280" w:after="290" w:line="376" w:lineRule="auto"/>
      <w:outlineLvl w:val="3"/>
    </w:pPr>
    <w:rPr>
      <w:rFonts w:ascii="Calibri Light" w:hAnsi="Calibri Light"/>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firstLine="420"/>
    </w:pPr>
  </w:style>
  <w:style w:type="paragraph" w:styleId="7">
    <w:name w:val="caption"/>
    <w:basedOn w:val="1"/>
    <w:next w:val="1"/>
    <w:qFormat/>
    <w:uiPriority w:val="0"/>
    <w:rPr>
      <w:rFonts w:ascii="Cambria" w:hAnsi="Cambria" w:eastAsia="黑体"/>
      <w:sz w:val="20"/>
      <w:szCs w:val="20"/>
    </w:rPr>
  </w:style>
  <w:style w:type="paragraph" w:styleId="8">
    <w:name w:val="Document Map"/>
    <w:basedOn w:val="1"/>
    <w:link w:val="56"/>
    <w:qFormat/>
    <w:uiPriority w:val="0"/>
    <w:rPr>
      <w:rFonts w:ascii="宋体"/>
      <w:sz w:val="18"/>
      <w:szCs w:val="18"/>
    </w:rPr>
  </w:style>
  <w:style w:type="paragraph" w:styleId="9">
    <w:name w:val="annotation text"/>
    <w:basedOn w:val="1"/>
    <w:qFormat/>
    <w:uiPriority w:val="0"/>
    <w:pPr>
      <w:jc w:val="left"/>
    </w:pPr>
  </w:style>
  <w:style w:type="paragraph" w:styleId="10">
    <w:name w:val="Body Text"/>
    <w:basedOn w:val="1"/>
    <w:next w:val="1"/>
    <w:unhideWhenUsed/>
    <w:qFormat/>
    <w:uiPriority w:val="99"/>
    <w:pPr>
      <w:spacing w:before="100" w:beforeAutospacing="1" w:after="120"/>
    </w:pPr>
  </w:style>
  <w:style w:type="paragraph" w:styleId="11">
    <w:name w:val="Body Text Indent"/>
    <w:basedOn w:val="1"/>
    <w:next w:val="12"/>
    <w:unhideWhenUsed/>
    <w:qFormat/>
    <w:uiPriority w:val="99"/>
    <w:pPr>
      <w:spacing w:after="120"/>
      <w:ind w:left="420" w:leftChars="200"/>
    </w:pPr>
  </w:style>
  <w:style w:type="paragraph" w:styleId="12">
    <w:name w:val="envelope return"/>
    <w:basedOn w:val="1"/>
    <w:unhideWhenUsed/>
    <w:qFormat/>
    <w:uiPriority w:val="99"/>
    <w:pPr>
      <w:snapToGrid w:val="0"/>
    </w:pPr>
    <w:rPr>
      <w:rFonts w:ascii="Arial" w:hAnsi="Arial"/>
    </w:rPr>
  </w:style>
  <w:style w:type="paragraph" w:styleId="13">
    <w:name w:val="List Continue"/>
    <w:basedOn w:val="1"/>
    <w:unhideWhenUsed/>
    <w:qFormat/>
    <w:uiPriority w:val="99"/>
    <w:pPr>
      <w:spacing w:before="100" w:beforeAutospacing="1" w:after="120"/>
      <w:ind w:left="420"/>
    </w:pPr>
    <w:rPr>
      <w:rFonts w:eastAsia="楷体_GB2312"/>
      <w:sz w:val="32"/>
      <w:szCs w:val="32"/>
    </w:rPr>
  </w:style>
  <w:style w:type="paragraph" w:styleId="14">
    <w:name w:val="Plain Text"/>
    <w:basedOn w:val="1"/>
    <w:unhideWhenUsed/>
    <w:qFormat/>
    <w:uiPriority w:val="99"/>
    <w:rPr>
      <w:rFonts w:ascii="宋体" w:hAnsi="Courier New"/>
    </w:rPr>
  </w:style>
  <w:style w:type="paragraph" w:styleId="15">
    <w:name w:val="Balloon Text"/>
    <w:basedOn w:val="1"/>
    <w:link w:val="57"/>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toc 1"/>
    <w:basedOn w:val="1"/>
    <w:next w:val="1"/>
    <w:unhideWhenUsed/>
    <w:qFormat/>
    <w:uiPriority w:val="99"/>
  </w:style>
  <w:style w:type="paragraph" w:styleId="19">
    <w:name w:val="toc 2"/>
    <w:basedOn w:val="1"/>
    <w:next w:val="1"/>
    <w:unhideWhenUsed/>
    <w:qFormat/>
    <w:uiPriority w:val="99"/>
    <w:pPr>
      <w:spacing w:before="100" w:beforeAutospacing="1" w:after="100" w:afterAutospacing="1"/>
      <w:ind w:left="420" w:leftChars="200"/>
    </w:pPr>
  </w:style>
  <w:style w:type="paragraph" w:styleId="20">
    <w:name w:val="Body Text 2"/>
    <w:basedOn w:val="1"/>
    <w:next w:val="10"/>
    <w:qFormat/>
    <w:uiPriority w:val="0"/>
    <w:rPr>
      <w:rFonts w:ascii="Times New Roman" w:hAnsi="Times New Roman" w:eastAsia="宋体" w:cs="Times New Roman"/>
      <w:sz w:val="28"/>
    </w:rPr>
  </w:style>
  <w:style w:type="paragraph" w:styleId="21">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2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3">
    <w:name w:val="Body Text First Indent"/>
    <w:basedOn w:val="10"/>
    <w:next w:val="1"/>
    <w:qFormat/>
    <w:uiPriority w:val="0"/>
    <w:pPr>
      <w:ind w:firstLine="420" w:firstLineChars="100"/>
    </w:pPr>
  </w:style>
  <w:style w:type="paragraph" w:styleId="24">
    <w:name w:val="Body Text First Indent 2"/>
    <w:basedOn w:val="11"/>
    <w:next w:val="1"/>
    <w:unhideWhenUsed/>
    <w:qFormat/>
    <w:uiPriority w:val="99"/>
    <w:pPr>
      <w:ind w:firstLine="420" w:firstLineChars="200"/>
    </w:pPr>
  </w:style>
  <w:style w:type="table" w:styleId="26">
    <w:name w:val="Table Grid"/>
    <w:basedOn w:val="2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FollowedHyperlink"/>
    <w:basedOn w:val="27"/>
    <w:qFormat/>
    <w:uiPriority w:val="0"/>
    <w:rPr>
      <w:color w:val="333333"/>
      <w:u w:val="none"/>
    </w:rPr>
  </w:style>
  <w:style w:type="character" w:styleId="30">
    <w:name w:val="Emphasis"/>
    <w:basedOn w:val="27"/>
    <w:qFormat/>
    <w:uiPriority w:val="0"/>
  </w:style>
  <w:style w:type="character" w:styleId="31">
    <w:name w:val="Hyperlink"/>
    <w:basedOn w:val="27"/>
    <w:unhideWhenUsed/>
    <w:qFormat/>
    <w:uiPriority w:val="99"/>
    <w:rPr>
      <w:color w:val="333333"/>
      <w:u w:val="none"/>
    </w:rPr>
  </w:style>
  <w:style w:type="paragraph" w:customStyle="1" w:styleId="32">
    <w:name w:val="无间隔1"/>
    <w:basedOn w:val="1"/>
    <w:next w:val="33"/>
    <w:qFormat/>
    <w:uiPriority w:val="0"/>
    <w:pPr>
      <w:spacing w:before="100" w:beforeAutospacing="1" w:line="400" w:lineRule="exact"/>
    </w:pPr>
    <w:rPr>
      <w:sz w:val="24"/>
      <w:szCs w:val="24"/>
    </w:rPr>
  </w:style>
  <w:style w:type="paragraph" w:customStyle="1" w:styleId="33">
    <w:name w:val="TOC Heading1"/>
    <w:next w:val="1"/>
    <w:qFormat/>
    <w:uiPriority w:val="0"/>
    <w:pPr>
      <w:wordWrap w:val="0"/>
    </w:pPr>
    <w:rPr>
      <w:rFonts w:ascii="Calibri" w:hAnsi="Calibri" w:eastAsia="宋体" w:cs="Times New Roman"/>
      <w:sz w:val="32"/>
      <w:szCs w:val="22"/>
      <w:lang w:val="en-US" w:eastAsia="zh-CN" w:bidi="ar-SA"/>
    </w:rPr>
  </w:style>
  <w:style w:type="paragraph" w:customStyle="1" w:styleId="34">
    <w:name w:val="Default"/>
    <w:basedOn w:val="14"/>
    <w:qFormat/>
    <w:uiPriority w:val="0"/>
    <w:pPr>
      <w:autoSpaceDE w:val="0"/>
      <w:autoSpaceDN w:val="0"/>
      <w:adjustRightInd w:val="0"/>
      <w:jc w:val="left"/>
    </w:pPr>
    <w:rPr>
      <w:rFonts w:cs="宋体"/>
      <w:color w:val="000000"/>
      <w:kern w:val="0"/>
      <w:sz w:val="24"/>
      <w:szCs w:val="24"/>
    </w:rPr>
  </w:style>
  <w:style w:type="paragraph" w:customStyle="1" w:styleId="35">
    <w:name w:val="大标题"/>
    <w:basedOn w:val="1"/>
    <w:next w:val="24"/>
    <w:qFormat/>
    <w:uiPriority w:val="0"/>
    <w:pPr>
      <w:jc w:val="center"/>
    </w:pPr>
    <w:rPr>
      <w:rFonts w:ascii="Arial" w:hAnsi="Arial"/>
      <w:b/>
      <w:sz w:val="28"/>
      <w:szCs w:val="24"/>
    </w:rPr>
  </w:style>
  <w:style w:type="paragraph" w:customStyle="1" w:styleId="36">
    <w:name w:val="BodyText1I"/>
    <w:basedOn w:val="37"/>
    <w:next w:val="1"/>
    <w:qFormat/>
    <w:uiPriority w:val="0"/>
    <w:pPr>
      <w:ind w:firstLine="420" w:firstLineChars="100"/>
    </w:pPr>
  </w:style>
  <w:style w:type="paragraph" w:customStyle="1" w:styleId="37">
    <w:name w:val="BodyText"/>
    <w:basedOn w:val="1"/>
    <w:next w:val="1"/>
    <w:qFormat/>
    <w:uiPriority w:val="0"/>
    <w:pPr>
      <w:spacing w:after="120"/>
      <w:textAlignment w:val="baseline"/>
    </w:pPr>
  </w:style>
  <w:style w:type="paragraph" w:customStyle="1" w:styleId="38">
    <w:name w:val="No Spacing1"/>
    <w:basedOn w:val="1"/>
    <w:qFormat/>
    <w:uiPriority w:val="1"/>
    <w:pPr>
      <w:spacing w:line="400" w:lineRule="exact"/>
    </w:pPr>
    <w:rPr>
      <w:sz w:val="24"/>
    </w:rPr>
  </w:style>
  <w:style w:type="paragraph" w:customStyle="1" w:styleId="39">
    <w:name w:val="无间隔11"/>
    <w:basedOn w:val="1"/>
    <w:qFormat/>
    <w:uiPriority w:val="0"/>
    <w:rPr>
      <w:rFonts w:ascii="Times New Roman" w:hAnsi="Times New Roman"/>
    </w:rPr>
  </w:style>
  <w:style w:type="paragraph" w:customStyle="1" w:styleId="40">
    <w:name w:val="列出段落11"/>
    <w:basedOn w:val="1"/>
    <w:qFormat/>
    <w:uiPriority w:val="0"/>
    <w:pPr>
      <w:ind w:firstLine="420" w:firstLineChars="200"/>
    </w:pPr>
  </w:style>
  <w:style w:type="paragraph" w:customStyle="1" w:styleId="41">
    <w:name w:val="正文文本 31"/>
    <w:basedOn w:val="1"/>
    <w:qFormat/>
    <w:uiPriority w:val="0"/>
    <w:rPr>
      <w:sz w:val="16"/>
      <w:szCs w:val="16"/>
    </w:rPr>
  </w:style>
  <w:style w:type="paragraph" w:customStyle="1" w:styleId="42">
    <w:name w:val="样式 标题 2 + Times New Roman 四号 非加粗 段前: 5 磅 段后: 0 磅 行距: 固定值 20..."/>
    <w:basedOn w:val="3"/>
    <w:qFormat/>
    <w:uiPriority w:val="0"/>
    <w:pPr>
      <w:spacing w:beforeAutospacing="0" w:line="400" w:lineRule="exact"/>
    </w:pPr>
    <w:rPr>
      <w:rFonts w:ascii="Times New Roman" w:hAnsi="Times New Roman"/>
      <w:b w:val="0"/>
      <w:bCs w:val="0"/>
      <w:sz w:val="28"/>
      <w:szCs w:val="28"/>
    </w:rPr>
  </w:style>
  <w:style w:type="paragraph" w:customStyle="1" w:styleId="43">
    <w:name w:val="0"/>
    <w:basedOn w:val="1"/>
    <w:qFormat/>
    <w:uiPriority w:val="0"/>
    <w:pPr>
      <w:widowControl/>
      <w:snapToGrid w:val="0"/>
    </w:pPr>
    <w:rPr>
      <w:rFonts w:hint="eastAsia"/>
    </w:rPr>
  </w:style>
  <w:style w:type="character" w:customStyle="1" w:styleId="44">
    <w:name w:val="fontstyle01"/>
    <w:basedOn w:val="27"/>
    <w:qFormat/>
    <w:uiPriority w:val="0"/>
    <w:rPr>
      <w:rFonts w:hint="eastAsia" w:ascii="宋体" w:hAnsi="宋体" w:eastAsia="宋体"/>
      <w:color w:val="000000"/>
      <w:sz w:val="24"/>
      <w:szCs w:val="24"/>
    </w:rPr>
  </w:style>
  <w:style w:type="character" w:customStyle="1" w:styleId="45">
    <w:name w:val="hover24"/>
    <w:basedOn w:val="27"/>
    <w:qFormat/>
    <w:uiPriority w:val="0"/>
  </w:style>
  <w:style w:type="character" w:customStyle="1" w:styleId="46">
    <w:name w:val="gb-jt"/>
    <w:basedOn w:val="27"/>
    <w:qFormat/>
    <w:uiPriority w:val="0"/>
  </w:style>
  <w:style w:type="character" w:customStyle="1" w:styleId="47">
    <w:name w:val="fl2"/>
    <w:basedOn w:val="27"/>
    <w:qFormat/>
    <w:uiPriority w:val="0"/>
    <w:rPr>
      <w:color w:val="666666"/>
    </w:rPr>
  </w:style>
  <w:style w:type="character" w:customStyle="1" w:styleId="48">
    <w:name w:val="right"/>
    <w:basedOn w:val="27"/>
    <w:qFormat/>
    <w:uiPriority w:val="0"/>
    <w:rPr>
      <w:color w:val="999999"/>
      <w:sz w:val="18"/>
      <w:szCs w:val="18"/>
    </w:rPr>
  </w:style>
  <w:style w:type="character" w:customStyle="1" w:styleId="49">
    <w:name w:val="right1"/>
    <w:basedOn w:val="27"/>
    <w:qFormat/>
    <w:uiPriority w:val="0"/>
    <w:rPr>
      <w:color w:val="999999"/>
    </w:rPr>
  </w:style>
  <w:style w:type="character" w:customStyle="1" w:styleId="50">
    <w:name w:val="green"/>
    <w:basedOn w:val="27"/>
    <w:qFormat/>
    <w:uiPriority w:val="0"/>
    <w:rPr>
      <w:color w:val="58B200"/>
      <w:sz w:val="21"/>
      <w:szCs w:val="21"/>
    </w:rPr>
  </w:style>
  <w:style w:type="character" w:customStyle="1" w:styleId="51">
    <w:name w:val="red"/>
    <w:basedOn w:val="27"/>
    <w:qFormat/>
    <w:uiPriority w:val="0"/>
    <w:rPr>
      <w:color w:val="FF0000"/>
      <w:sz w:val="21"/>
      <w:szCs w:val="21"/>
    </w:rPr>
  </w:style>
  <w:style w:type="character" w:customStyle="1" w:styleId="52">
    <w:name w:val="red1"/>
    <w:basedOn w:val="27"/>
    <w:qFormat/>
    <w:uiPriority w:val="0"/>
    <w:rPr>
      <w:color w:val="FF0000"/>
      <w:sz w:val="24"/>
      <w:szCs w:val="24"/>
    </w:rPr>
  </w:style>
  <w:style w:type="character" w:customStyle="1" w:styleId="53">
    <w:name w:val="blue"/>
    <w:basedOn w:val="27"/>
    <w:qFormat/>
    <w:uiPriority w:val="0"/>
    <w:rPr>
      <w:color w:val="0371C6"/>
      <w:sz w:val="21"/>
      <w:szCs w:val="21"/>
    </w:rPr>
  </w:style>
  <w:style w:type="character" w:customStyle="1" w:styleId="54">
    <w:name w:val="fr4"/>
    <w:basedOn w:val="27"/>
    <w:qFormat/>
    <w:uiPriority w:val="0"/>
  </w:style>
  <w:style w:type="character" w:customStyle="1" w:styleId="55">
    <w:name w:val="fl"/>
    <w:basedOn w:val="27"/>
    <w:qFormat/>
    <w:uiPriority w:val="0"/>
    <w:rPr>
      <w:color w:val="666666"/>
    </w:rPr>
  </w:style>
  <w:style w:type="character" w:customStyle="1" w:styleId="56">
    <w:name w:val="文档结构图 字符"/>
    <w:basedOn w:val="27"/>
    <w:link w:val="8"/>
    <w:qFormat/>
    <w:uiPriority w:val="0"/>
    <w:rPr>
      <w:rFonts w:ascii="宋体" w:hAnsi="Calibri"/>
      <w:kern w:val="2"/>
      <w:sz w:val="18"/>
      <w:szCs w:val="18"/>
    </w:rPr>
  </w:style>
  <w:style w:type="character" w:customStyle="1" w:styleId="57">
    <w:name w:val="批注框文本 字符"/>
    <w:basedOn w:val="27"/>
    <w:link w:val="15"/>
    <w:qFormat/>
    <w:uiPriority w:val="0"/>
    <w:rPr>
      <w:rFonts w:ascii="Calibri" w:hAnsi="Calibri"/>
      <w:kern w:val="2"/>
      <w:sz w:val="18"/>
      <w:szCs w:val="18"/>
    </w:rPr>
  </w:style>
  <w:style w:type="character" w:customStyle="1" w:styleId="58">
    <w:name w:val="fr"/>
    <w:basedOn w:val="27"/>
    <w:qFormat/>
    <w:uiPriority w:val="0"/>
  </w:style>
  <w:style w:type="character" w:customStyle="1" w:styleId="59">
    <w:name w:val="hover"/>
    <w:basedOn w:val="27"/>
    <w:qFormat/>
    <w:uiPriority w:val="0"/>
  </w:style>
  <w:style w:type="character" w:customStyle="1" w:styleId="60">
    <w:name w:val="active3"/>
    <w:basedOn w:val="27"/>
    <w:qFormat/>
    <w:uiPriority w:val="0"/>
    <w:rPr>
      <w:color w:val="FFFFFF"/>
      <w:shd w:val="clear" w:color="auto" w:fill="2B7AFC"/>
    </w:rPr>
  </w:style>
  <w:style w:type="character" w:customStyle="1" w:styleId="61">
    <w:name w:val="active"/>
    <w:basedOn w:val="27"/>
    <w:qFormat/>
    <w:uiPriority w:val="0"/>
    <w:rPr>
      <w:color w:val="FFFFFF"/>
      <w:shd w:val="clear" w:color="auto" w:fill="2B7AFC"/>
    </w:rPr>
  </w:style>
  <w:style w:type="character" w:customStyle="1" w:styleId="62">
    <w:name w:val="active1"/>
    <w:basedOn w:val="27"/>
    <w:qFormat/>
    <w:uiPriority w:val="0"/>
    <w:rPr>
      <w:color w:val="FFFFFF"/>
      <w:shd w:val="clear" w:color="auto" w:fill="2B7AFC"/>
    </w:rPr>
  </w:style>
  <w:style w:type="character" w:customStyle="1" w:styleId="63">
    <w:name w:val="active2"/>
    <w:basedOn w:val="27"/>
    <w:qFormat/>
    <w:uiPriority w:val="0"/>
    <w:rPr>
      <w:color w:val="FFFFFF"/>
      <w:shd w:val="clear" w:color="auto" w:fill="2B7AFC"/>
    </w:rPr>
  </w:style>
  <w:style w:type="character" w:customStyle="1" w:styleId="64">
    <w:name w:val="hover23"/>
    <w:basedOn w:val="27"/>
    <w:qFormat/>
    <w:uiPriority w:val="0"/>
  </w:style>
  <w:style w:type="character" w:customStyle="1" w:styleId="65">
    <w:name w:val="red2"/>
    <w:basedOn w:val="27"/>
    <w:qFormat/>
    <w:uiPriority w:val="0"/>
    <w:rPr>
      <w:color w:val="FF0000"/>
      <w:sz w:val="21"/>
      <w:szCs w:val="21"/>
    </w:rPr>
  </w:style>
  <w:style w:type="character" w:customStyle="1" w:styleId="66">
    <w:name w:val="red3"/>
    <w:basedOn w:val="27"/>
    <w:qFormat/>
    <w:uiPriority w:val="0"/>
    <w:rPr>
      <w:color w:val="FF0000"/>
      <w:sz w:val="24"/>
      <w:szCs w:val="24"/>
    </w:rPr>
  </w:style>
  <w:style w:type="paragraph" w:customStyle="1" w:styleId="67">
    <w:name w:val="列出段落1"/>
    <w:basedOn w:val="1"/>
    <w:qFormat/>
    <w:uiPriority w:val="34"/>
    <w:pPr>
      <w:ind w:firstLine="420" w:firstLineChars="200"/>
    </w:pPr>
  </w:style>
  <w:style w:type="character" w:customStyle="1" w:styleId="68">
    <w:name w:val="font21"/>
    <w:basedOn w:val="27"/>
    <w:qFormat/>
    <w:uiPriority w:val="0"/>
    <w:rPr>
      <w:rFonts w:hint="eastAsia" w:ascii="宋体" w:hAnsi="宋体" w:eastAsia="宋体" w:cs="宋体"/>
      <w:color w:val="000000"/>
      <w:sz w:val="20"/>
      <w:szCs w:val="20"/>
      <w:u w:val="none"/>
    </w:rPr>
  </w:style>
  <w:style w:type="character" w:customStyle="1" w:styleId="69">
    <w:name w:val="font11"/>
    <w:basedOn w:val="27"/>
    <w:qFormat/>
    <w:uiPriority w:val="0"/>
    <w:rPr>
      <w:rFonts w:hint="eastAsia" w:ascii="宋体" w:hAnsi="宋体" w:eastAsia="宋体" w:cs="宋体"/>
      <w:b/>
      <w:color w:val="000000"/>
      <w:sz w:val="20"/>
      <w:szCs w:val="20"/>
      <w:u w:val="none"/>
    </w:rPr>
  </w:style>
  <w:style w:type="paragraph" w:customStyle="1" w:styleId="70">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71">
    <w:name w:val="样式1"/>
    <w:basedOn w:val="1"/>
    <w:next w:val="5"/>
    <w:qFormat/>
    <w:uiPriority w:val="99"/>
    <w:pPr>
      <w:tabs>
        <w:tab w:val="left" w:pos="709"/>
      </w:tabs>
      <w:adjustRightInd w:val="0"/>
      <w:ind w:left="709" w:hanging="709"/>
      <w:textAlignment w:val="baseline"/>
    </w:pPr>
    <w:rPr>
      <w:rFonts w:ascii="宋体" w:hAnsi="宋体" w:cs="宋体"/>
      <w:kern w:val="0"/>
    </w:rPr>
  </w:style>
  <w:style w:type="paragraph" w:customStyle="1" w:styleId="72">
    <w:name w:val="Table Paragraph"/>
    <w:basedOn w:val="1"/>
    <w:qFormat/>
    <w:uiPriority w:val="1"/>
    <w:pPr>
      <w:autoSpaceDE w:val="0"/>
      <w:autoSpaceDN w:val="0"/>
    </w:pPr>
    <w:rPr>
      <w:rFonts w:ascii="宋体" w:hAnsi="宋体" w:cs="宋体"/>
      <w:sz w:val="22"/>
      <w:szCs w:val="22"/>
      <w:lang w:val="zh-CN" w:bidi="zh-CN"/>
    </w:rPr>
  </w:style>
  <w:style w:type="character" w:customStyle="1" w:styleId="73">
    <w:name w:val="标题 3 字符"/>
    <w:link w:val="4"/>
    <w:qFormat/>
    <w:uiPriority w:val="0"/>
    <w:rPr>
      <w:b/>
      <w:bCs/>
      <w:sz w:val="32"/>
      <w:szCs w:val="32"/>
    </w:rPr>
  </w:style>
  <w:style w:type="paragraph" w:customStyle="1" w:styleId="74">
    <w:name w:val="2"/>
    <w:basedOn w:val="1"/>
    <w:qFormat/>
    <w:uiPriority w:val="0"/>
    <w:pPr>
      <w:spacing w:line="360" w:lineRule="auto"/>
    </w:pPr>
    <w:rPr>
      <w:b/>
      <w:szCs w:val="24"/>
    </w:rPr>
  </w:style>
  <w:style w:type="paragraph" w:customStyle="1" w:styleId="75">
    <w:name w:val="表头"/>
    <w:basedOn w:val="7"/>
    <w:qFormat/>
    <w:uiPriority w:val="0"/>
    <w:pPr>
      <w:keepNext/>
      <w:keepLines/>
      <w:widowControl/>
      <w:spacing w:before="120" w:after="120" w:line="300" w:lineRule="auto"/>
      <w:jc w:val="center"/>
    </w:pPr>
    <w:rPr>
      <w:rFonts w:ascii="Arial" w:hAnsi="Arial"/>
      <w:sz w:val="21"/>
    </w:rPr>
  </w:style>
  <w:style w:type="paragraph" w:customStyle="1" w:styleId="76">
    <w:name w:val="p0"/>
    <w:basedOn w:val="1"/>
    <w:qFormat/>
    <w:uiPriority w:val="0"/>
  </w:style>
  <w:style w:type="paragraph" w:customStyle="1" w:styleId="77">
    <w:name w:val="p16"/>
    <w:basedOn w:val="1"/>
    <w:qFormat/>
    <w:uiPriority w:val="0"/>
    <w:pPr>
      <w:spacing w:line="340" w:lineRule="atLeast"/>
      <w:ind w:firstLine="403"/>
    </w:pPr>
    <w:rPr>
      <w:sz w:val="28"/>
      <w:szCs w:val="28"/>
    </w:rPr>
  </w:style>
  <w:style w:type="character" w:customStyle="1" w:styleId="78">
    <w:name w:val="font71"/>
    <w:basedOn w:val="27"/>
    <w:qFormat/>
    <w:uiPriority w:val="0"/>
    <w:rPr>
      <w:rFonts w:hint="eastAsia" w:ascii="微软雅黑" w:hAnsi="微软雅黑" w:eastAsia="微软雅黑" w:cs="微软雅黑"/>
      <w:color w:val="000000"/>
      <w:sz w:val="24"/>
      <w:szCs w:val="24"/>
      <w:u w:val="none"/>
    </w:rPr>
  </w:style>
  <w:style w:type="character" w:customStyle="1" w:styleId="79">
    <w:name w:val="font81"/>
    <w:basedOn w:val="27"/>
    <w:qFormat/>
    <w:uiPriority w:val="0"/>
    <w:rPr>
      <w:rFonts w:hint="eastAsia" w:ascii="微软雅黑" w:hAnsi="微软雅黑" w:eastAsia="微软雅黑" w:cs="微软雅黑"/>
      <w:color w:val="FF0000"/>
      <w:sz w:val="24"/>
      <w:szCs w:val="24"/>
      <w:u w:val="none"/>
    </w:rPr>
  </w:style>
  <w:style w:type="character" w:customStyle="1" w:styleId="80">
    <w:name w:val="font12"/>
    <w:basedOn w:val="27"/>
    <w:qFormat/>
    <w:uiPriority w:val="0"/>
    <w:rPr>
      <w:rFonts w:hint="eastAsia" w:ascii="微软雅黑" w:hAnsi="微软雅黑" w:eastAsia="微软雅黑" w:cs="微软雅黑"/>
      <w:color w:val="000000"/>
      <w:sz w:val="24"/>
      <w:szCs w:val="24"/>
      <w:u w:val="none"/>
    </w:rPr>
  </w:style>
  <w:style w:type="character" w:customStyle="1" w:styleId="81">
    <w:name w:val="font91"/>
    <w:basedOn w:val="27"/>
    <w:qFormat/>
    <w:uiPriority w:val="0"/>
    <w:rPr>
      <w:rFonts w:hint="eastAsia" w:ascii="微软雅黑" w:hAnsi="微软雅黑" w:eastAsia="微软雅黑" w:cs="微软雅黑"/>
      <w:color w:val="92D050"/>
      <w:sz w:val="24"/>
      <w:szCs w:val="24"/>
      <w:u w:val="none"/>
    </w:rPr>
  </w:style>
  <w:style w:type="character" w:customStyle="1" w:styleId="82">
    <w:name w:val="font101"/>
    <w:basedOn w:val="27"/>
    <w:qFormat/>
    <w:uiPriority w:val="0"/>
    <w:rPr>
      <w:rFonts w:hint="eastAsia" w:ascii="微软雅黑" w:hAnsi="微软雅黑" w:eastAsia="微软雅黑" w:cs="微软雅黑"/>
      <w:color w:val="4D93D9"/>
      <w:sz w:val="24"/>
      <w:szCs w:val="24"/>
      <w:u w:val="none"/>
    </w:rPr>
  </w:style>
  <w:style w:type="character" w:customStyle="1" w:styleId="83">
    <w:name w:val="font111"/>
    <w:basedOn w:val="27"/>
    <w:qFormat/>
    <w:uiPriority w:val="0"/>
    <w:rPr>
      <w:rFonts w:hint="eastAsia" w:ascii="微软雅黑" w:hAnsi="微软雅黑" w:eastAsia="微软雅黑" w:cs="微软雅黑"/>
      <w:color w:val="215C98"/>
      <w:sz w:val="24"/>
      <w:szCs w:val="24"/>
      <w:u w:val="none"/>
    </w:rPr>
  </w:style>
  <w:style w:type="character" w:customStyle="1" w:styleId="84">
    <w:name w:val="font122"/>
    <w:basedOn w:val="27"/>
    <w:qFormat/>
    <w:uiPriority w:val="0"/>
    <w:rPr>
      <w:rFonts w:ascii="Arial" w:hAnsi="Arial" w:cs="Arial"/>
      <w:color w:val="000000"/>
      <w:sz w:val="24"/>
      <w:szCs w:val="24"/>
      <w:u w:val="none"/>
    </w:rPr>
  </w:style>
  <w:style w:type="character" w:customStyle="1" w:styleId="85">
    <w:name w:val="font41"/>
    <w:basedOn w:val="27"/>
    <w:qFormat/>
    <w:uiPriority w:val="0"/>
    <w:rPr>
      <w:rFonts w:hint="eastAsia" w:ascii="宋体" w:hAnsi="宋体" w:eastAsia="宋体" w:cs="宋体"/>
      <w:color w:val="000000"/>
      <w:sz w:val="20"/>
      <w:szCs w:val="20"/>
      <w:u w:val="none"/>
    </w:rPr>
  </w:style>
  <w:style w:type="paragraph" w:customStyle="1" w:styleId="86">
    <w:name w:val="Table Text"/>
    <w:basedOn w:val="1"/>
    <w:semiHidden/>
    <w:qFormat/>
    <w:uiPriority w:val="0"/>
    <w:rPr>
      <w:rFonts w:ascii="宋体" w:hAnsi="宋体" w:eastAsia="宋体" w:cs="宋体"/>
      <w:sz w:val="24"/>
      <w:szCs w:val="24"/>
      <w:lang w:val="en-US" w:eastAsia="en-US" w:bidi="ar-SA"/>
    </w:rPr>
  </w:style>
  <w:style w:type="table" w:customStyle="1" w:styleId="87">
    <w:name w:val="Table Normal"/>
    <w:semiHidden/>
    <w:unhideWhenUsed/>
    <w:qFormat/>
    <w:uiPriority w:val="0"/>
    <w:tblPr>
      <w:tblCellMar>
        <w:top w:w="0" w:type="dxa"/>
        <w:left w:w="0" w:type="dxa"/>
        <w:bottom w:w="0" w:type="dxa"/>
        <w:right w:w="0" w:type="dxa"/>
      </w:tblCellMar>
    </w:tblPr>
  </w:style>
  <w:style w:type="paragraph" w:customStyle="1" w:styleId="88">
    <w:name w:val="正文11"/>
    <w:next w:val="32"/>
    <w:qFormat/>
    <w:uiPriority w:val="0"/>
    <w:pPr>
      <w:widowControl w:val="0"/>
      <w:jc w:val="both"/>
    </w:pPr>
    <w:rPr>
      <w:rFonts w:ascii="Calibri" w:hAnsi="Calibri" w:eastAsia="新宋体" w:cs="Times New Roman"/>
      <w:kern w:val="2"/>
      <w:sz w:val="21"/>
      <w:szCs w:val="24"/>
      <w:lang w:val="en-US" w:eastAsia="zh-CN" w:bidi="hi-I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63</Pages>
  <Words>22307</Words>
  <Characters>24584</Characters>
  <Lines>1294</Lines>
  <Paragraphs>1163</Paragraphs>
  <TotalTime>46</TotalTime>
  <ScaleCrop>false</ScaleCrop>
  <LinksUpToDate>false</LinksUpToDate>
  <CharactersWithSpaces>24829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2025-12-15T10:08:00Z</dcterms:created>
  <dc:creator>Administrator</dc:creator>
  <cp:lastModifiedBy>凉城</cp:lastModifiedBy>
  <dcterms:modified xsi:type="dcterms:W3CDTF">2026-09-29T01:49:14Z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6ADF746892C64615ABFB89AB86BA49FA_13</vt:lpwstr>
  </property>
  <property fmtid="{D5CDD505-2E9C-101B-9397-08002B2CF9AE}" pid="4" name="KSOTemplateDocerSaveRecord">
    <vt:lpwstr>eyJoZGlkIjoiMzE1ZTNlYjg5NDcyNGI3OWM3N2RmNzdmMjQ0YjY0ZDMiLCJ1c2VySWQiOiIxNTE3MjQ3NzM2In0=</vt:lpwstr>
  </property>
</Properties>
</file>