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2ED77">
      <w:pPr>
        <w:spacing w:line="700" w:lineRule="exact"/>
        <w:jc w:val="center"/>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云能天然气（玉溪）有限公司</w:t>
      </w:r>
      <w:r>
        <w:rPr>
          <w:rFonts w:hint="default" w:ascii="Times New Roman" w:hAnsi="Times New Roman" w:eastAsia="方正小标宋_GBK" w:cs="Times New Roman"/>
          <w:sz w:val="44"/>
          <w:szCs w:val="44"/>
        </w:rPr>
        <w:t>关于</w:t>
      </w:r>
    </w:p>
    <w:p w14:paraId="7987455E">
      <w:pPr>
        <w:spacing w:line="700"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rPr>
        <w:t>观音山片区天然气工程项目涉路评价技术服务</w:t>
      </w:r>
      <w:r>
        <w:rPr>
          <w:rFonts w:hint="default" w:ascii="Times New Roman" w:hAnsi="Times New Roman" w:eastAsia="方正小标宋_GBK" w:cs="Times New Roman"/>
          <w:sz w:val="44"/>
          <w:szCs w:val="44"/>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6FF0BBC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eastAsia" w:ascii="Times New Roman" w:hAnsi="Times New Roman" w:eastAsia="方正仿宋_GBK" w:cs="Times New Roman"/>
          <w:bCs/>
          <w:sz w:val="32"/>
          <w:szCs w:val="32"/>
          <w:lang w:val="en-US" w:eastAsia="zh-CN"/>
        </w:rPr>
        <w:t>根据公司市场发展需求，现需开展观音山片区天然气工程项目，对涉路评价技术服务进行选商</w:t>
      </w:r>
      <w:r>
        <w:rPr>
          <w:rFonts w:hint="default" w:ascii="Times New Roman" w:hAnsi="Times New Roman" w:eastAsia="方正仿宋_GBK" w:cs="Times New Roman"/>
          <w:bCs/>
          <w:sz w:val="32"/>
          <w:szCs w:val="32"/>
          <w:lang w:val="en-US" w:eastAsia="zh-CN"/>
        </w:rPr>
        <w:t>，</w:t>
      </w:r>
      <w:r>
        <w:rPr>
          <w:rFonts w:hint="default" w:ascii="Times New Roman" w:hAnsi="Times New Roman" w:eastAsia="方正仿宋_GBK" w:cs="Times New Roman"/>
          <w:bCs/>
          <w:sz w:val="32"/>
          <w:szCs w:val="32"/>
        </w:rPr>
        <w:t>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观音山片区天然气工程项目涉路评价技术服务</w:t>
      </w:r>
      <w:r>
        <w:rPr>
          <w:rFonts w:hint="default" w:ascii="Times New Roman" w:hAnsi="Times New Roman" w:eastAsia="方正仿宋_GBK" w:cs="Times New Roman"/>
          <w:bCs/>
          <w:sz w:val="32"/>
          <w:szCs w:val="32"/>
          <w:u w:val="single"/>
          <w:lang w:eastAsia="zh-CN"/>
        </w:rPr>
        <w:t>。</w:t>
      </w:r>
    </w:p>
    <w:p w14:paraId="71C771BE">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none"/>
          <w:lang w:val="en-US" w:eastAsia="zh-CN"/>
        </w:rPr>
        <w:t>项目概况：</w:t>
      </w:r>
      <w:r>
        <w:rPr>
          <w:rFonts w:hint="eastAsia" w:ascii="Times New Roman" w:hAnsi="Times New Roman" w:eastAsia="方正仿宋_GBK" w:cs="Times New Roman"/>
          <w:bCs/>
          <w:sz w:val="32"/>
          <w:szCs w:val="32"/>
          <w:u w:val="single"/>
          <w:lang w:val="en-US" w:eastAsia="zh-CN"/>
        </w:rPr>
        <w:t>本项目拟新建一条供气专线，构建环网供气能力。形成双气源备用保供能力，具体设置两套建设方案，两套方案管道设计参数一致：设计压力0.4MPa，工作压力0.2-0.35MPa，设计供气规模2×10⁴Nm³/h，管道均采用PE100 SDR11规格管材，设计管径包含DN250、DN160，施工采用开挖与定向钻相结合的方式。具体方案如下：</w:t>
      </w:r>
    </w:p>
    <w:p w14:paraId="1E134A5C">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方案一：气源取自我公司已建中压燃气管道工程新沟路预留阀井，沿玉溪红塔区春和街道新沟路、煤厂路、创业路敷设至丰元（云南）锂能科技有限公司，新建市政中压管线2.365km。</w:t>
      </w:r>
    </w:p>
    <w:p w14:paraId="69CB9799">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方案二：气源接入点与方案一一致，沿春和街道新沟路、080乡道、新黄路、创业路敷设至丰元（云南）锂能科技有限公司，针对080乡道居民集中区域，优先采用定向钻施工，最大限度缩小施工范围、减少对周边道路通行及居民生活的影响。新建市政中压管线总长5km。</w:t>
      </w:r>
    </w:p>
    <w:p w14:paraId="0E5EB108">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eastAsia" w:ascii="Times New Roman" w:hAnsi="Times New Roman" w:eastAsia="方正仿宋_GBK" w:cs="Times New Roman"/>
          <w:bCs/>
          <w:sz w:val="32"/>
          <w:szCs w:val="32"/>
          <w:u w:val="single"/>
          <w:lang w:val="en-US" w:eastAsia="zh-CN"/>
        </w:rPr>
        <w:t>其中煤厂路、080乡道道路等级为公路，需进行涉路评价，具体工程量以现场实际情况为准。</w:t>
      </w:r>
    </w:p>
    <w:p w14:paraId="44B9B414">
      <w:pPr>
        <w:spacing w:line="576" w:lineRule="exact"/>
        <w:ind w:firstLine="640" w:firstLineChars="200"/>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甲方指定地点</w:t>
      </w:r>
      <w:r>
        <w:rPr>
          <w:rFonts w:hint="default" w:ascii="Times New Roman" w:hAnsi="Times New Roman" w:eastAsia="方正仿宋_GBK" w:cs="Times New Roman"/>
          <w:bCs/>
          <w:sz w:val="32"/>
          <w:szCs w:val="32"/>
          <w:u w:val="single"/>
          <w:lang w:val="en-US" w:eastAsia="zh-CN"/>
        </w:rPr>
        <w:t>。</w:t>
      </w:r>
    </w:p>
    <w:p w14:paraId="67105B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采购内容：</w:t>
      </w:r>
      <w:r>
        <w:rPr>
          <w:rFonts w:hint="default" w:ascii="Times New Roman" w:hAnsi="Times New Roman" w:eastAsia="方正仿宋_GBK" w:cs="Times New Roman"/>
          <w:bCs/>
          <w:sz w:val="32"/>
          <w:szCs w:val="32"/>
          <w:u w:val="single"/>
        </w:rPr>
        <w:t>报价单位需完成观音山片区天然气工程项目技术评价报告的编制工作，包含但不限于现场调查、涉路项目工程技术评价报告编制、报告评审、向道路管理机构提交涉路项目工程施工申请并提交涉路项目工程技术评价报告及相关资料、协调公路管理机构对资料进行审核，直至取得公路管理机构的行政许可决定书。</w:t>
      </w:r>
    </w:p>
    <w:p w14:paraId="3F354C77">
      <w:pPr>
        <w:spacing w:line="560" w:lineRule="exact"/>
        <w:ind w:firstLine="640" w:firstLineChars="200"/>
        <w:rPr>
          <w:rFonts w:hint="default" w:ascii="Times New Roman" w:hAnsi="Times New Roman" w:eastAsia="方正仿宋_GBK" w:cs="Times New Roman"/>
          <w:bCs/>
          <w:sz w:val="32"/>
          <w:szCs w:val="32"/>
          <w:highlight w:val="none"/>
        </w:rPr>
      </w:pPr>
      <w:r>
        <w:rPr>
          <w:rFonts w:hint="default" w:ascii="Times New Roman" w:hAnsi="Times New Roman" w:eastAsia="方正仿宋_GBK" w:cs="Times New Roman"/>
          <w:bCs/>
          <w:sz w:val="32"/>
          <w:szCs w:val="32"/>
          <w:u w:val="none"/>
          <w:lang w:val="en-US" w:eastAsia="zh-CN"/>
        </w:rPr>
        <w:t>工期</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u w:val="single"/>
          <w:lang w:val="en-US" w:eastAsia="zh-CN"/>
        </w:rPr>
        <w:t>现勘完成后10个工作日提供评价报告</w:t>
      </w:r>
      <w:r>
        <w:rPr>
          <w:rFonts w:hint="eastAsia" w:ascii="Times New Roman" w:hAnsi="Times New Roman" w:eastAsia="方正仿宋_GBK" w:cs="Times New Roman"/>
          <w:bCs/>
          <w:sz w:val="32"/>
          <w:szCs w:val="32"/>
          <w:u w:val="single"/>
          <w:lang w:val="en-US" w:eastAsia="zh-CN"/>
        </w:rPr>
        <w:t>。</w:t>
      </w:r>
    </w:p>
    <w:p w14:paraId="6DD1B47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highlight w:val="none"/>
          <w:u w:val="single"/>
          <w:lang w:eastAsia="zh-CN"/>
        </w:rPr>
      </w:pPr>
      <w:r>
        <w:rPr>
          <w:rFonts w:hint="default" w:ascii="Times New Roman" w:hAnsi="Times New Roman" w:eastAsia="方正仿宋_GBK" w:cs="Times New Roman"/>
          <w:bCs/>
          <w:sz w:val="32"/>
          <w:szCs w:val="32"/>
          <w:highlight w:val="none"/>
        </w:rPr>
        <w:t>报价要求：</w:t>
      </w:r>
      <w:r>
        <w:rPr>
          <w:rFonts w:hint="default" w:ascii="Times New Roman" w:hAnsi="Times New Roman" w:eastAsia="方正仿宋_GBK" w:cs="Times New Roman"/>
          <w:bCs/>
          <w:sz w:val="32"/>
          <w:szCs w:val="32"/>
          <w:highlight w:val="none"/>
          <w:u w:val="single"/>
        </w:rPr>
        <w:t>本次采购报价为包干价，投标人报价应包</w:t>
      </w:r>
      <w:r>
        <w:rPr>
          <w:rFonts w:hint="eastAsia" w:ascii="Times New Roman" w:hAnsi="Times New Roman" w:eastAsia="方正仿宋_GBK" w:cs="Times New Roman"/>
          <w:bCs/>
          <w:sz w:val="32"/>
          <w:szCs w:val="32"/>
          <w:highlight w:val="none"/>
          <w:u w:val="single"/>
          <w:lang w:val="en-US" w:eastAsia="zh-CN"/>
        </w:rPr>
        <w:t>含</w:t>
      </w:r>
      <w:r>
        <w:rPr>
          <w:rFonts w:hint="default" w:ascii="Times New Roman" w:hAnsi="Times New Roman" w:eastAsia="方正仿宋_GBK" w:cs="Times New Roman"/>
          <w:bCs/>
          <w:sz w:val="32"/>
          <w:szCs w:val="32"/>
          <w:highlight w:val="none"/>
          <w:u w:val="single"/>
        </w:rPr>
        <w:t>前期调研发生的费用、涉路项目工程技术评价报告编制及修改费用、验收相关费用、内外部评审费用、报告及相关资料的打印费、劳务费、差旅费、交通费、咨询服务费及税金等</w:t>
      </w:r>
      <w:r>
        <w:rPr>
          <w:rFonts w:hint="eastAsia" w:ascii="Times New Roman" w:hAnsi="Times New Roman" w:eastAsia="方正仿宋_GBK" w:cs="Times New Roman"/>
          <w:bCs/>
          <w:sz w:val="32"/>
          <w:szCs w:val="32"/>
          <w:highlight w:val="none"/>
          <w:u w:val="single"/>
          <w:lang w:eastAsia="zh-CN"/>
        </w:rPr>
        <w:t>。</w:t>
      </w:r>
    </w:p>
    <w:p w14:paraId="14FA64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rPr>
        <w:t>最高限价：</w:t>
      </w:r>
      <w:r>
        <w:rPr>
          <w:rFonts w:ascii="Times New Roman" w:hAnsi="Times New Roman" w:eastAsia="方正仿宋_GBK" w:cs="Times New Roman"/>
          <w:bCs/>
          <w:sz w:val="32"/>
          <w:szCs w:val="32"/>
          <w:u w:val="single"/>
        </w:rPr>
        <w:t>¥</w:t>
      </w:r>
      <w:r>
        <w:rPr>
          <w:rFonts w:hint="eastAsia" w:ascii="Times New Roman" w:hAnsi="Times New Roman" w:eastAsia="方正仿宋_GBK" w:cs="Times New Roman"/>
          <w:bCs/>
          <w:sz w:val="32"/>
          <w:szCs w:val="32"/>
          <w:highlight w:val="none"/>
          <w:u w:val="single"/>
          <w:lang w:val="en-US" w:eastAsia="zh-CN"/>
        </w:rPr>
        <w:t>80000.00</w:t>
      </w:r>
      <w:r>
        <w:rPr>
          <w:rFonts w:hint="default" w:ascii="Times New Roman" w:hAnsi="Times New Roman" w:eastAsia="方正仿宋_GBK" w:cs="Times New Roman"/>
          <w:bCs/>
          <w:sz w:val="32"/>
          <w:szCs w:val="32"/>
          <w:highlight w:val="none"/>
          <w:u w:val="single"/>
        </w:rPr>
        <w:t>元（大写：</w:t>
      </w:r>
      <w:r>
        <w:rPr>
          <w:rFonts w:hint="eastAsia" w:ascii="Times New Roman" w:hAnsi="Times New Roman" w:eastAsia="方正仿宋_GBK" w:cs="Times New Roman"/>
          <w:bCs/>
          <w:sz w:val="32"/>
          <w:szCs w:val="32"/>
          <w:highlight w:val="none"/>
          <w:u w:val="single"/>
          <w:lang w:val="en-US" w:eastAsia="zh-CN"/>
        </w:rPr>
        <w:t>人民币捌万元整</w:t>
      </w:r>
      <w:r>
        <w:rPr>
          <w:rFonts w:hint="default" w:ascii="Times New Roman" w:hAnsi="Times New Roman" w:eastAsia="方正仿宋_GBK" w:cs="Times New Roman"/>
          <w:bCs/>
          <w:sz w:val="32"/>
          <w:szCs w:val="32"/>
          <w:highlight w:val="none"/>
          <w:u w:val="single"/>
        </w:rPr>
        <w:t>）。</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（一）报价单位须注册于中华人民共和国境内，能独立承担民事责任，具备独立法人资格，具备有效的营业执照，需提供营业执照扫描件及法定代表人身份证正反面扫描件；</w:t>
      </w:r>
    </w:p>
    <w:p w14:paraId="53448F3A">
      <w:pPr>
        <w:keepNext w:val="0"/>
        <w:keepLines w:val="0"/>
        <w:numPr>
          <w:ilvl w:val="0"/>
          <w:numId w:val="1"/>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default" w:ascii="Times New Roman" w:hAnsi="Times New Roman" w:eastAsia="方正仿宋_GBK" w:cs="Times New Roman"/>
          <w:bCs/>
          <w:sz w:val="32"/>
          <w:szCs w:val="32"/>
          <w:lang w:val="en-US" w:eastAsia="zh-CN"/>
        </w:rPr>
        <w:t>报</w:t>
      </w:r>
      <w:r>
        <w:rPr>
          <w:rFonts w:hint="default" w:ascii="Times New Roman" w:hAnsi="Times New Roman" w:eastAsia="方正仿宋_GBK" w:cs="Times New Roman"/>
          <w:bCs/>
          <w:sz w:val="32"/>
          <w:szCs w:val="32"/>
          <w:u w:val="none"/>
          <w:lang w:val="en-US" w:eastAsia="zh-CN"/>
        </w:rPr>
        <w:t>价单位需具备</w:t>
      </w:r>
      <w:r>
        <w:rPr>
          <w:rFonts w:hint="eastAsia" w:ascii="Times New Roman" w:hAnsi="Times New Roman" w:eastAsia="方正仿宋_GBK" w:cs="Times New Roman"/>
          <w:bCs/>
          <w:sz w:val="32"/>
          <w:szCs w:val="32"/>
          <w:u w:val="none"/>
          <w:lang w:val="en-US" w:eastAsia="zh-CN"/>
        </w:rPr>
        <w:t>有效的</w:t>
      </w:r>
      <w:r>
        <w:rPr>
          <w:rFonts w:hint="default" w:ascii="Times New Roman" w:hAnsi="Times New Roman" w:eastAsia="方正仿宋_GBK" w:cs="Times New Roman"/>
          <w:bCs/>
          <w:sz w:val="32"/>
          <w:szCs w:val="32"/>
          <w:u w:val="none"/>
        </w:rPr>
        <w:t>工程咨询单位资信（公路专业</w:t>
      </w:r>
      <w:r>
        <w:rPr>
          <w:rFonts w:hint="eastAsia" w:ascii="Times New Roman" w:hAnsi="Times New Roman" w:eastAsia="方正仿宋_GBK" w:cs="Times New Roman"/>
          <w:bCs/>
          <w:sz w:val="32"/>
          <w:szCs w:val="32"/>
          <w:u w:val="none"/>
          <w:lang w:val="en-US" w:eastAsia="zh-CN"/>
        </w:rPr>
        <w:t>甲</w:t>
      </w:r>
      <w:r>
        <w:rPr>
          <w:rFonts w:hint="default" w:ascii="Times New Roman" w:hAnsi="Times New Roman" w:eastAsia="方正仿宋_GBK" w:cs="Times New Roman"/>
          <w:bCs/>
          <w:sz w:val="32"/>
          <w:szCs w:val="32"/>
          <w:u w:val="none"/>
        </w:rPr>
        <w:t>级</w:t>
      </w:r>
      <w:r>
        <w:rPr>
          <w:rFonts w:hint="default" w:ascii="Times New Roman" w:hAnsi="Times New Roman" w:eastAsia="方正仿宋_GBK" w:cs="Times New Roman"/>
          <w:bCs/>
          <w:sz w:val="32"/>
          <w:szCs w:val="32"/>
          <w:u w:val="none"/>
          <w:lang w:val="en-US" w:eastAsia="zh-CN"/>
        </w:rPr>
        <w:t>；</w:t>
      </w:r>
    </w:p>
    <w:p w14:paraId="21ED8C6B">
      <w:pPr>
        <w:keepNext w:val="0"/>
        <w:keepLines w:val="0"/>
        <w:numPr>
          <w:ilvl w:val="0"/>
          <w:numId w:val="0"/>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eastAsia" w:ascii="Times New Roman" w:hAnsi="Times New Roman" w:eastAsia="方正仿宋_GBK" w:cs="Times New Roman"/>
          <w:bCs/>
          <w:sz w:val="32"/>
          <w:szCs w:val="32"/>
          <w:u w:val="none"/>
          <w:lang w:val="en-US" w:eastAsia="zh-CN"/>
        </w:rPr>
        <w:t>（三）人员要求：</w:t>
      </w:r>
    </w:p>
    <w:p w14:paraId="363712A4">
      <w:pPr>
        <w:keepNext w:val="0"/>
        <w:keepLines w:val="0"/>
        <w:numPr>
          <w:ilvl w:val="0"/>
          <w:numId w:val="0"/>
        </w:numPr>
        <w:spacing w:line="560" w:lineRule="exact"/>
        <w:ind w:firstLine="640" w:firstLineChars="200"/>
        <w:rPr>
          <w:rFonts w:hint="eastAsia" w:ascii="Times New Roman" w:hAnsi="Times New Roman" w:eastAsia="方正仿宋_GBK" w:cs="Times New Roman"/>
          <w:sz w:val="32"/>
          <w:szCs w:val="32"/>
          <w:u w:val="none"/>
          <w:lang w:eastAsia="zh-CN"/>
        </w:rPr>
      </w:pPr>
      <w:r>
        <w:rPr>
          <w:rFonts w:hint="eastAsia" w:ascii="Times New Roman" w:hAnsi="Times New Roman" w:eastAsia="方正仿宋_GBK" w:cs="Times New Roman"/>
          <w:bCs/>
          <w:sz w:val="32"/>
          <w:szCs w:val="32"/>
          <w:u w:val="none"/>
          <w:lang w:val="en-US" w:eastAsia="zh-CN"/>
        </w:rPr>
        <w:t>1.项目负责人：</w:t>
      </w:r>
      <w:r>
        <w:rPr>
          <w:rFonts w:hint="eastAsia" w:ascii="Times New Roman" w:hAnsi="Times New Roman" w:eastAsia="方正仿宋_GBK" w:cs="Times New Roman"/>
          <w:sz w:val="32"/>
          <w:szCs w:val="32"/>
          <w:u w:val="none"/>
        </w:rPr>
        <w:t>项目负责人具有公路</w:t>
      </w:r>
      <w:r>
        <w:rPr>
          <w:rFonts w:hint="eastAsia" w:ascii="Times New Roman" w:hAnsi="Times New Roman" w:eastAsia="方正仿宋_GBK" w:cs="Times New Roman"/>
          <w:sz w:val="32"/>
          <w:szCs w:val="32"/>
          <w:u w:val="none"/>
          <w:lang w:val="en-US" w:eastAsia="zh-CN"/>
        </w:rPr>
        <w:t>专业</w:t>
      </w:r>
      <w:r>
        <w:rPr>
          <w:rFonts w:hint="eastAsia" w:ascii="Times New Roman" w:hAnsi="Times New Roman" w:eastAsia="方正仿宋_GBK" w:cs="Times New Roman"/>
          <w:sz w:val="32"/>
          <w:szCs w:val="32"/>
          <w:u w:val="none"/>
        </w:rPr>
        <w:t>高级工程师及以上职称</w:t>
      </w:r>
      <w:r>
        <w:rPr>
          <w:rFonts w:hint="eastAsia" w:ascii="Times New Roman" w:hAnsi="Times New Roman" w:eastAsia="方正仿宋_GBK" w:cs="Times New Roman"/>
          <w:sz w:val="32"/>
          <w:szCs w:val="32"/>
          <w:u w:val="none"/>
          <w:lang w:eastAsia="zh-CN"/>
        </w:rPr>
        <w:t>；</w:t>
      </w:r>
    </w:p>
    <w:p w14:paraId="4ECC735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业绩要求：报价单位</w:t>
      </w:r>
      <w:r>
        <w:rPr>
          <w:rFonts w:hint="default" w:ascii="Times New Roman" w:hAnsi="Times New Roman" w:eastAsia="方正仿宋_GBK" w:cs="Times New Roman"/>
          <w:bCs/>
          <w:color w:val="auto"/>
          <w:sz w:val="32"/>
          <w:szCs w:val="32"/>
        </w:rPr>
        <w:t>202</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年</w:t>
      </w:r>
      <w:r>
        <w:rPr>
          <w:rFonts w:hint="default" w:ascii="Times New Roman" w:hAnsi="Times New Roman" w:eastAsia="方正仿宋_GBK" w:cs="Times New Roman"/>
          <w:bCs/>
          <w:color w:val="auto"/>
          <w:sz w:val="32"/>
          <w:szCs w:val="32"/>
          <w:lang w:val="en-US" w:eastAsia="zh-CN"/>
        </w:rPr>
        <w:t>1月1日</w:t>
      </w:r>
      <w:r>
        <w:rPr>
          <w:rFonts w:hint="default" w:ascii="Times New Roman" w:hAnsi="Times New Roman" w:eastAsia="方正仿宋_GBK" w:cs="Times New Roman"/>
          <w:bCs/>
          <w:color w:val="auto"/>
          <w:sz w:val="32"/>
          <w:szCs w:val="32"/>
        </w:rPr>
        <w:t>至</w:t>
      </w:r>
      <w:r>
        <w:rPr>
          <w:rFonts w:hint="default" w:ascii="Times New Roman" w:hAnsi="Times New Roman" w:eastAsia="方正仿宋_GBK" w:cs="Times New Roman"/>
          <w:bCs/>
          <w:color w:val="auto"/>
          <w:sz w:val="32"/>
          <w:szCs w:val="32"/>
          <w:lang w:val="en-US" w:eastAsia="zh-CN"/>
        </w:rPr>
        <w:t>响应文件递交截止日前</w:t>
      </w:r>
      <w:r>
        <w:rPr>
          <w:rFonts w:hint="default" w:ascii="Times New Roman" w:hAnsi="Times New Roman" w:eastAsia="方正仿宋_GBK" w:cs="Times New Roman"/>
          <w:bCs/>
          <w:color w:val="auto"/>
          <w:sz w:val="32"/>
          <w:szCs w:val="32"/>
        </w:rPr>
        <w:t>承担过不少于</w:t>
      </w:r>
      <w:r>
        <w:rPr>
          <w:rFonts w:hint="eastAsia" w:ascii="Times New Roman" w:hAnsi="Times New Roman" w:eastAsia="方正仿宋_GBK" w:cs="Times New Roman"/>
          <w:bCs/>
          <w:color w:val="auto"/>
          <w:sz w:val="32"/>
          <w:szCs w:val="32"/>
          <w:lang w:val="en-US" w:eastAsia="zh-CN"/>
        </w:rPr>
        <w:t>1</w:t>
      </w:r>
      <w:r>
        <w:rPr>
          <w:rFonts w:hint="default" w:ascii="Times New Roman" w:hAnsi="Times New Roman" w:eastAsia="方正仿宋_GBK" w:cs="Times New Roman"/>
          <w:bCs/>
          <w:color w:val="auto"/>
          <w:sz w:val="32"/>
          <w:szCs w:val="32"/>
        </w:rPr>
        <w:t>项</w:t>
      </w:r>
      <w:r>
        <w:rPr>
          <w:rFonts w:hint="default" w:ascii="Times New Roman" w:hAnsi="Times New Roman" w:eastAsia="方正仿宋_GBK" w:cs="Times New Roman"/>
          <w:bCs/>
          <w:color w:val="auto"/>
          <w:sz w:val="32"/>
          <w:szCs w:val="32"/>
          <w:lang w:val="en-US" w:eastAsia="zh-CN"/>
        </w:rPr>
        <w:t>关于</w:t>
      </w:r>
      <w:r>
        <w:rPr>
          <w:rFonts w:hint="default" w:ascii="Times New Roman" w:hAnsi="Times New Roman" w:eastAsia="方正仿宋_GBK" w:cs="Times New Roman"/>
          <w:bCs/>
          <w:color w:val="auto"/>
          <w:sz w:val="32"/>
          <w:szCs w:val="32"/>
        </w:rPr>
        <w:t>涉路项目工程技术评价报告编制</w:t>
      </w:r>
      <w:r>
        <w:rPr>
          <w:rFonts w:hint="eastAsia" w:ascii="Times New Roman" w:hAnsi="Times New Roman" w:eastAsia="方正仿宋_GBK" w:cs="Times New Roman"/>
          <w:bCs/>
          <w:color w:val="auto"/>
          <w:sz w:val="32"/>
          <w:szCs w:val="32"/>
          <w:lang w:eastAsia="zh-CN"/>
        </w:rPr>
        <w:t>的</w:t>
      </w:r>
      <w:r>
        <w:rPr>
          <w:rFonts w:hint="eastAsia" w:ascii="Times New Roman" w:hAnsi="Times New Roman" w:eastAsia="方正仿宋_GBK" w:cs="Times New Roman"/>
          <w:bCs/>
          <w:color w:val="auto"/>
          <w:sz w:val="32"/>
          <w:szCs w:val="32"/>
          <w:lang w:val="en-US" w:eastAsia="zh-CN"/>
        </w:rPr>
        <w:t>类似</w:t>
      </w:r>
      <w:r>
        <w:rPr>
          <w:rFonts w:hint="default" w:ascii="Times New Roman" w:hAnsi="Times New Roman" w:eastAsia="方正仿宋_GBK" w:cs="Times New Roman"/>
          <w:bCs/>
          <w:color w:val="auto"/>
          <w:sz w:val="32"/>
          <w:szCs w:val="32"/>
        </w:rPr>
        <w:t>业绩</w:t>
      </w:r>
      <w:r>
        <w:rPr>
          <w:rFonts w:hint="eastAsia" w:ascii="Times New Roman" w:hAnsi="Times New Roman" w:eastAsia="方正仿宋_GBK" w:cs="Times New Roman"/>
          <w:bCs/>
          <w:color w:val="auto"/>
          <w:sz w:val="32"/>
          <w:szCs w:val="32"/>
          <w:lang w:eastAsia="zh-CN"/>
        </w:rPr>
        <w:t>，</w:t>
      </w:r>
      <w:r>
        <w:rPr>
          <w:rFonts w:hint="default" w:ascii="Times New Roman" w:hAnsi="Times New Roman" w:eastAsia="方正仿宋_GBK" w:cs="Times New Roman"/>
          <w:color w:val="auto"/>
          <w:sz w:val="32"/>
          <w:szCs w:val="32"/>
          <w:highlight w:val="none"/>
        </w:rPr>
        <w:t>提供业绩证明材料复印件（业绩证明材料是指：</w:t>
      </w:r>
      <w:r>
        <w:rPr>
          <w:rFonts w:hint="default" w:ascii="Times New Roman" w:hAnsi="Times New Roman" w:eastAsia="方正仿宋_GBK" w:cs="Times New Roman"/>
          <w:bCs/>
          <w:sz w:val="32"/>
          <w:szCs w:val="32"/>
        </w:rPr>
        <w:t>合同</w:t>
      </w:r>
      <w:r>
        <w:rPr>
          <w:rFonts w:hint="default" w:ascii="Times New Roman" w:hAnsi="Times New Roman" w:eastAsia="方正仿宋_GBK" w:cs="Times New Roman"/>
          <w:bCs/>
          <w:sz w:val="32"/>
          <w:szCs w:val="32"/>
          <w:lang w:val="en-US" w:eastAsia="zh-CN"/>
        </w:rPr>
        <w:t>复印件</w:t>
      </w:r>
      <w:r>
        <w:rPr>
          <w:rFonts w:hint="default" w:ascii="Times New Roman" w:hAnsi="Times New Roman" w:eastAsia="方正仿宋_GBK" w:cs="Times New Roman"/>
          <w:bCs/>
          <w:sz w:val="32"/>
          <w:szCs w:val="32"/>
        </w:rPr>
        <w:t>，否则不予认可</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lang w:val="en-US" w:eastAsia="zh-CN"/>
        </w:rPr>
        <w:t>注：</w:t>
      </w:r>
      <w:r>
        <w:rPr>
          <w:rFonts w:hint="default"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请提供辅助证明材料，如未按要求提交的，</w:t>
      </w:r>
      <w:r>
        <w:rPr>
          <w:rFonts w:hint="default" w:ascii="Times New Roman" w:hAnsi="Times New Roman" w:eastAsia="方正仿宋_GBK" w:cs="Times New Roman"/>
          <w:bCs/>
          <w:sz w:val="32"/>
          <w:szCs w:val="32"/>
        </w:rPr>
        <w:t>按无效业绩处理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）报价单位没有处于被责令停业、投标资格被暂停或取消、财产被接管、冻结、破产等状态，提供书面承诺函；</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六</w:t>
      </w:r>
      <w:r>
        <w:rPr>
          <w:rFonts w:hint="default" w:ascii="Times New Roman" w:hAnsi="Times New Roman" w:eastAsia="方正仿宋_GBK" w:cs="Times New Roman"/>
          <w:bCs/>
          <w:sz w:val="32"/>
          <w:szCs w:val="32"/>
        </w:rPr>
        <w:t>）报价单位未被“信用中国（www.creditchina.gov.cn）”网站列入经营异常名录、严重失信主体、重大税收违法失信主体；未被“中国执行信息公开网（http://zxgk.court.gov.cn/）”纳入“失信被执行人名单，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由采购方在评审前将上述网站查询结果提交评审小组审查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获取询价函，</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四、</w:t>
      </w:r>
      <w:r>
        <w:rPr>
          <w:rFonts w:hint="default" w:ascii="Times New Roman" w:hAnsi="Times New Roman" w:eastAsia="方正黑体_GBK" w:cs="Times New Roman"/>
          <w:bCs/>
          <w:sz w:val="32"/>
          <w:szCs w:val="32"/>
          <w:lang w:eastAsia="zh-CN"/>
        </w:rPr>
        <w:t>响应文件</w:t>
      </w:r>
      <w:r>
        <w:rPr>
          <w:rFonts w:hint="default" w:ascii="Times New Roman" w:hAnsi="Times New Roman" w:eastAsia="方正黑体_GBK" w:cs="Times New Roman"/>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default"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default"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3.</w:t>
      </w:r>
      <w:r>
        <w:rPr>
          <w:rFonts w:hint="default" w:ascii="Times New Roman" w:hAnsi="Times New Roman" w:eastAsia="方正仿宋_GBK" w:cs="Times New Roman"/>
          <w:bCs/>
          <w:sz w:val="32"/>
          <w:szCs w:val="32"/>
        </w:rPr>
        <w:t>报价单位</w:t>
      </w:r>
      <w:r>
        <w:rPr>
          <w:rFonts w:hint="default" w:ascii="Times New Roman" w:hAnsi="Times New Roman" w:eastAsia="方正仿宋_GBK" w:cs="Times New Roman"/>
          <w:bCs/>
          <w:sz w:val="32"/>
          <w:szCs w:val="32"/>
          <w:lang w:val="en-US" w:eastAsia="zh-CN"/>
        </w:rPr>
        <w:t>满足申请人资格要求的资质证书，</w:t>
      </w:r>
      <w:r>
        <w:rPr>
          <w:rFonts w:hint="eastAsia" w:ascii="Times New Roman" w:hAnsi="Times New Roman" w:eastAsia="方正仿宋_GBK" w:cs="Times New Roman"/>
          <w:bCs/>
          <w:sz w:val="32"/>
          <w:szCs w:val="32"/>
          <w:lang w:val="en-US" w:eastAsia="zh-CN"/>
        </w:rPr>
        <w:t>人员资格证书，</w:t>
      </w:r>
      <w:r>
        <w:rPr>
          <w:rFonts w:hint="default" w:ascii="Times New Roman" w:hAnsi="Times New Roman" w:eastAsia="方正仿宋_GBK" w:cs="Times New Roman"/>
          <w:bCs/>
          <w:sz w:val="32"/>
          <w:szCs w:val="32"/>
          <w:lang w:val="en-US" w:eastAsia="zh-CN"/>
        </w:rPr>
        <w:t>业绩证明材料；</w:t>
      </w:r>
    </w:p>
    <w:p w14:paraId="297FB7A2">
      <w:pPr>
        <w:spacing w:line="576" w:lineRule="exact"/>
        <w:ind w:firstLine="640" w:firstLineChars="200"/>
        <w:rPr>
          <w:rFonts w:hint="default" w:ascii="Times New Roman" w:hAnsi="Times New Roman" w:cs="Times New Roman"/>
          <w:lang w:val="en-US" w:eastAsia="zh-CN"/>
        </w:rPr>
      </w:pP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lang w:val="en-US" w:eastAsia="zh-CN"/>
        </w:rPr>
        <w:t>书面承诺函（</w:t>
      </w:r>
      <w:r>
        <w:rPr>
          <w:rFonts w:hint="default"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default" w:ascii="Times New Roman" w:hAnsi="Times New Roman" w:eastAsia="方正仿宋_GBK" w:cs="Times New Roman"/>
          <w:b w:val="0"/>
          <w:bCs/>
          <w:sz w:val="32"/>
          <w:szCs w:val="32"/>
          <w:lang w:val="en-US" w:eastAsia="zh-CN"/>
        </w:rPr>
        <w:t>基本信息</w:t>
      </w:r>
      <w:r>
        <w:rPr>
          <w:rFonts w:hint="default" w:ascii="Times New Roman" w:hAnsi="Times New Roman" w:eastAsia="方正仿宋_GBK" w:cs="Times New Roman"/>
          <w:b w:val="0"/>
          <w:bCs/>
          <w:sz w:val="32"/>
          <w:szCs w:val="32"/>
          <w:lang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7.</w:t>
      </w:r>
      <w:r>
        <w:rPr>
          <w:rFonts w:hint="default" w:ascii="Times New Roman" w:hAnsi="Times New Roman" w:eastAsia="方正仿宋_GBK" w:cs="Times New Roman"/>
          <w:bCs/>
          <w:sz w:val="32"/>
          <w:szCs w:val="32"/>
          <w:lang w:val="en-US" w:eastAsia="zh-CN"/>
        </w:rPr>
        <w:t>技术</w:t>
      </w:r>
      <w:r>
        <w:rPr>
          <w:rFonts w:hint="default" w:ascii="Times New Roman" w:hAnsi="Times New Roman" w:eastAsia="方正仿宋_GBK" w:cs="Times New Roman"/>
          <w:b w:val="0"/>
          <w:bCs/>
          <w:sz w:val="32"/>
          <w:szCs w:val="32"/>
          <w:lang w:val="en-US" w:eastAsia="zh-CN"/>
        </w:rPr>
        <w:t>服务</w:t>
      </w:r>
      <w:r>
        <w:rPr>
          <w:rFonts w:hint="default" w:ascii="Times New Roman" w:hAnsi="Times New Roman" w:eastAsia="方正仿宋_GBK" w:cs="Times New Roman"/>
          <w:b w:val="0"/>
          <w:bCs/>
          <w:sz w:val="32"/>
          <w:szCs w:val="32"/>
          <w:lang w:eastAsia="zh-CN"/>
        </w:rPr>
        <w:t>方案（</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26</w:t>
      </w:r>
      <w:r>
        <w:rPr>
          <w:rFonts w:hint="default" w:ascii="Times New Roman" w:hAnsi="Times New Roman" w:eastAsia="方正仿宋_GBK" w:cs="Times New Roman"/>
          <w:bCs/>
          <w:sz w:val="32"/>
          <w:szCs w:val="32"/>
          <w:lang w:val="en-US" w:eastAsia="zh-CN"/>
        </w:rPr>
        <w:t xml:space="preserve">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bCs/>
          <w:sz w:val="32"/>
          <w:szCs w:val="32"/>
          <w:lang w:val="en-US" w:eastAsia="zh-CN"/>
        </w:rPr>
        <w:t>投标截止时间：2026-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29</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五、中选候选人推荐原则</w:t>
      </w:r>
    </w:p>
    <w:p w14:paraId="55B458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此次询价采用公开询价综合评比的形式开展。综合得分最高者中标，综合得分按下面公式计算：</w:t>
      </w:r>
    </w:p>
    <w:p w14:paraId="64844A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报价部分A：满分</w:t>
      </w:r>
      <w:r>
        <w:rPr>
          <w:rFonts w:hint="default" w:ascii="Times New Roman" w:hAnsi="Times New Roman" w:eastAsia="方正仿宋_GBK" w:cs="Times New Roman"/>
          <w:bCs/>
          <w:sz w:val="32"/>
          <w:szCs w:val="32"/>
          <w:lang w:val="en-US" w:eastAsia="zh-CN"/>
        </w:rPr>
        <w:t>50</w:t>
      </w:r>
      <w:r>
        <w:rPr>
          <w:rFonts w:hint="default" w:ascii="Times New Roman" w:hAnsi="Times New Roman" w:eastAsia="方正仿宋_GBK" w:cs="Times New Roman"/>
          <w:bCs/>
          <w:sz w:val="32"/>
          <w:szCs w:val="32"/>
          <w:lang w:eastAsia="zh-CN"/>
        </w:rPr>
        <w:t>分；</w:t>
      </w:r>
    </w:p>
    <w:p w14:paraId="303007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商务部分B：满分</w:t>
      </w:r>
      <w:r>
        <w:rPr>
          <w:rFonts w:hint="default" w:ascii="Times New Roman" w:hAnsi="Times New Roman" w:eastAsia="方正仿宋_GBK" w:cs="Times New Roman"/>
          <w:bCs/>
          <w:sz w:val="32"/>
          <w:szCs w:val="32"/>
          <w:lang w:val="en-US" w:eastAsia="zh-CN"/>
        </w:rPr>
        <w:t>1</w:t>
      </w:r>
      <w:r>
        <w:rPr>
          <w:rFonts w:hint="default" w:ascii="Times New Roman" w:hAnsi="Times New Roman" w:eastAsia="方正仿宋_GBK" w:cs="Times New Roman"/>
          <w:bCs/>
          <w:sz w:val="32"/>
          <w:szCs w:val="32"/>
          <w:lang w:eastAsia="zh-CN"/>
        </w:rPr>
        <w:t>0分；</w:t>
      </w:r>
    </w:p>
    <w:p w14:paraId="7B788F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技术部分C：满分</w:t>
      </w:r>
      <w:r>
        <w:rPr>
          <w:rFonts w:hint="default" w:ascii="Times New Roman" w:hAnsi="Times New Roman" w:eastAsia="方正仿宋_GBK" w:cs="Times New Roman"/>
          <w:bCs/>
          <w:sz w:val="32"/>
          <w:szCs w:val="32"/>
          <w:lang w:val="en-US" w:eastAsia="zh-CN"/>
        </w:rPr>
        <w:t>40</w:t>
      </w:r>
      <w:r>
        <w:rPr>
          <w:rFonts w:hint="default" w:ascii="Times New Roman" w:hAnsi="Times New Roman" w:eastAsia="方正仿宋_GBK" w:cs="Times New Roman"/>
          <w:bCs/>
          <w:sz w:val="32"/>
          <w:szCs w:val="32"/>
          <w:lang w:eastAsia="zh-CN"/>
        </w:rPr>
        <w:t>分；</w:t>
      </w:r>
    </w:p>
    <w:p w14:paraId="562D56C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综合得分=A＋B＋C（满分为100分）。</w:t>
      </w:r>
    </w:p>
    <w:p w14:paraId="00EF61D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对各</w:t>
      </w:r>
      <w:r>
        <w:rPr>
          <w:rFonts w:hint="default" w:ascii="Times New Roman" w:hAnsi="Times New Roman" w:eastAsia="方正仿宋_GBK" w:cs="Times New Roman"/>
          <w:bCs/>
          <w:sz w:val="32"/>
          <w:szCs w:val="32"/>
          <w:lang w:val="en-US" w:eastAsia="zh-CN"/>
        </w:rPr>
        <w:t>投标</w:t>
      </w:r>
      <w:r>
        <w:rPr>
          <w:rFonts w:hint="default" w:ascii="Times New Roman" w:hAnsi="Times New Roman" w:eastAsia="方正仿宋_GBK" w:cs="Times New Roman"/>
          <w:bCs/>
          <w:sz w:val="32"/>
          <w:szCs w:val="32"/>
          <w:lang w:eastAsia="zh-CN"/>
        </w:rPr>
        <w:t>供应商从</w:t>
      </w:r>
      <w:r>
        <w:rPr>
          <w:rFonts w:hint="default" w:ascii="Times New Roman" w:hAnsi="Times New Roman" w:eastAsia="方正仿宋_GBK" w:cs="Times New Roman"/>
          <w:bCs/>
          <w:sz w:val="32"/>
          <w:szCs w:val="32"/>
        </w:rPr>
        <w:t>技术、商务、价格进行全面评审和评分，根据综合评分由高到低的顺序，推荐1名中选候选人。综合评分相等时，以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部分分高的优先；若</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部分得分也一致，则以</w:t>
      </w:r>
      <w:r>
        <w:rPr>
          <w:rFonts w:hint="default" w:ascii="Times New Roman" w:hAnsi="Times New Roman" w:eastAsia="方正仿宋_GBK" w:cs="Times New Roman"/>
          <w:bCs/>
          <w:sz w:val="32"/>
          <w:szCs w:val="32"/>
          <w:lang w:eastAsia="zh-CN"/>
        </w:rPr>
        <w:t>技术</w:t>
      </w:r>
      <w:r>
        <w:rPr>
          <w:rFonts w:hint="default" w:ascii="Times New Roman" w:hAnsi="Times New Roman" w:eastAsia="方正仿宋_GBK" w:cs="Times New Roman"/>
          <w:bCs/>
          <w:sz w:val="32"/>
          <w:szCs w:val="32"/>
        </w:rPr>
        <w:t>部分高的优先。</w:t>
      </w:r>
    </w:p>
    <w:p w14:paraId="00BC06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对未通过初步评审的</w:t>
      </w:r>
      <w:r>
        <w:rPr>
          <w:rFonts w:hint="default" w:ascii="Times New Roman" w:hAnsi="Times New Roman" w:eastAsia="方正仿宋_GBK" w:cs="Times New Roman"/>
          <w:bCs/>
          <w:sz w:val="32"/>
          <w:szCs w:val="32"/>
          <w:lang w:eastAsia="zh-CN"/>
        </w:rPr>
        <w:t>报价单位</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应通过相关的决议或在评标报告中说明情况。</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经评审，有效投标文件不足3家使得投标明显缺乏竞争的，</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可以否决全部投标。所有投标被否决后，</w:t>
      </w:r>
      <w:r>
        <w:rPr>
          <w:rFonts w:hint="default" w:ascii="Times New Roman" w:hAnsi="Times New Roman" w:eastAsia="方正仿宋_GBK" w:cs="Times New Roman"/>
          <w:bCs/>
          <w:sz w:val="32"/>
          <w:szCs w:val="32"/>
          <w:lang w:val="en-US" w:eastAsia="zh-CN"/>
        </w:rPr>
        <w:t>采购方</w:t>
      </w:r>
      <w:r>
        <w:rPr>
          <w:rFonts w:hint="default" w:ascii="Times New Roman" w:hAnsi="Times New Roman" w:eastAsia="方正仿宋_GBK" w:cs="Times New Roman"/>
          <w:bCs/>
          <w:sz w:val="32"/>
          <w:szCs w:val="32"/>
        </w:rPr>
        <w:t>应当依法重新招标。当有效投标文件不足3家时（即有效投标文件为2家时），</w:t>
      </w:r>
      <w:r>
        <w:rPr>
          <w:rFonts w:hint="default" w:ascii="Times New Roman" w:hAnsi="Times New Roman" w:eastAsia="方正仿宋_GBK" w:cs="Times New Roman"/>
          <w:bCs/>
          <w:sz w:val="32"/>
          <w:szCs w:val="32"/>
          <w:lang w:eastAsia="zh-CN"/>
        </w:rPr>
        <w:t>评审小组</w:t>
      </w:r>
      <w:r>
        <w:rPr>
          <w:rFonts w:hint="default" w:ascii="Times New Roman" w:hAnsi="Times New Roman" w:eastAsia="方正仿宋_GBK" w:cs="Times New Roman"/>
          <w:bCs/>
          <w:sz w:val="32"/>
          <w:szCs w:val="32"/>
        </w:rPr>
        <w:t>认为仍能满足招标文件要求，并具</w:t>
      </w:r>
      <w:r>
        <w:rPr>
          <w:rFonts w:hint="default" w:ascii="Times New Roman" w:hAnsi="Times New Roman" w:eastAsia="方正仿宋_GBK" w:cs="Times New Roman"/>
          <w:bCs/>
          <w:sz w:val="32"/>
          <w:szCs w:val="32"/>
          <w:lang w:val="en-US" w:eastAsia="zh-CN"/>
        </w:rPr>
        <w:t>备</w:t>
      </w:r>
      <w:r>
        <w:rPr>
          <w:rFonts w:hint="default" w:ascii="Times New Roman" w:hAnsi="Times New Roman" w:eastAsia="方正仿宋_GBK" w:cs="Times New Roman"/>
          <w:bCs/>
          <w:sz w:val="32"/>
          <w:szCs w:val="32"/>
        </w:rPr>
        <w:t>竞争性，则仍然按本评标办法打分推荐中标候选人。</w:t>
      </w:r>
    </w:p>
    <w:tbl>
      <w:tblPr>
        <w:tblStyle w:val="14"/>
        <w:tblW w:w="10217"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465"/>
        <w:gridCol w:w="1668"/>
        <w:gridCol w:w="7084"/>
      </w:tblGrid>
      <w:tr w14:paraId="7704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96" w:hRule="atLeast"/>
        </w:trPr>
        <w:tc>
          <w:tcPr>
            <w:tcW w:w="1465" w:type="dxa"/>
            <w:tcBorders>
              <w:top w:val="single" w:color="000000" w:sz="2" w:space="0"/>
              <w:left w:val="single" w:color="000000" w:sz="2" w:space="0"/>
              <w:bottom w:val="single" w:color="000000" w:sz="2" w:space="0"/>
              <w:right w:val="single" w:color="000000" w:sz="2" w:space="0"/>
            </w:tcBorders>
            <w:vAlign w:val="center"/>
          </w:tcPr>
          <w:p w14:paraId="1F3C522B">
            <w:pPr>
              <w:widowControl/>
              <w:jc w:val="center"/>
              <w:rPr>
                <w:rFonts w:hint="default" w:ascii="Times New Roman" w:hAnsi="Times New Roman" w:cs="Times New Roman" w:eastAsiaTheme="minorEastAsia"/>
                <w:b/>
                <w:bCs/>
                <w:color w:val="auto"/>
                <w:kern w:val="0"/>
                <w:sz w:val="22"/>
                <w:szCs w:val="22"/>
                <w:lang w:eastAsia="zh-CN"/>
              </w:rPr>
            </w:pPr>
            <w:r>
              <w:rPr>
                <w:rFonts w:hint="default" w:ascii="Times New Roman" w:hAnsi="Times New Roman" w:cs="Times New Roman"/>
                <w:b/>
                <w:bCs/>
                <w:color w:val="auto"/>
                <w:kern w:val="0"/>
                <w:sz w:val="22"/>
                <w:szCs w:val="22"/>
                <w:lang w:eastAsia="zh-CN"/>
              </w:rPr>
              <w:t>评分部分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170B78E1">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项目</w:t>
            </w:r>
          </w:p>
        </w:tc>
        <w:tc>
          <w:tcPr>
            <w:tcW w:w="7084" w:type="dxa"/>
            <w:tcBorders>
              <w:top w:val="single" w:color="000000" w:sz="2" w:space="0"/>
              <w:left w:val="single" w:color="000000" w:sz="2" w:space="0"/>
              <w:bottom w:val="single" w:color="000000" w:sz="2" w:space="0"/>
              <w:right w:val="single" w:color="000000" w:sz="2" w:space="0"/>
            </w:tcBorders>
            <w:vAlign w:val="center"/>
          </w:tcPr>
          <w:p w14:paraId="7A971492">
            <w:pPr>
              <w:widowControl/>
              <w:jc w:val="center"/>
              <w:rPr>
                <w:rFonts w:hint="default" w:ascii="Times New Roman" w:hAnsi="Times New Roman" w:cs="Times New Roman"/>
                <w:b/>
                <w:bCs/>
                <w:color w:val="auto"/>
                <w:kern w:val="0"/>
                <w:sz w:val="22"/>
                <w:szCs w:val="22"/>
              </w:rPr>
            </w:pPr>
            <w:r>
              <w:rPr>
                <w:rFonts w:hint="default" w:ascii="Times New Roman" w:hAnsi="Times New Roman" w:cs="Times New Roman"/>
                <w:b/>
                <w:bCs/>
                <w:color w:val="auto"/>
                <w:kern w:val="0"/>
                <w:sz w:val="22"/>
                <w:szCs w:val="22"/>
              </w:rPr>
              <w:t>评分标准</w:t>
            </w:r>
          </w:p>
        </w:tc>
      </w:tr>
      <w:tr w14:paraId="31A8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83" w:hRule="atLeast"/>
        </w:trPr>
        <w:tc>
          <w:tcPr>
            <w:tcW w:w="1465" w:type="dxa"/>
            <w:vMerge w:val="restart"/>
            <w:tcBorders>
              <w:top w:val="single" w:color="000000" w:sz="2" w:space="0"/>
              <w:left w:val="single" w:color="000000" w:sz="2" w:space="0"/>
              <w:right w:val="single" w:color="000000" w:sz="2" w:space="0"/>
            </w:tcBorders>
            <w:vAlign w:val="center"/>
          </w:tcPr>
          <w:p w14:paraId="0BA2487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报价部分（</w:t>
            </w:r>
            <w:r>
              <w:rPr>
                <w:rFonts w:hint="default" w:ascii="Times New Roman" w:hAnsi="Times New Roman" w:cs="Times New Roman"/>
                <w:color w:val="auto"/>
                <w:kern w:val="0"/>
                <w:sz w:val="22"/>
                <w:szCs w:val="22"/>
                <w:lang w:val="en-US" w:eastAsia="zh-CN"/>
              </w:rPr>
              <w:t>50分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68530EE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w:t>
            </w:r>
          </w:p>
        </w:tc>
        <w:tc>
          <w:tcPr>
            <w:tcW w:w="7084" w:type="dxa"/>
            <w:tcBorders>
              <w:top w:val="single" w:color="000000" w:sz="2" w:space="0"/>
              <w:left w:val="single" w:color="000000" w:sz="2" w:space="0"/>
              <w:bottom w:val="single" w:color="000000" w:sz="2" w:space="0"/>
              <w:right w:val="single" w:color="000000" w:sz="2" w:space="0"/>
            </w:tcBorders>
            <w:vAlign w:val="center"/>
          </w:tcPr>
          <w:p w14:paraId="79D6071C">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资审合格的报价单位</w:t>
            </w:r>
            <w:r>
              <w:rPr>
                <w:rFonts w:hint="default" w:ascii="Times New Roman" w:hAnsi="Times New Roman" w:cs="Times New Roman"/>
                <w:color w:val="auto"/>
                <w:kern w:val="0"/>
                <w:sz w:val="21"/>
                <w:szCs w:val="21"/>
                <w:lang w:val="en-US" w:eastAsia="zh-CN"/>
              </w:rPr>
              <w:t>大于5家（含5家），评审基准价为去掉一个最高报价和一个最低报价后，其他报价单位报价的算术平均值；资审合格的报价单位少于5家时，评审基准价为所有</w:t>
            </w:r>
            <w:r>
              <w:rPr>
                <w:rFonts w:hint="default" w:ascii="Times New Roman" w:hAnsi="Times New Roman" w:cs="Times New Roman"/>
                <w:color w:val="auto"/>
                <w:kern w:val="0"/>
                <w:sz w:val="21"/>
                <w:szCs w:val="21"/>
              </w:rPr>
              <w:t>有效报价</w:t>
            </w:r>
            <w:r>
              <w:rPr>
                <w:rFonts w:hint="default" w:ascii="Times New Roman" w:hAnsi="Times New Roman" w:cs="Times New Roman"/>
                <w:color w:val="auto"/>
                <w:kern w:val="0"/>
                <w:sz w:val="21"/>
                <w:szCs w:val="21"/>
                <w:lang w:val="en-US" w:eastAsia="zh-CN"/>
              </w:rPr>
              <w:t>的算术平均值</w:t>
            </w:r>
            <w:r>
              <w:rPr>
                <w:rFonts w:hint="default" w:ascii="Times New Roman" w:hAnsi="Times New Roman" w:cs="Times New Roman"/>
                <w:color w:val="auto"/>
                <w:kern w:val="0"/>
                <w:sz w:val="21"/>
                <w:szCs w:val="21"/>
              </w:rPr>
              <w:t>。</w:t>
            </w:r>
          </w:p>
        </w:tc>
      </w:tr>
      <w:tr w14:paraId="542A2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761" w:hRule="atLeast"/>
        </w:trPr>
        <w:tc>
          <w:tcPr>
            <w:tcW w:w="1465" w:type="dxa"/>
            <w:vMerge w:val="continue"/>
            <w:tcBorders>
              <w:left w:val="single" w:color="000000" w:sz="2" w:space="0"/>
              <w:right w:val="single" w:color="000000" w:sz="2" w:space="0"/>
            </w:tcBorders>
            <w:vAlign w:val="center"/>
          </w:tcPr>
          <w:p w14:paraId="00DFBD22">
            <w:pPr>
              <w:widowControl/>
              <w:jc w:val="center"/>
              <w:rPr>
                <w:rFonts w:hint="default" w:ascii="Times New Roman" w:hAnsi="Times New Roman" w:cs="Times New Roman"/>
                <w:color w:val="auto"/>
                <w:kern w:val="0"/>
                <w:sz w:val="22"/>
                <w:szCs w:val="22"/>
              </w:rPr>
            </w:pPr>
          </w:p>
        </w:tc>
        <w:tc>
          <w:tcPr>
            <w:tcW w:w="1668" w:type="dxa"/>
            <w:tcBorders>
              <w:top w:val="single" w:color="000000" w:sz="2" w:space="0"/>
              <w:left w:val="single" w:color="000000" w:sz="2" w:space="0"/>
              <w:bottom w:val="single" w:color="000000" w:sz="2" w:space="0"/>
              <w:right w:val="single" w:color="000000" w:sz="2" w:space="0"/>
            </w:tcBorders>
            <w:vAlign w:val="center"/>
          </w:tcPr>
          <w:p w14:paraId="5C3695CB">
            <w:pPr>
              <w:widowControl/>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报价得分</w:t>
            </w:r>
          </w:p>
        </w:tc>
        <w:tc>
          <w:tcPr>
            <w:tcW w:w="7084" w:type="dxa"/>
            <w:tcBorders>
              <w:top w:val="single" w:color="000000" w:sz="2" w:space="0"/>
              <w:left w:val="single" w:color="000000" w:sz="2" w:space="0"/>
              <w:bottom w:val="single" w:color="000000" w:sz="2" w:space="0"/>
              <w:right w:val="single" w:color="000000" w:sz="2" w:space="0"/>
            </w:tcBorders>
            <w:vAlign w:val="center"/>
          </w:tcPr>
          <w:p w14:paraId="3BF1E984">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当报价等于评</w:t>
            </w:r>
            <w:r>
              <w:rPr>
                <w:rFonts w:hint="default" w:ascii="Times New Roman" w:hAnsi="Times New Roman" w:cs="Times New Roman"/>
                <w:color w:val="auto"/>
                <w:kern w:val="0"/>
                <w:sz w:val="21"/>
                <w:szCs w:val="21"/>
                <w:lang w:val="en-US" w:eastAsia="zh-CN"/>
              </w:rPr>
              <w:t>审</w:t>
            </w:r>
            <w:r>
              <w:rPr>
                <w:rFonts w:hint="default" w:ascii="Times New Roman" w:hAnsi="Times New Roman" w:cs="Times New Roman"/>
                <w:color w:val="auto"/>
                <w:kern w:val="0"/>
                <w:sz w:val="21"/>
                <w:szCs w:val="21"/>
              </w:rPr>
              <w:t>基准价时得报价基本分4</w:t>
            </w:r>
            <w:r>
              <w:rPr>
                <w:rFonts w:hint="eastAsia" w:ascii="Times New Roman" w:hAnsi="Times New Roman" w:cs="Times New Roman"/>
                <w:color w:val="auto"/>
                <w:kern w:val="0"/>
                <w:sz w:val="21"/>
                <w:szCs w:val="21"/>
                <w:lang w:val="en-US" w:eastAsia="zh-CN"/>
              </w:rPr>
              <w:t>0</w:t>
            </w:r>
            <w:r>
              <w:rPr>
                <w:rFonts w:hint="default" w:ascii="Times New Roman" w:hAnsi="Times New Roman" w:cs="Times New Roman"/>
                <w:color w:val="auto"/>
                <w:kern w:val="0"/>
                <w:sz w:val="21"/>
                <w:szCs w:val="21"/>
              </w:rPr>
              <w:t>分。</w:t>
            </w:r>
          </w:p>
          <w:p w14:paraId="1276CEAF">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基准价10%（含10%）以内，每低于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基准价1%加</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w:t>
            </w:r>
            <w:r>
              <w:rPr>
                <w:rFonts w:hint="eastAsia" w:ascii="Times New Roman" w:hAnsi="Times New Roman" w:cs="Times New Roman"/>
                <w:color w:val="auto"/>
                <w:kern w:val="0"/>
                <w:sz w:val="21"/>
                <w:szCs w:val="21"/>
                <w:lang w:val="en-US" w:eastAsia="zh-CN"/>
              </w:rPr>
              <w:t>从基本分开始加分，</w:t>
            </w:r>
            <w:r>
              <w:rPr>
                <w:rFonts w:hint="default" w:ascii="Times New Roman" w:hAnsi="Times New Roman" w:cs="Times New Roman"/>
                <w:color w:val="auto"/>
                <w:kern w:val="0"/>
                <w:sz w:val="21"/>
                <w:szCs w:val="21"/>
              </w:rPr>
              <w:t>最多得满分；</w:t>
            </w:r>
          </w:p>
          <w:p w14:paraId="7DD2104E">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cs="Times New Roman"/>
                <w:color w:val="auto"/>
                <w:kern w:val="0"/>
                <w:sz w:val="21"/>
                <w:szCs w:val="21"/>
              </w:rPr>
              <w:t>低于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基准价10%以外，从满分起扣，每超1%扣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p w14:paraId="355260BA">
            <w:pPr>
              <w:widowControl/>
              <w:jc w:val="left"/>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cs="Times New Roman"/>
                <w:color w:val="auto"/>
                <w:kern w:val="0"/>
                <w:sz w:val="21"/>
                <w:szCs w:val="21"/>
              </w:rPr>
              <w:t>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基准价时，从基本分起扣，每高于</w:t>
            </w:r>
            <w:r>
              <w:rPr>
                <w:rFonts w:hint="default" w:ascii="Times New Roman" w:hAnsi="Times New Roman" w:cs="Times New Roman"/>
                <w:color w:val="auto"/>
                <w:kern w:val="0"/>
                <w:sz w:val="21"/>
                <w:szCs w:val="21"/>
                <w:lang w:val="en-US" w:eastAsia="zh-CN"/>
              </w:rPr>
              <w:t>评审</w:t>
            </w:r>
            <w:r>
              <w:rPr>
                <w:rFonts w:hint="default" w:ascii="Times New Roman" w:hAnsi="Times New Roman" w:cs="Times New Roman"/>
                <w:color w:val="auto"/>
                <w:kern w:val="0"/>
                <w:sz w:val="21"/>
                <w:szCs w:val="21"/>
              </w:rPr>
              <w:t>基准价1%扣</w:t>
            </w: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分，扣完为止。</w:t>
            </w:r>
          </w:p>
        </w:tc>
      </w:tr>
      <w:tr w14:paraId="3CBC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47" w:hRule="atLeast"/>
        </w:trPr>
        <w:tc>
          <w:tcPr>
            <w:tcW w:w="1465" w:type="dxa"/>
            <w:tcBorders>
              <w:left w:val="single" w:color="000000" w:sz="2" w:space="0"/>
              <w:right w:val="single" w:color="000000" w:sz="2" w:space="0"/>
            </w:tcBorders>
            <w:vAlign w:val="center"/>
          </w:tcPr>
          <w:p w14:paraId="53DF202F">
            <w:pPr>
              <w:widowControl/>
              <w:jc w:val="center"/>
              <w:rPr>
                <w:rFonts w:hint="default" w:ascii="Times New Roman" w:hAnsi="Times New Roman" w:cs="Times New Roman" w:eastAsiaTheme="minorEastAsia"/>
                <w:color w:val="auto"/>
                <w:kern w:val="0"/>
                <w:sz w:val="22"/>
                <w:szCs w:val="22"/>
                <w:lang w:eastAsia="zh-CN"/>
              </w:rPr>
            </w:pPr>
            <w:r>
              <w:rPr>
                <w:rFonts w:hint="default" w:ascii="Times New Roman" w:hAnsi="Times New Roman" w:cs="Times New Roman"/>
                <w:color w:val="auto"/>
                <w:kern w:val="0"/>
                <w:sz w:val="22"/>
                <w:szCs w:val="22"/>
                <w:lang w:eastAsia="zh-CN"/>
              </w:rPr>
              <w:t>商务部分（</w:t>
            </w:r>
            <w:r>
              <w:rPr>
                <w:rFonts w:hint="default" w:ascii="Times New Roman" w:hAnsi="Times New Roman" w:cs="Times New Roman"/>
                <w:color w:val="auto"/>
                <w:kern w:val="0"/>
                <w:sz w:val="22"/>
                <w:szCs w:val="22"/>
                <w:lang w:val="en-US" w:eastAsia="zh-CN"/>
              </w:rPr>
              <w:t>10分</w:t>
            </w:r>
            <w:r>
              <w:rPr>
                <w:rFonts w:hint="default" w:ascii="Times New Roman" w:hAnsi="Times New Roman" w:cs="Times New Roman"/>
                <w:color w:val="auto"/>
                <w:kern w:val="0"/>
                <w:sz w:val="22"/>
                <w:szCs w:val="22"/>
                <w:lang w:eastAsia="zh-CN"/>
              </w:rPr>
              <w:t>）</w:t>
            </w:r>
          </w:p>
        </w:tc>
        <w:tc>
          <w:tcPr>
            <w:tcW w:w="1668" w:type="dxa"/>
            <w:tcBorders>
              <w:top w:val="single" w:color="000000" w:sz="2" w:space="0"/>
              <w:left w:val="single" w:color="000000" w:sz="2" w:space="0"/>
              <w:bottom w:val="single" w:color="000000" w:sz="2" w:space="0"/>
              <w:right w:val="single" w:color="000000" w:sz="2" w:space="0"/>
            </w:tcBorders>
            <w:vAlign w:val="center"/>
          </w:tcPr>
          <w:p w14:paraId="30A113DC">
            <w:pPr>
              <w:keepNext w:val="0"/>
              <w:keepLines w:val="0"/>
              <w:pageBreakBefore w:val="0"/>
              <w:wordWrap/>
              <w:topLinePunct w:val="0"/>
              <w:bidi w:val="0"/>
              <w:spacing w:line="240" w:lineRule="auto"/>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Cs w:val="21"/>
                <w:highlight w:val="none"/>
              </w:rPr>
              <w:t>企业业绩</w:t>
            </w:r>
          </w:p>
        </w:tc>
        <w:tc>
          <w:tcPr>
            <w:tcW w:w="7084" w:type="dxa"/>
            <w:tcBorders>
              <w:top w:val="single" w:color="000000" w:sz="2" w:space="0"/>
              <w:left w:val="single" w:color="000000" w:sz="2" w:space="0"/>
              <w:bottom w:val="single" w:color="000000" w:sz="2" w:space="0"/>
              <w:right w:val="single" w:color="000000" w:sz="2" w:space="0"/>
            </w:tcBorders>
            <w:vAlign w:val="center"/>
          </w:tcPr>
          <w:p w14:paraId="1A940A34">
            <w:pPr>
              <w:keepNext w:val="0"/>
              <w:keepLines w:val="0"/>
              <w:pageBreakBefore w:val="0"/>
              <w:wordWrap/>
              <w:topLinePunct w:val="0"/>
              <w:bidi w:val="0"/>
              <w:adjustRightInd w:val="0"/>
              <w:spacing w:line="240" w:lineRule="auto"/>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Cs w:val="21"/>
                <w:highlight w:val="none"/>
              </w:rPr>
              <w:t>报价单位提供的业绩满足资格要求得</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分，在</w:t>
            </w:r>
            <w:r>
              <w:rPr>
                <w:rFonts w:hint="default" w:ascii="Times New Roman" w:hAnsi="Times New Roman" w:eastAsia="宋体" w:cs="Times New Roman"/>
                <w:color w:val="auto"/>
                <w:szCs w:val="21"/>
                <w:highlight w:val="none"/>
                <w:lang w:val="en-US" w:eastAsia="zh-CN"/>
              </w:rPr>
              <w:t>满足</w:t>
            </w:r>
            <w:r>
              <w:rPr>
                <w:rFonts w:hint="default" w:ascii="Times New Roman" w:hAnsi="Times New Roman" w:eastAsia="宋体" w:cs="Times New Roman"/>
                <w:color w:val="auto"/>
                <w:szCs w:val="21"/>
                <w:highlight w:val="none"/>
              </w:rPr>
              <w:t>资格要求基础上</w:t>
            </w:r>
            <w:r>
              <w:rPr>
                <w:rFonts w:hint="default" w:ascii="Times New Roman" w:hAnsi="Times New Roman" w:eastAsia="宋体" w:cs="Times New Roman"/>
                <w:color w:val="auto"/>
                <w:szCs w:val="21"/>
                <w:highlight w:val="none"/>
                <w:lang w:val="en-US" w:eastAsia="zh-CN"/>
              </w:rPr>
              <w:t>报价单位</w:t>
            </w:r>
            <w:r>
              <w:rPr>
                <w:rFonts w:hint="default" w:ascii="Times New Roman" w:hAnsi="Times New Roman" w:eastAsia="宋体" w:cs="Times New Roman"/>
                <w:color w:val="auto"/>
                <w:szCs w:val="21"/>
                <w:highlight w:val="none"/>
              </w:rPr>
              <w:t>每增加1项2023年1月1日至响应文件递交截止日前承担</w:t>
            </w:r>
            <w:r>
              <w:rPr>
                <w:rFonts w:hint="eastAsia" w:ascii="Times New Roman" w:hAnsi="Times New Roman" w:eastAsia="宋体" w:cs="Times New Roman"/>
                <w:color w:val="auto"/>
                <w:szCs w:val="21"/>
                <w:highlight w:val="none"/>
                <w:lang w:val="en-US" w:eastAsia="zh-CN"/>
              </w:rPr>
              <w:t>过</w:t>
            </w:r>
            <w:r>
              <w:rPr>
                <w:rFonts w:hint="default" w:ascii="Times New Roman" w:hAnsi="Times New Roman" w:eastAsia="宋体" w:cs="Times New Roman"/>
                <w:color w:val="auto"/>
                <w:szCs w:val="21"/>
                <w:highlight w:val="none"/>
              </w:rPr>
              <w:t>关于涉路项目工程技术评价报告编制</w:t>
            </w:r>
            <w:r>
              <w:rPr>
                <w:rFonts w:hint="eastAsia" w:ascii="Times New Roman" w:hAnsi="Times New Roman" w:eastAsia="宋体" w:cs="Times New Roman"/>
                <w:color w:val="auto"/>
                <w:szCs w:val="21"/>
                <w:highlight w:val="none"/>
                <w:lang w:eastAsia="zh-CN"/>
              </w:rPr>
              <w:t>的</w:t>
            </w:r>
            <w:r>
              <w:rPr>
                <w:rFonts w:hint="eastAsia" w:ascii="Times New Roman" w:hAnsi="Times New Roman" w:eastAsia="宋体" w:cs="Times New Roman"/>
                <w:color w:val="auto"/>
                <w:szCs w:val="21"/>
                <w:highlight w:val="none"/>
                <w:lang w:val="en-US" w:eastAsia="zh-CN"/>
              </w:rPr>
              <w:t>类似</w:t>
            </w:r>
            <w:r>
              <w:rPr>
                <w:rFonts w:hint="default" w:ascii="Times New Roman" w:hAnsi="Times New Roman" w:eastAsia="宋体" w:cs="Times New Roman"/>
                <w:color w:val="auto"/>
                <w:szCs w:val="21"/>
                <w:highlight w:val="none"/>
              </w:rPr>
              <w:t>业绩</w:t>
            </w:r>
            <w:r>
              <w:rPr>
                <w:rFonts w:hint="eastAsia" w:ascii="Times New Roman" w:hAnsi="Times New Roman" w:eastAsia="宋体" w:cs="Times New Roman"/>
                <w:color w:val="auto"/>
                <w:szCs w:val="21"/>
                <w:highlight w:val="none"/>
                <w:lang w:val="en-US" w:eastAsia="zh-CN"/>
              </w:rPr>
              <w:t>加2分</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满分10分。</w:t>
            </w:r>
            <w:r>
              <w:rPr>
                <w:rFonts w:hint="default" w:ascii="Times New Roman" w:hAnsi="Times New Roman" w:eastAsia="宋体" w:cs="Times New Roman"/>
                <w:color w:val="auto"/>
                <w:szCs w:val="21"/>
                <w:highlight w:val="none"/>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p>
        </w:tc>
      </w:tr>
      <w:tr w14:paraId="1307A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3" w:hRule="atLeast"/>
        </w:trPr>
        <w:tc>
          <w:tcPr>
            <w:tcW w:w="1465" w:type="dxa"/>
            <w:vMerge w:val="restart"/>
            <w:tcBorders>
              <w:left w:val="single" w:color="000000" w:sz="2" w:space="0"/>
              <w:right w:val="single" w:color="000000" w:sz="2" w:space="0"/>
            </w:tcBorders>
            <w:vAlign w:val="center"/>
          </w:tcPr>
          <w:p w14:paraId="5D16179E">
            <w:pPr>
              <w:widowControl/>
              <w:jc w:val="center"/>
              <w:rPr>
                <w:rFonts w:hint="default" w:ascii="Times New Roman" w:hAnsi="Times New Roman" w:cs="Times New Roman"/>
                <w:color w:val="auto"/>
                <w:kern w:val="0"/>
                <w:sz w:val="22"/>
                <w:szCs w:val="22"/>
                <w:lang w:val="en-US" w:eastAsia="zh-CN"/>
              </w:rPr>
            </w:pPr>
            <w:r>
              <w:rPr>
                <w:rFonts w:hint="eastAsia" w:ascii="Times New Roman" w:hAnsi="Times New Roman" w:cs="Times New Roman"/>
                <w:color w:val="auto"/>
                <w:kern w:val="0"/>
                <w:sz w:val="22"/>
                <w:szCs w:val="22"/>
                <w:lang w:val="en-US" w:eastAsia="zh-CN"/>
              </w:rPr>
              <w:t>技术部分（40分）</w:t>
            </w:r>
          </w:p>
        </w:tc>
        <w:tc>
          <w:tcPr>
            <w:tcW w:w="1668" w:type="dxa"/>
            <w:tcBorders>
              <w:top w:val="single" w:color="000000" w:sz="2" w:space="0"/>
              <w:left w:val="single" w:color="000000" w:sz="2" w:space="0"/>
              <w:bottom w:val="single" w:color="000000" w:sz="2" w:space="0"/>
              <w:right w:val="single" w:color="000000" w:sz="2" w:space="0"/>
            </w:tcBorders>
            <w:vAlign w:val="center"/>
          </w:tcPr>
          <w:p w14:paraId="0429CB2C">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项目</w:t>
            </w:r>
            <w:r>
              <w:rPr>
                <w:rFonts w:hint="default" w:ascii="Times New Roman" w:hAnsi="Times New Roman" w:eastAsia="宋体" w:cs="Times New Roman"/>
                <w:color w:val="auto"/>
                <w:sz w:val="21"/>
                <w:szCs w:val="21"/>
                <w:highlight w:val="none"/>
                <w:lang w:val="en-US" w:eastAsia="zh-CN"/>
              </w:rPr>
              <w:t>人员</w:t>
            </w:r>
            <w:r>
              <w:rPr>
                <w:rFonts w:hint="default" w:ascii="Times New Roman" w:hAnsi="Times New Roman" w:eastAsia="宋体" w:cs="Times New Roman"/>
                <w:color w:val="auto"/>
                <w:sz w:val="21"/>
                <w:szCs w:val="21"/>
                <w:highlight w:val="none"/>
              </w:rPr>
              <w:t>配置（</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分）</w:t>
            </w:r>
          </w:p>
        </w:tc>
        <w:tc>
          <w:tcPr>
            <w:tcW w:w="7084" w:type="dxa"/>
            <w:tcBorders>
              <w:top w:val="single" w:color="000000" w:sz="2" w:space="0"/>
              <w:left w:val="single" w:color="000000" w:sz="2" w:space="0"/>
              <w:bottom w:val="single" w:color="000000" w:sz="2" w:space="0"/>
              <w:right w:val="single" w:color="000000" w:sz="2" w:space="0"/>
            </w:tcBorders>
            <w:vAlign w:val="center"/>
          </w:tcPr>
          <w:p w14:paraId="30A57211">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第一档：</w:t>
            </w:r>
            <w:r>
              <w:rPr>
                <w:rFonts w:hint="default" w:ascii="Times New Roman" w:hAnsi="Times New Roman" w:cs="Times New Roman" w:eastAsiaTheme="minorEastAsia"/>
                <w:color w:val="auto"/>
                <w:sz w:val="21"/>
                <w:szCs w:val="21"/>
                <w:highlight w:val="none"/>
                <w:lang w:val="en-US" w:eastAsia="zh-CN"/>
              </w:rPr>
              <w:t>团队配置完整、</w:t>
            </w:r>
            <w:r>
              <w:rPr>
                <w:rFonts w:hint="default" w:ascii="Times New Roman" w:hAnsi="Times New Roman" w:cs="Times New Roman" w:eastAsiaTheme="minorEastAsia"/>
                <w:color w:val="auto"/>
                <w:sz w:val="21"/>
                <w:szCs w:val="21"/>
                <w:highlight w:val="none"/>
              </w:rPr>
              <w:t>人员配置齐全，关键岗位持证齐全、</w:t>
            </w:r>
            <w:r>
              <w:rPr>
                <w:rFonts w:hint="eastAsia" w:ascii="Times New Roman" w:hAnsi="Times New Roman" w:cs="Times New Roman"/>
                <w:color w:val="auto"/>
                <w:sz w:val="21"/>
                <w:szCs w:val="21"/>
                <w:highlight w:val="none"/>
                <w:lang w:val="en-US" w:eastAsia="zh-CN"/>
              </w:rPr>
              <w:t>经验丰富、</w:t>
            </w:r>
            <w:r>
              <w:rPr>
                <w:rFonts w:hint="default" w:ascii="Times New Roman" w:hAnsi="Times New Roman" w:cs="Times New Roman" w:eastAsiaTheme="minorEastAsia"/>
                <w:color w:val="auto"/>
                <w:sz w:val="21"/>
                <w:szCs w:val="21"/>
                <w:highlight w:val="none"/>
              </w:rPr>
              <w:t>社保齐全、分工清晰，满足驻场整改需求，并能指定专人负责与</w:t>
            </w:r>
            <w:r>
              <w:rPr>
                <w:rFonts w:hint="default" w:ascii="Times New Roman" w:hAnsi="Times New Roman" w:cs="Times New Roman" w:eastAsiaTheme="minorEastAsia"/>
                <w:color w:val="auto"/>
                <w:sz w:val="21"/>
                <w:szCs w:val="21"/>
                <w:highlight w:val="none"/>
                <w:lang w:val="en-US" w:eastAsia="zh-CN"/>
              </w:rPr>
              <w:t>采购人</w:t>
            </w:r>
            <w:r>
              <w:rPr>
                <w:rFonts w:hint="default" w:ascii="Times New Roman" w:hAnsi="Times New Roman" w:cs="Times New Roman" w:eastAsiaTheme="minorEastAsia"/>
                <w:color w:val="auto"/>
                <w:sz w:val="21"/>
                <w:szCs w:val="21"/>
                <w:highlight w:val="none"/>
              </w:rPr>
              <w:t>现场对接协调，确保工作高效有序推进</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w:t>
            </w:r>
            <w:r>
              <w:rPr>
                <w:rFonts w:hint="eastAsia" w:ascii="Times New Roman" w:hAnsi="Times New Roman" w:cs="Times New Roman"/>
                <w:color w:val="auto"/>
                <w:sz w:val="21"/>
                <w:szCs w:val="21"/>
                <w:highlight w:val="none"/>
                <w:lang w:val="en-US" w:eastAsia="zh-CN"/>
              </w:rPr>
              <w:t>8-10</w:t>
            </w:r>
            <w:r>
              <w:rPr>
                <w:rFonts w:hint="default" w:ascii="Times New Roman" w:hAnsi="Times New Roman" w:cs="Times New Roman" w:eastAsiaTheme="minorEastAsia"/>
                <w:color w:val="auto"/>
                <w:sz w:val="21"/>
                <w:szCs w:val="21"/>
                <w:highlight w:val="none"/>
                <w:lang w:val="en-US" w:eastAsia="zh-CN"/>
              </w:rPr>
              <w:t>分；</w:t>
            </w:r>
          </w:p>
          <w:p w14:paraId="0215148D">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第二档：团队配置基本完整，人员基本配齐，岗位略有兼职，</w:t>
            </w:r>
            <w:r>
              <w:rPr>
                <w:rFonts w:hint="default" w:ascii="Times New Roman" w:hAnsi="Times New Roman" w:cs="Times New Roman"/>
                <w:color w:val="auto"/>
                <w:sz w:val="21"/>
                <w:szCs w:val="21"/>
                <w:highlight w:val="none"/>
                <w:lang w:val="en-US" w:eastAsia="zh-CN"/>
              </w:rPr>
              <w:t>具备一定经验</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w:t>
            </w:r>
            <w:r>
              <w:rPr>
                <w:rFonts w:hint="eastAsia" w:ascii="Times New Roman" w:hAnsi="Times New Roman" w:cs="Times New Roman"/>
                <w:color w:val="auto"/>
                <w:sz w:val="21"/>
                <w:szCs w:val="21"/>
                <w:highlight w:val="none"/>
                <w:lang w:val="en-US" w:eastAsia="zh-CN"/>
              </w:rPr>
              <w:t>4-7</w:t>
            </w:r>
            <w:r>
              <w:rPr>
                <w:rFonts w:hint="default" w:ascii="Times New Roman" w:hAnsi="Times New Roman" w:cs="Times New Roman" w:eastAsiaTheme="minorEastAsia"/>
                <w:color w:val="auto"/>
                <w:sz w:val="21"/>
                <w:szCs w:val="21"/>
                <w:highlight w:val="none"/>
                <w:lang w:val="en-US" w:eastAsia="zh-CN"/>
              </w:rPr>
              <w:t>分；</w:t>
            </w:r>
          </w:p>
          <w:p w14:paraId="6B499C85">
            <w:pPr>
              <w:keepNext w:val="0"/>
              <w:keepLines w:val="0"/>
              <w:pageBreakBefore w:val="0"/>
              <w:widowControl/>
              <w:numPr>
                <w:ilvl w:val="-1"/>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第三档：团队配置不合理，关键岗位缺证、人员数量不足、大量岗位一人兼任</w:t>
            </w:r>
            <w:r>
              <w:rPr>
                <w:rFonts w:hint="default" w:ascii="Times New Roman" w:hAnsi="Times New Roman" w:cs="Times New Roman" w:eastAsiaTheme="minorEastAsia"/>
                <w:color w:val="auto"/>
                <w:sz w:val="21"/>
                <w:szCs w:val="21"/>
                <w:highlight w:val="none"/>
                <w:lang w:eastAsia="zh-CN"/>
              </w:rPr>
              <w:t>，</w:t>
            </w:r>
            <w:r>
              <w:rPr>
                <w:rFonts w:hint="default" w:ascii="Times New Roman" w:hAnsi="Times New Roman" w:cs="Times New Roman" w:eastAsiaTheme="minorEastAsia"/>
                <w:color w:val="auto"/>
                <w:sz w:val="21"/>
                <w:szCs w:val="21"/>
                <w:highlight w:val="none"/>
                <w:lang w:val="en-US" w:eastAsia="zh-CN"/>
              </w:rPr>
              <w:t>得1-</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lang w:val="en-US" w:eastAsia="zh-CN"/>
              </w:rPr>
              <w:t>分。</w:t>
            </w:r>
          </w:p>
          <w:p w14:paraId="54E34562">
            <w:pPr>
              <w:keepNext w:val="0"/>
              <w:keepLines w:val="0"/>
              <w:pageBreakBefore w:val="0"/>
              <w:widowControl/>
              <w:numPr>
                <w:ilvl w:val="-1"/>
                <w:numId w:val="0"/>
              </w:numPr>
              <w:wordWrap/>
              <w:topLinePunct w:val="0"/>
              <w:bidi w:val="0"/>
              <w:adjustRightInd w:val="0"/>
              <w:spacing w:line="240" w:lineRule="auto"/>
              <w:jc w:val="left"/>
              <w:textAlignment w:val="auto"/>
              <w:rPr>
                <w:rFonts w:hint="default" w:ascii="Times New Roman" w:hAnsi="Times New Roman" w:cs="Times New Roman" w:eastAsiaTheme="minorEastAsia"/>
                <w:color w:val="auto"/>
                <w:szCs w:val="21"/>
                <w:highlight w:val="none"/>
              </w:rPr>
            </w:pPr>
            <w:r>
              <w:rPr>
                <w:rFonts w:hint="default" w:ascii="Times New Roman" w:hAnsi="Times New Roman" w:cs="Times New Roman" w:eastAsiaTheme="minorEastAsia"/>
                <w:color w:val="auto"/>
                <w:sz w:val="21"/>
                <w:szCs w:val="21"/>
                <w:highlight w:val="none"/>
                <w:lang w:val="en-US" w:eastAsia="zh-CN"/>
              </w:rPr>
              <w:t>未体现相关人员配置不得分。</w:t>
            </w:r>
          </w:p>
        </w:tc>
      </w:tr>
      <w:tr w14:paraId="320B77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9" w:hRule="atLeast"/>
        </w:trPr>
        <w:tc>
          <w:tcPr>
            <w:tcW w:w="1465" w:type="dxa"/>
            <w:vMerge w:val="continue"/>
            <w:tcBorders>
              <w:left w:val="single" w:color="000000" w:sz="2" w:space="0"/>
              <w:bottom w:val="single" w:color="000000" w:sz="2" w:space="0"/>
              <w:right w:val="single" w:color="000000" w:sz="2" w:space="0"/>
            </w:tcBorders>
            <w:vAlign w:val="center"/>
          </w:tcPr>
          <w:p w14:paraId="1D59249F">
            <w:pPr>
              <w:widowControl/>
              <w:jc w:val="center"/>
              <w:rPr>
                <w:rFonts w:hint="default" w:ascii="Times New Roman" w:hAnsi="Times New Roman" w:cs="Times New Roman"/>
                <w:color w:val="auto"/>
                <w:kern w:val="0"/>
                <w:sz w:val="22"/>
                <w:szCs w:val="22"/>
                <w:lang w:eastAsia="zh-CN"/>
              </w:rPr>
            </w:pPr>
          </w:p>
        </w:tc>
        <w:tc>
          <w:tcPr>
            <w:tcW w:w="1668" w:type="dxa"/>
            <w:tcBorders>
              <w:top w:val="single" w:color="000000" w:sz="2" w:space="0"/>
              <w:left w:val="single" w:color="000000" w:sz="2" w:space="0"/>
              <w:bottom w:val="single" w:color="000000" w:sz="2" w:space="0"/>
              <w:right w:val="single" w:color="000000" w:sz="2" w:space="0"/>
            </w:tcBorders>
            <w:vAlign w:val="center"/>
          </w:tcPr>
          <w:p w14:paraId="06AF55D1">
            <w:pPr>
              <w:keepNext w:val="0"/>
              <w:keepLines w:val="0"/>
              <w:pageBreakBefore w:val="0"/>
              <w:wordWrap/>
              <w:topLinePunct w:val="0"/>
              <w:bidi w:val="0"/>
              <w:spacing w:line="240" w:lineRule="auto"/>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color w:val="auto"/>
                <w:szCs w:val="21"/>
                <w:highlight w:val="none"/>
              </w:rPr>
              <w:t>方案</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30分</w:t>
            </w:r>
            <w:r>
              <w:rPr>
                <w:rFonts w:hint="default" w:ascii="Times New Roman" w:hAnsi="Times New Roman" w:eastAsia="宋体" w:cs="Times New Roman"/>
                <w:color w:val="auto"/>
                <w:szCs w:val="21"/>
                <w:highlight w:val="none"/>
                <w:lang w:eastAsia="zh-CN"/>
              </w:rPr>
              <w:t>）</w:t>
            </w:r>
          </w:p>
        </w:tc>
        <w:tc>
          <w:tcPr>
            <w:tcW w:w="7084" w:type="dxa"/>
            <w:tcBorders>
              <w:top w:val="single" w:color="000000" w:sz="2" w:space="0"/>
              <w:left w:val="single" w:color="000000" w:sz="2" w:space="0"/>
              <w:bottom w:val="single" w:color="000000" w:sz="2" w:space="0"/>
              <w:right w:val="single" w:color="000000" w:sz="2" w:space="0"/>
            </w:tcBorders>
            <w:vAlign w:val="center"/>
          </w:tcPr>
          <w:p w14:paraId="152FC754">
            <w:pPr>
              <w:rPr>
                <w:rFonts w:hint="eastAsia" w:eastAsiaTheme="minorEastAsia"/>
                <w:lang w:eastAsia="zh-CN"/>
              </w:rPr>
            </w:pPr>
            <w:r>
              <w:rPr>
                <w:rFonts w:hint="eastAsia" w:ascii="Times New Roman" w:hAnsi="Times New Roman" w:cs="Times New Roman"/>
                <w:color w:val="auto"/>
                <w:kern w:val="0"/>
                <w:sz w:val="21"/>
                <w:szCs w:val="21"/>
                <w:lang w:val="en-US" w:eastAsia="zh-CN" w:bidi="ar"/>
              </w:rPr>
              <w:t>第一档：</w:t>
            </w:r>
            <w:r>
              <w:rPr>
                <w:rFonts w:hint="eastAsia" w:ascii="Times New Roman" w:hAnsi="Times New Roman" w:cs="Times New Roman"/>
                <w:color w:val="auto"/>
                <w:kern w:val="0"/>
                <w:szCs w:val="21"/>
                <w:lang w:val="en-US" w:eastAsia="zh-CN" w:bidi="ar"/>
              </w:rPr>
              <w:t>方案内容全面完整，路基 / 边坡 / 管线影响分析、施工工况（定向钻 / 开挖）验算，针对天然气介质、压力管道、穿越既有公路构筑物、地下管线交叉、施工扰动、应急保护措施分析深入，贴合本项目工况，条理清晰，符合公司规划管理技术规定要求，质量管控措施完善，工期计划与节点保障安排合理</w:t>
            </w:r>
            <w:r>
              <w:rPr>
                <w:rFonts w:hint="eastAsia"/>
                <w:lang w:val="en-US" w:eastAsia="zh-CN"/>
              </w:rPr>
              <w:t>，验收</w:t>
            </w:r>
            <w:r>
              <w:rPr>
                <w:rFonts w:hint="eastAsia" w:ascii="Times New Roman" w:hAnsi="Times New Roman" w:cs="Times New Roman"/>
                <w:color w:val="auto"/>
                <w:kern w:val="0"/>
                <w:szCs w:val="21"/>
                <w:lang w:val="en-US" w:eastAsia="zh-CN" w:bidi="ar"/>
              </w:rPr>
              <w:t>归档资料</w:t>
            </w:r>
            <w:r>
              <w:rPr>
                <w:rFonts w:hint="eastAsia"/>
                <w:lang w:val="en-US" w:eastAsia="zh-CN"/>
              </w:rPr>
              <w:t>、质保与售后服务完整、风险防控、</w:t>
            </w:r>
            <w:r>
              <w:rPr>
                <w:rFonts w:hint="eastAsia" w:ascii="Times New Roman" w:hAnsi="Times New Roman" w:cs="Times New Roman"/>
                <w:color w:val="auto"/>
                <w:kern w:val="0"/>
                <w:szCs w:val="21"/>
                <w:lang w:val="en-US" w:eastAsia="zh-CN" w:bidi="ar"/>
              </w:rPr>
              <w:t>成果交付与配合服务内容齐全，符合工作逻辑，得24-30分</w:t>
            </w:r>
            <w:r>
              <w:rPr>
                <w:rFonts w:hint="eastAsia" w:ascii="Times New Roman" w:hAnsi="Times New Roman" w:cs="Times New Roman"/>
                <w:color w:val="auto"/>
                <w:kern w:val="0"/>
                <w:sz w:val="21"/>
                <w:szCs w:val="21"/>
                <w:lang w:val="en-US" w:eastAsia="zh-CN" w:bidi="ar"/>
              </w:rPr>
              <w:t>；</w:t>
            </w:r>
          </w:p>
          <w:p w14:paraId="14E7FF86">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第二档：</w:t>
            </w:r>
            <w:r>
              <w:rPr>
                <w:rFonts w:hint="default" w:ascii="Times New Roman" w:hAnsi="Times New Roman" w:cs="Times New Roman"/>
                <w:color w:val="auto"/>
                <w:kern w:val="0"/>
                <w:szCs w:val="21"/>
                <w:lang w:bidi="ar"/>
              </w:rPr>
              <w:t>方案内容不够</w:t>
            </w:r>
            <w:r>
              <w:rPr>
                <w:rFonts w:hint="default" w:ascii="Times New Roman" w:hAnsi="Times New Roman" w:cs="Times New Roman"/>
                <w:color w:val="auto"/>
                <w:kern w:val="0"/>
                <w:szCs w:val="21"/>
                <w:lang w:val="en-US" w:eastAsia="zh-CN" w:bidi="ar"/>
              </w:rPr>
              <w:t>详细</w:t>
            </w:r>
            <w:r>
              <w:rPr>
                <w:rFonts w:hint="default" w:ascii="Times New Roman" w:hAnsi="Times New Roman" w:cs="Times New Roman"/>
                <w:color w:val="auto"/>
                <w:kern w:val="0"/>
                <w:szCs w:val="21"/>
                <w:lang w:bidi="ar"/>
              </w:rPr>
              <w:t>具体，</w:t>
            </w:r>
            <w:r>
              <w:rPr>
                <w:rFonts w:hint="default" w:ascii="Times New Roman" w:hAnsi="Times New Roman" w:cs="Times New Roman"/>
                <w:color w:val="auto"/>
                <w:kern w:val="0"/>
                <w:szCs w:val="21"/>
                <w:lang w:val="en-US" w:eastAsia="zh-CN" w:bidi="ar"/>
              </w:rPr>
              <w:t>基本满足规划验收流程，</w:t>
            </w:r>
            <w:r>
              <w:rPr>
                <w:rFonts w:hint="default" w:ascii="Times New Roman" w:hAnsi="Times New Roman" w:cs="Times New Roman"/>
                <w:color w:val="auto"/>
                <w:kern w:val="0"/>
                <w:szCs w:val="21"/>
                <w:lang w:bidi="ar"/>
              </w:rPr>
              <w:t>条理不够清晰，或部分内容针对性、合理性、可行性欠佳，但对完成本项目影响不大的，得</w:t>
            </w:r>
            <w:r>
              <w:rPr>
                <w:rFonts w:hint="default" w:ascii="Times New Roman" w:hAnsi="Times New Roman" w:cs="Times New Roman"/>
                <w:color w:val="auto"/>
                <w:kern w:val="0"/>
                <w:szCs w:val="21"/>
                <w:lang w:val="en-US" w:eastAsia="zh-CN" w:bidi="ar"/>
              </w:rPr>
              <w:t>16</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23</w:t>
            </w:r>
            <w:r>
              <w:rPr>
                <w:rFonts w:hint="default" w:ascii="Times New Roman" w:hAnsi="Times New Roman" w:cs="Times New Roman"/>
                <w:color w:val="auto"/>
                <w:kern w:val="0"/>
                <w:szCs w:val="21"/>
                <w:lang w:bidi="ar"/>
              </w:rPr>
              <w:t>分；</w:t>
            </w:r>
          </w:p>
          <w:p w14:paraId="13D6DE5B">
            <w:pPr>
              <w:widowControl/>
              <w:numPr>
                <w:ilvl w:val="0"/>
                <w:numId w:val="0"/>
              </w:numPr>
              <w:jc w:val="both"/>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第三档：</w:t>
            </w:r>
            <w:r>
              <w:rPr>
                <w:rFonts w:hint="default" w:ascii="Times New Roman" w:hAnsi="Times New Roman" w:cs="Times New Roman"/>
                <w:color w:val="auto"/>
                <w:kern w:val="0"/>
                <w:szCs w:val="21"/>
                <w:lang w:bidi="ar"/>
              </w:rPr>
              <w:t>技术方案内容有欠缺，且核心相关内容针对性、合理性、可行性欠佳的，得</w:t>
            </w:r>
            <w:r>
              <w:rPr>
                <w:rFonts w:hint="default" w:ascii="Times New Roman" w:hAnsi="Times New Roman" w:cs="Times New Roman"/>
                <w:color w:val="auto"/>
                <w:kern w:val="0"/>
                <w:szCs w:val="21"/>
                <w:lang w:val="en-US" w:eastAsia="zh-CN" w:bidi="ar"/>
              </w:rPr>
              <w:t>8</w:t>
            </w:r>
            <w:r>
              <w:rPr>
                <w:rFonts w:hint="default" w:ascii="Times New Roman" w:hAnsi="Times New Roman" w:cs="Times New Roman"/>
                <w:color w:val="auto"/>
                <w:kern w:val="0"/>
                <w:szCs w:val="21"/>
                <w:lang w:bidi="ar"/>
              </w:rPr>
              <w:t>-</w:t>
            </w:r>
            <w:r>
              <w:rPr>
                <w:rFonts w:hint="default" w:ascii="Times New Roman" w:hAnsi="Times New Roman" w:cs="Times New Roman"/>
                <w:color w:val="auto"/>
                <w:kern w:val="0"/>
                <w:szCs w:val="21"/>
                <w:lang w:val="en-US" w:eastAsia="zh-CN" w:bidi="ar"/>
              </w:rPr>
              <w:t>15</w:t>
            </w:r>
            <w:r>
              <w:rPr>
                <w:rFonts w:hint="default" w:ascii="Times New Roman" w:hAnsi="Times New Roman" w:cs="Times New Roman"/>
                <w:color w:val="auto"/>
                <w:kern w:val="0"/>
                <w:szCs w:val="21"/>
                <w:lang w:bidi="ar"/>
              </w:rPr>
              <w:t>分；</w:t>
            </w:r>
          </w:p>
          <w:p w14:paraId="5A99E2BC">
            <w:pPr>
              <w:widowControl/>
              <w:numPr>
                <w:ilvl w:val="0"/>
                <w:numId w:val="0"/>
              </w:numPr>
              <w:jc w:val="both"/>
              <w:textAlignment w:val="center"/>
              <w:rPr>
                <w:rFonts w:hint="default" w:ascii="Times New Roman" w:hAnsi="Times New Roman" w:cs="Times New Roman" w:eastAsiaTheme="minorEastAsia"/>
                <w:color w:val="auto"/>
                <w:kern w:val="0"/>
                <w:szCs w:val="21"/>
                <w:highlight w:val="none"/>
                <w:lang w:eastAsia="zh-CN" w:bidi="ar"/>
              </w:rPr>
            </w:pPr>
            <w:r>
              <w:rPr>
                <w:rFonts w:hint="default" w:ascii="Times New Roman" w:hAnsi="Times New Roman" w:cs="Times New Roman"/>
                <w:color w:val="auto"/>
                <w:kern w:val="0"/>
                <w:sz w:val="21"/>
                <w:szCs w:val="21"/>
                <w:lang w:val="en-US" w:eastAsia="zh-CN" w:bidi="ar"/>
              </w:rPr>
              <w:t>第四档：</w:t>
            </w:r>
            <w:r>
              <w:rPr>
                <w:rFonts w:hint="default" w:ascii="Times New Roman" w:hAnsi="Times New Roman" w:cs="Times New Roman"/>
                <w:color w:val="auto"/>
                <w:kern w:val="0"/>
                <w:szCs w:val="21"/>
                <w:lang w:bidi="ar"/>
              </w:rPr>
              <w:t>技术方案内容不完整，且无任何针对性、合理性、可行性，无法支撑本项目工作开展的，得1-</w:t>
            </w:r>
            <w:r>
              <w:rPr>
                <w:rFonts w:hint="default" w:ascii="Times New Roman" w:hAnsi="Times New Roman" w:cs="Times New Roman"/>
                <w:color w:val="auto"/>
                <w:kern w:val="0"/>
                <w:szCs w:val="21"/>
                <w:lang w:val="en-US" w:eastAsia="zh-CN" w:bidi="ar"/>
              </w:rPr>
              <w:t>7</w:t>
            </w:r>
            <w:r>
              <w:rPr>
                <w:rFonts w:hint="default" w:ascii="Times New Roman" w:hAnsi="Times New Roman" w:cs="Times New Roman"/>
                <w:color w:val="auto"/>
                <w:kern w:val="0"/>
                <w:szCs w:val="21"/>
                <w:lang w:bidi="ar"/>
              </w:rPr>
              <w:t>分；</w:t>
            </w:r>
          </w:p>
          <w:p w14:paraId="3FAEAAC1">
            <w:pPr>
              <w:widowControl/>
              <w:numPr>
                <w:ilvl w:val="0"/>
                <w:numId w:val="0"/>
              </w:numPr>
              <w:jc w:val="both"/>
              <w:textAlignment w:val="center"/>
              <w:rPr>
                <w:rFonts w:hint="default" w:ascii="Times New Roman" w:hAnsi="Times New Roman" w:cs="Times New Roman" w:eastAsiaTheme="minorEastAsia"/>
                <w:color w:val="auto"/>
                <w:szCs w:val="21"/>
                <w:highlight w:val="none"/>
                <w:lang w:eastAsia="zh-CN"/>
              </w:rPr>
            </w:pPr>
            <w:r>
              <w:rPr>
                <w:rFonts w:hint="default" w:ascii="Times New Roman" w:hAnsi="Times New Roman" w:cs="Times New Roman"/>
                <w:color w:val="auto"/>
                <w:kern w:val="0"/>
                <w:sz w:val="21"/>
                <w:szCs w:val="21"/>
                <w:lang w:val="en-US" w:eastAsia="zh-CN" w:bidi="ar"/>
              </w:rPr>
              <w:t>第五档：</w:t>
            </w:r>
            <w:r>
              <w:rPr>
                <w:rFonts w:hint="default" w:ascii="Times New Roman" w:hAnsi="Times New Roman" w:cs="Times New Roman"/>
                <w:color w:val="auto"/>
                <w:kern w:val="0"/>
                <w:sz w:val="21"/>
                <w:szCs w:val="21"/>
                <w:lang w:bidi="ar"/>
              </w:rPr>
              <w:t>未提供服务方案的，得0分。</w:t>
            </w:r>
          </w:p>
        </w:tc>
      </w:tr>
    </w:tbl>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default"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1DDB94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响应文件</w:t>
      </w:r>
      <w:r>
        <w:rPr>
          <w:rFonts w:hint="default" w:ascii="Times New Roman" w:hAnsi="Times New Roman" w:eastAsia="方正仿宋_GBK" w:cs="Times New Roman"/>
          <w:sz w:val="32"/>
          <w:szCs w:val="32"/>
          <w:lang w:val="en-US" w:eastAsia="zh-CN"/>
        </w:rPr>
        <w:br w:type="textWrapping"/>
      </w: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0FC8CEB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21</w:t>
      </w:r>
      <w:r>
        <w:rPr>
          <w:rFonts w:hint="default" w:ascii="Times New Roman" w:hAnsi="Times New Roman" w:eastAsia="方正仿宋_GBK" w:cs="Times New Roman"/>
          <w:color w:val="auto"/>
          <w:sz w:val="32"/>
          <w:szCs w:val="32"/>
        </w:rPr>
        <w:t>日</w:t>
      </w:r>
    </w:p>
    <w:p w14:paraId="1624170D">
      <w:pPr>
        <w:spacing w:line="576" w:lineRule="exact"/>
        <w:rPr>
          <w:rFonts w:ascii="Times New Roman" w:hAnsi="Times New Roman" w:eastAsia="方正仿宋_GBK" w:cs="Times New Roman"/>
          <w:sz w:val="32"/>
          <w:szCs w:val="32"/>
        </w:rPr>
      </w:pPr>
    </w:p>
    <w:p w14:paraId="498A425A">
      <w:pPr>
        <w:pStyle w:val="13"/>
        <w:rPr>
          <w:rFonts w:ascii="Times New Roman" w:hAnsi="Times New Roman" w:eastAsia="方正仿宋_GBK" w:cs="Times New Roman"/>
          <w:sz w:val="32"/>
          <w:szCs w:val="32"/>
        </w:rPr>
      </w:pPr>
    </w:p>
    <w:p w14:paraId="7D3E2ADD">
      <w:pPr>
        <w:pStyle w:val="13"/>
        <w:ind w:left="0" w:leftChars="0" w:firstLine="0" w:firstLineChars="0"/>
        <w:rPr>
          <w:rFonts w:hint="default" w:ascii="Times New Roman" w:hAnsi="Times New Roman" w:eastAsia="方正仿宋_GBK" w:cs="Times New Roman"/>
          <w:sz w:val="32"/>
          <w:szCs w:val="32"/>
          <w:lang w:val="en-US" w:eastAsia="zh-CN"/>
        </w:rPr>
      </w:pPr>
    </w:p>
    <w:p w14:paraId="782E9F30">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3"/>
        <w:rPr>
          <w:rFonts w:hint="default" w:ascii="Times New Roman" w:hAnsi="Times New Roman" w:cs="Times New Roman"/>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bCs/>
          <w:color w:val="auto"/>
          <w:kern w:val="0"/>
          <w:sz w:val="44"/>
          <w:szCs w:val="44"/>
          <w:highlight w:val="none"/>
          <w:lang w:eastAsia="zh-CN"/>
        </w:rPr>
      </w:pPr>
      <w:r>
        <w:rPr>
          <w:rFonts w:hint="default" w:ascii="Times New Roman" w:hAnsi="Times New Roman" w:eastAsia="方正小标宋_GBK" w:cs="Times New Roman"/>
          <w:b/>
          <w:bCs/>
          <w:color w:val="auto"/>
          <w:kern w:val="0"/>
          <w:sz w:val="44"/>
          <w:szCs w:val="44"/>
          <w:highlight w:val="none"/>
          <w:lang w:eastAsia="zh-CN"/>
        </w:rPr>
        <w:t>云能天然气（玉溪）有限公司</w:t>
      </w:r>
      <w:r>
        <w:rPr>
          <w:rFonts w:hint="default" w:ascii="Times New Roman" w:hAnsi="Times New Roman" w:eastAsia="方正小标宋_GBK" w:cs="Times New Roman"/>
          <w:b/>
          <w:bCs/>
          <w:color w:val="auto"/>
          <w:kern w:val="0"/>
          <w:sz w:val="44"/>
          <w:szCs w:val="44"/>
          <w:highlight w:val="none"/>
        </w:rPr>
        <w:t>关于观音山片区天然气工程项目涉路评价技术服务</w:t>
      </w:r>
    </w:p>
    <w:p w14:paraId="5C0C8688">
      <w:pPr>
        <w:pStyle w:val="8"/>
        <w:spacing w:line="360" w:lineRule="auto"/>
        <w:jc w:val="center"/>
        <w:rPr>
          <w:rFonts w:hint="default" w:ascii="Times New Roman" w:hAnsi="Times New Roman" w:eastAsia="宋体" w:cs="Times New Roman"/>
          <w:b/>
          <w:color w:val="auto"/>
          <w:sz w:val="84"/>
          <w:szCs w:val="84"/>
          <w:highlight w:val="none"/>
        </w:rPr>
      </w:pPr>
    </w:p>
    <w:p w14:paraId="39FF3082">
      <w:pPr>
        <w:pStyle w:val="8"/>
        <w:spacing w:line="360" w:lineRule="auto"/>
        <w:jc w:val="center"/>
        <w:rPr>
          <w:rFonts w:hint="default" w:ascii="Times New Roman" w:hAnsi="Times New Roman" w:eastAsia="宋体" w:cs="Times New Roman"/>
          <w:b/>
          <w:color w:val="auto"/>
          <w:sz w:val="84"/>
          <w:szCs w:val="84"/>
          <w:highlight w:val="none"/>
        </w:rPr>
      </w:pPr>
    </w:p>
    <w:p w14:paraId="4CBA3DBD">
      <w:pPr>
        <w:pStyle w:val="8"/>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3"/>
        <w:ind w:firstLine="0"/>
        <w:rPr>
          <w:rFonts w:hint="default" w:ascii="Times New Roman" w:hAnsi="Times New Roman" w:eastAsia="宋体" w:cs="Times New Roman"/>
          <w:b/>
          <w:color w:val="auto"/>
          <w:sz w:val="84"/>
          <w:szCs w:val="84"/>
          <w:highlight w:val="none"/>
        </w:rPr>
      </w:pPr>
    </w:p>
    <w:p w14:paraId="71488EC2">
      <w:pPr>
        <w:rPr>
          <w:rFonts w:hint="default" w:ascii="Times New Roman" w:hAnsi="Times New Roman" w:cs="Times New Roman"/>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方正小标宋_GBK" w:cs="Times New Roman"/>
          <w:sz w:val="32"/>
          <w:szCs w:val="32"/>
        </w:rPr>
      </w:pPr>
      <w:r>
        <w:rPr>
          <w:rFonts w:hint="default" w:ascii="Times New Roman" w:hAnsi="Times New Roman" w:eastAsia="宋体" w:cs="Times New Roman"/>
          <w:color w:val="auto"/>
          <w:sz w:val="24"/>
          <w:highlight w:val="none"/>
          <w:lang w:val="en-US" w:eastAsia="zh-CN"/>
        </w:rPr>
        <w:t>公司名称</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444F005D">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lang w:eastAsia="zh-CN"/>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1"/>
            <w:bookmarkStart w:id="1" w:name="OLE_LINK22"/>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lang w:eastAsia="zh-CN"/>
        </w:rPr>
      </w:pPr>
    </w:p>
    <w:p w14:paraId="7495A618">
      <w:pPr>
        <w:spacing w:line="576" w:lineRule="exact"/>
        <w:jc w:val="center"/>
        <w:rPr>
          <w:rFonts w:hint="default" w:ascii="Times New Roman" w:hAnsi="Times New Roman" w:eastAsia="方正小标宋_GBK" w:cs="Times New Roman"/>
          <w:sz w:val="32"/>
          <w:szCs w:val="32"/>
          <w:lang w:eastAsia="zh-CN"/>
        </w:rPr>
      </w:pPr>
    </w:p>
    <w:p w14:paraId="354317B9">
      <w:pPr>
        <w:spacing w:line="576" w:lineRule="exact"/>
        <w:jc w:val="center"/>
        <w:rPr>
          <w:rFonts w:hint="default" w:ascii="Times New Roman" w:hAnsi="Times New Roman" w:eastAsia="方正小标宋_GBK" w:cs="Times New Roman"/>
          <w:sz w:val="32"/>
          <w:szCs w:val="32"/>
          <w:lang w:eastAsia="zh-CN"/>
        </w:rPr>
      </w:pPr>
    </w:p>
    <w:p w14:paraId="02243D34">
      <w:pPr>
        <w:spacing w:line="576" w:lineRule="exact"/>
        <w:jc w:val="center"/>
        <w:rPr>
          <w:rFonts w:hint="default" w:ascii="Times New Roman" w:hAnsi="Times New Roman" w:eastAsia="方正小标宋_GBK" w:cs="Times New Roman"/>
          <w:sz w:val="32"/>
          <w:szCs w:val="32"/>
          <w:lang w:eastAsia="zh-CN"/>
        </w:rPr>
      </w:pPr>
    </w:p>
    <w:p w14:paraId="66A5842D">
      <w:pPr>
        <w:spacing w:line="576" w:lineRule="exact"/>
        <w:jc w:val="center"/>
        <w:rPr>
          <w:rFonts w:hint="default" w:ascii="Times New Roman" w:hAnsi="Times New Roman" w:eastAsia="方正小标宋_GBK" w:cs="Times New Roman"/>
          <w:sz w:val="32"/>
          <w:szCs w:val="32"/>
          <w:lang w:eastAsia="zh-CN"/>
        </w:rPr>
      </w:pPr>
    </w:p>
    <w:p w14:paraId="58F46B1C">
      <w:pPr>
        <w:spacing w:line="576" w:lineRule="exact"/>
        <w:jc w:val="both"/>
        <w:rPr>
          <w:rFonts w:hint="default" w:ascii="Times New Roman" w:hAnsi="Times New Roman" w:eastAsia="方正小标宋_GBK" w:cs="Times New Roman"/>
          <w:sz w:val="32"/>
          <w:szCs w:val="32"/>
          <w:lang w:eastAsia="zh-CN"/>
        </w:rPr>
      </w:pPr>
    </w:p>
    <w:p w14:paraId="347FB76F">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二</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营业执照及资质证书</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3"/>
        <w:rPr>
          <w:rFonts w:hint="default" w:ascii="Times New Roman" w:hAnsi="Times New Roman" w:cs="Times New Roman"/>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lang w:val="en-US" w:eastAsia="zh-CN" w:bidi="ar-SA"/>
        </w:rPr>
        <w:t>（</w:t>
      </w:r>
      <w:bookmarkStart w:id="2" w:name="_Toc326398486"/>
      <w:r>
        <w:rPr>
          <w:rFonts w:hint="default" w:ascii="Times New Roman" w:hAnsi="Times New Roman" w:eastAsia="宋体" w:cs="Times New Roman"/>
          <w:b/>
          <w:color w:val="auto"/>
          <w:kern w:val="2"/>
          <w:sz w:val="32"/>
          <w:szCs w:val="32"/>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3"/>
        <w:numPr>
          <w:ilvl w:val="0"/>
          <w:numId w:val="0"/>
        </w:numPr>
        <w:rPr>
          <w:rFonts w:hint="default" w:ascii="Times New Roman" w:hAnsi="Times New Roman" w:cs="Times New Roman"/>
        </w:rPr>
      </w:pPr>
    </w:p>
    <w:p w14:paraId="610AC71F">
      <w:pPr>
        <w:widowControl/>
        <w:topLinePunct/>
        <w:spacing w:line="360" w:lineRule="auto"/>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3"/>
        <w:rPr>
          <w:rFonts w:hint="default" w:ascii="Times New Roman" w:hAnsi="Times New Roman" w:cs="Times New Roman"/>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34C2B609">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五</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参与本次项目人员及资格证书</w:t>
      </w:r>
    </w:p>
    <w:p w14:paraId="7D030FA4">
      <w:pPr>
        <w:spacing w:after="240" w:afterLines="100" w:line="420" w:lineRule="exact"/>
        <w:jc w:val="center"/>
        <w:outlineLvl w:val="1"/>
        <w:rPr>
          <w:rFonts w:ascii="Times New Roman" w:hAnsi="Times New Roman" w:eastAsia="黑体" w:cs="Times New Roman"/>
          <w:sz w:val="24"/>
        </w:rPr>
      </w:pPr>
      <w:r>
        <w:rPr>
          <w:rFonts w:hint="default" w:ascii="Times New Roman" w:hAnsi="Times New Roman" w:eastAsia="黑体" w:cs="Times New Roman"/>
          <w:sz w:val="24"/>
          <w:lang w:val="en-US" w:eastAsia="zh-CN"/>
        </w:rPr>
        <w:t>参与本项目</w:t>
      </w:r>
      <w:r>
        <w:rPr>
          <w:rFonts w:hint="default" w:ascii="Times New Roman" w:hAnsi="Times New Roman" w:eastAsia="黑体" w:cs="Times New Roman"/>
          <w:sz w:val="24"/>
        </w:rPr>
        <w:t>人员基本情况表</w:t>
      </w:r>
    </w:p>
    <w:tbl>
      <w:tblPr>
        <w:tblStyle w:val="14"/>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948"/>
        <w:gridCol w:w="1092"/>
        <w:gridCol w:w="1137"/>
        <w:gridCol w:w="1309"/>
        <w:gridCol w:w="1964"/>
      </w:tblGrid>
      <w:tr w14:paraId="5F1E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7E3E2DF">
            <w:pPr>
              <w:autoSpaceDE w:val="0"/>
              <w:autoSpaceDN w:val="0"/>
              <w:adjustRightInd w:val="0"/>
              <w:jc w:val="center"/>
              <w:rPr>
                <w:rFonts w:hint="default" w:ascii="Times New Roman" w:hAnsi="Times New Roman" w:cs="Times New Roman"/>
                <w:szCs w:val="21"/>
                <w:lang w:val="en-US"/>
              </w:rPr>
            </w:pPr>
            <w:r>
              <w:rPr>
                <w:rFonts w:hint="default" w:ascii="Times New Roman" w:hAnsi="Times New Roman" w:cs="Times New Roman"/>
                <w:szCs w:val="21"/>
                <w:lang w:val="en-US" w:eastAsia="zh-CN"/>
              </w:rPr>
              <w:t>本次安排的人员职责</w:t>
            </w:r>
          </w:p>
        </w:tc>
        <w:tc>
          <w:tcPr>
            <w:tcW w:w="948" w:type="dxa"/>
            <w:tcBorders>
              <w:top w:val="single" w:color="auto" w:sz="4" w:space="0"/>
              <w:left w:val="single" w:color="auto" w:sz="4" w:space="0"/>
              <w:bottom w:val="single" w:color="auto" w:sz="4" w:space="0"/>
              <w:right w:val="single" w:color="auto" w:sz="4" w:space="0"/>
            </w:tcBorders>
            <w:vAlign w:val="center"/>
          </w:tcPr>
          <w:p w14:paraId="443B542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姓名</w:t>
            </w:r>
          </w:p>
        </w:tc>
        <w:tc>
          <w:tcPr>
            <w:tcW w:w="1092" w:type="dxa"/>
            <w:tcBorders>
              <w:top w:val="single" w:color="auto" w:sz="4" w:space="0"/>
              <w:left w:val="single" w:color="auto" w:sz="4" w:space="0"/>
              <w:bottom w:val="single" w:color="auto" w:sz="4" w:space="0"/>
              <w:right w:val="single" w:color="auto" w:sz="4" w:space="0"/>
            </w:tcBorders>
            <w:vAlign w:val="center"/>
          </w:tcPr>
          <w:p w14:paraId="64361F7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性别</w:t>
            </w:r>
          </w:p>
        </w:tc>
        <w:tc>
          <w:tcPr>
            <w:tcW w:w="1137" w:type="dxa"/>
            <w:tcBorders>
              <w:top w:val="single" w:color="auto" w:sz="4" w:space="0"/>
              <w:left w:val="single" w:color="auto" w:sz="4" w:space="0"/>
              <w:bottom w:val="single" w:color="auto" w:sz="4" w:space="0"/>
              <w:right w:val="single" w:color="auto" w:sz="4" w:space="0"/>
            </w:tcBorders>
            <w:vAlign w:val="center"/>
          </w:tcPr>
          <w:p w14:paraId="138B22DA">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出生年月</w:t>
            </w:r>
          </w:p>
        </w:tc>
        <w:tc>
          <w:tcPr>
            <w:tcW w:w="1309" w:type="dxa"/>
            <w:tcBorders>
              <w:top w:val="single" w:color="auto" w:sz="4" w:space="0"/>
              <w:left w:val="single" w:color="auto" w:sz="4" w:space="0"/>
              <w:bottom w:val="single" w:color="auto" w:sz="4" w:space="0"/>
              <w:right w:val="single" w:color="auto" w:sz="4" w:space="0"/>
            </w:tcBorders>
            <w:vAlign w:val="center"/>
          </w:tcPr>
          <w:p w14:paraId="71C5D6B5">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工作年限</w:t>
            </w:r>
          </w:p>
        </w:tc>
        <w:tc>
          <w:tcPr>
            <w:tcW w:w="1964" w:type="dxa"/>
            <w:tcBorders>
              <w:top w:val="single" w:color="auto" w:sz="4" w:space="0"/>
              <w:left w:val="single" w:color="auto" w:sz="4" w:space="0"/>
              <w:bottom w:val="single" w:color="auto" w:sz="4" w:space="0"/>
              <w:right w:val="single" w:color="auto" w:sz="4" w:space="0"/>
            </w:tcBorders>
            <w:vAlign w:val="center"/>
          </w:tcPr>
          <w:p w14:paraId="2F403F80">
            <w:pPr>
              <w:autoSpaceDE w:val="0"/>
              <w:autoSpaceDN w:val="0"/>
              <w:adjustRightInd w:val="0"/>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rPr>
              <w:t>资格证书及编号</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如有</w:t>
            </w:r>
            <w:r>
              <w:rPr>
                <w:rFonts w:hint="default" w:ascii="Times New Roman" w:hAnsi="Times New Roman" w:cs="Times New Roman"/>
                <w:szCs w:val="21"/>
                <w:lang w:eastAsia="zh-CN"/>
              </w:rPr>
              <w:t>）</w:t>
            </w:r>
          </w:p>
        </w:tc>
      </w:tr>
      <w:tr w14:paraId="37F6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0AAE4313">
            <w:pPr>
              <w:autoSpaceDE w:val="0"/>
              <w:autoSpaceDN w:val="0"/>
              <w:adjustRightInd w:val="0"/>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项目负责人</w:t>
            </w:r>
          </w:p>
        </w:tc>
        <w:tc>
          <w:tcPr>
            <w:tcW w:w="948" w:type="dxa"/>
            <w:tcBorders>
              <w:top w:val="single" w:color="auto" w:sz="4" w:space="0"/>
              <w:left w:val="single" w:color="auto" w:sz="4" w:space="0"/>
              <w:bottom w:val="single" w:color="auto" w:sz="4" w:space="0"/>
              <w:right w:val="single" w:color="auto" w:sz="4" w:space="0"/>
            </w:tcBorders>
            <w:vAlign w:val="center"/>
          </w:tcPr>
          <w:p w14:paraId="3AB027F3">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7BBA96F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0FF961C">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481132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4FB05B0">
            <w:pPr>
              <w:autoSpaceDE w:val="0"/>
              <w:autoSpaceDN w:val="0"/>
              <w:adjustRightInd w:val="0"/>
              <w:jc w:val="center"/>
              <w:rPr>
                <w:rFonts w:ascii="Times New Roman" w:hAnsi="Times New Roman" w:cs="Times New Roman"/>
                <w:szCs w:val="21"/>
              </w:rPr>
            </w:pPr>
          </w:p>
        </w:tc>
      </w:tr>
      <w:tr w14:paraId="5B6E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68C76C92">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706F7B42">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670A4F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1BBE27E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19B2BF9C">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80E924F">
            <w:pPr>
              <w:autoSpaceDE w:val="0"/>
              <w:autoSpaceDN w:val="0"/>
              <w:adjustRightInd w:val="0"/>
              <w:jc w:val="center"/>
              <w:rPr>
                <w:rFonts w:ascii="Times New Roman" w:hAnsi="Times New Roman" w:cs="Times New Roman"/>
                <w:szCs w:val="21"/>
              </w:rPr>
            </w:pPr>
          </w:p>
        </w:tc>
      </w:tr>
      <w:tr w14:paraId="7EE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914ACED">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4479704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2759AA26">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13694E">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F3C1C6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7015A94D">
            <w:pPr>
              <w:autoSpaceDE w:val="0"/>
              <w:autoSpaceDN w:val="0"/>
              <w:adjustRightInd w:val="0"/>
              <w:jc w:val="center"/>
              <w:rPr>
                <w:rFonts w:ascii="Times New Roman" w:hAnsi="Times New Roman" w:cs="Times New Roman"/>
                <w:szCs w:val="21"/>
              </w:rPr>
            </w:pPr>
          </w:p>
        </w:tc>
      </w:tr>
      <w:tr w14:paraId="11FD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42C32ABD">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6D8794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01513F58">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4B9C10">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4ED56BB0">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0390ED1">
            <w:pPr>
              <w:autoSpaceDE w:val="0"/>
              <w:autoSpaceDN w:val="0"/>
              <w:adjustRightInd w:val="0"/>
              <w:jc w:val="center"/>
              <w:rPr>
                <w:rFonts w:ascii="Times New Roman" w:hAnsi="Times New Roman" w:cs="Times New Roman"/>
                <w:szCs w:val="21"/>
              </w:rPr>
            </w:pPr>
          </w:p>
        </w:tc>
      </w:tr>
      <w:tr w14:paraId="74C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36D3504">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CB005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C4795E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0507B96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211D83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DD4C9A0">
            <w:pPr>
              <w:autoSpaceDE w:val="0"/>
              <w:autoSpaceDN w:val="0"/>
              <w:adjustRightInd w:val="0"/>
              <w:jc w:val="center"/>
              <w:rPr>
                <w:rFonts w:ascii="Times New Roman" w:hAnsi="Times New Roman" w:cs="Times New Roman"/>
                <w:szCs w:val="21"/>
              </w:rPr>
            </w:pPr>
          </w:p>
        </w:tc>
      </w:tr>
      <w:tr w14:paraId="214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88994AE">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0AE1FF4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91417EE">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53F3DC1">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259F43A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45BF4F0">
            <w:pPr>
              <w:autoSpaceDE w:val="0"/>
              <w:autoSpaceDN w:val="0"/>
              <w:adjustRightInd w:val="0"/>
              <w:jc w:val="center"/>
              <w:rPr>
                <w:rFonts w:ascii="Times New Roman" w:hAnsi="Times New Roman" w:cs="Times New Roman"/>
                <w:szCs w:val="21"/>
              </w:rPr>
            </w:pPr>
          </w:p>
        </w:tc>
      </w:tr>
      <w:tr w14:paraId="0F8F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6F9931C">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BC7D8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1DB54B7">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6BD24068">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3C085773">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F5FD6C3">
            <w:pPr>
              <w:autoSpaceDE w:val="0"/>
              <w:autoSpaceDN w:val="0"/>
              <w:adjustRightInd w:val="0"/>
              <w:jc w:val="center"/>
              <w:rPr>
                <w:rFonts w:ascii="Times New Roman" w:hAnsi="Times New Roman" w:cs="Times New Roman"/>
                <w:szCs w:val="21"/>
              </w:rPr>
            </w:pPr>
          </w:p>
        </w:tc>
      </w:tr>
      <w:tr w14:paraId="2A8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CAE742B">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F58A68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14557E4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7E01C35">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5D835E62">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6268705A">
            <w:pPr>
              <w:autoSpaceDE w:val="0"/>
              <w:autoSpaceDN w:val="0"/>
              <w:adjustRightInd w:val="0"/>
              <w:jc w:val="center"/>
              <w:rPr>
                <w:rFonts w:ascii="Times New Roman" w:hAnsi="Times New Roman" w:cs="Times New Roman"/>
                <w:szCs w:val="21"/>
              </w:rPr>
            </w:pPr>
          </w:p>
        </w:tc>
      </w:tr>
    </w:tbl>
    <w:p w14:paraId="43C396DE">
      <w:pPr>
        <w:spacing w:line="560" w:lineRule="exact"/>
        <w:jc w:val="left"/>
        <w:rPr>
          <w:rFonts w:hint="default" w:ascii="Times New Roman" w:hAnsi="Times New Roman" w:cs="Times New Roman"/>
          <w:szCs w:val="21"/>
        </w:rPr>
      </w:pPr>
      <w:r>
        <w:rPr>
          <w:rFonts w:hint="default" w:ascii="Times New Roman" w:hAnsi="Times New Roman" w:cs="Times New Roman"/>
          <w:szCs w:val="21"/>
          <w:lang w:val="en-US" w:eastAsia="zh-CN"/>
        </w:rPr>
        <w:t>注：1.申请人资格要求里所要求的相关资格</w:t>
      </w:r>
      <w:r>
        <w:rPr>
          <w:rFonts w:hint="default" w:ascii="Times New Roman" w:hAnsi="Times New Roman" w:cs="Times New Roman"/>
          <w:szCs w:val="21"/>
        </w:rPr>
        <w:t>证书</w:t>
      </w:r>
      <w:r>
        <w:rPr>
          <w:rFonts w:hint="default" w:ascii="Times New Roman" w:hAnsi="Times New Roman" w:cs="Times New Roman"/>
          <w:szCs w:val="21"/>
          <w:lang w:val="en-US" w:eastAsia="zh-CN"/>
        </w:rPr>
        <w:t>及其他</w:t>
      </w:r>
      <w:r>
        <w:rPr>
          <w:rFonts w:hint="default" w:ascii="Times New Roman" w:hAnsi="Times New Roman" w:cs="Times New Roman"/>
          <w:szCs w:val="21"/>
        </w:rPr>
        <w:t>资料</w:t>
      </w:r>
      <w:r>
        <w:rPr>
          <w:rFonts w:hint="eastAsia" w:ascii="Times New Roman" w:hAnsi="Times New Roman" w:cs="Times New Roman"/>
          <w:szCs w:val="21"/>
          <w:lang w:val="en-US" w:eastAsia="zh-CN"/>
        </w:rPr>
        <w:t>按顺序</w:t>
      </w:r>
      <w:r>
        <w:rPr>
          <w:rFonts w:hint="default" w:ascii="Times New Roman" w:hAnsi="Times New Roman" w:cs="Times New Roman"/>
          <w:szCs w:val="21"/>
        </w:rPr>
        <w:t>附后；</w:t>
      </w:r>
    </w:p>
    <w:p w14:paraId="5063AC58">
      <w:pPr>
        <w:spacing w:line="560" w:lineRule="exact"/>
        <w:ind w:firstLine="420" w:firstLineChars="200"/>
        <w:jc w:val="left"/>
        <w:rPr>
          <w:rFonts w:hint="default" w:ascii="Times New Roman" w:hAnsi="Times New Roman" w:eastAsia="方正小标宋_GBK" w:cs="Times New Roman"/>
          <w:sz w:val="32"/>
          <w:szCs w:val="32"/>
        </w:rPr>
      </w:pPr>
      <w:r>
        <w:rPr>
          <w:rFonts w:hint="default" w:ascii="Times New Roman" w:hAnsi="Times New Roman" w:cs="Times New Roman"/>
          <w:szCs w:val="21"/>
          <w:lang w:val="en-US" w:eastAsia="zh-CN"/>
        </w:rPr>
        <w:t>2</w:t>
      </w:r>
      <w:r>
        <w:rPr>
          <w:rFonts w:hint="default" w:ascii="Times New Roman" w:hAnsi="Times New Roman" w:cs="Times New Roman"/>
          <w:szCs w:val="21"/>
        </w:rPr>
        <w:t>.本表可扩展</w:t>
      </w:r>
    </w:p>
    <w:p w14:paraId="1A821A21">
      <w:pPr>
        <w:spacing w:line="560" w:lineRule="exact"/>
        <w:jc w:val="center"/>
        <w:rPr>
          <w:rFonts w:hint="default" w:ascii="Times New Roman" w:hAnsi="Times New Roman" w:eastAsia="方正小标宋_GBK" w:cs="Times New Roman"/>
          <w:sz w:val="32"/>
          <w:szCs w:val="32"/>
        </w:rPr>
      </w:pPr>
    </w:p>
    <w:p w14:paraId="12660211">
      <w:pPr>
        <w:spacing w:line="560" w:lineRule="exact"/>
        <w:jc w:val="center"/>
        <w:rPr>
          <w:rFonts w:hint="default" w:ascii="Times New Roman" w:hAnsi="Times New Roman" w:eastAsia="方正小标宋_GBK" w:cs="Times New Roman"/>
          <w:sz w:val="32"/>
          <w:szCs w:val="32"/>
        </w:rPr>
      </w:pPr>
    </w:p>
    <w:p w14:paraId="6DD47692">
      <w:pPr>
        <w:spacing w:line="576" w:lineRule="exact"/>
        <w:jc w:val="both"/>
        <w:rPr>
          <w:rFonts w:hint="default" w:ascii="Times New Roman" w:hAnsi="Times New Roman" w:eastAsia="方正小标宋_GBK" w:cs="Times New Roman"/>
          <w:sz w:val="32"/>
          <w:szCs w:val="32"/>
          <w:lang w:eastAsia="zh-CN"/>
        </w:rPr>
      </w:pPr>
    </w:p>
    <w:p w14:paraId="5F788BFA">
      <w:pPr>
        <w:spacing w:line="576" w:lineRule="exact"/>
        <w:jc w:val="center"/>
        <w:rPr>
          <w:rFonts w:hint="default" w:ascii="Times New Roman" w:hAnsi="Times New Roman" w:eastAsia="方正小标宋_GBK" w:cs="Times New Roman"/>
          <w:sz w:val="32"/>
          <w:szCs w:val="32"/>
          <w:lang w:eastAsia="zh-CN"/>
        </w:rPr>
      </w:pPr>
    </w:p>
    <w:p w14:paraId="04E61E3A">
      <w:pPr>
        <w:spacing w:line="576" w:lineRule="exact"/>
        <w:jc w:val="center"/>
        <w:rPr>
          <w:rFonts w:hint="default" w:ascii="Times New Roman" w:hAnsi="Times New Roman" w:eastAsia="方正小标宋_GBK" w:cs="Times New Roman"/>
          <w:sz w:val="32"/>
          <w:szCs w:val="32"/>
          <w:lang w:eastAsia="zh-CN"/>
        </w:rPr>
      </w:pPr>
    </w:p>
    <w:p w14:paraId="1C4F8B84">
      <w:pPr>
        <w:spacing w:line="576" w:lineRule="exact"/>
        <w:jc w:val="center"/>
        <w:rPr>
          <w:rFonts w:hint="default" w:ascii="Times New Roman" w:hAnsi="Times New Roman" w:eastAsia="方正小标宋_GBK" w:cs="Times New Roman"/>
          <w:sz w:val="32"/>
          <w:szCs w:val="32"/>
          <w:lang w:eastAsia="zh-CN"/>
        </w:rPr>
      </w:pPr>
    </w:p>
    <w:p w14:paraId="4A8584B5">
      <w:pPr>
        <w:spacing w:line="576" w:lineRule="exact"/>
        <w:jc w:val="center"/>
        <w:rPr>
          <w:rFonts w:hint="default" w:ascii="Times New Roman" w:hAnsi="Times New Roman" w:eastAsia="方正小标宋_GBK" w:cs="Times New Roman"/>
          <w:sz w:val="32"/>
          <w:szCs w:val="32"/>
          <w:lang w:eastAsia="zh-CN"/>
        </w:rPr>
      </w:pPr>
    </w:p>
    <w:p w14:paraId="2A105228">
      <w:pPr>
        <w:spacing w:line="576" w:lineRule="exact"/>
        <w:jc w:val="center"/>
        <w:rPr>
          <w:rFonts w:hint="default" w:ascii="Times New Roman" w:hAnsi="Times New Roman" w:eastAsia="方正小标宋_GBK" w:cs="Times New Roman"/>
          <w:sz w:val="32"/>
          <w:szCs w:val="32"/>
          <w:lang w:eastAsia="zh-CN"/>
        </w:rPr>
      </w:pPr>
    </w:p>
    <w:p w14:paraId="4A12E6DD">
      <w:pPr>
        <w:spacing w:line="576" w:lineRule="exact"/>
        <w:jc w:val="center"/>
        <w:rPr>
          <w:rFonts w:hint="default" w:ascii="Times New Roman" w:hAnsi="Times New Roman" w:eastAsia="方正小标宋_GBK" w:cs="Times New Roman"/>
          <w:sz w:val="32"/>
          <w:szCs w:val="32"/>
          <w:lang w:eastAsia="zh-CN"/>
        </w:rPr>
      </w:pPr>
    </w:p>
    <w:p w14:paraId="1D1763C8">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六</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报价单位2023年1月1日至响应文件递交截止日前承担过</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关于涉路项目工程技术评价报告编制</w:t>
      </w:r>
      <w:r>
        <w:rPr>
          <w:rFonts w:hint="eastAsia" w:ascii="Times New Roman" w:hAnsi="Times New Roman" w:eastAsia="宋体" w:cs="Times New Roman"/>
          <w:color w:val="auto"/>
          <w:sz w:val="21"/>
          <w:szCs w:val="21"/>
          <w:highlight w:val="none"/>
          <w:lang w:val="en-US" w:eastAsia="zh-CN"/>
        </w:rPr>
        <w:t>的类似业绩</w:t>
      </w:r>
      <w:r>
        <w:rPr>
          <w:rFonts w:hint="default" w:ascii="Times New Roman" w:hAnsi="Times New Roman" w:eastAsia="宋体" w:cs="Times New Roman"/>
          <w:color w:val="auto"/>
          <w:sz w:val="21"/>
          <w:szCs w:val="21"/>
          <w:highlight w:val="none"/>
          <w:lang w:val="en-US" w:eastAsia="zh-CN"/>
        </w:rPr>
        <w:t>，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rPr>
      </w:pPr>
    </w:p>
    <w:p w14:paraId="48944FC9">
      <w:pPr>
        <w:spacing w:line="560" w:lineRule="exact"/>
        <w:jc w:val="center"/>
        <w:rPr>
          <w:rFonts w:hint="default" w:ascii="Times New Roman" w:hAnsi="Times New Roman" w:eastAsia="方正小标宋_GBK" w:cs="Times New Roman"/>
          <w:sz w:val="32"/>
          <w:szCs w:val="32"/>
        </w:rPr>
      </w:pPr>
    </w:p>
    <w:p w14:paraId="3956288D">
      <w:pPr>
        <w:spacing w:line="560" w:lineRule="exact"/>
        <w:jc w:val="center"/>
        <w:rPr>
          <w:rFonts w:hint="default" w:ascii="Times New Roman" w:hAnsi="Times New Roman" w:eastAsia="方正小标宋_GBK" w:cs="Times New Roman"/>
          <w:sz w:val="32"/>
          <w:szCs w:val="32"/>
        </w:rPr>
      </w:pPr>
    </w:p>
    <w:p w14:paraId="7F1EC9F9">
      <w:pPr>
        <w:spacing w:line="560" w:lineRule="exact"/>
        <w:jc w:val="center"/>
        <w:rPr>
          <w:rFonts w:hint="default" w:ascii="Times New Roman" w:hAnsi="Times New Roman" w:eastAsia="方正小标宋_GBK" w:cs="Times New Roman"/>
          <w:sz w:val="32"/>
          <w:szCs w:val="32"/>
        </w:rPr>
      </w:pPr>
    </w:p>
    <w:p w14:paraId="750D630C">
      <w:pPr>
        <w:spacing w:line="560" w:lineRule="exact"/>
        <w:jc w:val="center"/>
        <w:rPr>
          <w:rFonts w:hint="default" w:ascii="Times New Roman" w:hAnsi="Times New Roman" w:eastAsia="方正小标宋_GBK" w:cs="Times New Roman"/>
          <w:sz w:val="32"/>
          <w:szCs w:val="32"/>
        </w:rPr>
      </w:pPr>
    </w:p>
    <w:p w14:paraId="4CAD7A33">
      <w:pPr>
        <w:spacing w:line="560" w:lineRule="exact"/>
        <w:jc w:val="center"/>
        <w:rPr>
          <w:rFonts w:hint="default" w:ascii="Times New Roman" w:hAnsi="Times New Roman" w:eastAsia="方正小标宋_GBK" w:cs="Times New Roman"/>
          <w:sz w:val="32"/>
          <w:szCs w:val="32"/>
        </w:rPr>
      </w:pPr>
    </w:p>
    <w:p w14:paraId="69EC30AF">
      <w:pPr>
        <w:spacing w:line="560" w:lineRule="exact"/>
        <w:jc w:val="center"/>
        <w:rPr>
          <w:rFonts w:hint="default" w:ascii="Times New Roman" w:hAnsi="Times New Roman" w:eastAsia="方正小标宋_GBK" w:cs="Times New Roman"/>
          <w:sz w:val="32"/>
          <w:szCs w:val="32"/>
        </w:rPr>
      </w:pPr>
    </w:p>
    <w:p w14:paraId="5D8A386C">
      <w:pPr>
        <w:pStyle w:val="13"/>
        <w:ind w:firstLine="0"/>
        <w:rPr>
          <w:rFonts w:hint="default" w:ascii="Times New Roman" w:hAnsi="Times New Roman" w:eastAsia="方正小标宋_GBK" w:cs="Times New Roman"/>
          <w:sz w:val="32"/>
          <w:szCs w:val="32"/>
        </w:rPr>
      </w:pPr>
    </w:p>
    <w:p w14:paraId="595E9A16">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p>
    <w:p w14:paraId="3B029748">
      <w:pPr>
        <w:spacing w:line="560" w:lineRule="exact"/>
        <w:jc w:val="both"/>
        <w:rPr>
          <w:rFonts w:hint="default" w:ascii="Times New Roman" w:hAnsi="Times New Roman" w:eastAsia="方正小标宋_GBK" w:cs="Times New Roman"/>
          <w:sz w:val="32"/>
          <w:szCs w:val="32"/>
          <w:lang w:val="en-US" w:eastAsia="zh-CN"/>
        </w:rPr>
      </w:pPr>
    </w:p>
    <w:p w14:paraId="224145A8">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七</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书面承诺函</w:t>
      </w:r>
    </w:p>
    <w:p w14:paraId="4473F332">
      <w:pPr>
        <w:spacing w:line="560" w:lineRule="exact"/>
        <w:jc w:val="center"/>
        <w:rPr>
          <w:rFonts w:hint="default" w:ascii="Times New Roman" w:hAnsi="Times New Roman" w:eastAsia="方正小标宋_GBK" w:cs="Times New Roman"/>
          <w:sz w:val="32"/>
          <w:szCs w:val="32"/>
          <w:lang w:eastAsia="zh-CN"/>
        </w:rPr>
      </w:pPr>
    </w:p>
    <w:p w14:paraId="287710B7">
      <w:pPr>
        <w:spacing w:line="560" w:lineRule="exact"/>
        <w:jc w:val="both"/>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云能天然气（玉溪）有限公司：</w:t>
      </w:r>
    </w:p>
    <w:p w14:paraId="1AC9CDD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 xml:space="preserve">    </w:t>
      </w:r>
    </w:p>
    <w:p w14:paraId="2B6D717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39F1F6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法定代表人或授权委托代理人：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3C2C5582">
      <w:pPr>
        <w:pStyle w:val="13"/>
        <w:rPr>
          <w:rFonts w:hint="default" w:ascii="Times New Roman" w:hAnsi="Times New Roman" w:cs="Times New Roman"/>
          <w:sz w:val="24"/>
          <w:szCs w:val="24"/>
          <w:lang w:val="en-US" w:eastAsia="zh-CN"/>
        </w:rPr>
      </w:pPr>
      <w:r>
        <w:rPr>
          <w:rFonts w:hint="default" w:ascii="Times New Roman" w:hAnsi="Times New Roman" w:eastAsia="方正仿宋_GBK" w:cs="Times New Roman"/>
          <w:sz w:val="24"/>
          <w:szCs w:val="24"/>
          <w:lang w:val="en-US" w:eastAsia="zh-CN"/>
        </w:rPr>
        <w:t xml:space="preserve">                                           年    月     日</w:t>
      </w:r>
    </w:p>
    <w:p w14:paraId="17ECF23D">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3134E344">
      <w:pPr>
        <w:spacing w:line="560" w:lineRule="exact"/>
        <w:jc w:val="center"/>
        <w:rPr>
          <w:rFonts w:hint="default" w:ascii="Times New Roman" w:hAnsi="Times New Roman" w:eastAsia="方正小标宋_GBK" w:cs="Times New Roman"/>
          <w:sz w:val="32"/>
          <w:szCs w:val="32"/>
          <w:lang w:eastAsia="zh-CN"/>
        </w:rPr>
      </w:pPr>
    </w:p>
    <w:p w14:paraId="4AA31B19">
      <w:pPr>
        <w:pStyle w:val="13"/>
        <w:rPr>
          <w:rFonts w:hint="default" w:ascii="Times New Roman" w:hAnsi="Times New Roman" w:eastAsia="方正小标宋_GBK" w:cs="Times New Roman"/>
          <w:sz w:val="32"/>
          <w:szCs w:val="32"/>
          <w:lang w:eastAsia="zh-CN"/>
        </w:rPr>
      </w:pPr>
    </w:p>
    <w:p w14:paraId="2E4AA098">
      <w:pPr>
        <w:pStyle w:val="13"/>
        <w:rPr>
          <w:rFonts w:hint="default" w:ascii="Times New Roman" w:hAnsi="Times New Roman" w:eastAsia="方正小标宋_GBK" w:cs="Times New Roman"/>
          <w:sz w:val="32"/>
          <w:szCs w:val="32"/>
          <w:lang w:eastAsia="zh-CN"/>
        </w:rPr>
      </w:pPr>
    </w:p>
    <w:p w14:paraId="716657E2">
      <w:pPr>
        <w:pStyle w:val="13"/>
        <w:rPr>
          <w:rFonts w:hint="default" w:ascii="Times New Roman" w:hAnsi="Times New Roman" w:eastAsia="方正小标宋_GBK" w:cs="Times New Roman"/>
          <w:sz w:val="32"/>
          <w:szCs w:val="32"/>
          <w:lang w:eastAsia="zh-CN"/>
        </w:rPr>
      </w:pPr>
    </w:p>
    <w:p w14:paraId="0976C563">
      <w:pPr>
        <w:pStyle w:val="13"/>
        <w:rPr>
          <w:rFonts w:hint="default" w:ascii="Times New Roman" w:hAnsi="Times New Roman" w:eastAsia="方正小标宋_GBK" w:cs="Times New Roman"/>
          <w:sz w:val="32"/>
          <w:szCs w:val="32"/>
          <w:lang w:eastAsia="zh-CN"/>
        </w:rPr>
      </w:pPr>
    </w:p>
    <w:p w14:paraId="1263C75B">
      <w:pPr>
        <w:pStyle w:val="13"/>
        <w:rPr>
          <w:rFonts w:hint="default" w:ascii="Times New Roman" w:hAnsi="Times New Roman" w:eastAsia="方正小标宋_GBK" w:cs="Times New Roman"/>
          <w:sz w:val="32"/>
          <w:szCs w:val="32"/>
          <w:lang w:eastAsia="zh-CN"/>
        </w:rPr>
      </w:pPr>
    </w:p>
    <w:p w14:paraId="27D9E3D3">
      <w:pPr>
        <w:pStyle w:val="13"/>
        <w:rPr>
          <w:rFonts w:hint="default" w:ascii="Times New Roman" w:hAnsi="Times New Roman" w:eastAsia="方正小标宋_GBK" w:cs="Times New Roman"/>
          <w:sz w:val="32"/>
          <w:szCs w:val="32"/>
          <w:lang w:eastAsia="zh-CN"/>
        </w:rPr>
      </w:pPr>
    </w:p>
    <w:p w14:paraId="1C5CC791">
      <w:pPr>
        <w:pStyle w:val="13"/>
        <w:rPr>
          <w:rFonts w:hint="default" w:ascii="Times New Roman" w:hAnsi="Times New Roman" w:eastAsia="方正小标宋_GBK" w:cs="Times New Roman"/>
          <w:sz w:val="32"/>
          <w:szCs w:val="32"/>
          <w:lang w:eastAsia="zh-CN"/>
        </w:rPr>
      </w:pPr>
    </w:p>
    <w:p w14:paraId="6C7F9F1E">
      <w:pPr>
        <w:pStyle w:val="13"/>
        <w:rPr>
          <w:rFonts w:hint="default" w:ascii="Times New Roman" w:hAnsi="Times New Roman" w:eastAsia="方正小标宋_GBK" w:cs="Times New Roman"/>
          <w:sz w:val="32"/>
          <w:szCs w:val="32"/>
          <w:lang w:eastAsia="zh-CN"/>
        </w:rPr>
      </w:pPr>
    </w:p>
    <w:p w14:paraId="0316159A">
      <w:pPr>
        <w:pStyle w:val="13"/>
        <w:rPr>
          <w:rFonts w:hint="default" w:ascii="Times New Roman" w:hAnsi="Times New Roman" w:eastAsia="方正小标宋_GBK" w:cs="Times New Roman"/>
          <w:sz w:val="32"/>
          <w:szCs w:val="32"/>
          <w:lang w:eastAsia="zh-CN"/>
        </w:rPr>
      </w:pPr>
    </w:p>
    <w:p w14:paraId="0F8586DA">
      <w:pPr>
        <w:spacing w:line="560" w:lineRule="exact"/>
        <w:jc w:val="center"/>
        <w:rPr>
          <w:rFonts w:ascii="Times New Roman" w:hAnsi="Times New Roman" w:eastAsia="方正小标宋_GBK" w:cs="Times New Roman"/>
          <w:sz w:val="32"/>
          <w:szCs w:val="32"/>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八</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8813" w:type="dxa"/>
          </w:tcPr>
          <w:p w14:paraId="4B0BC570">
            <w:pPr>
              <w:spacing w:line="360" w:lineRule="auto"/>
              <w:rPr>
                <w:rFonts w:hint="default"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观音山片区天然气工程项目涉路评价技术服务</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u w:val="single"/>
                <w:lang w:eastAsia="zh-CN"/>
              </w:rPr>
            </w:pPr>
            <w:r>
              <w:rPr>
                <w:rFonts w:hint="default" w:ascii="Times New Roman" w:hAnsi="Times New Roman" w:eastAsia="方正仿宋_GBK" w:cs="Times New Roman"/>
                <w:sz w:val="24"/>
                <w:szCs w:val="24"/>
                <w:u w:val="none"/>
              </w:rPr>
              <w:t>报价金额：¥</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元（大写：</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工期</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single"/>
                <w:lang w:val="en-US" w:eastAsia="zh-CN"/>
              </w:rPr>
              <w:t>现勘完成后10个工作日提供评价报告。</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default" w:ascii="Times New Roman" w:hAnsi="Times New Roman" w:eastAsia="方正仿宋_GBK" w:cs="Times New Roman"/>
                <w:bCs w:val="0"/>
                <w:sz w:val="24"/>
                <w:szCs w:val="24"/>
                <w:u w:val="none"/>
              </w:rPr>
            </w:pPr>
            <w:r>
              <w:rPr>
                <w:rFonts w:hint="default" w:ascii="Times New Roman" w:hAnsi="Times New Roman" w:eastAsia="方正仿宋_GBK" w:cs="Times New Roman"/>
                <w:sz w:val="24"/>
                <w:szCs w:val="24"/>
                <w:u w:val="none"/>
                <w:lang w:val="en-US" w:eastAsia="zh-CN"/>
              </w:rPr>
              <w:t>注</w:t>
            </w:r>
            <w:r>
              <w:rPr>
                <w:rFonts w:hint="eastAsia" w:ascii="Times New Roman" w:hAnsi="Times New Roman" w:eastAsia="方正仿宋_GBK" w:cs="Times New Roman"/>
                <w:sz w:val="24"/>
                <w:szCs w:val="24"/>
                <w:u w:val="none"/>
                <w:lang w:val="en-US" w:eastAsia="zh-CN"/>
              </w:rPr>
              <w:t>：</w:t>
            </w:r>
            <w:r>
              <w:rPr>
                <w:rFonts w:hint="default" w:ascii="Times New Roman" w:hAnsi="Times New Roman" w:eastAsia="方正仿宋_GBK" w:cs="Times New Roman"/>
                <w:bCs w:val="0"/>
                <w:sz w:val="24"/>
                <w:szCs w:val="24"/>
                <w:u w:val="none"/>
              </w:rPr>
              <w:t>本次报价为包干价，投标人报价应包含前期调研发生的费用、涉路项目工程技术评价报告编制及修改费用、验收相关费用、内外部评审费用、报告及相关资料的打印费、劳务费、差旅费、交通费、咨询服务费及税金等。</w:t>
            </w:r>
            <w:bookmarkStart w:id="3" w:name="_GoBack"/>
            <w:bookmarkEnd w:id="3"/>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BBA34CA">
            <w:pPr>
              <w:spacing w:line="600" w:lineRule="exact"/>
              <w:rPr>
                <w:rFonts w:hint="default" w:ascii="Times New Roman" w:hAnsi="Times New Roman" w:eastAsia="方正仿宋_GBK" w:cs="Times New Roman"/>
                <w:sz w:val="24"/>
                <w:szCs w:val="24"/>
                <w:u w:val="none"/>
              </w:rPr>
            </w:pPr>
          </w:p>
          <w:p w14:paraId="6B9BE6ED">
            <w:pPr>
              <w:spacing w:line="600" w:lineRule="exact"/>
              <w:rPr>
                <w:rFonts w:hint="default" w:ascii="Times New Roman" w:hAnsi="Times New Roman" w:eastAsia="方正仿宋_GBK" w:cs="Times New Roman"/>
                <w:sz w:val="24"/>
                <w:szCs w:val="24"/>
                <w:u w:val="none"/>
              </w:rPr>
            </w:pPr>
          </w:p>
          <w:p w14:paraId="34CB2DCF">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65B9EE3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AEC798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法定代表人或授权委托代理人：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20DA8786">
            <w:pPr>
              <w:pStyle w:val="13"/>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lang w:val="en-US" w:eastAsia="zh-CN"/>
              </w:rPr>
              <w:t xml:space="preserve">                                           年    月     日</w:t>
            </w:r>
          </w:p>
        </w:tc>
      </w:tr>
    </w:tbl>
    <w:p w14:paraId="4426E999">
      <w:pPr>
        <w:spacing w:line="560" w:lineRule="exact"/>
        <w:jc w:val="both"/>
        <w:rPr>
          <w:rFonts w:hint="default" w:ascii="Times New Roman" w:hAnsi="Times New Roman" w:eastAsia="方正小标宋_GBK" w:cs="Times New Roman"/>
          <w:sz w:val="32"/>
          <w:szCs w:val="32"/>
          <w:lang w:eastAsia="zh-CN"/>
        </w:rPr>
      </w:pPr>
    </w:p>
    <w:p w14:paraId="6662EBDE">
      <w:pPr>
        <w:spacing w:line="560" w:lineRule="exact"/>
        <w:jc w:val="both"/>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p>
    <w:p w14:paraId="16A6B34A">
      <w:pPr>
        <w:spacing w:line="560" w:lineRule="exact"/>
        <w:jc w:val="center"/>
        <w:rPr>
          <w:rFonts w:hint="default" w:ascii="Times New Roman" w:hAnsi="Times New Roman" w:eastAsia="方正小标宋_GBK" w:cs="Times New Roman"/>
          <w:sz w:val="32"/>
          <w:szCs w:val="32"/>
          <w:lang w:eastAsia="zh-CN"/>
        </w:rPr>
      </w:pPr>
    </w:p>
    <w:p w14:paraId="73EC9B57">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九</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技术服务方案</w:t>
      </w:r>
    </w:p>
    <w:p w14:paraId="6E7522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格式自拟</w:t>
      </w:r>
      <w:r>
        <w:rPr>
          <w:rFonts w:hint="default" w:ascii="Times New Roman" w:hAnsi="Times New Roman" w:eastAsia="方正小标宋_GBK" w:cs="Times New Roman"/>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default" w:ascii="Times New Roman" w:hAnsi="Times New Roman" w:eastAsia="方正小标宋_GBK" w:cs="Times New Roman"/>
          <w:sz w:val="32"/>
          <w:szCs w:val="32"/>
          <w:lang w:eastAsia="zh-CN"/>
        </w:rPr>
      </w:pPr>
    </w:p>
    <w:p w14:paraId="504479F4">
      <w:pPr>
        <w:spacing w:line="560" w:lineRule="exact"/>
        <w:jc w:val="center"/>
        <w:rPr>
          <w:rFonts w:hint="default" w:ascii="Times New Roman" w:hAnsi="Times New Roman" w:eastAsia="方正小标宋_GBK" w:cs="Times New Roman"/>
          <w:sz w:val="32"/>
          <w:szCs w:val="32"/>
          <w:lang w:eastAsia="zh-CN"/>
        </w:rPr>
      </w:pPr>
    </w:p>
    <w:p w14:paraId="099E360B">
      <w:pPr>
        <w:spacing w:line="560" w:lineRule="exact"/>
        <w:jc w:val="center"/>
        <w:rPr>
          <w:rFonts w:hint="default" w:ascii="Times New Roman" w:hAnsi="Times New Roman" w:eastAsia="方正小标宋_GBK" w:cs="Times New Roman"/>
          <w:sz w:val="32"/>
          <w:szCs w:val="32"/>
          <w:lang w:eastAsia="zh-CN"/>
        </w:rPr>
      </w:pPr>
    </w:p>
    <w:p w14:paraId="008BDF19">
      <w:pPr>
        <w:spacing w:line="560" w:lineRule="exact"/>
        <w:jc w:val="center"/>
        <w:rPr>
          <w:rFonts w:hint="default" w:ascii="Times New Roman" w:hAnsi="Times New Roman" w:eastAsia="方正小标宋_GBK" w:cs="Times New Roman"/>
          <w:sz w:val="32"/>
          <w:szCs w:val="32"/>
          <w:lang w:eastAsia="zh-CN"/>
        </w:rPr>
      </w:pPr>
    </w:p>
    <w:p w14:paraId="01E82487">
      <w:pPr>
        <w:spacing w:line="560" w:lineRule="exact"/>
        <w:jc w:val="center"/>
        <w:rPr>
          <w:rFonts w:hint="default" w:ascii="Times New Roman" w:hAnsi="Times New Roman" w:eastAsia="方正小标宋_GBK" w:cs="Times New Roman"/>
          <w:sz w:val="32"/>
          <w:szCs w:val="32"/>
          <w:lang w:eastAsia="zh-CN"/>
        </w:rPr>
      </w:pPr>
    </w:p>
    <w:p w14:paraId="58B1A239">
      <w:pPr>
        <w:spacing w:line="560" w:lineRule="exact"/>
        <w:jc w:val="center"/>
        <w:rPr>
          <w:rFonts w:hint="default" w:ascii="Times New Roman" w:hAnsi="Times New Roman" w:eastAsia="方正小标宋_GBK" w:cs="Times New Roman"/>
          <w:sz w:val="32"/>
          <w:szCs w:val="32"/>
          <w:lang w:eastAsia="zh-CN"/>
        </w:rPr>
      </w:pPr>
    </w:p>
    <w:p w14:paraId="527BC8B4">
      <w:pPr>
        <w:spacing w:line="560" w:lineRule="exact"/>
        <w:jc w:val="center"/>
        <w:rPr>
          <w:rFonts w:hint="default" w:ascii="Times New Roman" w:hAnsi="Times New Roman" w:eastAsia="方正小标宋_GBK" w:cs="Times New Roman"/>
          <w:sz w:val="32"/>
          <w:szCs w:val="32"/>
          <w:lang w:eastAsia="zh-CN"/>
        </w:rPr>
      </w:pPr>
    </w:p>
    <w:p w14:paraId="10145DF4">
      <w:pPr>
        <w:spacing w:line="560" w:lineRule="exact"/>
        <w:jc w:val="center"/>
        <w:rPr>
          <w:rFonts w:hint="default" w:ascii="Times New Roman" w:hAnsi="Times New Roman" w:eastAsia="方正小标宋_GBK" w:cs="Times New Roman"/>
          <w:sz w:val="32"/>
          <w:szCs w:val="32"/>
          <w:lang w:eastAsia="zh-CN"/>
        </w:rPr>
      </w:pPr>
    </w:p>
    <w:p w14:paraId="3F51B730">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十</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其他材料</w:t>
      </w:r>
    </w:p>
    <w:p w14:paraId="0387E0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167E28-321D-490C-9CB6-97AA82F2C7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E296BB31-B079-453C-9254-957F66445175}"/>
  </w:font>
  <w:font w:name="方正仿宋_GBK">
    <w:panose1 w:val="03000509000000000000"/>
    <w:charset w:val="86"/>
    <w:family w:val="script"/>
    <w:pitch w:val="default"/>
    <w:sig w:usb0="00000001" w:usb1="080E0000" w:usb2="00000000" w:usb3="00000000" w:csb0="00040000" w:csb1="00000000"/>
    <w:embedRegular r:id="rId3" w:fontKey="{C829B83A-1D78-4B5F-ABBA-31004E8E5E5E}"/>
  </w:font>
  <w:font w:name="方正黑体_GBK">
    <w:panose1 w:val="03000509000000000000"/>
    <w:charset w:val="86"/>
    <w:family w:val="script"/>
    <w:pitch w:val="default"/>
    <w:sig w:usb0="00000001" w:usb1="080E0000" w:usb2="00000000" w:usb3="00000000" w:csb0="00040000" w:csb1="00000000"/>
    <w:embedRegular r:id="rId4" w:fontKey="{97E7C44C-DE4F-4D82-A1F8-2355D00F7C0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2C5B0"/>
    <w:multiLevelType w:val="singleLevel"/>
    <w:tmpl w:val="F542C5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3BD1015"/>
    <w:rsid w:val="05CB4499"/>
    <w:rsid w:val="064670AA"/>
    <w:rsid w:val="06672AA0"/>
    <w:rsid w:val="06DB5BE0"/>
    <w:rsid w:val="06F1200B"/>
    <w:rsid w:val="09171512"/>
    <w:rsid w:val="09D76BA1"/>
    <w:rsid w:val="0A5B0CF2"/>
    <w:rsid w:val="0B3F2B8C"/>
    <w:rsid w:val="0B4A2563"/>
    <w:rsid w:val="0BB35A1E"/>
    <w:rsid w:val="0DDF3311"/>
    <w:rsid w:val="0E4D4554"/>
    <w:rsid w:val="0E526DAF"/>
    <w:rsid w:val="0F365D6E"/>
    <w:rsid w:val="0F695952"/>
    <w:rsid w:val="0FC56C82"/>
    <w:rsid w:val="10B36DEA"/>
    <w:rsid w:val="10F44E1F"/>
    <w:rsid w:val="125C001C"/>
    <w:rsid w:val="12FD61C4"/>
    <w:rsid w:val="13394A5B"/>
    <w:rsid w:val="137678C1"/>
    <w:rsid w:val="17257E64"/>
    <w:rsid w:val="17712A16"/>
    <w:rsid w:val="18684B05"/>
    <w:rsid w:val="1B115490"/>
    <w:rsid w:val="1B147140"/>
    <w:rsid w:val="1B3C0C48"/>
    <w:rsid w:val="1B5C3A2C"/>
    <w:rsid w:val="1C4C57FF"/>
    <w:rsid w:val="1D0D1432"/>
    <w:rsid w:val="1F1B1950"/>
    <w:rsid w:val="1FE81CE3"/>
    <w:rsid w:val="2176108D"/>
    <w:rsid w:val="22407BB4"/>
    <w:rsid w:val="22947DD1"/>
    <w:rsid w:val="235214BA"/>
    <w:rsid w:val="2379720D"/>
    <w:rsid w:val="24CF3471"/>
    <w:rsid w:val="24E21A3B"/>
    <w:rsid w:val="24EF42AA"/>
    <w:rsid w:val="250D1B7D"/>
    <w:rsid w:val="269472DF"/>
    <w:rsid w:val="26B96250"/>
    <w:rsid w:val="27051AB1"/>
    <w:rsid w:val="2753038A"/>
    <w:rsid w:val="27C6245E"/>
    <w:rsid w:val="28017804"/>
    <w:rsid w:val="28BB542E"/>
    <w:rsid w:val="2A171952"/>
    <w:rsid w:val="2A3E125F"/>
    <w:rsid w:val="2B0A26D6"/>
    <w:rsid w:val="2B8236F6"/>
    <w:rsid w:val="2C9F27AC"/>
    <w:rsid w:val="2E3003D4"/>
    <w:rsid w:val="2E4C629D"/>
    <w:rsid w:val="2F1530FD"/>
    <w:rsid w:val="32196352"/>
    <w:rsid w:val="343B14B4"/>
    <w:rsid w:val="34C5219B"/>
    <w:rsid w:val="34E737A6"/>
    <w:rsid w:val="364F6FF4"/>
    <w:rsid w:val="37B03112"/>
    <w:rsid w:val="38137FB3"/>
    <w:rsid w:val="385445A7"/>
    <w:rsid w:val="3AA0762E"/>
    <w:rsid w:val="3AA342F0"/>
    <w:rsid w:val="3BF21FA9"/>
    <w:rsid w:val="3C2D74F0"/>
    <w:rsid w:val="3D0D7428"/>
    <w:rsid w:val="3F312CD5"/>
    <w:rsid w:val="41683EC9"/>
    <w:rsid w:val="42554230"/>
    <w:rsid w:val="43A00155"/>
    <w:rsid w:val="441A0C85"/>
    <w:rsid w:val="442C4360"/>
    <w:rsid w:val="45585D46"/>
    <w:rsid w:val="46CA7AF0"/>
    <w:rsid w:val="472E597E"/>
    <w:rsid w:val="47BF638D"/>
    <w:rsid w:val="49291859"/>
    <w:rsid w:val="49FC4C55"/>
    <w:rsid w:val="4B115364"/>
    <w:rsid w:val="4CDC3CCF"/>
    <w:rsid w:val="4DC62CD1"/>
    <w:rsid w:val="4E9549CC"/>
    <w:rsid w:val="4EF81DE9"/>
    <w:rsid w:val="4F2C7509"/>
    <w:rsid w:val="4F646913"/>
    <w:rsid w:val="4FB855E9"/>
    <w:rsid w:val="51387943"/>
    <w:rsid w:val="515746E4"/>
    <w:rsid w:val="515C2171"/>
    <w:rsid w:val="5402308B"/>
    <w:rsid w:val="54204E31"/>
    <w:rsid w:val="546450D5"/>
    <w:rsid w:val="55DD513F"/>
    <w:rsid w:val="5636329E"/>
    <w:rsid w:val="58DA5965"/>
    <w:rsid w:val="59111499"/>
    <w:rsid w:val="593B7E9A"/>
    <w:rsid w:val="59BB0B2F"/>
    <w:rsid w:val="59BD01D2"/>
    <w:rsid w:val="5D294035"/>
    <w:rsid w:val="5D8125EF"/>
    <w:rsid w:val="5F064B25"/>
    <w:rsid w:val="60033519"/>
    <w:rsid w:val="60E55CE7"/>
    <w:rsid w:val="615C7D8F"/>
    <w:rsid w:val="6277245D"/>
    <w:rsid w:val="63222507"/>
    <w:rsid w:val="64402C38"/>
    <w:rsid w:val="66286BD6"/>
    <w:rsid w:val="667525F9"/>
    <w:rsid w:val="66F000A8"/>
    <w:rsid w:val="673A0031"/>
    <w:rsid w:val="67D85DD9"/>
    <w:rsid w:val="68B0030F"/>
    <w:rsid w:val="69072E4E"/>
    <w:rsid w:val="69540E1C"/>
    <w:rsid w:val="6B614BC3"/>
    <w:rsid w:val="6BE10166"/>
    <w:rsid w:val="6C391E4E"/>
    <w:rsid w:val="6CAB65A7"/>
    <w:rsid w:val="6CCA46B3"/>
    <w:rsid w:val="6CDA71FF"/>
    <w:rsid w:val="6D736E55"/>
    <w:rsid w:val="71CD5796"/>
    <w:rsid w:val="7236653E"/>
    <w:rsid w:val="729608B2"/>
    <w:rsid w:val="729C5A44"/>
    <w:rsid w:val="737A7E7D"/>
    <w:rsid w:val="74A837EA"/>
    <w:rsid w:val="74B905B0"/>
    <w:rsid w:val="74E06F18"/>
    <w:rsid w:val="75081E81"/>
    <w:rsid w:val="75094DAF"/>
    <w:rsid w:val="757521A8"/>
    <w:rsid w:val="762D5F66"/>
    <w:rsid w:val="77701517"/>
    <w:rsid w:val="790068CB"/>
    <w:rsid w:val="7961380D"/>
    <w:rsid w:val="79702521"/>
    <w:rsid w:val="7AEA338E"/>
    <w:rsid w:val="7AFE2DD5"/>
    <w:rsid w:val="7B2E0908"/>
    <w:rsid w:val="7B693570"/>
    <w:rsid w:val="7E935CDE"/>
    <w:rsid w:val="7EA47F01"/>
    <w:rsid w:val="7F4A4CBC"/>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18</Pages>
  <Words>1114</Words>
  <Characters>1149</Characters>
  <Lines>21</Lines>
  <Paragraphs>6</Paragraphs>
  <TotalTime>3</TotalTime>
  <ScaleCrop>false</ScaleCrop>
  <LinksUpToDate>false</LinksUpToDate>
  <CharactersWithSpaces>1150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cp:lastModifiedBy>
  <cp:lastPrinted>2026-07-24T08:12:00Z</cp:lastPrinted>
  <dcterms:modified xsi:type="dcterms:W3CDTF">2026-10-21T09:04:54Z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