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1778"/>
        </w:tabs>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b w:val="0"/>
          <w:bCs/>
          <w:spacing w:val="-6"/>
          <w:sz w:val="44"/>
          <w:szCs w:val="44"/>
        </w:rPr>
      </w:pPr>
      <w:r>
        <w:rPr>
          <w:rFonts w:hint="eastAsia" w:ascii="方正小标宋简体" w:hAnsi="方正小标宋简体" w:eastAsia="方正小标宋简体" w:cs="方正小标宋简体"/>
          <w:b w:val="0"/>
          <w:bCs/>
          <w:spacing w:val="-6"/>
          <w:sz w:val="44"/>
          <w:szCs w:val="44"/>
          <w:lang w:val="en-US" w:eastAsia="zh-CN"/>
        </w:rPr>
        <w:t>太白至凤县高速公路桥梁治理工程施工</w:t>
      </w:r>
      <w:r>
        <w:rPr>
          <w:rFonts w:hint="eastAsia" w:ascii="方正小标宋简体" w:hAnsi="方正小标宋简体" w:eastAsia="方正小标宋简体" w:cs="方正小标宋简体"/>
          <w:b w:val="0"/>
          <w:bCs/>
          <w:spacing w:val="-6"/>
          <w:sz w:val="44"/>
          <w:szCs w:val="44"/>
        </w:rPr>
        <w:t>招标</w:t>
      </w:r>
    </w:p>
    <w:p>
      <w:pPr>
        <w:keepNext w:val="0"/>
        <w:keepLines w:val="0"/>
        <w:pageBreakBefore w:val="0"/>
        <w:widowControl w:val="0"/>
        <w:tabs>
          <w:tab w:val="left" w:pos="1778"/>
        </w:tabs>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关键内容公示</w:t>
      </w:r>
    </w:p>
    <w:p>
      <w:pPr>
        <w:spacing w:line="360" w:lineRule="auto"/>
        <w:rPr>
          <w:rFonts w:hint="eastAsia" w:ascii="黑体" w:hAnsi="黑体" w:eastAsia="黑体" w:cs="黑体"/>
          <w:sz w:val="32"/>
          <w:szCs w:val="32"/>
        </w:rPr>
      </w:pPr>
    </w:p>
    <w:p>
      <w:pPr>
        <w:spacing w:line="360" w:lineRule="auto"/>
        <w:ind w:firstLine="640" w:firstLineChars="200"/>
        <w:rPr>
          <w:rFonts w:ascii="Times New Roman" w:hAnsi="Times New Roman" w:eastAsiaTheme="minorEastAsia"/>
          <w:sz w:val="24"/>
        </w:rPr>
      </w:pPr>
      <w:r>
        <w:rPr>
          <w:rFonts w:hint="eastAsia" w:ascii="黑体" w:hAnsi="黑体" w:eastAsia="黑体" w:cs="黑体"/>
          <w:sz w:val="32"/>
          <w:szCs w:val="32"/>
        </w:rPr>
        <w:t>一、项目概况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_GB2312"/>
          <w:sz w:val="32"/>
          <w:szCs w:val="32"/>
          <w:lang w:val="en-US" w:eastAsia="zh-CN"/>
        </w:rPr>
      </w:pPr>
      <w:r>
        <w:rPr>
          <w:rFonts w:hint="eastAsia" w:ascii="仿宋_GB2312" w:hAnsi="仿宋_GB2312" w:eastAsia="仿宋_GB2312" w:cs="仿宋_GB2312"/>
          <w:snapToGrid/>
          <w:color w:val="auto"/>
          <w:kern w:val="2"/>
          <w:sz w:val="32"/>
          <w:szCs w:val="32"/>
          <w:highlight w:val="none"/>
          <w:lang w:val="en-US" w:eastAsia="zh-CN"/>
        </w:rPr>
        <w:t>按照交通运输部《关于进一步提升公路防灾抗灾能力的指导意见》（交公路发〔2024〕76 号）、《进一步提升高速公路防灾抗灾能力设计回溯工作方案》（交办公路〔2024〕41 号），陕西省交通运输厅《全省在役干线公路涉河桥梁隐患排查治理专项工作方案》，建设管理公司</w:t>
      </w:r>
      <w:r>
        <w:rPr>
          <w:rFonts w:hint="default" w:ascii="仿宋_GB2312" w:hAnsi="仿宋_GB2312" w:eastAsia="仿宋_GB2312" w:cs="仿宋_GB2312"/>
          <w:snapToGrid/>
          <w:color w:val="auto"/>
          <w:kern w:val="2"/>
          <w:sz w:val="32"/>
          <w:szCs w:val="32"/>
          <w:highlight w:val="none"/>
          <w:lang w:val="en-US" w:eastAsia="zh-CN"/>
        </w:rPr>
        <w:t>《关于建设项目隐患排查整治工作情况的通报》（陕交控建设发〔2024〕38号）</w:t>
      </w:r>
      <w:r>
        <w:rPr>
          <w:rFonts w:hint="eastAsia" w:ascii="仿宋_GB2312" w:hAnsi="仿宋_GB2312" w:eastAsia="仿宋_GB2312" w:cs="仿宋_GB2312"/>
          <w:snapToGrid/>
          <w:color w:val="auto"/>
          <w:kern w:val="2"/>
          <w:sz w:val="32"/>
          <w:szCs w:val="32"/>
          <w:highlight w:val="none"/>
          <w:lang w:val="en-US" w:eastAsia="zh-CN"/>
        </w:rPr>
        <w:t>等文件要求，太凤管理处组织第三方检测单位对太白至凤县高速公路（以下简称“本项目”）全线桥梁标高进行了检测，并委托原设计单位结合设计回溯和沿线河流水文调查情况，对本项目全线桥梁进行下部结构安全性验算及桥梁抗洪适应性评价，本项目（K33+808～K77+091）共有2座桥梁的桥墩及基础需要进行加固治理，预算973万元，各桥梁概况如下：</w:t>
      </w:r>
    </w:p>
    <w:tbl>
      <w:tblPr>
        <w:tblStyle w:val="11"/>
        <w:tblW w:w="9271"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32"/>
        <w:gridCol w:w="1982"/>
        <w:gridCol w:w="2511"/>
        <w:gridCol w:w="2428"/>
        <w:gridCol w:w="1518"/>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89" w:hRule="atLeast"/>
        </w:trPr>
        <w:tc>
          <w:tcPr>
            <w:tcW w:w="832" w:type="dxa"/>
            <w:tcBorders>
              <w:tl2br w:val="nil"/>
              <w:tr2bl w:val="nil"/>
            </w:tcBorders>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序号</w:t>
            </w:r>
          </w:p>
        </w:tc>
        <w:tc>
          <w:tcPr>
            <w:tcW w:w="1982" w:type="dxa"/>
            <w:tcBorders>
              <w:tl2br w:val="nil"/>
              <w:tr2bl w:val="nil"/>
            </w:tcBorders>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桥名</w:t>
            </w:r>
          </w:p>
        </w:tc>
        <w:tc>
          <w:tcPr>
            <w:tcW w:w="2511" w:type="dxa"/>
            <w:tcBorders>
              <w:tl2br w:val="nil"/>
              <w:tr2bl w:val="nil"/>
            </w:tcBorders>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孔数x孔径（m）</w:t>
            </w:r>
          </w:p>
        </w:tc>
        <w:tc>
          <w:tcPr>
            <w:tcW w:w="2428" w:type="dxa"/>
            <w:tcBorders>
              <w:tl2br w:val="nil"/>
              <w:tr2bl w:val="nil"/>
            </w:tcBorders>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上部结构</w:t>
            </w:r>
          </w:p>
        </w:tc>
        <w:tc>
          <w:tcPr>
            <w:tcW w:w="1518" w:type="dxa"/>
            <w:tcBorders>
              <w:tl2br w:val="nil"/>
              <w:tr2bl w:val="nil"/>
            </w:tcBorders>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下部结构</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24" w:hRule="atLeast"/>
        </w:trPr>
        <w:tc>
          <w:tcPr>
            <w:tcW w:w="832" w:type="dxa"/>
            <w:tcBorders>
              <w:tl2br w:val="nil"/>
              <w:tr2bl w:val="nil"/>
            </w:tcBorders>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1</w:t>
            </w:r>
          </w:p>
        </w:tc>
        <w:tc>
          <w:tcPr>
            <w:tcW w:w="1982" w:type="dxa"/>
            <w:tcBorders>
              <w:tl2br w:val="nil"/>
              <w:tr2bl w:val="nil"/>
            </w:tcBorders>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嘉陵江大桥</w:t>
            </w:r>
          </w:p>
        </w:tc>
        <w:tc>
          <w:tcPr>
            <w:tcW w:w="2511" w:type="dxa"/>
            <w:tcBorders>
              <w:tl2br w:val="nil"/>
              <w:tr2bl w:val="nil"/>
            </w:tcBorders>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8×30+6×40+3×30</w:t>
            </w:r>
          </w:p>
        </w:tc>
        <w:tc>
          <w:tcPr>
            <w:tcW w:w="2428" w:type="dxa"/>
            <w:tcBorders>
              <w:tl2br w:val="nil"/>
              <w:tr2bl w:val="nil"/>
            </w:tcBorders>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预应力混凝土箱梁</w:t>
            </w:r>
          </w:p>
        </w:tc>
        <w:tc>
          <w:tcPr>
            <w:tcW w:w="1518" w:type="dxa"/>
            <w:tcBorders>
              <w:tl2br w:val="nil"/>
              <w:tr2bl w:val="nil"/>
            </w:tcBorders>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桩柱式墩</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24" w:hRule="atLeast"/>
        </w:trPr>
        <w:tc>
          <w:tcPr>
            <w:tcW w:w="832" w:type="dxa"/>
            <w:tcBorders>
              <w:tl2br w:val="nil"/>
              <w:tr2bl w:val="nil"/>
            </w:tcBorders>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2</w:t>
            </w:r>
          </w:p>
        </w:tc>
        <w:tc>
          <w:tcPr>
            <w:tcW w:w="1982" w:type="dxa"/>
            <w:tcBorders>
              <w:tl2br w:val="nil"/>
              <w:tr2bl w:val="nil"/>
            </w:tcBorders>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马鞍山大桥</w:t>
            </w:r>
          </w:p>
        </w:tc>
        <w:tc>
          <w:tcPr>
            <w:tcW w:w="2511" w:type="dxa"/>
            <w:tcBorders>
              <w:tl2br w:val="nil"/>
              <w:tr2bl w:val="nil"/>
            </w:tcBorders>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22×20</w:t>
            </w:r>
          </w:p>
        </w:tc>
        <w:tc>
          <w:tcPr>
            <w:tcW w:w="2428" w:type="dxa"/>
            <w:tcBorders>
              <w:tl2br w:val="nil"/>
              <w:tr2bl w:val="nil"/>
            </w:tcBorders>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预应力混凝土箱梁</w:t>
            </w:r>
          </w:p>
        </w:tc>
        <w:tc>
          <w:tcPr>
            <w:tcW w:w="1518" w:type="dxa"/>
            <w:tcBorders>
              <w:tl2br w:val="nil"/>
              <w:tr2bl w:val="nil"/>
            </w:tcBorders>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桩柱式墩</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napToGrid/>
          <w:color w:val="auto"/>
          <w:kern w:val="2"/>
          <w:sz w:val="32"/>
          <w:szCs w:val="32"/>
          <w:highlight w:val="none"/>
          <w:lang w:val="en-US" w:eastAsia="zh-CN"/>
        </w:rPr>
      </w:pPr>
      <w:r>
        <w:rPr>
          <w:rFonts w:hint="eastAsia" w:ascii="仿宋_GB2312" w:hAnsi="仿宋_GB2312" w:eastAsia="仿宋_GB2312" w:cs="仿宋_GB2312"/>
          <w:snapToGrid/>
          <w:color w:val="auto"/>
          <w:kern w:val="2"/>
          <w:sz w:val="32"/>
          <w:szCs w:val="32"/>
          <w:highlight w:val="none"/>
          <w:lang w:val="en-US" w:eastAsia="zh-CN"/>
        </w:rPr>
        <w:t>本</w:t>
      </w:r>
      <w:r>
        <w:rPr>
          <w:rFonts w:hint="eastAsia" w:ascii="仿宋_GB2312" w:hAnsi="仿宋_GB2312" w:eastAsia="仿宋_GB2312" w:cs="仿宋_GB2312"/>
          <w:snapToGrid/>
          <w:color w:val="auto"/>
          <w:kern w:val="2"/>
          <w:sz w:val="32"/>
          <w:szCs w:val="32"/>
          <w:highlight w:val="none"/>
          <w:lang w:val="en-US" w:eastAsia="en-US"/>
        </w:rPr>
        <w:t>项目设置1个施工标段,</w:t>
      </w:r>
      <w:r>
        <w:rPr>
          <w:rFonts w:hint="default" w:ascii="仿宋_GB2312" w:hAnsi="仿宋_GB2312" w:eastAsia="仿宋_GB2312" w:cs="仿宋_GB2312"/>
          <w:snapToGrid/>
          <w:color w:val="auto"/>
          <w:kern w:val="2"/>
          <w:sz w:val="32"/>
          <w:szCs w:val="32"/>
          <w:highlight w:val="none"/>
          <w:lang w:val="en-US" w:eastAsia="zh-CN"/>
        </w:rPr>
        <w:t>计划工期2个月，缺陷责任期12个月。实际开工时间、工期以发包人要求为准。主要工程内容如下</w:t>
      </w:r>
      <w:r>
        <w:rPr>
          <w:rFonts w:hint="eastAsia" w:ascii="仿宋_GB2312" w:hAnsi="仿宋_GB2312" w:eastAsia="仿宋_GB2312" w:cs="仿宋_GB2312"/>
          <w:snapToGrid/>
          <w:color w:val="auto"/>
          <w:kern w:val="2"/>
          <w:sz w:val="32"/>
          <w:szCs w:val="32"/>
          <w:highlight w:val="none"/>
          <w:lang w:val="en-US" w:eastAsia="zh-CN"/>
        </w:rPr>
        <w:t xml:space="preserve"> </w:t>
      </w:r>
      <w:r>
        <w:rPr>
          <w:rFonts w:hint="default" w:ascii="仿宋_GB2312" w:hAnsi="仿宋_GB2312" w:eastAsia="仿宋_GB2312" w:cs="仿宋_GB2312"/>
          <w:snapToGrid/>
          <w:color w:val="auto"/>
          <w:kern w:val="2"/>
          <w:sz w:val="32"/>
          <w:szCs w:val="32"/>
          <w:highlight w:val="none"/>
          <w:lang w:val="en-US" w:eastAsia="zh-CN"/>
        </w:rPr>
        <w:t>：</w:t>
      </w:r>
    </w:p>
    <w:tbl>
      <w:tblPr>
        <w:tblStyle w:val="12"/>
        <w:tblW w:w="9184"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2288"/>
        <w:gridCol w:w="4102"/>
        <w:gridCol w:w="14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1" w:hRule="atLeast"/>
        </w:trPr>
        <w:tc>
          <w:tcPr>
            <w:tcW w:w="1366" w:type="dxa"/>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b/>
                <w:bCs/>
                <w:snapToGrid w:val="0"/>
                <w:color w:val="auto"/>
                <w:spacing w:val="5"/>
                <w:kern w:val="0"/>
                <w:sz w:val="24"/>
                <w:szCs w:val="24"/>
                <w:highlight w:val="none"/>
                <w:vertAlign w:val="baseline"/>
                <w:lang w:val="en-US" w:eastAsia="zh-CN" w:bidi="ar-SA"/>
              </w:rPr>
            </w:pPr>
            <w:r>
              <w:rPr>
                <w:rFonts w:hint="eastAsia" w:ascii="仿宋_GB2312" w:hAnsi="仿宋_GB2312" w:eastAsia="仿宋_GB2312" w:cs="仿宋_GB2312"/>
                <w:b/>
                <w:bCs/>
                <w:color w:val="auto"/>
                <w:spacing w:val="5"/>
                <w:sz w:val="24"/>
                <w:szCs w:val="24"/>
                <w:highlight w:val="none"/>
                <w:vertAlign w:val="baseline"/>
                <w:lang w:val="en-US" w:eastAsia="zh-CN"/>
              </w:rPr>
              <w:t>标段</w:t>
            </w:r>
          </w:p>
        </w:tc>
        <w:tc>
          <w:tcPr>
            <w:tcW w:w="2288" w:type="dxa"/>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b/>
                <w:bCs/>
                <w:snapToGrid w:val="0"/>
                <w:color w:val="auto"/>
                <w:spacing w:val="5"/>
                <w:kern w:val="0"/>
                <w:sz w:val="24"/>
                <w:szCs w:val="24"/>
                <w:highlight w:val="none"/>
                <w:vertAlign w:val="baseline"/>
                <w:lang w:val="en-US" w:eastAsia="zh-CN" w:bidi="ar-SA"/>
              </w:rPr>
            </w:pPr>
            <w:r>
              <w:rPr>
                <w:rFonts w:hint="eastAsia" w:ascii="仿宋_GB2312" w:hAnsi="仿宋_GB2312" w:eastAsia="仿宋_GB2312" w:cs="仿宋_GB2312"/>
                <w:b/>
                <w:bCs/>
                <w:color w:val="auto"/>
                <w:spacing w:val="5"/>
                <w:sz w:val="24"/>
                <w:szCs w:val="24"/>
                <w:highlight w:val="none"/>
                <w:vertAlign w:val="baseline"/>
                <w:lang w:val="en-US" w:eastAsia="zh-CN"/>
              </w:rPr>
              <w:t>工程范围</w:t>
            </w:r>
          </w:p>
        </w:tc>
        <w:tc>
          <w:tcPr>
            <w:tcW w:w="4102" w:type="dxa"/>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b/>
                <w:bCs/>
                <w:snapToGrid w:val="0"/>
                <w:color w:val="auto"/>
                <w:spacing w:val="5"/>
                <w:kern w:val="0"/>
                <w:sz w:val="24"/>
                <w:szCs w:val="24"/>
                <w:highlight w:val="none"/>
                <w:vertAlign w:val="baseline"/>
                <w:lang w:val="en-US" w:eastAsia="zh-CN" w:bidi="ar-SA"/>
              </w:rPr>
            </w:pPr>
            <w:r>
              <w:rPr>
                <w:rFonts w:hint="eastAsia" w:ascii="仿宋_GB2312" w:hAnsi="仿宋_GB2312" w:eastAsia="仿宋_GB2312" w:cs="仿宋_GB2312"/>
                <w:b/>
                <w:bCs/>
                <w:color w:val="auto"/>
                <w:spacing w:val="5"/>
                <w:sz w:val="24"/>
                <w:szCs w:val="24"/>
                <w:highlight w:val="none"/>
                <w:vertAlign w:val="baseline"/>
                <w:lang w:val="en-US" w:eastAsia="zh-CN"/>
              </w:rPr>
              <w:t>工程内容</w:t>
            </w:r>
          </w:p>
        </w:tc>
        <w:tc>
          <w:tcPr>
            <w:tcW w:w="1428" w:type="dxa"/>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b/>
                <w:bCs/>
                <w:color w:val="auto"/>
                <w:spacing w:val="5"/>
                <w:sz w:val="24"/>
                <w:szCs w:val="24"/>
                <w:highlight w:val="none"/>
                <w:vertAlign w:val="baseline"/>
                <w:lang w:val="en-US" w:eastAsia="zh-CN"/>
              </w:rPr>
            </w:pPr>
            <w:r>
              <w:rPr>
                <w:rFonts w:hint="eastAsia" w:ascii="仿宋_GB2312" w:hAnsi="仿宋_GB2312" w:eastAsia="仿宋_GB2312" w:cs="仿宋_GB2312"/>
                <w:b/>
                <w:bCs/>
                <w:color w:val="auto"/>
                <w:spacing w:val="5"/>
                <w:sz w:val="24"/>
                <w:szCs w:val="24"/>
                <w:highlight w:val="none"/>
                <w:vertAlign w:val="baseline"/>
                <w:lang w:val="en-US" w:eastAsia="zh-CN"/>
              </w:rPr>
              <w:t>计划工期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366" w:type="dxa"/>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TF-SG</w:t>
            </w:r>
          </w:p>
        </w:tc>
        <w:tc>
          <w:tcPr>
            <w:tcW w:w="2288" w:type="dxa"/>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太白至凤县高速公路桥梁治理施工</w:t>
            </w:r>
          </w:p>
        </w:tc>
        <w:tc>
          <w:tcPr>
            <w:tcW w:w="4102" w:type="dxa"/>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 xml:space="preserve">主要包括桥梁下部结构治理：桩基、承台、潜坝、挡墙等工程施工及缺陷责任期修复。 </w:t>
            </w:r>
          </w:p>
        </w:tc>
        <w:tc>
          <w:tcPr>
            <w:tcW w:w="1428" w:type="dxa"/>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2个月</w:t>
            </w:r>
          </w:p>
        </w:tc>
      </w:tr>
    </w:tbl>
    <w:p>
      <w:pPr>
        <w:spacing w:line="360" w:lineRule="auto"/>
        <w:ind w:firstLine="640" w:firstLineChars="200"/>
        <w:rPr>
          <w:rFonts w:hint="eastAsia" w:ascii="黑体" w:hAnsi="黑体" w:eastAsia="黑体" w:cs="黑体"/>
          <w:sz w:val="32"/>
          <w:szCs w:val="32"/>
        </w:rPr>
      </w:pPr>
      <w:r>
        <w:rPr>
          <w:rFonts w:hint="eastAsia" w:ascii="黑体" w:hAnsi="黑体" w:eastAsia="黑体" w:cs="黑体"/>
          <w:sz w:val="32"/>
          <w:szCs w:val="32"/>
        </w:rPr>
        <w:t>二、投标人资格要求</w:t>
      </w:r>
    </w:p>
    <w:p>
      <w:pPr>
        <w:spacing w:line="360" w:lineRule="auto"/>
        <w:ind w:firstLine="643" w:firstLineChars="200"/>
        <w:contextualSpacing/>
        <w:rPr>
          <w:rFonts w:hint="eastAsia" w:ascii="仿宋" w:hAnsi="仿宋" w:eastAsia="仿宋" w:cs="仿宋_GB2312"/>
          <w:b/>
          <w:bCs/>
          <w:sz w:val="32"/>
          <w:szCs w:val="32"/>
        </w:rPr>
      </w:pPr>
      <w:r>
        <w:rPr>
          <w:rFonts w:hint="eastAsia" w:ascii="仿宋" w:hAnsi="仿宋" w:eastAsia="仿宋" w:cs="仿宋_GB2312"/>
          <w:b/>
          <w:bCs/>
          <w:sz w:val="32"/>
          <w:szCs w:val="32"/>
        </w:rPr>
        <w:t>1.资格审查条件</w:t>
      </w:r>
    </w:p>
    <w:p>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firstLine="640" w:firstLineChars="200"/>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本次招标投标人须具备独立法人资格、有效的营业执照，且资质、业绩、人员、设备、资金等方面具有承担本项目施工的能力，具体要求如下：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en-US"/>
        </w:rPr>
      </w:pPr>
      <w:r>
        <w:rPr>
          <w:rFonts w:hint="eastAsia" w:ascii="仿宋_GB2312" w:hAnsi="仿宋_GB2312" w:eastAsia="仿宋_GB2312" w:cs="仿宋_GB2312"/>
          <w:snapToGrid/>
          <w:color w:val="auto"/>
          <w:kern w:val="2"/>
          <w:sz w:val="32"/>
          <w:szCs w:val="32"/>
          <w:highlight w:val="none"/>
          <w:lang w:val="en-US" w:eastAsia="zh-CN"/>
        </w:rPr>
        <w:t>（1）</w:t>
      </w:r>
      <w:r>
        <w:rPr>
          <w:rFonts w:hint="eastAsia" w:ascii="仿宋_GB2312" w:hAnsi="仿宋_GB2312" w:eastAsia="仿宋_GB2312" w:cs="仿宋_GB2312"/>
          <w:snapToGrid/>
          <w:color w:val="auto"/>
          <w:kern w:val="2"/>
          <w:sz w:val="32"/>
          <w:szCs w:val="32"/>
          <w:highlight w:val="none"/>
          <w:lang w:val="en-US" w:eastAsia="en-US"/>
        </w:rPr>
        <w:t>资质最低要求</w:t>
      </w:r>
    </w:p>
    <w:p>
      <w:pPr>
        <w:spacing w:line="17" w:lineRule="exact"/>
        <w:rPr>
          <w:color w:val="auto"/>
          <w:highlight w:val="none"/>
        </w:rPr>
      </w:pPr>
    </w:p>
    <w:tbl>
      <w:tblPr>
        <w:tblStyle w:val="17"/>
        <w:tblW w:w="9182"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8"/>
        <w:gridCol w:w="78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74" w:hRule="atLeast"/>
          <w:jc w:val="center"/>
        </w:trPr>
        <w:tc>
          <w:tcPr>
            <w:tcW w:w="1318" w:type="dxa"/>
            <w:vAlign w:val="top"/>
          </w:tcPr>
          <w:p>
            <w:pPr>
              <w:spacing w:before="198" w:line="225" w:lineRule="auto"/>
              <w:ind w:left="507"/>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pacing w:val="5"/>
                <w:sz w:val="24"/>
                <w:szCs w:val="24"/>
                <w:highlight w:val="none"/>
                <w:lang w:val="en-US" w:eastAsia="zh-CN"/>
              </w:rPr>
              <w:t>项目</w:t>
            </w:r>
          </w:p>
        </w:tc>
        <w:tc>
          <w:tcPr>
            <w:tcW w:w="7864" w:type="dxa"/>
            <w:vAlign w:val="top"/>
          </w:tcPr>
          <w:p>
            <w:pPr>
              <w:spacing w:before="198" w:line="225" w:lineRule="auto"/>
              <w:ind w:left="3151"/>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pacing w:val="5"/>
                <w:sz w:val="24"/>
                <w:szCs w:val="24"/>
                <w:highlight w:val="none"/>
              </w:rPr>
              <w:t>资质要求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99" w:hRule="atLeast"/>
          <w:jc w:val="center"/>
        </w:trPr>
        <w:tc>
          <w:tcPr>
            <w:tcW w:w="1318" w:type="dxa"/>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TF-SG</w:t>
            </w:r>
          </w:p>
        </w:tc>
        <w:tc>
          <w:tcPr>
            <w:tcW w:w="7864" w:type="dxa"/>
            <w:tcMar>
              <w:top w:w="0" w:type="dxa"/>
              <w:left w:w="113" w:type="dxa"/>
              <w:bottom w:w="0" w:type="dxa"/>
              <w:right w:w="113" w:type="dxa"/>
            </w:tcMar>
            <w:vAlign w:val="center"/>
          </w:tcPr>
          <w:p>
            <w:pPr>
              <w:pStyle w:val="6"/>
              <w:keepNext w:val="0"/>
              <w:keepLines w:val="0"/>
              <w:pageBreakBefore w:val="0"/>
              <w:widowControl/>
              <w:kinsoku w:val="0"/>
              <w:wordWrap/>
              <w:overflowPunct/>
              <w:topLinePunct w:val="0"/>
              <w:autoSpaceDE w:val="0"/>
              <w:autoSpaceDN w:val="0"/>
              <w:bidi w:val="0"/>
              <w:adjustRightInd/>
              <w:snapToGrid/>
              <w:spacing w:line="240" w:lineRule="auto"/>
              <w:ind w:right="0" w:rightChars="0"/>
              <w:jc w:val="left"/>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1.具有独立法人资格；</w:t>
            </w:r>
          </w:p>
          <w:p>
            <w:pPr>
              <w:pStyle w:val="6"/>
              <w:keepNext w:val="0"/>
              <w:keepLines w:val="0"/>
              <w:pageBreakBefore w:val="0"/>
              <w:widowControl/>
              <w:kinsoku w:val="0"/>
              <w:wordWrap/>
              <w:overflowPunct/>
              <w:topLinePunct w:val="0"/>
              <w:autoSpaceDE w:val="0"/>
              <w:autoSpaceDN w:val="0"/>
              <w:bidi w:val="0"/>
              <w:adjustRightInd/>
              <w:snapToGrid/>
              <w:spacing w:line="240" w:lineRule="auto"/>
              <w:ind w:right="0" w:rightChars="0"/>
              <w:jc w:val="left"/>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2.具备有效的企业安全生产许可证；</w:t>
            </w:r>
          </w:p>
          <w:p>
            <w:pPr>
              <w:pStyle w:val="6"/>
              <w:keepNext w:val="0"/>
              <w:keepLines w:val="0"/>
              <w:pageBreakBefore w:val="0"/>
              <w:widowControl/>
              <w:kinsoku w:val="0"/>
              <w:wordWrap/>
              <w:overflowPunct/>
              <w:topLinePunct w:val="0"/>
              <w:autoSpaceDE w:val="0"/>
              <w:autoSpaceDN w:val="0"/>
              <w:bidi w:val="0"/>
              <w:adjustRightInd/>
              <w:snapToGrid/>
              <w:spacing w:line="240" w:lineRule="auto"/>
              <w:ind w:right="0" w:rightChars="0"/>
              <w:jc w:val="left"/>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3.具备公路工程施工总承包一级或以上资质</w:t>
            </w:r>
          </w:p>
          <w:p>
            <w:pPr>
              <w:pStyle w:val="6"/>
              <w:keepNext w:val="0"/>
              <w:keepLines w:val="0"/>
              <w:pageBreakBefore w:val="0"/>
              <w:widowControl/>
              <w:kinsoku w:val="0"/>
              <w:wordWrap/>
              <w:overflowPunct/>
              <w:topLinePunct w:val="0"/>
              <w:autoSpaceDE w:val="0"/>
              <w:autoSpaceDN w:val="0"/>
              <w:bidi w:val="0"/>
              <w:adjustRightInd/>
              <w:snapToGrid/>
              <w:spacing w:line="240" w:lineRule="auto"/>
              <w:ind w:right="0" w:rightChars="0"/>
              <w:jc w:val="left"/>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4.具备桥梁工程专业承包一级资质；</w:t>
            </w:r>
          </w:p>
          <w:p>
            <w:pPr>
              <w:pStyle w:val="6"/>
              <w:keepNext w:val="0"/>
              <w:keepLines w:val="0"/>
              <w:pageBreakBefore w:val="0"/>
              <w:widowControl/>
              <w:kinsoku w:val="0"/>
              <w:wordWrap/>
              <w:overflowPunct/>
              <w:topLinePunct w:val="0"/>
              <w:autoSpaceDE w:val="0"/>
              <w:autoSpaceDN w:val="0"/>
              <w:bidi w:val="0"/>
              <w:adjustRightInd/>
              <w:snapToGrid/>
              <w:spacing w:line="240" w:lineRule="auto"/>
              <w:ind w:right="0" w:rightChars="0"/>
              <w:jc w:val="left"/>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5.企业法定代表人或资质证书中列明的企业负责人持有效的省级或以上交通运输主管部门颁发的A类安全生产考核合格证。</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zh-CN"/>
        </w:rPr>
      </w:pPr>
      <w:r>
        <w:rPr>
          <w:rFonts w:hint="eastAsia" w:ascii="仿宋_GB2312" w:hAnsi="仿宋_GB2312" w:eastAsia="仿宋_GB2312" w:cs="仿宋_GB2312"/>
          <w:snapToGrid/>
          <w:color w:val="auto"/>
          <w:kern w:val="2"/>
          <w:sz w:val="32"/>
          <w:szCs w:val="32"/>
          <w:highlight w:val="none"/>
          <w:lang w:val="en-US" w:eastAsia="zh-CN"/>
        </w:rPr>
        <w:t>（2）财务最低要求</w:t>
      </w:r>
    </w:p>
    <w:tbl>
      <w:tblPr>
        <w:tblStyle w:val="17"/>
        <w:tblW w:w="9154"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8"/>
        <w:gridCol w:w="786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1" w:hRule="atLeast"/>
          <w:jc w:val="center"/>
        </w:trPr>
        <w:tc>
          <w:tcPr>
            <w:tcW w:w="1288"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bCs/>
                <w:color w:val="auto"/>
                <w:spacing w:val="5"/>
                <w:sz w:val="24"/>
                <w:szCs w:val="24"/>
                <w:highlight w:val="none"/>
              </w:rPr>
            </w:pPr>
            <w:r>
              <w:rPr>
                <w:rFonts w:hint="eastAsia" w:ascii="仿宋_GB2312" w:hAnsi="仿宋_GB2312" w:eastAsia="仿宋_GB2312" w:cs="仿宋_GB2312"/>
                <w:b/>
                <w:bCs/>
                <w:color w:val="auto"/>
                <w:spacing w:val="5"/>
                <w:sz w:val="24"/>
                <w:szCs w:val="24"/>
                <w:highlight w:val="none"/>
              </w:rPr>
              <w:t>标段</w:t>
            </w:r>
          </w:p>
        </w:tc>
        <w:tc>
          <w:tcPr>
            <w:tcW w:w="7866" w:type="dxa"/>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bCs/>
                <w:color w:val="auto"/>
                <w:spacing w:val="5"/>
                <w:sz w:val="24"/>
                <w:szCs w:val="24"/>
                <w:highlight w:val="none"/>
              </w:rPr>
            </w:pPr>
            <w:r>
              <w:rPr>
                <w:rFonts w:hint="eastAsia" w:ascii="仿宋_GB2312" w:hAnsi="仿宋_GB2312" w:eastAsia="仿宋_GB2312" w:cs="仿宋_GB2312"/>
                <w:b/>
                <w:bCs/>
                <w:color w:val="auto"/>
                <w:spacing w:val="5"/>
                <w:sz w:val="24"/>
                <w:szCs w:val="24"/>
                <w:highlight w:val="none"/>
                <w:lang w:val="en-US" w:eastAsia="zh-CN"/>
              </w:rPr>
              <w:t>财务</w:t>
            </w:r>
            <w:r>
              <w:rPr>
                <w:rFonts w:hint="eastAsia" w:ascii="仿宋_GB2312" w:hAnsi="仿宋_GB2312" w:eastAsia="仿宋_GB2312" w:cs="仿宋_GB2312"/>
                <w:b/>
                <w:bCs/>
                <w:color w:val="auto"/>
                <w:spacing w:val="5"/>
                <w:sz w:val="24"/>
                <w:szCs w:val="24"/>
                <w:highlight w:val="none"/>
              </w:rPr>
              <w:t>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14" w:hRule="atLeast"/>
          <w:jc w:val="center"/>
        </w:trPr>
        <w:tc>
          <w:tcPr>
            <w:tcW w:w="1288" w:type="dxa"/>
            <w:vAlign w:val="center"/>
          </w:tcPr>
          <w:p>
            <w:pPr>
              <w:pStyle w:val="6"/>
              <w:keepNext w:val="0"/>
              <w:keepLines w:val="0"/>
              <w:pageBreakBefore w:val="0"/>
              <w:widowControl/>
              <w:kinsoku w:val="0"/>
              <w:wordWrap/>
              <w:overflowPunct/>
              <w:topLinePunct w:val="0"/>
              <w:autoSpaceDE w:val="0"/>
              <w:autoSpaceDN w:val="0"/>
              <w:bidi w:val="0"/>
              <w:adjustRightInd/>
              <w:snapToGrid/>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TF-SG</w:t>
            </w:r>
          </w:p>
        </w:tc>
        <w:tc>
          <w:tcPr>
            <w:tcW w:w="7866" w:type="dxa"/>
            <w:tcBorders>
              <w:right w:val="single" w:color="auto" w:sz="4" w:space="0"/>
            </w:tcBorders>
            <w:tcMar>
              <w:top w:w="0" w:type="dxa"/>
              <w:left w:w="113" w:type="dxa"/>
              <w:bottom w:w="0" w:type="dxa"/>
              <w:right w:w="113" w:type="dxa"/>
            </w:tcMar>
            <w:vAlign w:val="center"/>
          </w:tcPr>
          <w:p>
            <w:pPr>
              <w:pStyle w:val="6"/>
              <w:keepNext w:val="0"/>
              <w:keepLines w:val="0"/>
              <w:pageBreakBefore w:val="0"/>
              <w:widowControl/>
              <w:kinsoku/>
              <w:wordWrap/>
              <w:overflowPunct/>
              <w:topLinePunct/>
              <w:autoSpaceDE w:val="0"/>
              <w:autoSpaceDN w:val="0"/>
              <w:bidi w:val="0"/>
              <w:adjustRightInd/>
              <w:snapToGrid/>
              <w:spacing w:line="240" w:lineRule="auto"/>
              <w:ind w:right="0" w:rightChars="0"/>
              <w:jc w:val="left"/>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近三年（2023年、2024年、2025年）的平均企业资产负债率小于等于85%。</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en-US"/>
        </w:rPr>
      </w:pPr>
      <w:r>
        <w:rPr>
          <w:rFonts w:hint="eastAsia" w:ascii="仿宋_GB2312" w:hAnsi="仿宋_GB2312" w:eastAsia="仿宋_GB2312" w:cs="仿宋_GB2312"/>
          <w:snapToGrid/>
          <w:color w:val="auto"/>
          <w:kern w:val="2"/>
          <w:sz w:val="32"/>
          <w:szCs w:val="32"/>
          <w:highlight w:val="none"/>
          <w:lang w:val="en-US" w:eastAsia="zh-CN"/>
        </w:rPr>
        <w:t>（3）</w:t>
      </w:r>
      <w:r>
        <w:rPr>
          <w:rFonts w:hint="eastAsia" w:ascii="仿宋_GB2312" w:hAnsi="仿宋_GB2312" w:eastAsia="仿宋_GB2312" w:cs="仿宋_GB2312"/>
          <w:snapToGrid/>
          <w:color w:val="auto"/>
          <w:kern w:val="2"/>
          <w:sz w:val="32"/>
          <w:szCs w:val="32"/>
          <w:highlight w:val="none"/>
          <w:lang w:val="en-US" w:eastAsia="en-US"/>
        </w:rPr>
        <w:t>业绩最低要求</w:t>
      </w:r>
    </w:p>
    <w:p>
      <w:pPr>
        <w:spacing w:line="14" w:lineRule="exact"/>
        <w:rPr>
          <w:color w:val="auto"/>
          <w:highlight w:val="none"/>
        </w:rPr>
      </w:pPr>
    </w:p>
    <w:tbl>
      <w:tblPr>
        <w:tblStyle w:val="17"/>
        <w:tblW w:w="9207"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4"/>
        <w:gridCol w:w="790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45" w:hRule="atLeast"/>
          <w:jc w:val="center"/>
        </w:trPr>
        <w:tc>
          <w:tcPr>
            <w:tcW w:w="130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bCs/>
                <w:color w:val="auto"/>
                <w:spacing w:val="5"/>
                <w:sz w:val="24"/>
                <w:szCs w:val="24"/>
                <w:highlight w:val="none"/>
              </w:rPr>
            </w:pPr>
            <w:r>
              <w:rPr>
                <w:rFonts w:hint="eastAsia" w:ascii="仿宋_GB2312" w:hAnsi="仿宋_GB2312" w:eastAsia="仿宋_GB2312" w:cs="仿宋_GB2312"/>
                <w:b/>
                <w:bCs/>
                <w:color w:val="auto"/>
                <w:spacing w:val="5"/>
                <w:sz w:val="24"/>
                <w:szCs w:val="24"/>
                <w:highlight w:val="none"/>
              </w:rPr>
              <w:t>标段</w:t>
            </w:r>
          </w:p>
        </w:tc>
        <w:tc>
          <w:tcPr>
            <w:tcW w:w="7903" w:type="dxa"/>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bCs/>
                <w:color w:val="auto"/>
                <w:spacing w:val="5"/>
                <w:sz w:val="24"/>
                <w:szCs w:val="24"/>
                <w:highlight w:val="none"/>
              </w:rPr>
            </w:pPr>
            <w:r>
              <w:rPr>
                <w:rFonts w:hint="eastAsia" w:ascii="仿宋_GB2312" w:hAnsi="仿宋_GB2312" w:eastAsia="仿宋_GB2312" w:cs="仿宋_GB2312"/>
                <w:b/>
                <w:bCs/>
                <w:color w:val="auto"/>
                <w:spacing w:val="5"/>
                <w:sz w:val="24"/>
                <w:szCs w:val="24"/>
                <w:highlight w:val="none"/>
              </w:rPr>
              <w:t>业绩要求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95" w:hRule="atLeast"/>
          <w:jc w:val="center"/>
        </w:trPr>
        <w:tc>
          <w:tcPr>
            <w:tcW w:w="1304" w:type="dxa"/>
            <w:vAlign w:val="center"/>
          </w:tcPr>
          <w:p>
            <w:pPr>
              <w:pStyle w:val="6"/>
              <w:keepNext w:val="0"/>
              <w:keepLines w:val="0"/>
              <w:pageBreakBefore w:val="0"/>
              <w:widowControl/>
              <w:kinsoku w:val="0"/>
              <w:wordWrap/>
              <w:overflowPunct/>
              <w:topLinePunct w:val="0"/>
              <w:autoSpaceDE w:val="0"/>
              <w:autoSpaceDN w:val="0"/>
              <w:bidi w:val="0"/>
              <w:adjustRightInd/>
              <w:snapToGrid/>
              <w:spacing w:line="240" w:lineRule="auto"/>
              <w:ind w:right="0" w:rightChars="0"/>
              <w:jc w:val="center"/>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TF-SG</w:t>
            </w:r>
          </w:p>
        </w:tc>
        <w:tc>
          <w:tcPr>
            <w:tcW w:w="7903" w:type="dxa"/>
            <w:tcBorders>
              <w:right w:val="single" w:color="auto" w:sz="4" w:space="0"/>
            </w:tcBorders>
            <w:tcMar>
              <w:top w:w="0" w:type="dxa"/>
              <w:left w:w="113" w:type="dxa"/>
              <w:bottom w:w="0" w:type="dxa"/>
              <w:right w:w="113" w:type="dxa"/>
            </w:tcMar>
            <w:vAlign w:val="center"/>
          </w:tcPr>
          <w:p>
            <w:pPr>
              <w:pStyle w:val="6"/>
              <w:keepNext w:val="0"/>
              <w:keepLines w:val="0"/>
              <w:pageBreakBefore w:val="0"/>
              <w:widowControl/>
              <w:kinsoku w:val="0"/>
              <w:wordWrap/>
              <w:overflowPunct/>
              <w:topLinePunct w:val="0"/>
              <w:autoSpaceDE w:val="0"/>
              <w:autoSpaceDN w:val="0"/>
              <w:bidi w:val="0"/>
              <w:adjustRightInd/>
              <w:snapToGrid/>
              <w:spacing w:line="240" w:lineRule="auto"/>
              <w:ind w:right="0" w:rightChars="0"/>
              <w:jc w:val="left"/>
              <w:textAlignment w:val="baseline"/>
              <w:rPr>
                <w:rFonts w:hint="eastAsia" w:ascii="仿宋_GB2312" w:hAnsi="仿宋_GB2312" w:eastAsia="仿宋_GB2312" w:cs="仿宋_GB2312"/>
                <w:color w:val="auto"/>
                <w:spacing w:val="5"/>
                <w:sz w:val="24"/>
                <w:szCs w:val="24"/>
                <w:highlight w:val="none"/>
                <w:vertAlign w:val="baseline"/>
                <w:lang w:val="en-US" w:eastAsia="zh-CN"/>
              </w:rPr>
            </w:pPr>
            <w:r>
              <w:rPr>
                <w:rFonts w:hint="eastAsia" w:ascii="仿宋_GB2312" w:hAnsi="仿宋_GB2312" w:eastAsia="仿宋_GB2312" w:cs="仿宋_GB2312"/>
                <w:color w:val="auto"/>
                <w:spacing w:val="5"/>
                <w:sz w:val="24"/>
                <w:szCs w:val="24"/>
                <w:highlight w:val="none"/>
                <w:vertAlign w:val="baseline"/>
                <w:lang w:val="en-US" w:eastAsia="zh-CN"/>
              </w:rPr>
              <w:t>2021年1月1日至投标截止时间（以交工验收时间为准），至少完成过1个</w:t>
            </w:r>
            <w:r>
              <w:rPr>
                <w:rFonts w:hint="eastAsia" w:ascii="仿宋_GB2312" w:hAnsi="仿宋_GB2312" w:eastAsia="仿宋_GB2312" w:cs="仿宋_GB2312"/>
                <w:snapToGrid w:val="0"/>
                <w:color w:val="auto"/>
                <w:spacing w:val="7"/>
                <w:kern w:val="0"/>
                <w:sz w:val="24"/>
                <w:szCs w:val="24"/>
                <w:highlight w:val="none"/>
                <w:lang w:val="en-US" w:eastAsia="zh-CN" w:bidi="ar-SA"/>
              </w:rPr>
              <w:t>新建或改扩建高速公路（须包含桥梁工程）施工合同段业绩</w:t>
            </w:r>
            <w:r>
              <w:rPr>
                <w:rFonts w:hint="eastAsia" w:ascii="仿宋_GB2312" w:hAnsi="仿宋_GB2312" w:eastAsia="仿宋_GB2312" w:cs="仿宋_GB2312"/>
                <w:color w:val="auto"/>
                <w:spacing w:val="5"/>
                <w:sz w:val="24"/>
                <w:szCs w:val="24"/>
                <w:highlight w:val="none"/>
                <w:vertAlign w:val="baseline"/>
                <w:lang w:val="en-US" w:eastAsia="zh-CN"/>
              </w:rPr>
              <w:t>。</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en-US"/>
        </w:rPr>
      </w:pPr>
      <w:r>
        <w:rPr>
          <w:rFonts w:hint="eastAsia" w:ascii="仿宋_GB2312" w:hAnsi="仿宋_GB2312" w:eastAsia="仿宋_GB2312" w:cs="仿宋_GB2312"/>
          <w:snapToGrid/>
          <w:color w:val="auto"/>
          <w:kern w:val="2"/>
          <w:sz w:val="32"/>
          <w:szCs w:val="32"/>
          <w:highlight w:val="none"/>
          <w:lang w:val="en-US" w:eastAsia="zh-CN"/>
        </w:rPr>
        <w:t>（4）</w:t>
      </w:r>
      <w:r>
        <w:rPr>
          <w:rFonts w:hint="eastAsia" w:ascii="仿宋_GB2312" w:hAnsi="仿宋_GB2312" w:eastAsia="仿宋_GB2312" w:cs="仿宋_GB2312"/>
          <w:snapToGrid/>
          <w:color w:val="auto"/>
          <w:kern w:val="2"/>
          <w:sz w:val="32"/>
          <w:szCs w:val="32"/>
          <w:highlight w:val="none"/>
          <w:lang w:val="en-US" w:eastAsia="en-US"/>
        </w:rPr>
        <w:t>信誉最低要求</w:t>
      </w:r>
    </w:p>
    <w:p>
      <w:pPr>
        <w:spacing w:line="15" w:lineRule="exact"/>
        <w:rPr>
          <w:color w:val="auto"/>
          <w:highlight w:val="none"/>
        </w:rPr>
      </w:pPr>
    </w:p>
    <w:tbl>
      <w:tblPr>
        <w:tblStyle w:val="17"/>
        <w:tblW w:w="9269"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94"/>
        <w:gridCol w:w="797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5" w:hRule="atLeast"/>
          <w:jc w:val="center"/>
        </w:trPr>
        <w:tc>
          <w:tcPr>
            <w:tcW w:w="129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bCs/>
                <w:color w:val="auto"/>
                <w:spacing w:val="5"/>
                <w:sz w:val="24"/>
                <w:szCs w:val="24"/>
                <w:highlight w:val="none"/>
              </w:rPr>
            </w:pPr>
            <w:r>
              <w:rPr>
                <w:rFonts w:hint="eastAsia" w:ascii="仿宋_GB2312" w:hAnsi="仿宋_GB2312" w:eastAsia="仿宋_GB2312" w:cs="仿宋_GB2312"/>
                <w:b/>
                <w:bCs/>
                <w:color w:val="auto"/>
                <w:spacing w:val="5"/>
                <w:sz w:val="24"/>
                <w:szCs w:val="24"/>
                <w:highlight w:val="none"/>
              </w:rPr>
              <w:t>标段</w:t>
            </w:r>
          </w:p>
        </w:tc>
        <w:tc>
          <w:tcPr>
            <w:tcW w:w="7975" w:type="dxa"/>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bCs/>
                <w:color w:val="auto"/>
                <w:spacing w:val="5"/>
                <w:sz w:val="24"/>
                <w:szCs w:val="24"/>
                <w:highlight w:val="none"/>
              </w:rPr>
            </w:pPr>
            <w:r>
              <w:rPr>
                <w:rFonts w:hint="eastAsia" w:ascii="仿宋_GB2312" w:hAnsi="仿宋_GB2312" w:eastAsia="仿宋_GB2312" w:cs="仿宋_GB2312"/>
                <w:b/>
                <w:bCs/>
                <w:color w:val="auto"/>
                <w:spacing w:val="5"/>
                <w:sz w:val="24"/>
                <w:szCs w:val="24"/>
                <w:highlight w:val="none"/>
              </w:rPr>
              <w:t>信誉要求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94" w:hRule="atLeast"/>
          <w:jc w:val="center"/>
        </w:trPr>
        <w:tc>
          <w:tcPr>
            <w:tcW w:w="1294" w:type="dxa"/>
            <w:vAlign w:val="center"/>
          </w:tcPr>
          <w:p>
            <w:pPr>
              <w:pStyle w:val="6"/>
              <w:keepNext w:val="0"/>
              <w:keepLines w:val="0"/>
              <w:pageBreakBefore w:val="0"/>
              <w:widowControl/>
              <w:kinsoku w:val="0"/>
              <w:wordWrap/>
              <w:overflowPunct/>
              <w:topLinePunct w:val="0"/>
              <w:autoSpaceDE w:val="0"/>
              <w:autoSpaceDN w:val="0"/>
              <w:bidi w:val="0"/>
              <w:adjustRightInd/>
              <w:snapToGrid/>
              <w:spacing w:line="240" w:lineRule="auto"/>
              <w:ind w:right="0" w:rightChars="0"/>
              <w:jc w:val="center"/>
              <w:textAlignment w:val="baseline"/>
              <w:rPr>
                <w:rFonts w:hint="eastAsia" w:ascii="仿宋_GB2312" w:hAnsi="仿宋_GB2312" w:eastAsia="仿宋_GB2312" w:cs="仿宋_GB2312"/>
                <w:snapToGrid w:val="0"/>
                <w:color w:val="auto"/>
                <w:spacing w:val="5"/>
                <w:kern w:val="0"/>
                <w:sz w:val="24"/>
                <w:szCs w:val="24"/>
                <w:highlight w:val="none"/>
                <w:lang w:val="en-US" w:eastAsia="zh-CN" w:bidi="ar-SA"/>
              </w:rPr>
            </w:pPr>
            <w:r>
              <w:rPr>
                <w:rFonts w:hint="eastAsia" w:ascii="仿宋_GB2312" w:hAnsi="仿宋_GB2312" w:eastAsia="仿宋_GB2312" w:cs="仿宋_GB2312"/>
                <w:color w:val="auto"/>
                <w:spacing w:val="5"/>
                <w:sz w:val="24"/>
                <w:szCs w:val="24"/>
                <w:highlight w:val="none"/>
                <w:vertAlign w:val="baseline"/>
                <w:lang w:val="en-US" w:eastAsia="zh-CN"/>
              </w:rPr>
              <w:t>TF-SG</w:t>
            </w:r>
          </w:p>
        </w:tc>
        <w:tc>
          <w:tcPr>
            <w:tcW w:w="7975" w:type="dxa"/>
            <w:tcBorders>
              <w:right w:val="single" w:color="auto" w:sz="4" w:space="0"/>
            </w:tcBorders>
            <w:vAlign w:val="center"/>
          </w:tcPr>
          <w:p>
            <w:pPr>
              <w:ind w:firstLine="250" w:firstLineChars="1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snapToGrid w:val="0"/>
                <w:color w:val="auto"/>
                <w:spacing w:val="5"/>
                <w:kern w:val="0"/>
                <w:sz w:val="24"/>
                <w:szCs w:val="24"/>
                <w:highlight w:val="none"/>
                <w:lang w:val="en-US" w:eastAsia="zh-CN" w:bidi="ar-SA"/>
              </w:rPr>
              <w:t>未被交通运输部或陕西省交通运输厅或陕西省公路局列为信用评价等级D级且处于有效期内。</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en-US"/>
        </w:rPr>
      </w:pPr>
      <w:r>
        <w:rPr>
          <w:rFonts w:hint="eastAsia" w:ascii="仿宋_GB2312" w:hAnsi="仿宋_GB2312" w:eastAsia="仿宋_GB2312" w:cs="仿宋_GB2312"/>
          <w:snapToGrid/>
          <w:color w:val="auto"/>
          <w:kern w:val="2"/>
          <w:sz w:val="32"/>
          <w:szCs w:val="32"/>
          <w:highlight w:val="none"/>
          <w:lang w:val="en-US" w:eastAsia="zh-CN"/>
        </w:rPr>
        <w:t>（5）</w:t>
      </w:r>
      <w:r>
        <w:rPr>
          <w:rFonts w:hint="eastAsia" w:ascii="仿宋_GB2312" w:hAnsi="仿宋_GB2312" w:eastAsia="仿宋_GB2312" w:cs="仿宋_GB2312"/>
          <w:snapToGrid/>
          <w:color w:val="auto"/>
          <w:kern w:val="2"/>
          <w:sz w:val="32"/>
          <w:szCs w:val="32"/>
          <w:highlight w:val="none"/>
          <w:lang w:val="en-US" w:eastAsia="en-US"/>
        </w:rPr>
        <w:t>主要人员最低要求</w:t>
      </w:r>
    </w:p>
    <w:p>
      <w:pPr>
        <w:spacing w:line="15" w:lineRule="exact"/>
        <w:rPr>
          <w:color w:val="auto"/>
          <w:highlight w:val="none"/>
        </w:rPr>
      </w:pPr>
    </w:p>
    <w:tbl>
      <w:tblPr>
        <w:tblStyle w:val="17"/>
        <w:tblW w:w="9269"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13" w:type="dxa"/>
          <w:bottom w:w="0" w:type="dxa"/>
          <w:right w:w="113" w:type="dxa"/>
        </w:tblCellMar>
      </w:tblPr>
      <w:tblGrid>
        <w:gridCol w:w="1277"/>
        <w:gridCol w:w="1136"/>
        <w:gridCol w:w="790"/>
        <w:gridCol w:w="4491"/>
        <w:gridCol w:w="157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13" w:type="dxa"/>
            <w:bottom w:w="0" w:type="dxa"/>
            <w:right w:w="113" w:type="dxa"/>
          </w:tblCellMar>
        </w:tblPrEx>
        <w:trPr>
          <w:trHeight w:val="627" w:hRule="atLeast"/>
          <w:jc w:val="center"/>
        </w:trPr>
        <w:tc>
          <w:tcPr>
            <w:tcW w:w="127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bCs/>
                <w:color w:val="auto"/>
                <w:spacing w:val="5"/>
                <w:sz w:val="24"/>
                <w:szCs w:val="24"/>
                <w:highlight w:val="none"/>
                <w:lang w:val="en-US" w:eastAsia="zh-CN"/>
              </w:rPr>
            </w:pPr>
            <w:r>
              <w:rPr>
                <w:rFonts w:hint="eastAsia" w:ascii="仿宋_GB2312" w:hAnsi="仿宋_GB2312" w:eastAsia="仿宋_GB2312" w:cs="仿宋_GB2312"/>
                <w:b/>
                <w:bCs/>
                <w:color w:val="auto"/>
                <w:spacing w:val="5"/>
                <w:sz w:val="24"/>
                <w:szCs w:val="24"/>
                <w:highlight w:val="none"/>
                <w:lang w:val="en-US" w:eastAsia="zh-CN"/>
              </w:rPr>
              <w:t>标段</w:t>
            </w:r>
          </w:p>
        </w:tc>
        <w:tc>
          <w:tcPr>
            <w:tcW w:w="113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bCs/>
                <w:color w:val="auto"/>
                <w:spacing w:val="5"/>
                <w:sz w:val="24"/>
                <w:szCs w:val="24"/>
                <w:highlight w:val="none"/>
              </w:rPr>
            </w:pPr>
            <w:r>
              <w:rPr>
                <w:rFonts w:hint="eastAsia" w:ascii="仿宋_GB2312" w:hAnsi="仿宋_GB2312" w:eastAsia="仿宋_GB2312" w:cs="仿宋_GB2312"/>
                <w:b/>
                <w:bCs/>
                <w:color w:val="auto"/>
                <w:spacing w:val="5"/>
                <w:sz w:val="24"/>
                <w:szCs w:val="24"/>
                <w:highlight w:val="none"/>
              </w:rPr>
              <w:t>人员</w:t>
            </w:r>
          </w:p>
        </w:tc>
        <w:tc>
          <w:tcPr>
            <w:tcW w:w="790"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bCs/>
                <w:color w:val="auto"/>
                <w:spacing w:val="5"/>
                <w:sz w:val="24"/>
                <w:szCs w:val="24"/>
                <w:highlight w:val="none"/>
              </w:rPr>
            </w:pPr>
            <w:r>
              <w:rPr>
                <w:rFonts w:hint="eastAsia" w:ascii="仿宋_GB2312" w:hAnsi="仿宋_GB2312" w:eastAsia="仿宋_GB2312" w:cs="仿宋_GB2312"/>
                <w:b/>
                <w:bCs/>
                <w:color w:val="auto"/>
                <w:spacing w:val="5"/>
                <w:sz w:val="24"/>
                <w:szCs w:val="24"/>
                <w:highlight w:val="none"/>
              </w:rPr>
              <w:t>数量</w:t>
            </w:r>
          </w:p>
        </w:tc>
        <w:tc>
          <w:tcPr>
            <w:tcW w:w="4491"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bCs/>
                <w:color w:val="auto"/>
                <w:spacing w:val="5"/>
                <w:sz w:val="24"/>
                <w:szCs w:val="24"/>
                <w:highlight w:val="none"/>
              </w:rPr>
            </w:pPr>
            <w:r>
              <w:rPr>
                <w:rFonts w:hint="eastAsia" w:ascii="仿宋_GB2312" w:hAnsi="仿宋_GB2312" w:eastAsia="仿宋_GB2312" w:cs="仿宋_GB2312"/>
                <w:b/>
                <w:bCs/>
                <w:color w:val="auto"/>
                <w:spacing w:val="5"/>
                <w:sz w:val="24"/>
                <w:szCs w:val="24"/>
                <w:highlight w:val="none"/>
              </w:rPr>
              <w:t>资格要求</w:t>
            </w:r>
          </w:p>
        </w:tc>
        <w:tc>
          <w:tcPr>
            <w:tcW w:w="1575" w:type="dxa"/>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bCs/>
                <w:color w:val="auto"/>
                <w:spacing w:val="5"/>
                <w:sz w:val="24"/>
                <w:szCs w:val="24"/>
                <w:highlight w:val="none"/>
              </w:rPr>
            </w:pPr>
            <w:r>
              <w:rPr>
                <w:rFonts w:hint="eastAsia" w:ascii="仿宋_GB2312" w:hAnsi="仿宋_GB2312" w:eastAsia="仿宋_GB2312" w:cs="仿宋_GB2312"/>
                <w:b/>
                <w:bCs/>
                <w:color w:val="auto"/>
                <w:spacing w:val="5"/>
                <w:sz w:val="24"/>
                <w:szCs w:val="24"/>
                <w:highlight w:val="none"/>
              </w:rPr>
              <w:t>在岗要求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13" w:type="dxa"/>
            <w:bottom w:w="0" w:type="dxa"/>
            <w:right w:w="113" w:type="dxa"/>
          </w:tblCellMar>
        </w:tblPrEx>
        <w:trPr>
          <w:trHeight w:val="2990" w:hRule="atLeast"/>
          <w:jc w:val="center"/>
        </w:trPr>
        <w:tc>
          <w:tcPr>
            <w:tcW w:w="1277" w:type="dxa"/>
            <w:vMerge w:val="restart"/>
            <w:vAlign w:val="center"/>
          </w:tcPr>
          <w:p>
            <w:pPr>
              <w:pStyle w:val="6"/>
              <w:keepNext w:val="0"/>
              <w:keepLines w:val="0"/>
              <w:pageBreakBefore w:val="0"/>
              <w:widowControl/>
              <w:kinsoku w:val="0"/>
              <w:wordWrap/>
              <w:overflowPunct/>
              <w:topLinePunct w:val="0"/>
              <w:autoSpaceDE w:val="0"/>
              <w:autoSpaceDN w:val="0"/>
              <w:bidi w:val="0"/>
              <w:adjustRightInd w:val="0"/>
              <w:snapToGrid w:val="0"/>
              <w:spacing w:line="280" w:lineRule="exact"/>
              <w:ind w:right="0" w:rightChars="0"/>
              <w:jc w:val="center"/>
              <w:textAlignment w:val="baseline"/>
              <w:rPr>
                <w:rFonts w:hint="eastAsia" w:ascii="仿宋_GB2312" w:hAnsi="仿宋_GB2312" w:eastAsia="仿宋_GB2312" w:cs="仿宋_GB2312"/>
                <w:snapToGrid w:val="0"/>
                <w:color w:val="auto"/>
                <w:spacing w:val="5"/>
                <w:kern w:val="0"/>
                <w:sz w:val="24"/>
                <w:szCs w:val="24"/>
                <w:highlight w:val="none"/>
                <w:lang w:val="en-US" w:eastAsia="zh-CN" w:bidi="ar-SA"/>
              </w:rPr>
            </w:pPr>
            <w:r>
              <w:rPr>
                <w:rFonts w:hint="eastAsia" w:ascii="仿宋_GB2312" w:hAnsi="仿宋_GB2312" w:eastAsia="仿宋_GB2312" w:cs="仿宋_GB2312"/>
                <w:color w:val="auto"/>
                <w:spacing w:val="5"/>
                <w:sz w:val="24"/>
                <w:szCs w:val="24"/>
                <w:highlight w:val="none"/>
                <w:vertAlign w:val="baseline"/>
                <w:lang w:val="en-US" w:eastAsia="zh-CN"/>
              </w:rPr>
              <w:t>TF-SG</w:t>
            </w:r>
          </w:p>
        </w:tc>
        <w:tc>
          <w:tcPr>
            <w:tcW w:w="1136" w:type="dxa"/>
            <w:vAlign w:val="center"/>
          </w:tcPr>
          <w:p>
            <w:pPr>
              <w:pStyle w:val="16"/>
              <w:spacing w:before="65" w:line="227" w:lineRule="auto"/>
              <w:jc w:val="center"/>
              <w:rPr>
                <w:rFonts w:hint="eastAsia" w:ascii="仿宋_GB2312" w:hAnsi="仿宋_GB2312" w:eastAsia="仿宋_GB2312" w:cs="仿宋_GB2312"/>
                <w:color w:val="auto"/>
                <w:spacing w:val="6"/>
                <w:sz w:val="24"/>
                <w:szCs w:val="24"/>
                <w:highlight w:val="none"/>
              </w:rPr>
            </w:pPr>
            <w:r>
              <w:rPr>
                <w:rFonts w:hint="eastAsia" w:ascii="仿宋_GB2312" w:hAnsi="仿宋_GB2312" w:eastAsia="仿宋_GB2312" w:cs="仿宋_GB2312"/>
                <w:color w:val="auto"/>
                <w:spacing w:val="6"/>
                <w:sz w:val="24"/>
                <w:szCs w:val="24"/>
                <w:highlight w:val="none"/>
              </w:rPr>
              <w:t>项目</w:t>
            </w:r>
          </w:p>
          <w:p>
            <w:pPr>
              <w:pStyle w:val="16"/>
              <w:spacing w:before="65" w:line="227"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pacing w:val="6"/>
                <w:sz w:val="24"/>
                <w:szCs w:val="24"/>
                <w:highlight w:val="none"/>
              </w:rPr>
              <w:t>经理</w:t>
            </w:r>
          </w:p>
        </w:tc>
        <w:tc>
          <w:tcPr>
            <w:tcW w:w="790" w:type="dxa"/>
            <w:vAlign w:val="center"/>
          </w:tcPr>
          <w:p>
            <w:pPr>
              <w:pStyle w:val="16"/>
              <w:spacing w:before="65" w:line="185"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p>
        </w:tc>
        <w:tc>
          <w:tcPr>
            <w:tcW w:w="4491" w:type="dxa"/>
            <w:vAlign w:val="center"/>
          </w:tcPr>
          <w:p>
            <w:pPr>
              <w:pStyle w:val="16"/>
              <w:spacing w:before="65" w:line="227" w:lineRule="auto"/>
              <w:ind w:firstLine="252" w:firstLineChars="100"/>
              <w:jc w:val="both"/>
              <w:rPr>
                <w:rFonts w:hint="eastAsia" w:ascii="仿宋_GB2312" w:hAnsi="仿宋_GB2312" w:eastAsia="仿宋_GB2312" w:cs="仿宋_GB2312"/>
                <w:color w:val="auto"/>
                <w:spacing w:val="6"/>
                <w:sz w:val="24"/>
                <w:szCs w:val="24"/>
                <w:highlight w:val="none"/>
                <w:lang w:val="en-US" w:eastAsia="zh-CN"/>
              </w:rPr>
            </w:pPr>
            <w:r>
              <w:rPr>
                <w:rFonts w:hint="eastAsia" w:ascii="仿宋_GB2312" w:hAnsi="仿宋_GB2312" w:eastAsia="仿宋_GB2312" w:cs="仿宋_GB2312"/>
                <w:color w:val="auto"/>
                <w:spacing w:val="6"/>
                <w:sz w:val="24"/>
                <w:szCs w:val="24"/>
                <w:highlight w:val="none"/>
                <w:lang w:eastAsia="zh-CN"/>
              </w:rPr>
              <w:t>具有</w:t>
            </w:r>
            <w:r>
              <w:rPr>
                <w:rFonts w:hint="eastAsia" w:ascii="仿宋_GB2312" w:hAnsi="仿宋_GB2312" w:eastAsia="仿宋_GB2312" w:cs="仿宋_GB2312"/>
                <w:color w:val="auto"/>
                <w:spacing w:val="6"/>
                <w:sz w:val="24"/>
                <w:szCs w:val="24"/>
                <w:highlight w:val="none"/>
                <w:lang w:val="en-US" w:eastAsia="zh-CN"/>
              </w:rPr>
              <w:t>公路工程</w:t>
            </w:r>
            <w:r>
              <w:rPr>
                <w:rFonts w:hint="eastAsia" w:ascii="仿宋_GB2312" w:hAnsi="仿宋_GB2312" w:eastAsia="仿宋_GB2312" w:cs="仿宋_GB2312"/>
                <w:color w:val="auto"/>
                <w:spacing w:val="6"/>
                <w:sz w:val="24"/>
                <w:szCs w:val="24"/>
                <w:highlight w:val="none"/>
                <w:lang w:eastAsia="zh-CN"/>
              </w:rPr>
              <w:t>相关专业中级或以上职称，持有公路工程专业一级建造师证书，且注册单位为投标人，20</w:t>
            </w:r>
            <w:r>
              <w:rPr>
                <w:rFonts w:hint="eastAsia" w:ascii="仿宋_GB2312" w:hAnsi="仿宋_GB2312" w:eastAsia="仿宋_GB2312" w:cs="仿宋_GB2312"/>
                <w:color w:val="auto"/>
                <w:spacing w:val="6"/>
                <w:sz w:val="24"/>
                <w:szCs w:val="24"/>
                <w:highlight w:val="none"/>
                <w:lang w:val="en-US" w:eastAsia="zh-CN"/>
              </w:rPr>
              <w:t>21</w:t>
            </w:r>
            <w:r>
              <w:rPr>
                <w:rFonts w:hint="eastAsia" w:ascii="仿宋_GB2312" w:hAnsi="仿宋_GB2312" w:eastAsia="仿宋_GB2312" w:cs="仿宋_GB2312"/>
                <w:color w:val="auto"/>
                <w:spacing w:val="6"/>
                <w:sz w:val="24"/>
                <w:szCs w:val="24"/>
                <w:highlight w:val="none"/>
                <w:lang w:eastAsia="zh-CN"/>
              </w:rPr>
              <w:t>年1月1日至投标截止时间（以交工验收时间为准），担任过</w:t>
            </w:r>
            <w:r>
              <w:rPr>
                <w:rFonts w:hint="eastAsia" w:ascii="仿宋_GB2312" w:hAnsi="仿宋_GB2312" w:eastAsia="仿宋_GB2312" w:cs="仿宋_GB2312"/>
                <w:color w:val="auto"/>
                <w:spacing w:val="6"/>
                <w:sz w:val="24"/>
                <w:szCs w:val="24"/>
                <w:highlight w:val="none"/>
                <w:lang w:val="en-US" w:eastAsia="zh-CN"/>
              </w:rPr>
              <w:t>1个</w:t>
            </w:r>
            <w:r>
              <w:rPr>
                <w:rFonts w:hint="eastAsia" w:ascii="仿宋_GB2312" w:hAnsi="仿宋_GB2312" w:eastAsia="仿宋_GB2312" w:cs="仿宋_GB2312"/>
                <w:snapToGrid w:val="0"/>
                <w:color w:val="auto"/>
                <w:spacing w:val="7"/>
                <w:kern w:val="0"/>
                <w:sz w:val="24"/>
                <w:szCs w:val="24"/>
                <w:highlight w:val="none"/>
                <w:lang w:val="en-US" w:eastAsia="zh-CN" w:bidi="ar-SA"/>
              </w:rPr>
              <w:t>新建或改扩建高速公路（须包含桥梁工程）施工合同段</w:t>
            </w:r>
            <w:r>
              <w:rPr>
                <w:rFonts w:hint="eastAsia" w:ascii="仿宋_GB2312" w:hAnsi="仿宋_GB2312" w:eastAsia="仿宋_GB2312" w:cs="仿宋_GB2312"/>
                <w:color w:val="auto"/>
                <w:spacing w:val="6"/>
                <w:sz w:val="24"/>
                <w:szCs w:val="24"/>
                <w:highlight w:val="none"/>
                <w:lang w:eastAsia="zh-CN"/>
              </w:rPr>
              <w:t>项目经理，持有省级或以上交通运输主管部门核发的有效的安全考核合格证书（B级）</w:t>
            </w:r>
            <w:r>
              <w:rPr>
                <w:rFonts w:hint="eastAsia" w:ascii="仿宋_GB2312" w:hAnsi="仿宋_GB2312" w:eastAsia="仿宋_GB2312" w:cs="仿宋_GB2312"/>
                <w:color w:val="auto"/>
                <w:spacing w:val="6"/>
                <w:sz w:val="24"/>
                <w:szCs w:val="24"/>
                <w:highlight w:val="none"/>
                <w:lang w:val="en-US" w:eastAsia="zh-CN"/>
              </w:rPr>
              <w:t>。</w:t>
            </w:r>
          </w:p>
        </w:tc>
        <w:tc>
          <w:tcPr>
            <w:tcW w:w="1575" w:type="dxa"/>
            <w:vMerge w:val="restart"/>
            <w:tcBorders>
              <w:right w:val="single" w:color="auto" w:sz="4" w:space="0"/>
            </w:tcBorders>
            <w:vAlign w:val="center"/>
          </w:tcPr>
          <w:p>
            <w:pPr>
              <w:pStyle w:val="16"/>
              <w:spacing w:before="65" w:line="284" w:lineRule="auto"/>
              <w:ind w:right="24"/>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pacing w:val="-5"/>
                <w:sz w:val="24"/>
                <w:szCs w:val="24"/>
                <w:highlight w:val="none"/>
              </w:rPr>
              <w:t>无在岗项目（指</w:t>
            </w:r>
            <w:r>
              <w:rPr>
                <w:rFonts w:hint="eastAsia" w:ascii="仿宋_GB2312" w:hAnsi="仿宋_GB2312" w:eastAsia="仿宋_GB2312" w:cs="仿宋_GB2312"/>
                <w:color w:val="auto"/>
                <w:spacing w:val="28"/>
                <w:sz w:val="24"/>
                <w:szCs w:val="24"/>
                <w:highlight w:val="none"/>
              </w:rPr>
              <w:t>目前未在其他</w:t>
            </w:r>
            <w:r>
              <w:rPr>
                <w:rFonts w:hint="eastAsia" w:ascii="仿宋_GB2312" w:hAnsi="仿宋_GB2312" w:eastAsia="仿宋_GB2312" w:cs="仿宋_GB2312"/>
                <w:color w:val="auto"/>
                <w:spacing w:val="-5"/>
                <w:sz w:val="24"/>
                <w:szCs w:val="24"/>
                <w:highlight w:val="none"/>
              </w:rPr>
              <w:t>项目上任职，或</w:t>
            </w:r>
            <w:r>
              <w:rPr>
                <w:rFonts w:hint="eastAsia" w:ascii="仿宋_GB2312" w:hAnsi="仿宋_GB2312" w:eastAsia="仿宋_GB2312" w:cs="仿宋_GB2312"/>
                <w:color w:val="auto"/>
                <w:spacing w:val="14"/>
                <w:sz w:val="24"/>
                <w:szCs w:val="24"/>
                <w:highlight w:val="none"/>
              </w:rPr>
              <w:t>虽在其他项目</w:t>
            </w:r>
            <w:r>
              <w:rPr>
                <w:rFonts w:hint="eastAsia" w:ascii="仿宋_GB2312" w:hAnsi="仿宋_GB2312" w:eastAsia="仿宋_GB2312" w:cs="仿宋_GB2312"/>
                <w:color w:val="auto"/>
                <w:spacing w:val="28"/>
                <w:sz w:val="24"/>
                <w:szCs w:val="24"/>
                <w:highlight w:val="none"/>
              </w:rPr>
              <w:t>上任职但本项</w:t>
            </w:r>
            <w:r>
              <w:rPr>
                <w:rFonts w:hint="eastAsia" w:ascii="仿宋_GB2312" w:hAnsi="仿宋_GB2312" w:eastAsia="仿宋_GB2312" w:cs="仿宋_GB2312"/>
                <w:color w:val="auto"/>
                <w:spacing w:val="8"/>
                <w:sz w:val="24"/>
                <w:szCs w:val="24"/>
                <w:highlight w:val="none"/>
              </w:rPr>
              <w:t>目中标后能够</w:t>
            </w:r>
            <w:r>
              <w:rPr>
                <w:rFonts w:hint="eastAsia" w:ascii="仿宋_GB2312" w:hAnsi="仿宋_GB2312" w:eastAsia="仿宋_GB2312" w:cs="仿宋_GB2312"/>
                <w:color w:val="auto"/>
                <w:spacing w:val="7"/>
                <w:sz w:val="24"/>
                <w:szCs w:val="24"/>
                <w:highlight w:val="none"/>
              </w:rPr>
              <w:t>从该项目撤离）</w:t>
            </w:r>
            <w:r>
              <w:rPr>
                <w:rFonts w:hint="eastAsia" w:ascii="仿宋_GB2312" w:hAnsi="仿宋_GB2312" w:eastAsia="仿宋_GB2312" w:cs="仿宋_GB2312"/>
                <w:color w:val="auto"/>
                <w:spacing w:val="7"/>
                <w:sz w:val="24"/>
                <w:szCs w:val="24"/>
                <w:highlight w:val="none"/>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13" w:type="dxa"/>
            <w:bottom w:w="0" w:type="dxa"/>
            <w:right w:w="113" w:type="dxa"/>
          </w:tblCellMar>
        </w:tblPrEx>
        <w:trPr>
          <w:trHeight w:val="2492" w:hRule="atLeast"/>
          <w:jc w:val="center"/>
        </w:trPr>
        <w:tc>
          <w:tcPr>
            <w:tcW w:w="1277" w:type="dxa"/>
            <w:vMerge w:val="continue"/>
            <w:vAlign w:val="center"/>
          </w:tcPr>
          <w:p>
            <w:pPr>
              <w:pStyle w:val="16"/>
              <w:spacing w:before="65" w:line="227" w:lineRule="auto"/>
              <w:jc w:val="center"/>
              <w:rPr>
                <w:rFonts w:hint="eastAsia" w:ascii="仿宋_GB2312" w:hAnsi="仿宋_GB2312" w:eastAsia="仿宋_GB2312" w:cs="仿宋_GB2312"/>
                <w:color w:val="auto"/>
                <w:spacing w:val="6"/>
                <w:sz w:val="24"/>
                <w:szCs w:val="24"/>
                <w:highlight w:val="none"/>
              </w:rPr>
            </w:pPr>
          </w:p>
        </w:tc>
        <w:tc>
          <w:tcPr>
            <w:tcW w:w="1136" w:type="dxa"/>
            <w:vAlign w:val="center"/>
          </w:tcPr>
          <w:p>
            <w:pPr>
              <w:pStyle w:val="16"/>
              <w:spacing w:before="65" w:line="227" w:lineRule="auto"/>
              <w:jc w:val="center"/>
              <w:rPr>
                <w:rFonts w:hint="eastAsia" w:ascii="仿宋_GB2312" w:hAnsi="仿宋_GB2312" w:eastAsia="仿宋_GB2312" w:cs="仿宋_GB2312"/>
                <w:color w:val="auto"/>
                <w:spacing w:val="6"/>
                <w:sz w:val="24"/>
                <w:szCs w:val="24"/>
                <w:highlight w:val="none"/>
              </w:rPr>
            </w:pPr>
            <w:r>
              <w:rPr>
                <w:rFonts w:hint="eastAsia" w:ascii="仿宋_GB2312" w:hAnsi="仿宋_GB2312" w:eastAsia="仿宋_GB2312" w:cs="仿宋_GB2312"/>
                <w:color w:val="auto"/>
                <w:spacing w:val="6"/>
                <w:sz w:val="24"/>
                <w:szCs w:val="24"/>
                <w:highlight w:val="none"/>
              </w:rPr>
              <w:t>项目</w:t>
            </w:r>
          </w:p>
          <w:p>
            <w:pPr>
              <w:pStyle w:val="16"/>
              <w:spacing w:before="65" w:line="227"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pacing w:val="6"/>
                <w:sz w:val="24"/>
                <w:szCs w:val="24"/>
                <w:highlight w:val="none"/>
              </w:rPr>
              <w:t>总工</w:t>
            </w:r>
          </w:p>
        </w:tc>
        <w:tc>
          <w:tcPr>
            <w:tcW w:w="790" w:type="dxa"/>
            <w:vAlign w:val="center"/>
          </w:tcPr>
          <w:p>
            <w:pPr>
              <w:pStyle w:val="16"/>
              <w:spacing w:before="65" w:line="185"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p>
        </w:tc>
        <w:tc>
          <w:tcPr>
            <w:tcW w:w="4491" w:type="dxa"/>
            <w:vAlign w:val="center"/>
          </w:tcPr>
          <w:p>
            <w:pPr>
              <w:pStyle w:val="16"/>
              <w:spacing w:before="65" w:line="227" w:lineRule="auto"/>
              <w:ind w:firstLine="252" w:firstLineChars="100"/>
              <w:jc w:val="both"/>
              <w:rPr>
                <w:rFonts w:hint="eastAsia" w:ascii="仿宋_GB2312" w:hAnsi="仿宋_GB2312" w:eastAsia="仿宋_GB2312" w:cs="仿宋_GB2312"/>
                <w:color w:val="auto"/>
                <w:spacing w:val="6"/>
                <w:sz w:val="24"/>
                <w:szCs w:val="24"/>
                <w:highlight w:val="none"/>
              </w:rPr>
            </w:pPr>
            <w:r>
              <w:rPr>
                <w:rFonts w:hint="eastAsia" w:ascii="仿宋_GB2312" w:hAnsi="仿宋_GB2312" w:eastAsia="仿宋_GB2312" w:cs="仿宋_GB2312"/>
                <w:color w:val="auto"/>
                <w:spacing w:val="6"/>
                <w:sz w:val="24"/>
                <w:szCs w:val="24"/>
                <w:highlight w:val="none"/>
                <w:lang w:eastAsia="zh-CN"/>
              </w:rPr>
              <w:t>具有公路工程相关专业</w:t>
            </w:r>
            <w:r>
              <w:rPr>
                <w:rFonts w:hint="eastAsia" w:ascii="仿宋_GB2312" w:hAnsi="仿宋_GB2312" w:eastAsia="仿宋_GB2312" w:cs="仿宋_GB2312"/>
                <w:color w:val="auto"/>
                <w:spacing w:val="6"/>
                <w:sz w:val="24"/>
                <w:szCs w:val="24"/>
                <w:highlight w:val="none"/>
                <w:lang w:val="en-US" w:eastAsia="zh-CN"/>
              </w:rPr>
              <w:t>高级或</w:t>
            </w:r>
            <w:r>
              <w:rPr>
                <w:rFonts w:hint="eastAsia" w:ascii="仿宋_GB2312" w:hAnsi="仿宋_GB2312" w:eastAsia="仿宋_GB2312" w:cs="仿宋_GB2312"/>
                <w:color w:val="auto"/>
                <w:spacing w:val="6"/>
                <w:sz w:val="24"/>
                <w:szCs w:val="24"/>
                <w:highlight w:val="none"/>
                <w:lang w:eastAsia="zh-CN"/>
              </w:rPr>
              <w:t>以上技术职称，20</w:t>
            </w:r>
            <w:r>
              <w:rPr>
                <w:rFonts w:hint="eastAsia" w:ascii="仿宋_GB2312" w:hAnsi="仿宋_GB2312" w:eastAsia="仿宋_GB2312" w:cs="仿宋_GB2312"/>
                <w:color w:val="auto"/>
                <w:spacing w:val="6"/>
                <w:sz w:val="24"/>
                <w:szCs w:val="24"/>
                <w:highlight w:val="none"/>
                <w:lang w:val="en-US" w:eastAsia="zh-CN"/>
              </w:rPr>
              <w:t>21</w:t>
            </w:r>
            <w:r>
              <w:rPr>
                <w:rFonts w:hint="eastAsia" w:ascii="仿宋_GB2312" w:hAnsi="仿宋_GB2312" w:eastAsia="仿宋_GB2312" w:cs="仿宋_GB2312"/>
                <w:color w:val="auto"/>
                <w:spacing w:val="6"/>
                <w:sz w:val="24"/>
                <w:szCs w:val="24"/>
                <w:highlight w:val="none"/>
                <w:lang w:eastAsia="zh-CN"/>
              </w:rPr>
              <w:t>年1月1日至投标截止时间（以交工验收时间为准），担任过</w:t>
            </w:r>
            <w:r>
              <w:rPr>
                <w:rFonts w:hint="eastAsia" w:ascii="仿宋_GB2312" w:hAnsi="仿宋_GB2312" w:eastAsia="仿宋_GB2312" w:cs="仿宋_GB2312"/>
                <w:color w:val="auto"/>
                <w:spacing w:val="6"/>
                <w:sz w:val="24"/>
                <w:szCs w:val="24"/>
                <w:highlight w:val="none"/>
                <w:lang w:val="en-US" w:eastAsia="zh-CN"/>
              </w:rPr>
              <w:t>1个新建或改扩建高速公路（须包含桥梁工程）施工合同段</w:t>
            </w:r>
            <w:r>
              <w:rPr>
                <w:rFonts w:hint="eastAsia" w:ascii="仿宋_GB2312" w:hAnsi="仿宋_GB2312" w:eastAsia="仿宋_GB2312" w:cs="仿宋_GB2312"/>
                <w:color w:val="auto"/>
                <w:spacing w:val="6"/>
                <w:sz w:val="24"/>
                <w:szCs w:val="24"/>
                <w:highlight w:val="none"/>
                <w:lang w:eastAsia="zh-CN"/>
              </w:rPr>
              <w:t>项目</w:t>
            </w:r>
            <w:r>
              <w:rPr>
                <w:rFonts w:hint="eastAsia" w:ascii="仿宋_GB2312" w:hAnsi="仿宋_GB2312" w:eastAsia="仿宋_GB2312" w:cs="仿宋_GB2312"/>
                <w:color w:val="auto"/>
                <w:spacing w:val="6"/>
                <w:sz w:val="24"/>
                <w:szCs w:val="24"/>
                <w:highlight w:val="none"/>
                <w:lang w:val="en-US" w:eastAsia="zh-CN"/>
              </w:rPr>
              <w:t>总工，</w:t>
            </w:r>
            <w:r>
              <w:rPr>
                <w:rFonts w:hint="eastAsia" w:ascii="仿宋_GB2312" w:hAnsi="仿宋_GB2312" w:eastAsia="仿宋_GB2312" w:cs="仿宋_GB2312"/>
                <w:color w:val="auto"/>
                <w:spacing w:val="6"/>
                <w:sz w:val="24"/>
                <w:szCs w:val="24"/>
                <w:highlight w:val="none"/>
                <w:lang w:eastAsia="zh-CN"/>
              </w:rPr>
              <w:t>持有省级或以上交通运输主管部门核发的有效的安全考核合格证书（B级）</w:t>
            </w:r>
            <w:r>
              <w:rPr>
                <w:rFonts w:hint="eastAsia" w:ascii="仿宋_GB2312" w:hAnsi="仿宋_GB2312" w:eastAsia="仿宋_GB2312" w:cs="仿宋_GB2312"/>
                <w:color w:val="auto"/>
                <w:spacing w:val="6"/>
                <w:sz w:val="24"/>
                <w:szCs w:val="24"/>
                <w:highlight w:val="none"/>
                <w:lang w:val="en-US" w:eastAsia="zh-CN"/>
              </w:rPr>
              <w:t>。</w:t>
            </w:r>
          </w:p>
        </w:tc>
        <w:tc>
          <w:tcPr>
            <w:tcW w:w="1575" w:type="dxa"/>
            <w:vMerge w:val="continue"/>
            <w:tcBorders>
              <w:right w:val="single" w:color="auto" w:sz="4" w:space="0"/>
            </w:tcBorders>
            <w:vAlign w:val="center"/>
          </w:tcPr>
          <w:p>
            <w:pPr>
              <w:jc w:val="center"/>
              <w:rPr>
                <w:rFonts w:hint="eastAsia" w:ascii="仿宋_GB2312" w:hAnsi="仿宋_GB2312" w:eastAsia="仿宋_GB2312" w:cs="仿宋_GB2312"/>
                <w:color w:val="auto"/>
                <w:sz w:val="24"/>
                <w:szCs w:val="24"/>
                <w:highlight w: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zh-CN"/>
        </w:rPr>
      </w:pPr>
      <w:r>
        <w:rPr>
          <w:rFonts w:hint="eastAsia" w:ascii="仿宋_GB2312" w:hAnsi="仿宋_GB2312" w:eastAsia="仿宋_GB2312" w:cs="仿宋_GB2312"/>
          <w:snapToGrid/>
          <w:color w:val="auto"/>
          <w:kern w:val="2"/>
          <w:sz w:val="32"/>
          <w:szCs w:val="32"/>
          <w:highlight w:val="none"/>
          <w:lang w:val="en-US" w:eastAsia="zh-CN"/>
        </w:rPr>
        <w:t>（6）拟投入的其他管理人员和技术人员在投标时不需填报，但须按招标文件中规定的格式、内容和要求做出相关承诺。具体的人员名单在合同谈判期间确定，但必须满足招标文件中规定的数量及资格要求，作为合同文件的组成部分，是招标人进行履约检查的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zh-CN"/>
        </w:rPr>
      </w:pPr>
      <w:r>
        <w:rPr>
          <w:rFonts w:hint="eastAsia" w:ascii="仿宋_GB2312" w:hAnsi="仿宋_GB2312" w:eastAsia="仿宋_GB2312" w:cs="仿宋_GB2312"/>
          <w:snapToGrid/>
          <w:color w:val="auto"/>
          <w:kern w:val="2"/>
          <w:sz w:val="32"/>
          <w:szCs w:val="32"/>
          <w:highlight w:val="none"/>
          <w:lang w:val="en-US" w:eastAsia="zh-CN"/>
        </w:rPr>
        <w:t>（7）拟投入的主要机械设备、主要试验检测设备，在投标时不需填报，但须按招标文件中规定的格式、内容和要求做出相关承诺。具体的主要机械设备清单、主要试验检测设备清单在合同谈判期间确定，但必须满足招标文件中规定的数量及性能要求，是合同文件的组成部分，作为招标人进行履约检查的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zh-CN"/>
        </w:rPr>
      </w:pPr>
      <w:r>
        <w:rPr>
          <w:rFonts w:hint="eastAsia" w:ascii="仿宋_GB2312" w:hAnsi="仿宋_GB2312" w:eastAsia="仿宋_GB2312" w:cs="仿宋_GB2312"/>
          <w:snapToGrid/>
          <w:color w:val="auto"/>
          <w:kern w:val="2"/>
          <w:sz w:val="32"/>
          <w:szCs w:val="32"/>
          <w:highlight w:val="none"/>
          <w:lang w:val="en-US" w:eastAsia="zh-CN"/>
        </w:rPr>
        <w:t>2.本次招标不接受联合体投标。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zh-CN"/>
        </w:rPr>
      </w:pPr>
      <w:r>
        <w:rPr>
          <w:rFonts w:hint="eastAsia" w:ascii="仿宋_GB2312" w:hAnsi="仿宋_GB2312" w:eastAsia="仿宋_GB2312" w:cs="仿宋_GB2312"/>
          <w:snapToGrid/>
          <w:color w:val="auto"/>
          <w:kern w:val="2"/>
          <w:sz w:val="32"/>
          <w:szCs w:val="32"/>
          <w:highlight w:val="none"/>
          <w:lang w:val="en-US" w:eastAsia="zh-CN"/>
        </w:rPr>
        <w:t>3.与招标人存在利害关系可能影响招标公正性的单位，不得参加投标。单位负责人为同一人或存在控股、管理关系的不同单位，不得同时参加同一标段的投标，否则相关投标均无效。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napToGrid/>
          <w:color w:val="auto"/>
          <w:kern w:val="2"/>
          <w:sz w:val="32"/>
          <w:szCs w:val="32"/>
          <w:highlight w:val="none"/>
          <w:lang w:val="en-US" w:eastAsia="zh-CN"/>
        </w:rPr>
      </w:pPr>
      <w:r>
        <w:rPr>
          <w:rFonts w:hint="eastAsia" w:ascii="仿宋_GB2312" w:hAnsi="仿宋_GB2312" w:eastAsia="仿宋_GB2312" w:cs="仿宋_GB2312"/>
          <w:snapToGrid/>
          <w:color w:val="auto"/>
          <w:kern w:val="2"/>
          <w:sz w:val="32"/>
          <w:szCs w:val="32"/>
          <w:highlight w:val="none"/>
          <w:lang w:val="en-US" w:eastAsia="zh-CN"/>
        </w:rPr>
        <w:t>与施工监理单位陕西高速公路工程咨询有限公司、试验检测单位陕西高速公路工程试验检测有限公司具有关联关系（单位负责人为同一人或存在控股、管理关系的不同单位）的单位不能参加投标。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en-US"/>
        </w:rPr>
      </w:pPr>
      <w:r>
        <w:rPr>
          <w:rFonts w:hint="eastAsia" w:ascii="仿宋_GB2312" w:hAnsi="仿宋_GB2312" w:eastAsia="仿宋_GB2312" w:cs="仿宋_GB2312"/>
          <w:snapToGrid/>
          <w:color w:val="auto"/>
          <w:kern w:val="2"/>
          <w:sz w:val="32"/>
          <w:szCs w:val="32"/>
          <w:highlight w:val="none"/>
          <w:lang w:val="en-US" w:eastAsia="zh-CN"/>
        </w:rPr>
        <w:t>4.</w:t>
      </w:r>
      <w:r>
        <w:rPr>
          <w:rFonts w:hint="eastAsia" w:ascii="仿宋_GB2312" w:hAnsi="仿宋_GB2312" w:eastAsia="仿宋_GB2312" w:cs="仿宋_GB2312"/>
          <w:snapToGrid/>
          <w:color w:val="auto"/>
          <w:kern w:val="2"/>
          <w:sz w:val="32"/>
          <w:szCs w:val="32"/>
          <w:highlight w:val="none"/>
          <w:lang w:val="en-US" w:eastAsia="en-US"/>
        </w:rPr>
        <w:t>在“信用中国”网站中被列入失信被执行人名单的投标人，不得参加投标。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napToGrid/>
          <w:color w:val="auto"/>
          <w:kern w:val="2"/>
          <w:sz w:val="32"/>
          <w:szCs w:val="32"/>
          <w:highlight w:val="none"/>
          <w:lang w:val="en-US" w:eastAsia="zh-CN"/>
        </w:rPr>
      </w:pPr>
      <w:r>
        <w:rPr>
          <w:rFonts w:hint="eastAsia" w:ascii="仿宋_GB2312" w:hAnsi="仿宋_GB2312" w:eastAsia="仿宋_GB2312" w:cs="仿宋_GB2312"/>
          <w:snapToGrid/>
          <w:color w:val="auto"/>
          <w:kern w:val="2"/>
          <w:sz w:val="32"/>
          <w:szCs w:val="32"/>
          <w:highlight w:val="none"/>
          <w:lang w:val="en-US" w:eastAsia="zh-CN"/>
        </w:rPr>
        <w:t>5.投标保证金：每标段人民币5万元，现金或银行保函。</w:t>
      </w:r>
    </w:p>
    <w:p>
      <w:pPr>
        <w:spacing w:line="360" w:lineRule="auto"/>
        <w:ind w:firstLine="640" w:firstLineChars="200"/>
        <w:rPr>
          <w:rFonts w:hint="eastAsia" w:ascii="黑体" w:hAnsi="黑体" w:eastAsia="黑体" w:cs="黑体"/>
          <w:sz w:val="32"/>
          <w:szCs w:val="32"/>
        </w:rPr>
      </w:pPr>
      <w:r>
        <w:rPr>
          <w:rFonts w:hint="eastAsia" w:ascii="黑体" w:hAnsi="黑体" w:eastAsia="黑体" w:cs="黑体"/>
          <w:sz w:val="32"/>
          <w:szCs w:val="32"/>
        </w:rPr>
        <w:t>三、‌‌‌评标办法</w:t>
      </w:r>
    </w:p>
    <w:tbl>
      <w:tblPr>
        <w:tblStyle w:val="11"/>
        <w:tblW w:w="96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9"/>
        <w:gridCol w:w="908"/>
        <w:gridCol w:w="78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1" w:hRule="atLeast"/>
          <w:jc w:val="center"/>
        </w:trPr>
        <w:tc>
          <w:tcPr>
            <w:tcW w:w="1737" w:type="dxa"/>
            <w:gridSpan w:val="2"/>
            <w:vAlign w:val="center"/>
          </w:tcPr>
          <w:p>
            <w:pPr>
              <w:pStyle w:val="19"/>
              <w:keepNext w:val="0"/>
              <w:keepLines w:val="0"/>
              <w:pageBreakBefore w:val="0"/>
              <w:widowControl w:val="0"/>
              <w:kinsoku/>
              <w:wordWrap/>
              <w:overflowPunct/>
              <w:topLinePunct w:val="0"/>
              <w:autoSpaceDE/>
              <w:autoSpaceDN/>
              <w:bidi w:val="0"/>
              <w:adjustRightInd/>
              <w:snapToGrid/>
              <w:spacing w:line="240" w:lineRule="exact"/>
              <w:ind w:left="0" w:right="0"/>
              <w:jc w:val="center"/>
              <w:textAlignment w:val="auto"/>
              <w:rPr>
                <w:rFonts w:hint="eastAsia" w:ascii="宋体" w:hAnsi="宋体" w:eastAsia="宋体" w:cs="宋体"/>
                <w:b/>
                <w:sz w:val="24"/>
                <w:szCs w:val="24"/>
                <w:highlight w:val="none"/>
              </w:rPr>
            </w:pPr>
          </w:p>
          <w:p>
            <w:pPr>
              <w:pStyle w:val="19"/>
              <w:keepNext w:val="0"/>
              <w:keepLines w:val="0"/>
              <w:pageBreakBefore w:val="0"/>
              <w:widowControl w:val="0"/>
              <w:kinsoku/>
              <w:wordWrap/>
              <w:overflowPunct/>
              <w:topLinePunct w:val="0"/>
              <w:autoSpaceDE/>
              <w:autoSpaceDN/>
              <w:bidi w:val="0"/>
              <w:adjustRightInd/>
              <w:snapToGrid/>
              <w:spacing w:line="240" w:lineRule="exact"/>
              <w:ind w:left="0" w:right="0"/>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条款号</w:t>
            </w:r>
          </w:p>
        </w:tc>
        <w:tc>
          <w:tcPr>
            <w:tcW w:w="7881" w:type="dxa"/>
            <w:vAlign w:val="center"/>
          </w:tcPr>
          <w:p>
            <w:pPr>
              <w:pStyle w:val="19"/>
              <w:keepNext w:val="0"/>
              <w:keepLines w:val="0"/>
              <w:pageBreakBefore w:val="0"/>
              <w:widowControl w:val="0"/>
              <w:kinsoku/>
              <w:wordWrap/>
              <w:overflowPunct/>
              <w:topLinePunct w:val="0"/>
              <w:autoSpaceDE/>
              <w:autoSpaceDN/>
              <w:bidi w:val="0"/>
              <w:adjustRightInd/>
              <w:snapToGrid/>
              <w:spacing w:line="240" w:lineRule="exact"/>
              <w:ind w:left="0" w:right="0"/>
              <w:jc w:val="center"/>
              <w:textAlignment w:val="auto"/>
              <w:rPr>
                <w:rFonts w:hint="eastAsia" w:ascii="宋体" w:hAnsi="宋体" w:eastAsia="宋体" w:cs="宋体"/>
                <w:b/>
                <w:sz w:val="24"/>
                <w:szCs w:val="24"/>
                <w:highlight w:val="none"/>
              </w:rPr>
            </w:pPr>
          </w:p>
          <w:p>
            <w:pPr>
              <w:pStyle w:val="19"/>
              <w:keepNext w:val="0"/>
              <w:keepLines w:val="0"/>
              <w:pageBreakBefore w:val="0"/>
              <w:widowControl w:val="0"/>
              <w:kinsoku/>
              <w:wordWrap/>
              <w:overflowPunct/>
              <w:topLinePunct w:val="0"/>
              <w:autoSpaceDE/>
              <w:autoSpaceDN/>
              <w:bidi w:val="0"/>
              <w:adjustRightInd/>
              <w:snapToGrid/>
              <w:spacing w:line="240" w:lineRule="exact"/>
              <w:ind w:left="0" w:right="0"/>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评审因素与评审标准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jc w:val="center"/>
        </w:trPr>
        <w:tc>
          <w:tcPr>
            <w:tcW w:w="829" w:type="dxa"/>
            <w:vAlign w:val="center"/>
          </w:tcPr>
          <w:p>
            <w:pPr>
              <w:pStyle w:val="19"/>
              <w:ind w:left="2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908" w:type="dxa"/>
            <w:vAlign w:val="center"/>
          </w:tcPr>
          <w:p>
            <w:pPr>
              <w:pStyle w:val="19"/>
              <w:ind w:left="91"/>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评标</w:t>
            </w:r>
          </w:p>
          <w:p>
            <w:pPr>
              <w:pStyle w:val="19"/>
              <w:ind w:left="91"/>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方法</w:t>
            </w:r>
          </w:p>
        </w:tc>
        <w:tc>
          <w:tcPr>
            <w:tcW w:w="7881" w:type="dxa"/>
            <w:vAlign w:val="center"/>
          </w:tcPr>
          <w:p>
            <w:pPr>
              <w:keepNext w:val="0"/>
              <w:keepLines w:val="0"/>
              <w:pageBreakBefore w:val="0"/>
              <w:widowControl w:val="0"/>
              <w:kinsoku/>
              <w:wordWrap/>
              <w:overflowPunct/>
              <w:topLinePunct w:val="0"/>
              <w:autoSpaceDE w:val="0"/>
              <w:autoSpaceDN w:val="0"/>
              <w:bidi w:val="0"/>
              <w:adjustRightInd/>
              <w:snapToGrid w:val="0"/>
              <w:spacing w:line="320" w:lineRule="exact"/>
              <w:ind w:left="0" w:leftChars="0" w:right="0" w:righ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本次评标采用技术评分最低标价法，资格后审。</w:t>
            </w:r>
          </w:p>
          <w:p>
            <w:pPr>
              <w:pStyle w:val="24"/>
              <w:keepNext w:val="0"/>
              <w:keepLines w:val="0"/>
              <w:pageBreakBefore w:val="0"/>
              <w:widowControl w:val="0"/>
              <w:kinsoku/>
              <w:wordWrap/>
              <w:overflowPunct/>
              <w:topLinePunct w:val="0"/>
              <w:autoSpaceDE w:val="0"/>
              <w:autoSpaceDN w:val="0"/>
              <w:bidi w:val="0"/>
              <w:adjustRightInd/>
              <w:snapToGrid w:val="0"/>
              <w:spacing w:line="320" w:lineRule="exact"/>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对满足招标文件实质性要求的投标文件的施工组织设计、主要管理人员、技术能力、履约信誉、业绩等因素进行评分，按照得分由高到低排序，对排名前6名的投标人的报价文件进行评审，按照评标价由低到高的顺序推荐中标候选人。</w:t>
            </w:r>
          </w:p>
          <w:p>
            <w:pPr>
              <w:pStyle w:val="24"/>
              <w:keepNext w:val="0"/>
              <w:keepLines w:val="0"/>
              <w:pageBreakBefore w:val="0"/>
              <w:widowControl w:val="0"/>
              <w:kinsoku/>
              <w:wordWrap/>
              <w:overflowPunct/>
              <w:topLinePunct w:val="0"/>
              <w:autoSpaceDE w:val="0"/>
              <w:autoSpaceDN w:val="0"/>
              <w:bidi w:val="0"/>
              <w:adjustRightInd/>
              <w:snapToGrid w:val="0"/>
              <w:spacing w:line="320" w:lineRule="exact"/>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评标价相等时，评标委员会依次按照以下优先顺序推荐中标候选人：</w:t>
            </w:r>
          </w:p>
          <w:p>
            <w:pPr>
              <w:pStyle w:val="24"/>
              <w:keepNext w:val="0"/>
              <w:keepLines w:val="0"/>
              <w:pageBreakBefore w:val="0"/>
              <w:widowControl w:val="0"/>
              <w:kinsoku/>
              <w:wordWrap/>
              <w:overflowPunct/>
              <w:topLinePunct w:val="0"/>
              <w:autoSpaceDE w:val="0"/>
              <w:autoSpaceDN w:val="0"/>
              <w:bidi w:val="0"/>
              <w:adjustRightInd/>
              <w:snapToGrid w:val="0"/>
              <w:spacing w:line="320" w:lineRule="exact"/>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（1）履约信誉得分较高的投标人优先；</w:t>
            </w:r>
          </w:p>
          <w:p>
            <w:pPr>
              <w:pStyle w:val="24"/>
              <w:keepNext w:val="0"/>
              <w:keepLines w:val="0"/>
              <w:pageBreakBefore w:val="0"/>
              <w:widowControl w:val="0"/>
              <w:kinsoku/>
              <w:wordWrap/>
              <w:overflowPunct/>
              <w:topLinePunct w:val="0"/>
              <w:autoSpaceDE w:val="0"/>
              <w:autoSpaceDN w:val="0"/>
              <w:bidi w:val="0"/>
              <w:adjustRightInd/>
              <w:snapToGrid w:val="0"/>
              <w:spacing w:line="320" w:lineRule="exact"/>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（2）商务和技术得分较高的投标人优先；</w:t>
            </w:r>
          </w:p>
          <w:p>
            <w:pPr>
              <w:pStyle w:val="24"/>
              <w:keepNext w:val="0"/>
              <w:keepLines w:val="0"/>
              <w:pageBreakBefore w:val="0"/>
              <w:widowControl w:val="0"/>
              <w:kinsoku/>
              <w:wordWrap/>
              <w:overflowPunct/>
              <w:topLinePunct w:val="0"/>
              <w:autoSpaceDE w:val="0"/>
              <w:autoSpaceDN w:val="0"/>
              <w:bidi w:val="0"/>
              <w:adjustRightInd/>
              <w:snapToGrid w:val="0"/>
              <w:spacing w:line="320" w:lineRule="exact"/>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（3）施工组织设计得分较高的投标人优先。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jc w:val="center"/>
        </w:trPr>
        <w:tc>
          <w:tcPr>
            <w:tcW w:w="829" w:type="dxa"/>
            <w:shd w:val="clear" w:color="auto" w:fill="auto"/>
            <w:vAlign w:val="top"/>
          </w:tcPr>
          <w:p>
            <w:pPr>
              <w:pStyle w:val="19"/>
              <w:rPr>
                <w:rFonts w:hint="eastAsia" w:ascii="宋体" w:hAnsi="宋体" w:eastAsia="宋体" w:cs="宋体"/>
                <w:b/>
                <w:sz w:val="24"/>
                <w:szCs w:val="24"/>
                <w:highlight w:val="none"/>
              </w:rPr>
            </w:pPr>
          </w:p>
          <w:p>
            <w:pPr>
              <w:pStyle w:val="19"/>
              <w:rPr>
                <w:rFonts w:hint="eastAsia" w:ascii="宋体" w:hAnsi="宋体" w:eastAsia="宋体" w:cs="宋体"/>
                <w:b/>
                <w:sz w:val="24"/>
                <w:szCs w:val="24"/>
                <w:highlight w:val="none"/>
              </w:rPr>
            </w:pPr>
          </w:p>
          <w:p>
            <w:pPr>
              <w:pStyle w:val="19"/>
              <w:rPr>
                <w:rFonts w:hint="eastAsia" w:ascii="宋体" w:hAnsi="宋体" w:eastAsia="宋体" w:cs="宋体"/>
                <w:b/>
                <w:sz w:val="24"/>
                <w:szCs w:val="24"/>
                <w:highlight w:val="none"/>
              </w:rPr>
            </w:pPr>
          </w:p>
          <w:p>
            <w:pPr>
              <w:pStyle w:val="19"/>
              <w:rPr>
                <w:rFonts w:hint="eastAsia" w:ascii="宋体" w:hAnsi="宋体" w:eastAsia="宋体" w:cs="宋体"/>
                <w:b/>
                <w:sz w:val="24"/>
                <w:szCs w:val="24"/>
                <w:highlight w:val="none"/>
              </w:rPr>
            </w:pPr>
          </w:p>
          <w:p>
            <w:pPr>
              <w:pStyle w:val="19"/>
              <w:rPr>
                <w:rFonts w:hint="eastAsia" w:ascii="宋体" w:hAnsi="宋体" w:eastAsia="宋体" w:cs="宋体"/>
                <w:b/>
                <w:sz w:val="24"/>
                <w:szCs w:val="24"/>
                <w:highlight w:val="none"/>
              </w:rPr>
            </w:pPr>
          </w:p>
          <w:p>
            <w:pPr>
              <w:pStyle w:val="19"/>
              <w:rPr>
                <w:rFonts w:hint="eastAsia" w:ascii="宋体" w:hAnsi="宋体" w:eastAsia="宋体" w:cs="宋体"/>
                <w:b/>
                <w:sz w:val="24"/>
                <w:szCs w:val="24"/>
                <w:highlight w:val="none"/>
              </w:rPr>
            </w:pPr>
          </w:p>
          <w:p>
            <w:pPr>
              <w:pStyle w:val="19"/>
              <w:rPr>
                <w:rFonts w:hint="eastAsia" w:ascii="宋体" w:hAnsi="宋体" w:eastAsia="宋体" w:cs="宋体"/>
                <w:b/>
                <w:sz w:val="24"/>
                <w:szCs w:val="24"/>
                <w:highlight w:val="none"/>
              </w:rPr>
            </w:pPr>
          </w:p>
          <w:p>
            <w:pPr>
              <w:pStyle w:val="19"/>
              <w:rPr>
                <w:rFonts w:hint="eastAsia" w:ascii="宋体" w:hAnsi="宋体" w:eastAsia="宋体" w:cs="宋体"/>
                <w:b/>
                <w:sz w:val="24"/>
                <w:szCs w:val="24"/>
                <w:highlight w:val="none"/>
              </w:rPr>
            </w:pPr>
          </w:p>
          <w:p>
            <w:pPr>
              <w:pStyle w:val="19"/>
              <w:rPr>
                <w:rFonts w:hint="eastAsia" w:ascii="宋体" w:hAnsi="宋体" w:eastAsia="宋体" w:cs="宋体"/>
                <w:b/>
                <w:sz w:val="24"/>
                <w:szCs w:val="24"/>
                <w:highlight w:val="none"/>
              </w:rPr>
            </w:pPr>
          </w:p>
          <w:p>
            <w:pPr>
              <w:pStyle w:val="19"/>
              <w:rPr>
                <w:rFonts w:hint="eastAsia" w:ascii="宋体" w:hAnsi="宋体" w:eastAsia="宋体" w:cs="宋体"/>
                <w:b/>
                <w:sz w:val="24"/>
                <w:szCs w:val="24"/>
                <w:highlight w:val="none"/>
              </w:rPr>
            </w:pPr>
          </w:p>
          <w:p>
            <w:pPr>
              <w:pStyle w:val="19"/>
              <w:rPr>
                <w:rFonts w:hint="eastAsia" w:ascii="宋体" w:hAnsi="宋体" w:eastAsia="宋体" w:cs="宋体"/>
                <w:b/>
                <w:sz w:val="24"/>
                <w:szCs w:val="24"/>
                <w:highlight w:val="none"/>
              </w:rPr>
            </w:pPr>
          </w:p>
          <w:p>
            <w:pPr>
              <w:pStyle w:val="19"/>
              <w:rPr>
                <w:rFonts w:hint="eastAsia" w:ascii="宋体" w:hAnsi="宋体" w:eastAsia="宋体" w:cs="宋体"/>
                <w:b/>
                <w:sz w:val="24"/>
                <w:szCs w:val="24"/>
                <w:highlight w:val="none"/>
              </w:rPr>
            </w:pPr>
          </w:p>
          <w:p>
            <w:pPr>
              <w:pStyle w:val="19"/>
              <w:rPr>
                <w:rFonts w:hint="eastAsia" w:ascii="宋体" w:hAnsi="宋体" w:eastAsia="宋体" w:cs="宋体"/>
                <w:b/>
                <w:sz w:val="24"/>
                <w:szCs w:val="24"/>
                <w:highlight w:val="none"/>
              </w:rPr>
            </w:pPr>
          </w:p>
          <w:p>
            <w:pPr>
              <w:pStyle w:val="19"/>
              <w:spacing w:before="8"/>
              <w:rPr>
                <w:rFonts w:hint="eastAsia" w:ascii="宋体" w:hAnsi="宋体" w:eastAsia="宋体" w:cs="宋体"/>
                <w:b/>
                <w:sz w:val="24"/>
                <w:szCs w:val="24"/>
                <w:highlight w:val="none"/>
              </w:rPr>
            </w:pPr>
          </w:p>
          <w:p>
            <w:pPr>
              <w:pStyle w:val="19"/>
              <w:ind w:left="102"/>
              <w:rPr>
                <w:rFonts w:hint="eastAsia" w:ascii="宋体" w:hAnsi="宋体" w:eastAsia="宋体" w:cs="宋体"/>
                <w:sz w:val="24"/>
                <w:szCs w:val="24"/>
                <w:highlight w:val="none"/>
              </w:rPr>
            </w:pPr>
            <w:r>
              <w:rPr>
                <w:rFonts w:hint="eastAsia" w:ascii="宋体" w:hAnsi="宋体" w:eastAsia="宋体" w:cs="宋体"/>
                <w:sz w:val="24"/>
                <w:szCs w:val="24"/>
                <w:highlight w:val="none"/>
              </w:rPr>
              <w:t>2.1.1</w:t>
            </w:r>
          </w:p>
          <w:p>
            <w:pPr>
              <w:pStyle w:val="19"/>
              <w:spacing w:before="12"/>
              <w:rPr>
                <w:rFonts w:hint="eastAsia" w:ascii="宋体" w:hAnsi="宋体" w:eastAsia="宋体" w:cs="宋体"/>
                <w:b/>
                <w:sz w:val="24"/>
                <w:szCs w:val="24"/>
                <w:highlight w:val="none"/>
              </w:rPr>
            </w:pPr>
          </w:p>
          <w:p>
            <w:pPr>
              <w:pStyle w:val="19"/>
              <w:ind w:left="102" w:leftChars="0"/>
              <w:rPr>
                <w:rFonts w:hint="eastAsia" w:ascii="宋体" w:hAnsi="宋体" w:eastAsia="宋体" w:cs="宋体"/>
                <w:kern w:val="0"/>
                <w:sz w:val="24"/>
                <w:szCs w:val="24"/>
                <w:highlight w:val="none"/>
                <w:lang w:val="en-US" w:eastAsia="en-US" w:bidi="ar-SA"/>
              </w:rPr>
            </w:pPr>
            <w:r>
              <w:rPr>
                <w:rFonts w:hint="eastAsia" w:ascii="宋体" w:hAnsi="宋体" w:eastAsia="宋体" w:cs="宋体"/>
                <w:sz w:val="24"/>
                <w:szCs w:val="24"/>
                <w:highlight w:val="none"/>
              </w:rPr>
              <w:t>2.1.3</w:t>
            </w:r>
          </w:p>
        </w:tc>
        <w:tc>
          <w:tcPr>
            <w:tcW w:w="908" w:type="dxa"/>
            <w:shd w:val="clear" w:color="auto" w:fill="auto"/>
            <w:vAlign w:val="center"/>
          </w:tcPr>
          <w:p>
            <w:pPr>
              <w:pStyle w:val="19"/>
              <w:jc w:val="center"/>
              <w:rPr>
                <w:rFonts w:hint="eastAsia" w:ascii="宋体" w:hAnsi="宋体" w:eastAsia="宋体" w:cs="宋体"/>
                <w:b/>
                <w:sz w:val="24"/>
                <w:szCs w:val="24"/>
                <w:highlight w:val="none"/>
              </w:rPr>
            </w:pPr>
          </w:p>
          <w:p>
            <w:pPr>
              <w:pStyle w:val="19"/>
              <w:spacing w:line="410" w:lineRule="auto"/>
              <w:ind w:left="91" w:leftChars="0" w:right="59" w:rightChars="0"/>
              <w:jc w:val="center"/>
              <w:rPr>
                <w:rFonts w:hint="eastAsia" w:ascii="宋体" w:hAnsi="宋体" w:eastAsia="宋体" w:cs="宋体"/>
                <w:kern w:val="0"/>
                <w:sz w:val="24"/>
                <w:szCs w:val="24"/>
                <w:highlight w:val="none"/>
                <w:lang w:val="en-US" w:eastAsia="en-US" w:bidi="ar-SA"/>
              </w:rPr>
            </w:pPr>
            <w:r>
              <w:rPr>
                <w:rFonts w:hint="eastAsia" w:ascii="宋体" w:hAnsi="宋体" w:eastAsia="宋体" w:cs="宋体"/>
                <w:sz w:val="24"/>
                <w:szCs w:val="24"/>
                <w:highlight w:val="none"/>
              </w:rPr>
              <w:t>形式评审与响应性评审标准</w:t>
            </w:r>
          </w:p>
        </w:tc>
        <w:tc>
          <w:tcPr>
            <w:tcW w:w="7881" w:type="dxa"/>
            <w:shd w:val="clear" w:color="auto" w:fill="auto"/>
            <w:vAlign w:val="center"/>
          </w:tcPr>
          <w:p>
            <w:pPr>
              <w:pStyle w:val="19"/>
              <w:spacing w:line="400" w:lineRule="exact"/>
              <w:ind w:left="14" w:right="151" w:rightChars="72"/>
              <w:jc w:val="both"/>
              <w:rPr>
                <w:rFonts w:hint="eastAsia" w:ascii="宋体" w:hAnsi="宋体" w:eastAsia="宋体" w:cs="宋体"/>
                <w:b/>
                <w:sz w:val="24"/>
                <w:szCs w:val="24"/>
                <w:highlight w:val="none"/>
              </w:rPr>
            </w:pPr>
            <w:r>
              <w:rPr>
                <w:rFonts w:hint="eastAsia" w:ascii="宋体" w:hAnsi="宋体" w:eastAsia="宋体" w:cs="宋体"/>
                <w:b/>
                <w:sz w:val="24"/>
                <w:szCs w:val="24"/>
                <w:highlight w:val="none"/>
              </w:rPr>
              <w:t>第一个信封（商务及技术文件）评审标准：</w:t>
            </w:r>
          </w:p>
          <w:p>
            <w:pPr>
              <w:pStyle w:val="19"/>
              <w:spacing w:line="400" w:lineRule="exact"/>
              <w:ind w:left="14" w:right="151" w:rightChars="72"/>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（1）投标文件按照招标文件规定的格式、内容填写，字迹清晰可辨：</w:t>
            </w:r>
          </w:p>
          <w:p>
            <w:pPr>
              <w:pStyle w:val="19"/>
              <w:tabs>
                <w:tab w:val="left" w:pos="229"/>
              </w:tabs>
              <w:spacing w:line="400" w:lineRule="exact"/>
              <w:ind w:left="14" w:right="151" w:rightChars="72"/>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rPr>
              <w:t>a.</w:t>
            </w:r>
            <w:r>
              <w:rPr>
                <w:rFonts w:hint="eastAsia" w:ascii="宋体" w:hAnsi="宋体" w:eastAsia="宋体" w:cs="宋体"/>
                <w:sz w:val="24"/>
                <w:szCs w:val="24"/>
                <w:highlight w:val="none"/>
              </w:rPr>
              <w:t>投标函按招标文件规定填报了项目名称、标段号、补遗书编号（如有）</w:t>
            </w:r>
            <w:r>
              <w:rPr>
                <w:rFonts w:hint="eastAsia" w:ascii="宋体" w:hAnsi="宋体" w:eastAsia="宋体" w:cs="宋体"/>
                <w:spacing w:val="-3"/>
                <w:sz w:val="24"/>
                <w:szCs w:val="24"/>
                <w:highlight w:val="none"/>
              </w:rPr>
              <w:t>、服务期限、工程质量要求及安全目标；</w:t>
            </w:r>
          </w:p>
          <w:p>
            <w:pPr>
              <w:pStyle w:val="19"/>
              <w:tabs>
                <w:tab w:val="left" w:pos="227"/>
              </w:tabs>
              <w:spacing w:line="400" w:lineRule="exact"/>
              <w:ind w:left="13" w:right="151" w:rightChars="72"/>
              <w:jc w:val="both"/>
              <w:rPr>
                <w:rFonts w:hint="eastAsia" w:ascii="宋体" w:hAnsi="宋体" w:eastAsia="宋体" w:cs="宋体"/>
                <w:sz w:val="24"/>
                <w:szCs w:val="24"/>
                <w:highlight w:val="none"/>
              </w:rPr>
            </w:pPr>
            <w:r>
              <w:rPr>
                <w:rFonts w:hint="eastAsia" w:ascii="宋体" w:hAnsi="宋体" w:eastAsia="宋体" w:cs="宋体"/>
                <w:spacing w:val="-3"/>
                <w:sz w:val="24"/>
                <w:szCs w:val="24"/>
                <w:highlight w:val="none"/>
                <w:lang w:val="en-US" w:eastAsia="zh-CN"/>
              </w:rPr>
              <w:t>b</w:t>
            </w:r>
            <w:r>
              <w:rPr>
                <w:rFonts w:hint="eastAsia" w:ascii="宋体" w:hAnsi="宋体" w:eastAsia="宋体" w:cs="宋体"/>
                <w:spacing w:val="-3"/>
                <w:sz w:val="24"/>
                <w:szCs w:val="24"/>
                <w:highlight w:val="none"/>
                <w:lang w:val="en-US"/>
              </w:rPr>
              <w:t>.</w:t>
            </w:r>
            <w:r>
              <w:rPr>
                <w:rFonts w:hint="eastAsia" w:ascii="宋体" w:hAnsi="宋体" w:eastAsia="宋体" w:cs="宋体"/>
                <w:spacing w:val="-3"/>
                <w:sz w:val="24"/>
                <w:szCs w:val="24"/>
                <w:highlight w:val="none"/>
              </w:rPr>
              <w:t>投标文件组成齐全完整，提供的相关资料符合招标文件规定，内容均按规定填写。</w:t>
            </w:r>
          </w:p>
          <w:p>
            <w:pPr>
              <w:pStyle w:val="19"/>
              <w:tabs>
                <w:tab w:val="left" w:pos="542"/>
              </w:tabs>
              <w:spacing w:line="400" w:lineRule="exact"/>
              <w:ind w:left="14" w:right="151" w:rightChars="72"/>
              <w:jc w:val="both"/>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w:t>
            </w:r>
            <w:r>
              <w:rPr>
                <w:rFonts w:hint="eastAsia" w:ascii="宋体" w:hAnsi="宋体" w:eastAsia="宋体" w:cs="宋体"/>
                <w:spacing w:val="-5"/>
                <w:sz w:val="24"/>
                <w:szCs w:val="24"/>
                <w:highlight w:val="none"/>
                <w:lang w:val="en-US"/>
              </w:rPr>
              <w:t>2</w:t>
            </w:r>
            <w:r>
              <w:rPr>
                <w:rFonts w:hint="eastAsia" w:ascii="宋体" w:hAnsi="宋体" w:eastAsia="宋体" w:cs="宋体"/>
                <w:spacing w:val="-5"/>
                <w:sz w:val="24"/>
                <w:szCs w:val="24"/>
                <w:highlight w:val="none"/>
              </w:rPr>
              <w:t>）投标文件上法定代表人或其委托代理人的签字、投标人的单位章盖章齐全，符合</w:t>
            </w:r>
            <w:r>
              <w:rPr>
                <w:rFonts w:hint="eastAsia" w:ascii="宋体" w:hAnsi="宋体" w:eastAsia="宋体" w:cs="宋体"/>
                <w:spacing w:val="-4"/>
                <w:sz w:val="24"/>
                <w:szCs w:val="24"/>
                <w:highlight w:val="none"/>
              </w:rPr>
              <w:t>招标文件规定。</w:t>
            </w:r>
          </w:p>
          <w:p>
            <w:pPr>
              <w:pStyle w:val="19"/>
              <w:tabs>
                <w:tab w:val="left" w:pos="544"/>
              </w:tabs>
              <w:spacing w:line="400" w:lineRule="exact"/>
              <w:ind w:left="13" w:right="151" w:rightChars="72"/>
              <w:jc w:val="both"/>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w:t>
            </w:r>
            <w:r>
              <w:rPr>
                <w:rFonts w:hint="eastAsia" w:ascii="宋体" w:hAnsi="宋体" w:eastAsia="宋体" w:cs="宋体"/>
                <w:spacing w:val="-3"/>
                <w:sz w:val="24"/>
                <w:szCs w:val="24"/>
                <w:highlight w:val="none"/>
                <w:lang w:val="en-US"/>
              </w:rPr>
              <w:t>3</w:t>
            </w:r>
            <w:r>
              <w:rPr>
                <w:rFonts w:hint="eastAsia" w:ascii="宋体" w:hAnsi="宋体" w:eastAsia="宋体" w:cs="宋体"/>
                <w:spacing w:val="-3"/>
                <w:sz w:val="24"/>
                <w:szCs w:val="24"/>
                <w:highlight w:val="none"/>
              </w:rPr>
              <w:t>）投标人按照招标文件的规定提供了投标保证金：</w:t>
            </w:r>
          </w:p>
          <w:p>
            <w:pPr>
              <w:pStyle w:val="19"/>
              <w:spacing w:line="400" w:lineRule="exact"/>
              <w:ind w:left="14" w:right="151" w:rightChars="72"/>
              <w:jc w:val="both"/>
              <w:rPr>
                <w:rFonts w:hint="eastAsia" w:ascii="宋体" w:hAnsi="宋体" w:eastAsia="宋体" w:cs="宋体"/>
                <w:spacing w:val="-4"/>
                <w:sz w:val="24"/>
                <w:szCs w:val="24"/>
                <w:highlight w:val="none"/>
                <w:lang w:eastAsia="zh-CN"/>
              </w:rPr>
            </w:pPr>
            <w:r>
              <w:rPr>
                <w:rFonts w:hint="eastAsia" w:ascii="宋体" w:hAnsi="宋体" w:eastAsia="宋体" w:cs="宋体"/>
                <w:sz w:val="24"/>
                <w:szCs w:val="24"/>
                <w:highlight w:val="none"/>
              </w:rPr>
              <w:t>a.</w:t>
            </w:r>
            <w:r>
              <w:rPr>
                <w:rFonts w:hint="eastAsia" w:ascii="宋体" w:hAnsi="宋体" w:eastAsia="宋体" w:cs="宋体"/>
                <w:spacing w:val="-4"/>
                <w:sz w:val="24"/>
                <w:szCs w:val="24"/>
                <w:highlight w:val="none"/>
              </w:rPr>
              <w:t>投标保证金金额符合招标文件规定的金额，且投标保证金有效期不少于投标有效期</w:t>
            </w:r>
            <w:r>
              <w:rPr>
                <w:rFonts w:hint="eastAsia" w:ascii="宋体" w:hAnsi="宋体" w:eastAsia="宋体" w:cs="宋体"/>
                <w:spacing w:val="-4"/>
                <w:sz w:val="24"/>
                <w:szCs w:val="24"/>
                <w:highlight w:val="none"/>
                <w:lang w:eastAsia="zh-CN"/>
              </w:rPr>
              <w:t>。</w:t>
            </w:r>
          </w:p>
          <w:p>
            <w:pPr>
              <w:pStyle w:val="19"/>
              <w:spacing w:line="400" w:lineRule="exact"/>
              <w:ind w:left="14" w:right="151" w:rightChars="72"/>
              <w:jc w:val="both"/>
              <w:rPr>
                <w:rFonts w:hint="eastAsia" w:ascii="宋体" w:hAnsi="宋体" w:eastAsia="宋体" w:cs="宋体"/>
                <w:sz w:val="24"/>
                <w:szCs w:val="24"/>
                <w:highlight w:val="none"/>
              </w:rPr>
            </w:pPr>
            <w:r>
              <w:rPr>
                <w:rFonts w:hint="eastAsia" w:ascii="宋体" w:hAnsi="宋体" w:eastAsia="宋体" w:cs="宋体"/>
                <w:spacing w:val="-4"/>
                <w:sz w:val="24"/>
                <w:szCs w:val="24"/>
                <w:highlight w:val="none"/>
              </w:rPr>
              <w:t>b</w:t>
            </w:r>
            <w:r>
              <w:rPr>
                <w:rFonts w:hint="eastAsia" w:ascii="宋体" w:hAnsi="宋体" w:eastAsia="宋体" w:cs="宋体"/>
                <w:spacing w:val="-5"/>
                <w:sz w:val="24"/>
                <w:szCs w:val="24"/>
                <w:highlight w:val="none"/>
              </w:rPr>
              <w:t>.若投标保证金采用现金形式提交，投标人应在递交投标文件截止时间之前，将投标</w:t>
            </w:r>
            <w:r>
              <w:rPr>
                <w:rFonts w:hint="eastAsia" w:ascii="宋体" w:hAnsi="宋体" w:eastAsia="宋体" w:cs="宋体"/>
                <w:spacing w:val="-3"/>
                <w:sz w:val="24"/>
                <w:szCs w:val="24"/>
                <w:highlight w:val="none"/>
              </w:rPr>
              <w:t>保证金由投标人的基本账户转入招标人指定账户；</w:t>
            </w:r>
          </w:p>
          <w:p>
            <w:pPr>
              <w:pStyle w:val="19"/>
              <w:tabs>
                <w:tab w:val="left" w:pos="229"/>
              </w:tabs>
              <w:spacing w:line="400" w:lineRule="exact"/>
              <w:ind w:left="14" w:right="151" w:rightChars="72"/>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rPr>
              <w:t>c.</w:t>
            </w:r>
            <w:r>
              <w:rPr>
                <w:rFonts w:hint="eastAsia" w:ascii="宋体" w:hAnsi="宋体" w:eastAsia="宋体" w:cs="宋体"/>
                <w:sz w:val="24"/>
                <w:szCs w:val="24"/>
                <w:highlight w:val="none"/>
              </w:rPr>
              <w:t>若投标保证金采用银行保函形式提交，银行保函的格式、开具保函的银行均满足招标文件要求，且在递交投标文件截止时间之前向招标人提交了银行保函和开具保函权</w:t>
            </w:r>
            <w:r>
              <w:rPr>
                <w:rFonts w:hint="eastAsia" w:ascii="宋体" w:hAnsi="宋体" w:eastAsia="宋体" w:cs="宋体"/>
                <w:spacing w:val="-1"/>
                <w:sz w:val="24"/>
                <w:szCs w:val="24"/>
                <w:highlight w:val="none"/>
              </w:rPr>
              <w:t>限说明</w:t>
            </w:r>
            <w:r>
              <w:rPr>
                <w:rFonts w:hint="eastAsia" w:ascii="宋体" w:hAnsi="宋体" w:eastAsia="宋体" w:cs="宋体"/>
                <w:sz w:val="24"/>
                <w:szCs w:val="24"/>
                <w:highlight w:val="none"/>
              </w:rPr>
              <w:t>（</w:t>
            </w:r>
            <w:r>
              <w:rPr>
                <w:rFonts w:hint="eastAsia" w:ascii="宋体" w:hAnsi="宋体" w:eastAsia="宋体" w:cs="宋体"/>
                <w:spacing w:val="-2"/>
                <w:sz w:val="24"/>
                <w:szCs w:val="24"/>
                <w:highlight w:val="none"/>
              </w:rPr>
              <w:t>如有</w:t>
            </w:r>
            <w:r>
              <w:rPr>
                <w:rFonts w:hint="eastAsia" w:ascii="宋体" w:hAnsi="宋体" w:eastAsia="宋体" w:cs="宋体"/>
                <w:spacing w:val="-3"/>
                <w:sz w:val="24"/>
                <w:szCs w:val="24"/>
                <w:highlight w:val="none"/>
              </w:rPr>
              <w:t>）</w:t>
            </w:r>
            <w:r>
              <w:rPr>
                <w:rFonts w:hint="eastAsia" w:ascii="宋体" w:hAnsi="宋体" w:eastAsia="宋体" w:cs="宋体"/>
                <w:spacing w:val="-2"/>
                <w:sz w:val="24"/>
                <w:szCs w:val="24"/>
                <w:highlight w:val="none"/>
              </w:rPr>
              <w:t>的原件。</w:t>
            </w:r>
          </w:p>
          <w:p>
            <w:pPr>
              <w:pStyle w:val="19"/>
              <w:spacing w:line="400" w:lineRule="exact"/>
              <w:ind w:left="14" w:right="151" w:rightChars="72"/>
              <w:jc w:val="both"/>
              <w:rPr>
                <w:rFonts w:hint="eastAsia" w:ascii="宋体" w:hAnsi="宋体" w:eastAsia="宋体" w:cs="宋体"/>
                <w:spacing w:val="-6"/>
                <w:sz w:val="24"/>
                <w:szCs w:val="24"/>
                <w:highlight w:val="none"/>
              </w:rPr>
            </w:pPr>
            <w:r>
              <w:rPr>
                <w:rFonts w:hint="eastAsia" w:ascii="宋体" w:hAnsi="宋体" w:eastAsia="宋体" w:cs="宋体"/>
                <w:spacing w:val="-3"/>
                <w:sz w:val="24"/>
                <w:szCs w:val="24"/>
                <w:highlight w:val="none"/>
              </w:rPr>
              <w:t>（4）</w:t>
            </w:r>
            <w:r>
              <w:rPr>
                <w:rFonts w:hint="eastAsia" w:ascii="宋体" w:hAnsi="宋体" w:eastAsia="宋体" w:cs="宋体"/>
                <w:spacing w:val="-5"/>
                <w:sz w:val="24"/>
                <w:szCs w:val="24"/>
                <w:highlight w:val="none"/>
              </w:rPr>
              <w:t>投标人法定代表人授权委托代理人签署投标文件的，须提交授权委托书，且授权</w:t>
            </w:r>
            <w:r>
              <w:rPr>
                <w:rFonts w:hint="eastAsia" w:ascii="宋体" w:hAnsi="宋体" w:eastAsia="宋体" w:cs="宋体"/>
                <w:spacing w:val="-6"/>
                <w:sz w:val="24"/>
                <w:szCs w:val="24"/>
                <w:highlight w:val="none"/>
              </w:rPr>
              <w:t>人和被授权人均在授权委托书上签名。</w:t>
            </w:r>
          </w:p>
          <w:p>
            <w:pPr>
              <w:pStyle w:val="19"/>
              <w:spacing w:line="400" w:lineRule="exact"/>
              <w:ind w:left="14" w:right="151" w:rightChars="72"/>
              <w:jc w:val="both"/>
              <w:rPr>
                <w:rFonts w:hint="eastAsia" w:ascii="宋体" w:hAnsi="宋体" w:eastAsia="宋体" w:cs="宋体"/>
                <w:spacing w:val="-4"/>
                <w:sz w:val="24"/>
                <w:szCs w:val="24"/>
                <w:highlight w:val="none"/>
              </w:rPr>
            </w:pPr>
            <w:r>
              <w:rPr>
                <w:rFonts w:hint="eastAsia" w:ascii="宋体" w:hAnsi="宋体" w:eastAsia="宋体" w:cs="宋体"/>
                <w:spacing w:val="-6"/>
                <w:sz w:val="24"/>
                <w:szCs w:val="24"/>
                <w:highlight w:val="none"/>
              </w:rPr>
              <w:t>（</w:t>
            </w:r>
            <w:r>
              <w:rPr>
                <w:rFonts w:hint="eastAsia" w:ascii="宋体" w:hAnsi="宋体" w:eastAsia="宋体" w:cs="宋体"/>
                <w:spacing w:val="-6"/>
                <w:sz w:val="24"/>
                <w:szCs w:val="24"/>
                <w:highlight w:val="none"/>
                <w:lang w:val="en-US"/>
              </w:rPr>
              <w:t>5</w:t>
            </w:r>
            <w:r>
              <w:rPr>
                <w:rFonts w:hint="eastAsia" w:ascii="宋体" w:hAnsi="宋体" w:eastAsia="宋体" w:cs="宋体"/>
                <w:spacing w:val="-6"/>
                <w:sz w:val="24"/>
                <w:szCs w:val="24"/>
                <w:highlight w:val="none"/>
              </w:rPr>
              <w:t>）</w:t>
            </w:r>
            <w:r>
              <w:rPr>
                <w:rFonts w:hint="eastAsia" w:ascii="宋体" w:hAnsi="宋体" w:eastAsia="宋体" w:cs="宋体"/>
                <w:spacing w:val="-5"/>
                <w:sz w:val="24"/>
                <w:szCs w:val="24"/>
                <w:highlight w:val="none"/>
              </w:rPr>
              <w:t>投标人法定代表人亲自签署投标文件的，提供了法定代表人身份证明，且法定代</w:t>
            </w:r>
            <w:r>
              <w:rPr>
                <w:rFonts w:hint="eastAsia" w:ascii="宋体" w:hAnsi="宋体" w:eastAsia="宋体" w:cs="宋体"/>
                <w:spacing w:val="-4"/>
                <w:sz w:val="24"/>
                <w:szCs w:val="24"/>
                <w:highlight w:val="none"/>
              </w:rPr>
              <w:t>表人在法定代表人身份证明上签名</w:t>
            </w:r>
            <w:r>
              <w:rPr>
                <w:rFonts w:hint="eastAsia" w:ascii="宋体" w:hAnsi="宋体" w:eastAsia="宋体" w:cs="宋体"/>
                <w:spacing w:val="-4"/>
                <w:sz w:val="24"/>
                <w:szCs w:val="24"/>
                <w:highlight w:val="none"/>
                <w:lang w:val="en-US" w:eastAsia="zh-CN"/>
              </w:rPr>
              <w:t>或盖章</w:t>
            </w:r>
            <w:r>
              <w:rPr>
                <w:rFonts w:hint="eastAsia" w:ascii="宋体" w:hAnsi="宋体" w:eastAsia="宋体" w:cs="宋体"/>
                <w:spacing w:val="-4"/>
                <w:sz w:val="24"/>
                <w:szCs w:val="24"/>
                <w:highlight w:val="none"/>
              </w:rPr>
              <w:t>。</w:t>
            </w:r>
          </w:p>
          <w:p>
            <w:pPr>
              <w:pStyle w:val="19"/>
              <w:spacing w:line="400" w:lineRule="exact"/>
              <w:ind w:left="14" w:right="151" w:rightChars="72"/>
              <w:jc w:val="both"/>
              <w:rPr>
                <w:rFonts w:hint="eastAsia" w:ascii="宋体" w:hAnsi="宋体" w:eastAsia="宋体" w:cs="宋体"/>
                <w:spacing w:val="-4"/>
                <w:sz w:val="24"/>
                <w:szCs w:val="24"/>
                <w:highlight w:val="none"/>
                <w:lang w:val="en-US" w:eastAsia="zh-CN"/>
              </w:rPr>
            </w:pPr>
            <w:r>
              <w:rPr>
                <w:rFonts w:hint="eastAsia" w:ascii="宋体" w:hAnsi="宋体" w:eastAsia="宋体" w:cs="宋体"/>
                <w:spacing w:val="-4"/>
                <w:sz w:val="24"/>
                <w:szCs w:val="24"/>
                <w:highlight w:val="none"/>
                <w:lang w:eastAsia="zh-CN"/>
              </w:rPr>
              <w:t>（</w:t>
            </w:r>
            <w:r>
              <w:rPr>
                <w:rFonts w:hint="eastAsia" w:ascii="宋体" w:hAnsi="宋体" w:eastAsia="宋体" w:cs="宋体"/>
                <w:spacing w:val="-4"/>
                <w:sz w:val="24"/>
                <w:szCs w:val="24"/>
                <w:highlight w:val="none"/>
                <w:lang w:val="en-US" w:eastAsia="zh-CN"/>
              </w:rPr>
              <w:t>6</w:t>
            </w:r>
            <w:r>
              <w:rPr>
                <w:rFonts w:hint="eastAsia" w:ascii="宋体" w:hAnsi="宋体" w:eastAsia="宋体" w:cs="宋体"/>
                <w:spacing w:val="-4"/>
                <w:sz w:val="24"/>
                <w:szCs w:val="24"/>
                <w:highlight w:val="none"/>
                <w:lang w:eastAsia="zh-CN"/>
              </w:rPr>
              <w:t>）</w:t>
            </w:r>
            <w:r>
              <w:rPr>
                <w:rFonts w:hint="eastAsia" w:ascii="宋体" w:hAnsi="宋体" w:eastAsia="宋体" w:cs="宋体"/>
                <w:spacing w:val="-4"/>
                <w:sz w:val="24"/>
                <w:szCs w:val="24"/>
                <w:highlight w:val="none"/>
                <w:lang w:val="en-US" w:eastAsia="zh-CN"/>
              </w:rPr>
              <w:t>投标人</w:t>
            </w:r>
            <w:r>
              <w:rPr>
                <w:rFonts w:hint="eastAsia" w:ascii="宋体" w:hAnsi="宋体" w:cs="宋体"/>
                <w:spacing w:val="-4"/>
                <w:sz w:val="24"/>
                <w:szCs w:val="24"/>
                <w:highlight w:val="none"/>
                <w:lang w:val="en-US" w:eastAsia="zh-CN"/>
              </w:rPr>
              <w:t>未</w:t>
            </w:r>
            <w:r>
              <w:rPr>
                <w:rFonts w:hint="eastAsia" w:ascii="宋体" w:hAnsi="宋体" w:eastAsia="宋体" w:cs="宋体"/>
                <w:spacing w:val="-4"/>
                <w:sz w:val="24"/>
                <w:szCs w:val="24"/>
                <w:highlight w:val="none"/>
                <w:lang w:val="en-US" w:eastAsia="zh-CN"/>
              </w:rPr>
              <w:t>以联合体投标。</w:t>
            </w:r>
          </w:p>
          <w:p>
            <w:pPr>
              <w:pStyle w:val="19"/>
              <w:spacing w:line="400" w:lineRule="exact"/>
              <w:ind w:left="14" w:right="151" w:rightChars="72"/>
              <w:jc w:val="both"/>
              <w:rPr>
                <w:rFonts w:hint="eastAsia" w:ascii="宋体" w:hAnsi="宋体" w:eastAsia="宋体" w:cs="宋体"/>
                <w:spacing w:val="-4"/>
                <w:sz w:val="24"/>
                <w:szCs w:val="24"/>
                <w:highlight w:val="none"/>
                <w:lang w:val="en-US" w:eastAsia="zh-CN"/>
              </w:rPr>
            </w:pPr>
            <w:r>
              <w:rPr>
                <w:rFonts w:hint="eastAsia" w:ascii="宋体" w:hAnsi="宋体" w:eastAsia="宋体" w:cs="宋体"/>
                <w:spacing w:val="-4"/>
                <w:sz w:val="24"/>
                <w:szCs w:val="24"/>
                <w:highlight w:val="none"/>
                <w:lang w:val="en-US" w:eastAsia="zh-CN"/>
              </w:rPr>
              <w:t>（7）投标人如有分包计划 ，符合招标文件第二章“投标人须知 ”第1.11款规定 ，且按招标文件第九章“投标文件格式 ”的要求填写了“拟分包项目情况表 ”。</w:t>
            </w:r>
          </w:p>
          <w:p>
            <w:pPr>
              <w:pStyle w:val="19"/>
              <w:tabs>
                <w:tab w:val="left" w:pos="544"/>
              </w:tabs>
              <w:spacing w:line="360" w:lineRule="exact"/>
              <w:ind w:left="13" w:right="151" w:rightChars="72"/>
              <w:jc w:val="both"/>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w:t>
            </w:r>
            <w:r>
              <w:rPr>
                <w:rFonts w:hint="eastAsia" w:ascii="宋体" w:hAnsi="宋体" w:eastAsia="宋体" w:cs="宋体"/>
                <w:spacing w:val="-3"/>
                <w:sz w:val="24"/>
                <w:szCs w:val="24"/>
                <w:highlight w:val="none"/>
                <w:lang w:val="en-US" w:eastAsia="zh-CN"/>
              </w:rPr>
              <w:t>8</w:t>
            </w:r>
            <w:r>
              <w:rPr>
                <w:rFonts w:hint="eastAsia" w:ascii="宋体" w:hAnsi="宋体" w:eastAsia="宋体" w:cs="宋体"/>
                <w:spacing w:val="-3"/>
                <w:sz w:val="24"/>
                <w:szCs w:val="24"/>
                <w:highlight w:val="none"/>
              </w:rPr>
              <w:t>）同一投标人未提交两个以上不同的投标文件。</w:t>
            </w:r>
          </w:p>
          <w:p>
            <w:pPr>
              <w:pStyle w:val="19"/>
              <w:tabs>
                <w:tab w:val="left" w:pos="544"/>
              </w:tabs>
              <w:spacing w:line="360" w:lineRule="exact"/>
              <w:ind w:left="13" w:right="151" w:rightChars="72"/>
              <w:jc w:val="both"/>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w:t>
            </w:r>
            <w:r>
              <w:rPr>
                <w:rFonts w:hint="eastAsia" w:ascii="宋体" w:hAnsi="宋体" w:eastAsia="宋体" w:cs="宋体"/>
                <w:spacing w:val="-3"/>
                <w:sz w:val="24"/>
                <w:szCs w:val="24"/>
                <w:highlight w:val="none"/>
                <w:lang w:val="en-US" w:eastAsia="zh-CN"/>
              </w:rPr>
              <w:t>9</w:t>
            </w:r>
            <w:r>
              <w:rPr>
                <w:rFonts w:hint="eastAsia" w:ascii="宋体" w:hAnsi="宋体" w:eastAsia="宋体" w:cs="宋体"/>
                <w:spacing w:val="-3"/>
                <w:sz w:val="24"/>
                <w:szCs w:val="24"/>
                <w:highlight w:val="none"/>
              </w:rPr>
              <w:t>）投标文件中未出现有关投标报价的内容。</w:t>
            </w:r>
          </w:p>
          <w:p>
            <w:pPr>
              <w:pStyle w:val="19"/>
              <w:tabs>
                <w:tab w:val="left" w:pos="544"/>
              </w:tabs>
              <w:spacing w:line="360" w:lineRule="exact"/>
              <w:ind w:left="13" w:right="151" w:rightChars="72"/>
              <w:jc w:val="both"/>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w:t>
            </w:r>
            <w:r>
              <w:rPr>
                <w:rFonts w:hint="eastAsia" w:ascii="宋体" w:hAnsi="宋体" w:eastAsia="宋体" w:cs="宋体"/>
                <w:spacing w:val="-3"/>
                <w:sz w:val="24"/>
                <w:szCs w:val="24"/>
                <w:highlight w:val="none"/>
                <w:lang w:val="en-US" w:eastAsia="zh-CN"/>
              </w:rPr>
              <w:t>10</w:t>
            </w:r>
            <w:r>
              <w:rPr>
                <w:rFonts w:hint="eastAsia" w:ascii="宋体" w:hAnsi="宋体" w:eastAsia="宋体" w:cs="宋体"/>
                <w:spacing w:val="-3"/>
                <w:sz w:val="24"/>
                <w:szCs w:val="24"/>
                <w:highlight w:val="none"/>
              </w:rPr>
              <w:t>）投标文件载明的招标项目完成期限符合招标文件规定。</w:t>
            </w:r>
          </w:p>
          <w:p>
            <w:pPr>
              <w:pStyle w:val="19"/>
              <w:tabs>
                <w:tab w:val="left" w:pos="544"/>
              </w:tabs>
              <w:spacing w:line="360" w:lineRule="exact"/>
              <w:ind w:left="13" w:right="151" w:rightChars="72"/>
              <w:jc w:val="both"/>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w:t>
            </w:r>
            <w:r>
              <w:rPr>
                <w:rFonts w:hint="eastAsia" w:ascii="宋体" w:hAnsi="宋体" w:eastAsia="宋体" w:cs="宋体"/>
                <w:spacing w:val="-3"/>
                <w:sz w:val="24"/>
                <w:szCs w:val="24"/>
                <w:highlight w:val="none"/>
                <w:lang w:val="en-US" w:eastAsia="zh-CN"/>
              </w:rPr>
              <w:t>11</w:t>
            </w:r>
            <w:r>
              <w:rPr>
                <w:rFonts w:hint="eastAsia" w:ascii="宋体" w:hAnsi="宋体" w:eastAsia="宋体" w:cs="宋体"/>
                <w:spacing w:val="-3"/>
                <w:sz w:val="24"/>
                <w:szCs w:val="24"/>
                <w:highlight w:val="none"/>
              </w:rPr>
              <w:t>）投标文件对招标文件的实质性要求和条件作出响应。</w:t>
            </w:r>
          </w:p>
          <w:p>
            <w:pPr>
              <w:pStyle w:val="19"/>
              <w:tabs>
                <w:tab w:val="left" w:pos="650"/>
              </w:tabs>
              <w:spacing w:line="360" w:lineRule="exact"/>
              <w:ind w:left="13" w:right="151" w:rightChars="72"/>
              <w:jc w:val="both"/>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w:t>
            </w:r>
            <w:r>
              <w:rPr>
                <w:rFonts w:hint="eastAsia" w:ascii="宋体" w:hAnsi="宋体" w:eastAsia="宋体" w:cs="宋体"/>
                <w:spacing w:val="-3"/>
                <w:sz w:val="24"/>
                <w:szCs w:val="24"/>
                <w:highlight w:val="none"/>
                <w:lang w:val="en-US"/>
              </w:rPr>
              <w:t>1</w:t>
            </w:r>
            <w:r>
              <w:rPr>
                <w:rFonts w:hint="eastAsia" w:ascii="宋体" w:hAnsi="宋体" w:eastAsia="宋体" w:cs="宋体"/>
                <w:spacing w:val="-3"/>
                <w:sz w:val="24"/>
                <w:szCs w:val="24"/>
                <w:highlight w:val="none"/>
                <w:lang w:val="en-US" w:eastAsia="zh-CN"/>
              </w:rPr>
              <w:t>2</w:t>
            </w:r>
            <w:r>
              <w:rPr>
                <w:rFonts w:hint="eastAsia" w:ascii="宋体" w:hAnsi="宋体" w:eastAsia="宋体" w:cs="宋体"/>
                <w:spacing w:val="-3"/>
                <w:sz w:val="24"/>
                <w:szCs w:val="24"/>
                <w:highlight w:val="none"/>
              </w:rPr>
              <w:t>）权利义务符合招标文件规定：</w:t>
            </w:r>
          </w:p>
          <w:p>
            <w:pPr>
              <w:pStyle w:val="19"/>
              <w:spacing w:line="360" w:lineRule="exact"/>
              <w:ind w:left="14" w:right="151" w:rightChars="72"/>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a.投标人应接受招标文件规定的风险划分原则，未提出新的风险划分办法； </w:t>
            </w:r>
          </w:p>
          <w:p>
            <w:pPr>
              <w:pStyle w:val="19"/>
              <w:spacing w:line="360" w:lineRule="exact"/>
              <w:ind w:left="14" w:right="151" w:rightChars="72"/>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b.投标人未增加委托人的责任范围，或减少投标人义务；</w:t>
            </w:r>
          </w:p>
          <w:p>
            <w:pPr>
              <w:pStyle w:val="19"/>
              <w:spacing w:line="360" w:lineRule="exact"/>
              <w:ind w:left="14" w:right="151" w:rightChars="72"/>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c.投标人未提出不同的支付办法；</w:t>
            </w:r>
          </w:p>
          <w:p>
            <w:pPr>
              <w:pStyle w:val="19"/>
              <w:spacing w:line="360" w:lineRule="exact"/>
              <w:ind w:left="14" w:right="151" w:rightChars="72"/>
              <w:jc w:val="both"/>
              <w:rPr>
                <w:rFonts w:hint="eastAsia" w:ascii="宋体" w:hAnsi="宋体" w:eastAsia="宋体" w:cs="宋体"/>
                <w:spacing w:val="-4"/>
                <w:sz w:val="24"/>
                <w:szCs w:val="24"/>
                <w:highlight w:val="none"/>
              </w:rPr>
            </w:pPr>
            <w:r>
              <w:rPr>
                <w:rFonts w:hint="eastAsia" w:ascii="宋体" w:hAnsi="宋体" w:eastAsia="宋体" w:cs="宋体"/>
                <w:sz w:val="24"/>
                <w:szCs w:val="24"/>
                <w:highlight w:val="none"/>
              </w:rPr>
              <w:t>d.</w:t>
            </w:r>
            <w:r>
              <w:rPr>
                <w:rFonts w:hint="eastAsia" w:ascii="宋体" w:hAnsi="宋体" w:eastAsia="宋体" w:cs="宋体"/>
                <w:spacing w:val="-4"/>
                <w:sz w:val="24"/>
                <w:szCs w:val="24"/>
                <w:highlight w:val="none"/>
              </w:rPr>
              <w:t>投标人对合同纠纷、事故处理办法未提出异议；</w:t>
            </w:r>
          </w:p>
          <w:p>
            <w:pPr>
              <w:pStyle w:val="19"/>
              <w:spacing w:line="360" w:lineRule="exact"/>
              <w:ind w:left="14" w:right="151" w:rightChars="72"/>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e.</w:t>
            </w:r>
            <w:r>
              <w:rPr>
                <w:rFonts w:hint="eastAsia" w:ascii="宋体" w:hAnsi="宋体" w:eastAsia="宋体" w:cs="宋体"/>
                <w:spacing w:val="-3"/>
                <w:sz w:val="24"/>
                <w:szCs w:val="24"/>
                <w:highlight w:val="none"/>
              </w:rPr>
              <w:t>投标人在投标活动中无欺诈行为；</w:t>
            </w:r>
          </w:p>
          <w:p>
            <w:pPr>
              <w:pStyle w:val="19"/>
              <w:spacing w:line="360" w:lineRule="exact"/>
              <w:ind w:left="14" w:right="151" w:rightChars="72"/>
              <w:jc w:val="both"/>
              <w:rPr>
                <w:rFonts w:hint="eastAsia" w:ascii="宋体" w:hAnsi="宋体" w:eastAsia="宋体" w:cs="宋体"/>
                <w:spacing w:val="-3"/>
                <w:sz w:val="24"/>
                <w:szCs w:val="24"/>
                <w:highlight w:val="none"/>
              </w:rPr>
            </w:pPr>
            <w:r>
              <w:rPr>
                <w:rFonts w:hint="eastAsia" w:ascii="宋体" w:hAnsi="宋体" w:eastAsia="宋体" w:cs="宋体"/>
                <w:sz w:val="24"/>
                <w:szCs w:val="24"/>
                <w:highlight w:val="none"/>
              </w:rPr>
              <w:t>f.</w:t>
            </w:r>
            <w:r>
              <w:rPr>
                <w:rFonts w:hint="eastAsia" w:ascii="宋体" w:hAnsi="宋体" w:eastAsia="宋体" w:cs="宋体"/>
                <w:spacing w:val="-3"/>
                <w:sz w:val="24"/>
                <w:szCs w:val="24"/>
                <w:highlight w:val="none"/>
              </w:rPr>
              <w:t>投标人未对合同条款有重要保留。</w:t>
            </w:r>
          </w:p>
          <w:p>
            <w:pPr>
              <w:pStyle w:val="19"/>
              <w:spacing w:line="360" w:lineRule="exact"/>
              <w:ind w:left="14" w:right="151" w:rightChars="72"/>
              <w:jc w:val="both"/>
              <w:rPr>
                <w:rFonts w:hint="default"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eastAsia="zh-CN"/>
              </w:rPr>
              <w:t>（</w:t>
            </w:r>
            <w:r>
              <w:rPr>
                <w:rFonts w:hint="eastAsia" w:ascii="宋体" w:hAnsi="宋体" w:eastAsia="宋体" w:cs="宋体"/>
                <w:spacing w:val="-3"/>
                <w:sz w:val="24"/>
                <w:szCs w:val="24"/>
                <w:highlight w:val="none"/>
                <w:lang w:val="en-US" w:eastAsia="zh-CN"/>
              </w:rPr>
              <w:t>13</w:t>
            </w:r>
            <w:r>
              <w:rPr>
                <w:rFonts w:hint="eastAsia" w:ascii="宋体" w:hAnsi="宋体" w:eastAsia="宋体" w:cs="宋体"/>
                <w:spacing w:val="-3"/>
                <w:sz w:val="24"/>
                <w:szCs w:val="24"/>
                <w:highlight w:val="none"/>
                <w:lang w:eastAsia="zh-CN"/>
              </w:rPr>
              <w:t>）</w:t>
            </w:r>
            <w:r>
              <w:rPr>
                <w:rFonts w:hint="eastAsia" w:ascii="宋体" w:hAnsi="宋体" w:eastAsia="宋体" w:cs="宋体"/>
                <w:spacing w:val="-3"/>
                <w:sz w:val="24"/>
                <w:szCs w:val="24"/>
                <w:highlight w:val="none"/>
                <w:lang w:val="en-US" w:eastAsia="zh-CN"/>
              </w:rPr>
              <w:t>技术暗标编制符合招标文件要求。</w:t>
            </w:r>
          </w:p>
          <w:p>
            <w:pPr>
              <w:pStyle w:val="19"/>
              <w:tabs>
                <w:tab w:val="left" w:pos="650"/>
              </w:tabs>
              <w:spacing w:line="360" w:lineRule="exact"/>
              <w:ind w:left="14" w:right="151" w:rightChars="72"/>
              <w:jc w:val="both"/>
              <w:rPr>
                <w:rFonts w:hint="eastAsia" w:ascii="宋体" w:hAnsi="宋体" w:eastAsia="宋体" w:cs="宋体"/>
                <w:b/>
                <w:sz w:val="24"/>
                <w:szCs w:val="24"/>
                <w:highlight w:val="none"/>
              </w:rPr>
            </w:pPr>
            <w:r>
              <w:rPr>
                <w:rFonts w:hint="eastAsia" w:ascii="宋体" w:hAnsi="宋体" w:eastAsia="宋体" w:cs="宋体"/>
                <w:b/>
                <w:sz w:val="24"/>
                <w:szCs w:val="24"/>
                <w:highlight w:val="none"/>
              </w:rPr>
              <w:t>第二个信封（</w:t>
            </w:r>
            <w:r>
              <w:rPr>
                <w:rFonts w:hint="eastAsia" w:ascii="宋体" w:hAnsi="宋体" w:eastAsia="宋体" w:cs="宋体"/>
                <w:b/>
                <w:spacing w:val="-1"/>
                <w:sz w:val="24"/>
                <w:szCs w:val="24"/>
                <w:highlight w:val="none"/>
              </w:rPr>
              <w:t>报价文件</w:t>
            </w:r>
            <w:r>
              <w:rPr>
                <w:rFonts w:hint="eastAsia" w:ascii="宋体" w:hAnsi="宋体" w:eastAsia="宋体" w:cs="宋体"/>
                <w:b/>
                <w:spacing w:val="-3"/>
                <w:sz w:val="24"/>
                <w:szCs w:val="24"/>
                <w:highlight w:val="none"/>
              </w:rPr>
              <w:t>）</w:t>
            </w:r>
            <w:r>
              <w:rPr>
                <w:rFonts w:hint="eastAsia" w:ascii="宋体" w:hAnsi="宋体" w:eastAsia="宋体" w:cs="宋体"/>
                <w:b/>
                <w:sz w:val="24"/>
                <w:szCs w:val="24"/>
                <w:highlight w:val="none"/>
              </w:rPr>
              <w:t>评审标准：</w:t>
            </w:r>
          </w:p>
          <w:p>
            <w:pPr>
              <w:pStyle w:val="19"/>
              <w:numPr>
                <w:ilvl w:val="0"/>
                <w:numId w:val="1"/>
              </w:numPr>
              <w:spacing w:line="360" w:lineRule="exact"/>
              <w:ind w:left="14" w:right="151" w:rightChars="72"/>
              <w:jc w:val="both"/>
              <w:rPr>
                <w:rFonts w:hint="eastAsia" w:ascii="宋体" w:hAnsi="宋体" w:eastAsia="宋体" w:cs="宋体"/>
                <w:spacing w:val="-3"/>
                <w:sz w:val="24"/>
                <w:szCs w:val="24"/>
                <w:highlight w:val="none"/>
              </w:rPr>
            </w:pPr>
            <w:r>
              <w:rPr>
                <w:rFonts w:hint="eastAsia" w:ascii="宋体" w:hAnsi="宋体" w:eastAsia="宋体" w:cs="宋体"/>
                <w:spacing w:val="-3"/>
                <w:sz w:val="24"/>
                <w:szCs w:val="24"/>
                <w:highlight w:val="none"/>
              </w:rPr>
              <w:t>投标文件按照招标文件规定的格式、内容填写，字迹清晰可辨，内容齐全完整：</w:t>
            </w:r>
          </w:p>
          <w:p>
            <w:pPr>
              <w:pStyle w:val="19"/>
              <w:spacing w:line="360" w:lineRule="exact"/>
              <w:ind w:right="151" w:rightChars="72"/>
              <w:jc w:val="both"/>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 xml:space="preserve"> a.</w:t>
            </w:r>
            <w:r>
              <w:rPr>
                <w:rFonts w:hint="eastAsia" w:ascii="宋体" w:hAnsi="宋体" w:eastAsia="宋体" w:cs="宋体"/>
                <w:spacing w:val="-7"/>
                <w:sz w:val="24"/>
                <w:szCs w:val="24"/>
                <w:highlight w:val="none"/>
              </w:rPr>
              <w:t>投标函按招标文件规定填报了项目名称、标段号、补遗书编号</w:t>
            </w:r>
            <w:r>
              <w:rPr>
                <w:rFonts w:hint="eastAsia" w:ascii="宋体" w:hAnsi="宋体" w:eastAsia="宋体" w:cs="宋体"/>
                <w:spacing w:val="-3"/>
                <w:sz w:val="24"/>
                <w:szCs w:val="24"/>
                <w:highlight w:val="none"/>
              </w:rPr>
              <w:t>（</w:t>
            </w:r>
            <w:r>
              <w:rPr>
                <w:rFonts w:hint="eastAsia" w:ascii="宋体" w:hAnsi="宋体" w:eastAsia="宋体" w:cs="宋体"/>
                <w:spacing w:val="-2"/>
                <w:sz w:val="24"/>
                <w:szCs w:val="24"/>
                <w:highlight w:val="none"/>
              </w:rPr>
              <w:t>如有</w:t>
            </w:r>
            <w:r>
              <w:rPr>
                <w:rFonts w:hint="eastAsia" w:ascii="宋体" w:hAnsi="宋体" w:eastAsia="宋体" w:cs="宋体"/>
                <w:spacing w:val="-22"/>
                <w:sz w:val="24"/>
                <w:szCs w:val="24"/>
                <w:highlight w:val="none"/>
              </w:rPr>
              <w:t>）</w:t>
            </w:r>
            <w:r>
              <w:rPr>
                <w:rFonts w:hint="eastAsia" w:ascii="宋体" w:hAnsi="宋体" w:eastAsia="宋体" w:cs="宋体"/>
                <w:spacing w:val="-13"/>
                <w:sz w:val="24"/>
                <w:szCs w:val="24"/>
                <w:highlight w:val="none"/>
              </w:rPr>
              <w:t>、投标价</w:t>
            </w:r>
            <w:r>
              <w:rPr>
                <w:rFonts w:hint="eastAsia" w:ascii="宋体" w:hAnsi="宋体" w:eastAsia="宋体" w:cs="宋体"/>
                <w:sz w:val="24"/>
                <w:szCs w:val="24"/>
                <w:highlight w:val="none"/>
              </w:rPr>
              <w:t>（包</w:t>
            </w:r>
            <w:r>
              <w:rPr>
                <w:rFonts w:hint="eastAsia" w:ascii="宋体" w:hAnsi="宋体" w:eastAsia="宋体" w:cs="宋体"/>
                <w:spacing w:val="-3"/>
                <w:sz w:val="24"/>
                <w:szCs w:val="24"/>
                <w:highlight w:val="none"/>
              </w:rPr>
              <w:t>括大写金额和小写金额</w:t>
            </w:r>
            <w:r>
              <w:rPr>
                <w:rFonts w:hint="eastAsia" w:ascii="宋体" w:hAnsi="宋体" w:eastAsia="宋体" w:cs="宋体"/>
                <w:sz w:val="24"/>
                <w:szCs w:val="24"/>
                <w:highlight w:val="none"/>
              </w:rPr>
              <w:t>）；</w:t>
            </w:r>
          </w:p>
          <w:p>
            <w:pPr>
              <w:pStyle w:val="19"/>
              <w:tabs>
                <w:tab w:val="left" w:pos="227"/>
              </w:tabs>
              <w:spacing w:line="360" w:lineRule="exact"/>
              <w:ind w:left="13" w:right="151" w:rightChars="72"/>
              <w:jc w:val="both"/>
              <w:rPr>
                <w:rFonts w:hint="eastAsia" w:ascii="宋体" w:hAnsi="宋体" w:eastAsia="宋体" w:cs="宋体"/>
                <w:sz w:val="24"/>
                <w:szCs w:val="24"/>
                <w:highlight w:val="none"/>
              </w:rPr>
            </w:pPr>
            <w:r>
              <w:rPr>
                <w:rFonts w:hint="eastAsia" w:ascii="宋体" w:hAnsi="宋体" w:eastAsia="宋体" w:cs="宋体"/>
                <w:spacing w:val="-3"/>
                <w:sz w:val="24"/>
                <w:szCs w:val="24"/>
                <w:highlight w:val="none"/>
                <w:lang w:val="en-US"/>
              </w:rPr>
              <w:t>b.</w:t>
            </w:r>
            <w:r>
              <w:rPr>
                <w:rFonts w:hint="eastAsia" w:ascii="宋体" w:hAnsi="宋体" w:eastAsia="宋体" w:cs="宋体"/>
                <w:spacing w:val="-3"/>
                <w:sz w:val="24"/>
                <w:szCs w:val="24"/>
                <w:highlight w:val="none"/>
              </w:rPr>
              <w:t>已标价报价清单说明文字与招标文件规定一致，未进行实质性修改和删减；</w:t>
            </w:r>
          </w:p>
          <w:p>
            <w:pPr>
              <w:pStyle w:val="19"/>
              <w:tabs>
                <w:tab w:val="left" w:pos="227"/>
              </w:tabs>
              <w:spacing w:line="360" w:lineRule="exact"/>
              <w:ind w:left="13" w:right="151" w:rightChars="72"/>
              <w:jc w:val="both"/>
              <w:rPr>
                <w:rFonts w:hint="eastAsia" w:ascii="宋体" w:hAnsi="宋体" w:eastAsia="宋体" w:cs="宋体"/>
                <w:spacing w:val="-3"/>
                <w:sz w:val="24"/>
                <w:szCs w:val="24"/>
                <w:highlight w:val="none"/>
              </w:rPr>
            </w:pPr>
            <w:r>
              <w:rPr>
                <w:rFonts w:hint="eastAsia" w:ascii="宋体" w:hAnsi="宋体" w:eastAsia="宋体" w:cs="宋体"/>
                <w:spacing w:val="-3"/>
                <w:sz w:val="24"/>
                <w:szCs w:val="24"/>
                <w:highlight w:val="none"/>
                <w:lang w:val="en-US"/>
              </w:rPr>
              <w:t>c.</w:t>
            </w:r>
            <w:r>
              <w:rPr>
                <w:rFonts w:hint="eastAsia" w:ascii="宋体" w:hAnsi="宋体" w:eastAsia="宋体" w:cs="宋体"/>
                <w:spacing w:val="-3"/>
                <w:sz w:val="24"/>
                <w:szCs w:val="24"/>
                <w:highlight w:val="none"/>
              </w:rPr>
              <w:t>投标文件组成齐全完整，提供的相关资料符合招标文件规定，内容均按规定填写。</w:t>
            </w:r>
          </w:p>
          <w:p>
            <w:pPr>
              <w:pStyle w:val="19"/>
              <w:tabs>
                <w:tab w:val="left" w:pos="227"/>
              </w:tabs>
              <w:spacing w:line="360" w:lineRule="exact"/>
              <w:ind w:left="13" w:right="151" w:rightChars="72"/>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rPr>
              <w:t>d.不同投标人的投标文件未互相混装</w:t>
            </w:r>
            <w:r>
              <w:rPr>
                <w:rFonts w:hint="eastAsia" w:ascii="宋体" w:hAnsi="宋体" w:eastAsia="宋体" w:cs="宋体"/>
                <w:spacing w:val="-3"/>
                <w:sz w:val="24"/>
                <w:szCs w:val="24"/>
                <w:highlight w:val="none"/>
                <w:lang w:eastAsia="zh-CN"/>
              </w:rPr>
              <w:t>。</w:t>
            </w:r>
          </w:p>
          <w:p>
            <w:pPr>
              <w:pStyle w:val="19"/>
              <w:tabs>
                <w:tab w:val="left" w:pos="542"/>
              </w:tabs>
              <w:spacing w:line="360" w:lineRule="exact"/>
              <w:ind w:left="14" w:right="151" w:rightChars="72"/>
              <w:jc w:val="both"/>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w:t>
            </w:r>
            <w:r>
              <w:rPr>
                <w:rFonts w:hint="eastAsia" w:ascii="宋体" w:hAnsi="宋体" w:eastAsia="宋体" w:cs="宋体"/>
                <w:spacing w:val="-5"/>
                <w:sz w:val="24"/>
                <w:szCs w:val="24"/>
                <w:highlight w:val="none"/>
                <w:lang w:val="en-US"/>
              </w:rPr>
              <w:t>2</w:t>
            </w:r>
            <w:r>
              <w:rPr>
                <w:rFonts w:hint="eastAsia" w:ascii="宋体" w:hAnsi="宋体" w:eastAsia="宋体" w:cs="宋体"/>
                <w:spacing w:val="-5"/>
                <w:sz w:val="24"/>
                <w:szCs w:val="24"/>
                <w:highlight w:val="none"/>
              </w:rPr>
              <w:t>）投标文件上法定代表人或其委托代理人的签字、投标人的单位章盖章齐全，符合</w:t>
            </w:r>
            <w:r>
              <w:rPr>
                <w:rFonts w:hint="eastAsia" w:ascii="宋体" w:hAnsi="宋体" w:eastAsia="宋体" w:cs="宋体"/>
                <w:spacing w:val="-4"/>
                <w:sz w:val="24"/>
                <w:szCs w:val="24"/>
                <w:highlight w:val="none"/>
              </w:rPr>
              <w:t>招标文件规定。</w:t>
            </w:r>
          </w:p>
          <w:p>
            <w:pPr>
              <w:pStyle w:val="19"/>
              <w:tabs>
                <w:tab w:val="left" w:pos="544"/>
              </w:tabs>
              <w:spacing w:line="360" w:lineRule="exact"/>
              <w:ind w:left="13" w:right="151" w:rightChars="72"/>
              <w:jc w:val="both"/>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w:t>
            </w:r>
            <w:r>
              <w:rPr>
                <w:rFonts w:hint="eastAsia" w:ascii="宋体" w:hAnsi="宋体" w:eastAsia="宋体" w:cs="宋体"/>
                <w:spacing w:val="-3"/>
                <w:sz w:val="24"/>
                <w:szCs w:val="24"/>
                <w:highlight w:val="none"/>
                <w:lang w:val="en-US"/>
              </w:rPr>
              <w:t>3</w:t>
            </w:r>
            <w:r>
              <w:rPr>
                <w:rFonts w:hint="eastAsia" w:ascii="宋体" w:hAnsi="宋体" w:eastAsia="宋体" w:cs="宋体"/>
                <w:spacing w:val="-3"/>
                <w:sz w:val="24"/>
                <w:szCs w:val="24"/>
                <w:highlight w:val="none"/>
              </w:rPr>
              <w:t>）投标报价未超过招标文件设定的最高投标限价。</w:t>
            </w:r>
          </w:p>
          <w:p>
            <w:pPr>
              <w:pStyle w:val="19"/>
              <w:tabs>
                <w:tab w:val="left" w:pos="544"/>
              </w:tabs>
              <w:spacing w:line="360" w:lineRule="exact"/>
              <w:ind w:left="13" w:right="151" w:rightChars="72"/>
              <w:jc w:val="both"/>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w:t>
            </w:r>
            <w:r>
              <w:rPr>
                <w:rFonts w:hint="eastAsia" w:ascii="宋体" w:hAnsi="宋体" w:eastAsia="宋体" w:cs="宋体"/>
                <w:spacing w:val="-3"/>
                <w:sz w:val="24"/>
                <w:szCs w:val="24"/>
                <w:highlight w:val="none"/>
                <w:lang w:val="en-US"/>
              </w:rPr>
              <w:t>4</w:t>
            </w:r>
            <w:r>
              <w:rPr>
                <w:rFonts w:hint="eastAsia" w:ascii="宋体" w:hAnsi="宋体" w:eastAsia="宋体" w:cs="宋体"/>
                <w:spacing w:val="-3"/>
                <w:sz w:val="24"/>
                <w:szCs w:val="24"/>
                <w:highlight w:val="none"/>
              </w:rPr>
              <w:t>）投标报价的大写金额能够确定具体数值。</w:t>
            </w:r>
          </w:p>
          <w:p>
            <w:pPr>
              <w:pStyle w:val="19"/>
              <w:tabs>
                <w:tab w:val="left" w:pos="544"/>
              </w:tabs>
              <w:spacing w:line="360" w:lineRule="exact"/>
              <w:ind w:left="13" w:right="151" w:rightChars="72"/>
              <w:jc w:val="both"/>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w:t>
            </w:r>
            <w:r>
              <w:rPr>
                <w:rFonts w:hint="eastAsia" w:ascii="宋体" w:hAnsi="宋体" w:eastAsia="宋体" w:cs="宋体"/>
                <w:spacing w:val="-3"/>
                <w:sz w:val="24"/>
                <w:szCs w:val="24"/>
                <w:highlight w:val="none"/>
                <w:lang w:val="en-US"/>
              </w:rPr>
              <w:t>5</w:t>
            </w:r>
            <w:r>
              <w:rPr>
                <w:rFonts w:hint="eastAsia" w:ascii="宋体" w:hAnsi="宋体" w:eastAsia="宋体" w:cs="宋体"/>
                <w:spacing w:val="-3"/>
                <w:sz w:val="24"/>
                <w:szCs w:val="24"/>
                <w:highlight w:val="none"/>
              </w:rPr>
              <w:t>）同一投标人未提交两个以上不同的投标报价。</w:t>
            </w:r>
          </w:p>
          <w:p>
            <w:pPr>
              <w:pStyle w:val="19"/>
              <w:tabs>
                <w:tab w:val="left" w:pos="544"/>
              </w:tabs>
              <w:spacing w:line="360" w:lineRule="exact"/>
              <w:ind w:left="13" w:right="151" w:rightChars="72"/>
              <w:jc w:val="both"/>
              <w:rPr>
                <w:rFonts w:hint="eastAsia" w:ascii="宋体" w:hAnsi="宋体" w:eastAsia="宋体" w:cs="宋体"/>
                <w:spacing w:val="-5"/>
                <w:sz w:val="24"/>
                <w:szCs w:val="24"/>
                <w:highlight w:val="none"/>
              </w:rPr>
            </w:pPr>
            <w:r>
              <w:rPr>
                <w:rFonts w:hint="eastAsia" w:ascii="宋体" w:hAnsi="宋体" w:eastAsia="宋体" w:cs="宋体"/>
                <w:spacing w:val="-5"/>
                <w:sz w:val="24"/>
                <w:szCs w:val="24"/>
                <w:highlight w:val="none"/>
              </w:rPr>
              <w:t>（6）投标人未提交调价函。</w:t>
            </w:r>
          </w:p>
          <w:p>
            <w:pPr>
              <w:pStyle w:val="19"/>
              <w:tabs>
                <w:tab w:val="left" w:pos="544"/>
              </w:tabs>
              <w:spacing w:line="360" w:lineRule="exact"/>
              <w:ind w:left="13" w:right="151" w:rightChars="72"/>
              <w:jc w:val="both"/>
              <w:rPr>
                <w:rFonts w:hint="eastAsia" w:ascii="宋体" w:hAnsi="宋体" w:eastAsia="宋体" w:cs="宋体"/>
                <w:spacing w:val="-5"/>
                <w:sz w:val="24"/>
                <w:szCs w:val="24"/>
                <w:highlight w:val="none"/>
                <w:lang w:val="en-US" w:eastAsia="zh-CN"/>
              </w:rPr>
            </w:pPr>
            <w:r>
              <w:rPr>
                <w:rFonts w:hint="eastAsia" w:ascii="宋体" w:hAnsi="宋体" w:eastAsia="宋体" w:cs="宋体"/>
                <w:spacing w:val="-5"/>
                <w:sz w:val="24"/>
                <w:szCs w:val="24"/>
                <w:highlight w:val="none"/>
                <w:lang w:val="en-US" w:eastAsia="zh-CN"/>
              </w:rPr>
              <w:t>（7）投标人若填写工程量固化清单，填写完毕的工程量固化清单未对工程量固化清单电子文件中的数据、格式和运算定义进行修改；工程量固化清单中的投标报价与投标函大写金额报价一致。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345" w:hRule="atLeast"/>
          <w:jc w:val="center"/>
        </w:trPr>
        <w:tc>
          <w:tcPr>
            <w:tcW w:w="829" w:type="dxa"/>
            <w:shd w:val="clear" w:color="auto" w:fill="auto"/>
            <w:vAlign w:val="center"/>
          </w:tcPr>
          <w:p>
            <w:pPr>
              <w:pStyle w:val="19"/>
              <w:spacing w:line="400" w:lineRule="exact"/>
              <w:ind w:left="83" w:leftChars="0" w:right="55" w:rightChars="0"/>
              <w:jc w:val="both"/>
              <w:rPr>
                <w:rFonts w:hint="eastAsia" w:ascii="宋体" w:hAnsi="宋体" w:eastAsia="宋体" w:cs="宋体"/>
                <w:kern w:val="0"/>
                <w:sz w:val="24"/>
                <w:szCs w:val="24"/>
                <w:highlight w:val="none"/>
                <w:lang w:val="en-US" w:eastAsia="en-US" w:bidi="ar-SA"/>
              </w:rPr>
            </w:pPr>
            <w:r>
              <w:rPr>
                <w:rFonts w:hint="eastAsia" w:ascii="宋体" w:hAnsi="宋体" w:eastAsia="宋体" w:cs="宋体"/>
                <w:color w:val="000000"/>
                <w:sz w:val="24"/>
                <w:szCs w:val="24"/>
                <w:highlight w:val="none"/>
              </w:rPr>
              <w:t>2.1.2</w:t>
            </w:r>
          </w:p>
        </w:tc>
        <w:tc>
          <w:tcPr>
            <w:tcW w:w="908" w:type="dxa"/>
            <w:shd w:val="clear" w:color="auto" w:fill="auto"/>
            <w:vAlign w:val="center"/>
          </w:tcPr>
          <w:p>
            <w:pPr>
              <w:pStyle w:val="19"/>
              <w:spacing w:line="400" w:lineRule="exact"/>
              <w:jc w:val="both"/>
              <w:rPr>
                <w:rFonts w:hint="eastAsia" w:ascii="宋体" w:hAnsi="宋体" w:eastAsia="宋体" w:cs="宋体"/>
                <w:b/>
                <w:color w:val="000000"/>
                <w:sz w:val="24"/>
                <w:szCs w:val="24"/>
                <w:highlight w:val="none"/>
              </w:rPr>
            </w:pPr>
          </w:p>
          <w:p>
            <w:pPr>
              <w:pStyle w:val="19"/>
              <w:spacing w:line="400" w:lineRule="exact"/>
              <w:ind w:left="302" w:leftChars="0" w:right="59" w:rightChars="0" w:hanging="212" w:firstLineChars="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资格</w:t>
            </w:r>
          </w:p>
          <w:p>
            <w:pPr>
              <w:pStyle w:val="19"/>
              <w:spacing w:line="400" w:lineRule="exact"/>
              <w:ind w:left="302" w:leftChars="0" w:right="59" w:rightChars="0" w:hanging="212" w:firstLineChars="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评审</w:t>
            </w:r>
          </w:p>
          <w:p>
            <w:pPr>
              <w:pStyle w:val="19"/>
              <w:spacing w:line="400" w:lineRule="exact"/>
              <w:ind w:left="302" w:leftChars="0" w:right="59" w:rightChars="0" w:hanging="212" w:firstLineChars="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标准</w:t>
            </w:r>
          </w:p>
          <w:p>
            <w:pPr>
              <w:pStyle w:val="19"/>
              <w:spacing w:line="400" w:lineRule="exact"/>
              <w:ind w:left="302" w:leftChars="0" w:right="59" w:rightChars="0" w:hanging="212" w:firstLineChars="0"/>
              <w:jc w:val="both"/>
              <w:rPr>
                <w:rFonts w:hint="eastAsia" w:ascii="宋体" w:hAnsi="宋体" w:eastAsia="宋体" w:cs="宋体"/>
                <w:color w:val="000000"/>
                <w:sz w:val="24"/>
                <w:szCs w:val="24"/>
                <w:highlight w:val="none"/>
                <w:lang w:val="en-US" w:eastAsia="en-US"/>
              </w:rPr>
            </w:pPr>
          </w:p>
        </w:tc>
        <w:tc>
          <w:tcPr>
            <w:tcW w:w="7881" w:type="dxa"/>
            <w:shd w:val="clear" w:color="auto" w:fill="auto"/>
            <w:vAlign w:val="center"/>
          </w:tcPr>
          <w:p>
            <w:pPr>
              <w:pStyle w:val="19"/>
              <w:tabs>
                <w:tab w:val="left" w:pos="544"/>
              </w:tabs>
              <w:spacing w:line="360" w:lineRule="exact"/>
              <w:ind w:left="13" w:leftChars="0" w:right="151" w:rightChars="72"/>
              <w:jc w:val="both"/>
              <w:rPr>
                <w:rFonts w:hint="eastAsia" w:ascii="宋体" w:hAnsi="宋体" w:eastAsia="宋体" w:cs="宋体"/>
                <w:color w:val="000000"/>
                <w:spacing w:val="-3"/>
                <w:sz w:val="24"/>
                <w:szCs w:val="24"/>
                <w:highlight w:val="none"/>
              </w:rPr>
            </w:pPr>
            <w:r>
              <w:rPr>
                <w:rFonts w:hint="eastAsia" w:ascii="宋体" w:hAnsi="宋体" w:eastAsia="宋体" w:cs="宋体"/>
                <w:color w:val="000000"/>
                <w:spacing w:val="-3"/>
                <w:sz w:val="24"/>
                <w:szCs w:val="24"/>
                <w:highlight w:val="none"/>
              </w:rPr>
              <w:t>（1）投标人具备有效的营业执照、组织机构代码证、资质证书、安全生产许可证和基本账户开户许可证（或基本账户开户行出具含有企业基本存款账户编号的《基本存款账户信息》）；</w:t>
            </w:r>
          </w:p>
          <w:p>
            <w:pPr>
              <w:pStyle w:val="19"/>
              <w:tabs>
                <w:tab w:val="left" w:pos="544"/>
              </w:tabs>
              <w:spacing w:line="360" w:lineRule="exact"/>
              <w:ind w:left="13" w:leftChars="0" w:right="151" w:rightChars="72"/>
              <w:jc w:val="both"/>
              <w:rPr>
                <w:rFonts w:hint="eastAsia" w:ascii="宋体" w:hAnsi="宋体" w:eastAsia="宋体" w:cs="宋体"/>
                <w:color w:val="000000"/>
                <w:spacing w:val="-3"/>
                <w:sz w:val="24"/>
                <w:szCs w:val="24"/>
                <w:highlight w:val="none"/>
              </w:rPr>
            </w:pPr>
            <w:r>
              <w:rPr>
                <w:rFonts w:hint="eastAsia" w:ascii="宋体" w:hAnsi="宋体" w:eastAsia="宋体" w:cs="宋体"/>
                <w:color w:val="000000"/>
                <w:spacing w:val="-3"/>
                <w:sz w:val="24"/>
                <w:szCs w:val="24"/>
                <w:highlight w:val="none"/>
              </w:rPr>
              <w:t>（2）投标人的资质等级符合招标文件规定；</w:t>
            </w:r>
          </w:p>
          <w:p>
            <w:pPr>
              <w:pStyle w:val="19"/>
              <w:tabs>
                <w:tab w:val="left" w:pos="544"/>
              </w:tabs>
              <w:spacing w:line="360" w:lineRule="exact"/>
              <w:ind w:left="13" w:leftChars="0" w:right="151" w:rightChars="72"/>
              <w:jc w:val="both"/>
              <w:rPr>
                <w:rFonts w:hint="eastAsia" w:ascii="宋体" w:hAnsi="宋体" w:eastAsia="宋体" w:cs="宋体"/>
                <w:color w:val="000000"/>
                <w:spacing w:val="-3"/>
                <w:sz w:val="24"/>
                <w:szCs w:val="24"/>
                <w:highlight w:val="none"/>
              </w:rPr>
            </w:pPr>
            <w:r>
              <w:rPr>
                <w:rFonts w:hint="eastAsia" w:ascii="宋体" w:hAnsi="宋体" w:eastAsia="宋体" w:cs="宋体"/>
                <w:color w:val="000000"/>
                <w:spacing w:val="-3"/>
                <w:sz w:val="24"/>
                <w:szCs w:val="24"/>
                <w:highlight w:val="none"/>
              </w:rPr>
              <w:t>（3）投标人的财务状况符合招标文件规定；</w:t>
            </w:r>
          </w:p>
          <w:p>
            <w:pPr>
              <w:pStyle w:val="19"/>
              <w:tabs>
                <w:tab w:val="left" w:pos="544"/>
              </w:tabs>
              <w:spacing w:line="360" w:lineRule="exact"/>
              <w:ind w:left="13" w:leftChars="0" w:right="151" w:rightChars="72"/>
              <w:jc w:val="both"/>
              <w:rPr>
                <w:rFonts w:hint="eastAsia" w:ascii="宋体" w:hAnsi="宋体" w:eastAsia="宋体" w:cs="宋体"/>
                <w:color w:val="000000"/>
                <w:spacing w:val="-3"/>
                <w:sz w:val="24"/>
                <w:szCs w:val="24"/>
                <w:highlight w:val="none"/>
              </w:rPr>
            </w:pPr>
            <w:r>
              <w:rPr>
                <w:rFonts w:hint="eastAsia" w:ascii="宋体" w:hAnsi="宋体" w:eastAsia="宋体" w:cs="宋体"/>
                <w:color w:val="000000"/>
                <w:spacing w:val="-3"/>
                <w:sz w:val="24"/>
                <w:szCs w:val="24"/>
                <w:highlight w:val="none"/>
              </w:rPr>
              <w:t>（4）投标人的类似项目业绩符合招标文件规定；</w:t>
            </w:r>
          </w:p>
          <w:p>
            <w:pPr>
              <w:pStyle w:val="19"/>
              <w:tabs>
                <w:tab w:val="left" w:pos="544"/>
              </w:tabs>
              <w:spacing w:line="360" w:lineRule="exact"/>
              <w:ind w:left="13" w:leftChars="0" w:right="151" w:rightChars="72"/>
              <w:jc w:val="both"/>
              <w:rPr>
                <w:rFonts w:hint="eastAsia" w:ascii="宋体" w:hAnsi="宋体" w:eastAsia="宋体" w:cs="宋体"/>
                <w:color w:val="000000"/>
                <w:spacing w:val="-3"/>
                <w:sz w:val="24"/>
                <w:szCs w:val="24"/>
                <w:highlight w:val="none"/>
              </w:rPr>
            </w:pPr>
            <w:r>
              <w:rPr>
                <w:rFonts w:hint="eastAsia" w:ascii="宋体" w:hAnsi="宋体" w:eastAsia="宋体" w:cs="宋体"/>
                <w:color w:val="000000"/>
                <w:spacing w:val="-3"/>
                <w:sz w:val="24"/>
                <w:szCs w:val="24"/>
                <w:highlight w:val="none"/>
              </w:rPr>
              <w:t>（5）投标人的信誉符合招标文件规定；</w:t>
            </w:r>
          </w:p>
          <w:p>
            <w:pPr>
              <w:pStyle w:val="19"/>
              <w:tabs>
                <w:tab w:val="left" w:pos="544"/>
              </w:tabs>
              <w:spacing w:line="360" w:lineRule="exact"/>
              <w:ind w:left="13" w:leftChars="0" w:right="151" w:rightChars="72"/>
              <w:jc w:val="both"/>
              <w:rPr>
                <w:rFonts w:hint="eastAsia" w:ascii="宋体" w:hAnsi="宋体" w:eastAsia="宋体" w:cs="宋体"/>
                <w:color w:val="000000"/>
                <w:spacing w:val="-3"/>
                <w:sz w:val="24"/>
                <w:szCs w:val="24"/>
                <w:highlight w:val="none"/>
              </w:rPr>
            </w:pPr>
            <w:r>
              <w:rPr>
                <w:rFonts w:hint="eastAsia" w:ascii="宋体" w:hAnsi="宋体" w:eastAsia="宋体" w:cs="宋体"/>
                <w:color w:val="000000"/>
                <w:spacing w:val="-3"/>
                <w:sz w:val="24"/>
                <w:szCs w:val="24"/>
                <w:highlight w:val="none"/>
              </w:rPr>
              <w:t>（6）投标人的项目经理和项目总工资格、在岗情况符合招标文件规定；</w:t>
            </w:r>
          </w:p>
          <w:p>
            <w:pPr>
              <w:pStyle w:val="19"/>
              <w:tabs>
                <w:tab w:val="left" w:pos="544"/>
              </w:tabs>
              <w:spacing w:line="360" w:lineRule="exact"/>
              <w:ind w:left="13" w:leftChars="0" w:right="151" w:rightChars="72"/>
              <w:jc w:val="both"/>
              <w:rPr>
                <w:rFonts w:hint="eastAsia" w:ascii="宋体" w:hAnsi="宋体" w:eastAsia="宋体" w:cs="宋体"/>
                <w:color w:val="000000"/>
                <w:spacing w:val="-3"/>
                <w:sz w:val="24"/>
                <w:szCs w:val="24"/>
                <w:highlight w:val="none"/>
              </w:rPr>
            </w:pPr>
            <w:r>
              <w:rPr>
                <w:rFonts w:hint="eastAsia" w:ascii="宋体" w:hAnsi="宋体" w:eastAsia="宋体" w:cs="宋体"/>
                <w:color w:val="000000"/>
                <w:spacing w:val="-3"/>
                <w:sz w:val="24"/>
                <w:szCs w:val="24"/>
                <w:highlight w:val="none"/>
              </w:rPr>
              <w:t>（7）投标人的其他要求符合招标文件规定；</w:t>
            </w:r>
          </w:p>
          <w:p>
            <w:pPr>
              <w:pStyle w:val="19"/>
              <w:tabs>
                <w:tab w:val="left" w:pos="544"/>
              </w:tabs>
              <w:spacing w:line="360" w:lineRule="exact"/>
              <w:ind w:left="13" w:leftChars="0" w:right="151" w:rightChars="72"/>
              <w:jc w:val="both"/>
              <w:rPr>
                <w:rFonts w:hint="eastAsia" w:ascii="宋体" w:hAnsi="宋体" w:eastAsia="宋体" w:cs="宋体"/>
                <w:color w:val="000000"/>
                <w:spacing w:val="-3"/>
                <w:sz w:val="24"/>
                <w:szCs w:val="24"/>
                <w:highlight w:val="none"/>
              </w:rPr>
            </w:pPr>
            <w:r>
              <w:rPr>
                <w:rFonts w:hint="eastAsia" w:ascii="宋体" w:hAnsi="宋体" w:eastAsia="宋体" w:cs="宋体"/>
                <w:color w:val="000000"/>
                <w:spacing w:val="-3"/>
                <w:sz w:val="24"/>
                <w:szCs w:val="24"/>
                <w:highlight w:val="none"/>
              </w:rPr>
              <w:t>（8）投标人不存在第二章“投标人须知”第1.4.3项或第1.4.4项规定的任何一种情形；</w:t>
            </w:r>
          </w:p>
          <w:p>
            <w:pPr>
              <w:pStyle w:val="19"/>
              <w:tabs>
                <w:tab w:val="left" w:pos="544"/>
              </w:tabs>
              <w:spacing w:line="360" w:lineRule="exact"/>
              <w:ind w:left="13" w:leftChars="0" w:right="151" w:rightChars="72"/>
              <w:jc w:val="both"/>
              <w:rPr>
                <w:rFonts w:hint="eastAsia" w:ascii="宋体" w:hAnsi="宋体" w:eastAsia="宋体" w:cs="宋体"/>
                <w:color w:val="000000"/>
                <w:spacing w:val="-6"/>
                <w:kern w:val="0"/>
                <w:sz w:val="24"/>
                <w:szCs w:val="24"/>
                <w:highlight w:val="none"/>
                <w:lang w:val="en-US" w:eastAsia="zh-CN" w:bidi="ar-SA"/>
              </w:rPr>
            </w:pPr>
            <w:r>
              <w:rPr>
                <w:rFonts w:hint="eastAsia" w:ascii="宋体" w:hAnsi="宋体" w:eastAsia="宋体" w:cs="宋体"/>
                <w:color w:val="000000"/>
                <w:spacing w:val="-3"/>
                <w:sz w:val="24"/>
                <w:szCs w:val="24"/>
                <w:highlight w:val="none"/>
              </w:rPr>
              <w:t>（9）投标人符合第二章“投标人须知”第1.4.5项规定；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92" w:hRule="atLeast"/>
          <w:jc w:val="center"/>
        </w:trPr>
        <w:tc>
          <w:tcPr>
            <w:tcW w:w="829" w:type="dxa"/>
            <w:shd w:val="clear" w:color="auto" w:fill="FFFFFF"/>
            <w:vAlign w:val="center"/>
          </w:tcPr>
          <w:p>
            <w:pPr>
              <w:pStyle w:val="19"/>
              <w:ind w:left="83" w:right="55"/>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2.2.1</w:t>
            </w:r>
          </w:p>
        </w:tc>
        <w:tc>
          <w:tcPr>
            <w:tcW w:w="908" w:type="dxa"/>
            <w:shd w:val="clear" w:color="auto" w:fill="FFFFFF"/>
            <w:vAlign w:val="center"/>
          </w:tcPr>
          <w:p>
            <w:pPr>
              <w:pStyle w:val="19"/>
              <w:ind w:left="91" w:right="105" w:rightChars="5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分值</w:t>
            </w:r>
          </w:p>
          <w:p>
            <w:pPr>
              <w:pStyle w:val="19"/>
              <w:ind w:left="91" w:right="105" w:rightChars="5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构成</w:t>
            </w:r>
          </w:p>
          <w:p>
            <w:pPr>
              <w:pStyle w:val="19"/>
              <w:jc w:val="center"/>
              <w:rPr>
                <w:rFonts w:hint="eastAsia" w:ascii="宋体" w:hAnsi="宋体" w:eastAsia="宋体" w:cs="宋体"/>
                <w:b/>
                <w:color w:val="000000"/>
                <w:sz w:val="24"/>
                <w:szCs w:val="24"/>
                <w:highlight w:val="none"/>
              </w:rPr>
            </w:pPr>
          </w:p>
          <w:p>
            <w:pPr>
              <w:pStyle w:val="19"/>
              <w:tabs>
                <w:tab w:val="left" w:pos="0"/>
              </w:tabs>
              <w:ind w:right="108" w:firstLine="11"/>
              <w:jc w:val="center"/>
              <w:rPr>
                <w:rFonts w:hint="eastAsia" w:ascii="宋体" w:hAnsi="宋体" w:eastAsia="宋体" w:cs="宋体"/>
                <w:color w:val="000000"/>
                <w:spacing w:val="-20"/>
                <w:sz w:val="24"/>
                <w:szCs w:val="24"/>
                <w:highlight w:val="none"/>
              </w:rPr>
            </w:pPr>
            <w:r>
              <w:rPr>
                <w:rFonts w:hint="eastAsia" w:ascii="宋体" w:hAnsi="宋体" w:eastAsia="宋体" w:cs="宋体"/>
                <w:color w:val="000000"/>
                <w:spacing w:val="-20"/>
                <w:sz w:val="24"/>
                <w:szCs w:val="24"/>
                <w:highlight w:val="none"/>
              </w:rPr>
              <w:t>（总分</w:t>
            </w:r>
          </w:p>
          <w:p>
            <w:pPr>
              <w:pStyle w:val="19"/>
              <w:tabs>
                <w:tab w:val="left" w:pos="0"/>
              </w:tabs>
              <w:ind w:right="108" w:firstLine="11"/>
              <w:jc w:val="center"/>
              <w:rPr>
                <w:rFonts w:hint="eastAsia" w:ascii="宋体" w:hAnsi="宋体" w:eastAsia="宋体" w:cs="宋体"/>
                <w:color w:val="000000"/>
                <w:sz w:val="24"/>
                <w:szCs w:val="24"/>
                <w:highlight w:val="none"/>
              </w:rPr>
            </w:pPr>
            <w:r>
              <w:rPr>
                <w:rFonts w:hint="eastAsia" w:ascii="宋体" w:hAnsi="宋体" w:eastAsia="宋体" w:cs="宋体"/>
                <w:color w:val="000000"/>
                <w:spacing w:val="-20"/>
                <w:sz w:val="24"/>
                <w:szCs w:val="24"/>
                <w:highlight w:val="none"/>
              </w:rPr>
              <w:t xml:space="preserve"> </w:t>
            </w:r>
            <w:r>
              <w:rPr>
                <w:rFonts w:hint="eastAsia" w:ascii="宋体" w:hAnsi="宋体" w:eastAsia="宋体" w:cs="宋体"/>
                <w:color w:val="000000"/>
                <w:spacing w:val="-34"/>
                <w:sz w:val="24"/>
                <w:szCs w:val="24"/>
                <w:highlight w:val="none"/>
              </w:rPr>
              <w:t>100 分）</w:t>
            </w:r>
          </w:p>
        </w:tc>
        <w:tc>
          <w:tcPr>
            <w:tcW w:w="7881" w:type="dxa"/>
            <w:shd w:val="clear" w:color="auto" w:fill="FFFFFF"/>
            <w:vAlign w:val="center"/>
          </w:tcPr>
          <w:p>
            <w:pPr>
              <w:pStyle w:val="19"/>
              <w:keepNext w:val="0"/>
              <w:keepLines w:val="0"/>
              <w:pageBreakBefore w:val="0"/>
              <w:widowControl w:val="0"/>
              <w:kinsoku/>
              <w:wordWrap/>
              <w:overflowPunct/>
              <w:topLinePunct w:val="0"/>
              <w:autoSpaceDE w:val="0"/>
              <w:autoSpaceDN w:val="0"/>
              <w:bidi w:val="0"/>
              <w:adjustRightInd/>
              <w:snapToGrid/>
              <w:spacing w:line="280" w:lineRule="exact"/>
              <w:ind w:left="0" w:right="0" w:rightChars="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施工组织设计：25分</w:t>
            </w:r>
          </w:p>
          <w:p>
            <w:pPr>
              <w:pStyle w:val="19"/>
              <w:keepNext w:val="0"/>
              <w:keepLines w:val="0"/>
              <w:pageBreakBefore w:val="0"/>
              <w:widowControl w:val="0"/>
              <w:kinsoku/>
              <w:wordWrap/>
              <w:overflowPunct/>
              <w:topLinePunct w:val="0"/>
              <w:autoSpaceDE w:val="0"/>
              <w:autoSpaceDN w:val="0"/>
              <w:bidi w:val="0"/>
              <w:adjustRightInd/>
              <w:snapToGrid/>
              <w:spacing w:line="280" w:lineRule="exact"/>
              <w:ind w:left="0" w:right="0" w:rightChars="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主要管理人员：25分</w:t>
            </w:r>
          </w:p>
          <w:p>
            <w:pPr>
              <w:pStyle w:val="19"/>
              <w:keepNext w:val="0"/>
              <w:keepLines w:val="0"/>
              <w:pageBreakBefore w:val="0"/>
              <w:widowControl w:val="0"/>
              <w:kinsoku/>
              <w:wordWrap/>
              <w:overflowPunct/>
              <w:topLinePunct w:val="0"/>
              <w:autoSpaceDE w:val="0"/>
              <w:autoSpaceDN w:val="0"/>
              <w:bidi w:val="0"/>
              <w:adjustRightInd/>
              <w:snapToGrid/>
              <w:spacing w:line="280" w:lineRule="exact"/>
              <w:ind w:left="0" w:right="0" w:rightChars="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技术能力：10分</w:t>
            </w:r>
          </w:p>
          <w:p>
            <w:pPr>
              <w:pStyle w:val="19"/>
              <w:keepNext w:val="0"/>
              <w:keepLines w:val="0"/>
              <w:pageBreakBefore w:val="0"/>
              <w:widowControl w:val="0"/>
              <w:kinsoku/>
              <w:wordWrap/>
              <w:overflowPunct/>
              <w:topLinePunct w:val="0"/>
              <w:autoSpaceDE w:val="0"/>
              <w:autoSpaceDN w:val="0"/>
              <w:bidi w:val="0"/>
              <w:adjustRightInd/>
              <w:snapToGrid/>
              <w:spacing w:line="280" w:lineRule="exact"/>
              <w:ind w:left="0" w:right="0" w:rightChars="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履约信誉：15分</w:t>
            </w:r>
          </w:p>
          <w:p>
            <w:pPr>
              <w:pStyle w:val="19"/>
              <w:keepNext w:val="0"/>
              <w:keepLines w:val="0"/>
              <w:pageBreakBefore w:val="0"/>
              <w:widowControl w:val="0"/>
              <w:kinsoku/>
              <w:wordWrap/>
              <w:overflowPunct/>
              <w:topLinePunct w:val="0"/>
              <w:autoSpaceDE w:val="0"/>
              <w:autoSpaceDN w:val="0"/>
              <w:bidi w:val="0"/>
              <w:adjustRightInd/>
              <w:snapToGrid/>
              <w:spacing w:line="280" w:lineRule="exact"/>
              <w:ind w:left="0" w:right="0" w:right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业绩：25分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707" w:hRule="atLeast"/>
          <w:jc w:val="center"/>
        </w:trPr>
        <w:tc>
          <w:tcPr>
            <w:tcW w:w="829" w:type="dxa"/>
            <w:shd w:val="clear" w:color="auto" w:fill="FFFFFF"/>
            <w:vAlign w:val="center"/>
          </w:tcPr>
          <w:p>
            <w:pPr>
              <w:pStyle w:val="19"/>
              <w:spacing w:line="240" w:lineRule="auto"/>
              <w:rPr>
                <w:rFonts w:hint="eastAsia" w:ascii="宋体" w:hAnsi="宋体" w:eastAsia="宋体" w:cs="宋体"/>
                <w:b/>
                <w:sz w:val="24"/>
                <w:szCs w:val="24"/>
                <w:highlight w:val="none"/>
              </w:rPr>
            </w:pPr>
          </w:p>
          <w:p>
            <w:pPr>
              <w:pStyle w:val="19"/>
              <w:spacing w:line="240" w:lineRule="auto"/>
              <w:ind w:left="102"/>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2.2.3</w:t>
            </w:r>
          </w:p>
        </w:tc>
        <w:tc>
          <w:tcPr>
            <w:tcW w:w="908" w:type="dxa"/>
            <w:shd w:val="clear" w:color="auto" w:fill="FFFFFF"/>
            <w:vAlign w:val="center"/>
          </w:tcPr>
          <w:p>
            <w:pPr>
              <w:pStyle w:val="19"/>
              <w:jc w:val="center"/>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第二</w:t>
            </w:r>
          </w:p>
          <w:p>
            <w:pPr>
              <w:pStyle w:val="19"/>
              <w:jc w:val="center"/>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信封</w:t>
            </w:r>
          </w:p>
          <w:p>
            <w:pPr>
              <w:pStyle w:val="19"/>
              <w:jc w:val="center"/>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详细</w:t>
            </w:r>
          </w:p>
          <w:p>
            <w:pPr>
              <w:pStyle w:val="19"/>
              <w:jc w:val="center"/>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评审</w:t>
            </w:r>
          </w:p>
          <w:p>
            <w:pPr>
              <w:pStyle w:val="19"/>
              <w:jc w:val="center"/>
              <w:rPr>
                <w:rFonts w:hint="eastAsia" w:ascii="宋体" w:hAnsi="宋体" w:eastAsia="宋体" w:cs="宋体"/>
                <w:color w:val="000000"/>
                <w:sz w:val="24"/>
                <w:szCs w:val="24"/>
                <w:highlight w:val="none"/>
              </w:rPr>
            </w:pPr>
            <w:r>
              <w:rPr>
                <w:rFonts w:hint="eastAsia" w:ascii="宋体" w:hAnsi="宋体" w:eastAsia="宋体" w:cs="宋体"/>
                <w:b w:val="0"/>
                <w:bCs/>
                <w:color w:val="000000"/>
                <w:sz w:val="24"/>
                <w:szCs w:val="24"/>
                <w:highlight w:val="none"/>
                <w:lang w:val="en-US" w:eastAsia="zh-CN"/>
              </w:rPr>
              <w:t>标准</w:t>
            </w:r>
          </w:p>
        </w:tc>
        <w:tc>
          <w:tcPr>
            <w:tcW w:w="7881" w:type="dxa"/>
            <w:shd w:val="clear" w:color="auto" w:fill="FFFFFF"/>
            <w:vAlign w:val="center"/>
          </w:tcPr>
          <w:p>
            <w:pPr>
              <w:pStyle w:val="20"/>
              <w:shd w:val="clear"/>
              <w:spacing w:before="0" w:after="0" w:line="320" w:lineRule="exact"/>
              <w:ind w:right="59" w:rightChars="28" w:firstLine="480" w:firstLineChars="200"/>
              <w:jc w:val="both"/>
              <w:rPr>
                <w:rStyle w:val="21"/>
                <w:rFonts w:hint="eastAsia" w:ascii="宋体" w:hAnsi="宋体" w:eastAsia="宋体" w:cs="宋体"/>
                <w:i w:val="0"/>
                <w:color w:val="auto"/>
                <w:spacing w:val="0"/>
                <w:sz w:val="24"/>
                <w:szCs w:val="24"/>
                <w:highlight w:val="none"/>
                <w:lang w:val="en-US" w:eastAsia="zh-CN"/>
              </w:rPr>
            </w:pPr>
            <w:r>
              <w:rPr>
                <w:rStyle w:val="21"/>
                <w:rFonts w:hint="eastAsia" w:ascii="宋体" w:hAnsi="宋体" w:eastAsia="宋体" w:cs="宋体"/>
                <w:i w:val="0"/>
                <w:color w:val="auto"/>
                <w:spacing w:val="0"/>
                <w:sz w:val="24"/>
                <w:szCs w:val="24"/>
                <w:highlight w:val="none"/>
                <w:lang w:val="en-US" w:eastAsia="zh-CN"/>
              </w:rPr>
              <w:t>评标价计算公式：评标价=投标函中的投标总报价-暂列金额</w:t>
            </w:r>
          </w:p>
          <w:p>
            <w:pPr>
              <w:pStyle w:val="20"/>
              <w:shd w:val="clear"/>
              <w:spacing w:before="0" w:after="0" w:line="320" w:lineRule="exact"/>
              <w:ind w:right="59" w:rightChars="28" w:firstLine="480" w:firstLineChars="200"/>
              <w:jc w:val="both"/>
              <w:rPr>
                <w:rFonts w:hint="eastAsia" w:ascii="宋体" w:hAnsi="宋体" w:eastAsia="宋体" w:cs="宋体"/>
                <w:color w:val="000000"/>
                <w:sz w:val="24"/>
                <w:szCs w:val="24"/>
                <w:highlight w:val="none"/>
              </w:rPr>
            </w:pPr>
            <w:r>
              <w:rPr>
                <w:rStyle w:val="21"/>
                <w:rFonts w:hint="eastAsia" w:ascii="宋体" w:hAnsi="宋体" w:eastAsia="宋体" w:cs="宋体"/>
                <w:i w:val="0"/>
                <w:color w:val="auto"/>
                <w:spacing w:val="0"/>
                <w:sz w:val="24"/>
                <w:szCs w:val="24"/>
                <w:highlight w:val="none"/>
                <w:lang w:val="en-US" w:eastAsia="zh-CN"/>
              </w:rPr>
              <w:t>评标委员会发现投标人的报价明显低于其他投标报价，使得其投标报价可能低于其个别成本的，应要求该投标人做出书面说明并提供相应的证明材料。投标人不能合理说明或不能提供相关证明材料的，由评标委员会认定该投标人以低于成本报价竞标，并否决其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637" w:hRule="atLeast"/>
          <w:jc w:val="center"/>
        </w:trPr>
        <w:tc>
          <w:tcPr>
            <w:tcW w:w="829" w:type="dxa"/>
            <w:shd w:val="clear" w:color="auto" w:fill="FFFFFF"/>
            <w:vAlign w:val="center"/>
          </w:tcPr>
          <w:p>
            <w:pPr>
              <w:pStyle w:val="20"/>
              <w:shd w:val="clear" w:color="auto"/>
              <w:spacing w:before="0" w:after="0" w:line="360" w:lineRule="exact"/>
              <w:rPr>
                <w:rFonts w:hint="eastAsia" w:ascii="宋体" w:hAnsi="宋体" w:eastAsia="宋体" w:cs="宋体"/>
                <w:color w:val="auto"/>
                <w:kern w:val="2"/>
                <w:sz w:val="24"/>
                <w:szCs w:val="24"/>
                <w:highlight w:val="none"/>
                <w:shd w:val="clear" w:color="auto" w:fill="FFFFFF"/>
                <w:lang w:val="en-US" w:eastAsia="zh-CN" w:bidi="ar-SA"/>
              </w:rPr>
            </w:pPr>
            <w:r>
              <w:rPr>
                <w:rStyle w:val="21"/>
                <w:rFonts w:hint="eastAsia" w:ascii="宋体" w:hAnsi="宋体" w:eastAsia="宋体" w:cs="宋体"/>
                <w:i w:val="0"/>
                <w:iCs w:val="0"/>
                <w:color w:val="auto"/>
                <w:spacing w:val="0"/>
                <w:sz w:val="24"/>
                <w:szCs w:val="24"/>
                <w:highlight w:val="none"/>
                <w:lang w:val="en-US" w:eastAsia="zh-CN"/>
              </w:rPr>
              <w:t>3.2.4</w:t>
            </w:r>
          </w:p>
        </w:tc>
        <w:tc>
          <w:tcPr>
            <w:tcW w:w="908" w:type="dxa"/>
            <w:shd w:val="clear" w:color="auto" w:fill="FFFFFF"/>
            <w:vAlign w:val="center"/>
          </w:tcPr>
          <w:p>
            <w:pPr>
              <w:pStyle w:val="20"/>
              <w:shd w:val="clear" w:color="auto"/>
              <w:spacing w:before="0" w:after="0" w:line="360" w:lineRule="exact"/>
              <w:rPr>
                <w:rFonts w:hint="eastAsia" w:ascii="宋体" w:hAnsi="宋体" w:eastAsia="宋体" w:cs="宋体"/>
                <w:iCs/>
                <w:color w:val="auto"/>
                <w:kern w:val="2"/>
                <w:sz w:val="24"/>
                <w:szCs w:val="24"/>
                <w:highlight w:val="none"/>
                <w:shd w:val="clear" w:color="auto" w:fill="FFFFFF"/>
                <w:lang w:val="en-US" w:eastAsia="zh-CN" w:bidi="ar-SA"/>
              </w:rPr>
            </w:pPr>
            <w:r>
              <w:rPr>
                <w:rStyle w:val="21"/>
                <w:rFonts w:hint="eastAsia" w:ascii="宋体" w:hAnsi="宋体" w:eastAsia="宋体" w:cs="宋体"/>
                <w:i w:val="0"/>
                <w:color w:val="auto"/>
                <w:spacing w:val="0"/>
                <w:sz w:val="24"/>
                <w:szCs w:val="24"/>
                <w:highlight w:val="none"/>
                <w:lang w:val="en-US" w:eastAsia="zh-CN"/>
              </w:rPr>
              <w:t>通过第一个信封详细评审的投标人数量</w:t>
            </w:r>
          </w:p>
        </w:tc>
        <w:tc>
          <w:tcPr>
            <w:tcW w:w="7881" w:type="dxa"/>
            <w:shd w:val="clear" w:color="auto" w:fill="FFFFFF"/>
            <w:vAlign w:val="center"/>
          </w:tcPr>
          <w:p>
            <w:pPr>
              <w:pStyle w:val="20"/>
              <w:shd w:val="clear" w:color="auto"/>
              <w:spacing w:before="0" w:after="0" w:line="360" w:lineRule="exact"/>
              <w:ind w:right="59" w:rightChars="28" w:firstLine="544" w:firstLineChars="227"/>
              <w:jc w:val="both"/>
              <w:rPr>
                <w:rStyle w:val="21"/>
                <w:rFonts w:hint="eastAsia" w:ascii="宋体" w:hAnsi="宋体" w:eastAsia="宋体" w:cs="宋体"/>
                <w:i w:val="0"/>
                <w:color w:val="auto"/>
                <w:spacing w:val="0"/>
                <w:sz w:val="24"/>
                <w:szCs w:val="24"/>
                <w:highlight w:val="none"/>
                <w:lang w:val="en-US" w:eastAsia="zh-CN"/>
              </w:rPr>
            </w:pPr>
            <w:r>
              <w:rPr>
                <w:rStyle w:val="21"/>
                <w:rFonts w:hint="eastAsia" w:ascii="宋体" w:hAnsi="宋体" w:eastAsia="宋体" w:cs="宋体"/>
                <w:i w:val="0"/>
                <w:color w:val="auto"/>
                <w:spacing w:val="0"/>
                <w:sz w:val="24"/>
                <w:szCs w:val="24"/>
                <w:highlight w:val="none"/>
                <w:lang w:val="en-US" w:eastAsia="zh-CN"/>
              </w:rPr>
              <w:t>按照投标人的商务和技术得分由高到低顺序，选择前6名通过详细评审。</w:t>
            </w:r>
          </w:p>
          <w:p>
            <w:pPr>
              <w:pStyle w:val="20"/>
              <w:shd w:val="clear" w:color="auto"/>
              <w:spacing w:before="0" w:after="0" w:line="360" w:lineRule="exact"/>
              <w:ind w:right="59" w:rightChars="28" w:firstLine="544" w:firstLineChars="227"/>
              <w:jc w:val="both"/>
              <w:rPr>
                <w:rStyle w:val="21"/>
                <w:rFonts w:hint="eastAsia" w:ascii="宋体" w:hAnsi="宋体" w:eastAsia="宋体" w:cs="宋体"/>
                <w:i w:val="0"/>
                <w:color w:val="auto"/>
                <w:spacing w:val="0"/>
                <w:sz w:val="24"/>
                <w:szCs w:val="24"/>
                <w:highlight w:val="none"/>
                <w:lang w:val="en-US" w:eastAsia="zh-CN"/>
              </w:rPr>
            </w:pPr>
            <w:r>
              <w:rPr>
                <w:rStyle w:val="21"/>
                <w:rFonts w:hint="eastAsia" w:ascii="宋体" w:hAnsi="宋体" w:eastAsia="宋体" w:cs="宋体"/>
                <w:i w:val="0"/>
                <w:color w:val="auto"/>
                <w:spacing w:val="0"/>
                <w:sz w:val="24"/>
                <w:szCs w:val="24"/>
                <w:highlight w:val="none"/>
                <w:lang w:val="en-US" w:eastAsia="zh-CN"/>
              </w:rPr>
              <w:t>商务和技术得分相等时</w:t>
            </w:r>
            <w:r>
              <w:rPr>
                <w:rStyle w:val="21"/>
                <w:rFonts w:hint="eastAsia" w:cs="宋体"/>
                <w:i w:val="0"/>
                <w:color w:val="auto"/>
                <w:spacing w:val="0"/>
                <w:sz w:val="24"/>
                <w:szCs w:val="24"/>
                <w:highlight w:val="none"/>
                <w:lang w:val="en-US" w:eastAsia="zh-CN"/>
              </w:rPr>
              <w:t>，</w:t>
            </w:r>
            <w:r>
              <w:rPr>
                <w:rStyle w:val="21"/>
                <w:rFonts w:hint="eastAsia" w:ascii="宋体" w:hAnsi="宋体" w:eastAsia="宋体" w:cs="宋体"/>
                <w:i w:val="0"/>
                <w:color w:val="auto"/>
                <w:spacing w:val="0"/>
                <w:sz w:val="24"/>
                <w:szCs w:val="24"/>
                <w:highlight w:val="none"/>
                <w:lang w:val="en-US" w:eastAsia="zh-CN"/>
              </w:rPr>
              <w:t>评标委员会依次按以下优先顺序进行排序：</w:t>
            </w:r>
          </w:p>
          <w:p>
            <w:pPr>
              <w:pStyle w:val="20"/>
              <w:shd w:val="clear" w:color="auto"/>
              <w:spacing w:before="0" w:after="0" w:line="360" w:lineRule="exact"/>
              <w:ind w:right="59" w:rightChars="28" w:firstLine="69" w:firstLineChars="29"/>
              <w:jc w:val="both"/>
              <w:rPr>
                <w:rStyle w:val="21"/>
                <w:rFonts w:hint="eastAsia" w:ascii="宋体" w:hAnsi="宋体" w:eastAsia="宋体" w:cs="宋体"/>
                <w:i w:val="0"/>
                <w:color w:val="auto"/>
                <w:spacing w:val="0"/>
                <w:sz w:val="24"/>
                <w:szCs w:val="24"/>
                <w:highlight w:val="none"/>
                <w:lang w:val="en-US" w:eastAsia="zh-CN"/>
              </w:rPr>
            </w:pPr>
            <w:r>
              <w:rPr>
                <w:rStyle w:val="21"/>
                <w:rFonts w:hint="eastAsia" w:ascii="宋体" w:hAnsi="宋体" w:eastAsia="宋体" w:cs="宋体"/>
                <w:i w:val="0"/>
                <w:color w:val="auto"/>
                <w:spacing w:val="0"/>
                <w:sz w:val="24"/>
                <w:szCs w:val="24"/>
                <w:highlight w:val="none"/>
                <w:lang w:val="en-US" w:eastAsia="zh-CN"/>
              </w:rPr>
              <w:t>（1）施工组织设计得分较高的投标人优先；</w:t>
            </w:r>
          </w:p>
          <w:p>
            <w:pPr>
              <w:pStyle w:val="20"/>
              <w:shd w:val="clear" w:color="auto"/>
              <w:spacing w:before="0" w:after="0" w:line="360" w:lineRule="exact"/>
              <w:ind w:right="59" w:rightChars="28" w:firstLine="69" w:firstLineChars="29"/>
              <w:jc w:val="both"/>
              <w:rPr>
                <w:rFonts w:hint="eastAsia" w:ascii="宋体" w:hAnsi="宋体" w:eastAsia="宋体" w:cs="宋体"/>
                <w:i w:val="0"/>
                <w:iCs/>
                <w:color w:val="auto"/>
                <w:spacing w:val="0"/>
                <w:w w:val="100"/>
                <w:kern w:val="2"/>
                <w:position w:val="0"/>
                <w:sz w:val="24"/>
                <w:szCs w:val="24"/>
                <w:highlight w:val="none"/>
                <w:shd w:val="clear" w:color="auto" w:fill="FFFFFF"/>
                <w:lang w:val="en-US" w:eastAsia="zh-CN" w:bidi="ar-SA"/>
              </w:rPr>
            </w:pPr>
            <w:r>
              <w:rPr>
                <w:rStyle w:val="21"/>
                <w:rFonts w:hint="eastAsia" w:ascii="宋体" w:hAnsi="宋体" w:eastAsia="宋体" w:cs="宋体"/>
                <w:i w:val="0"/>
                <w:color w:val="auto"/>
                <w:spacing w:val="0"/>
                <w:sz w:val="24"/>
                <w:szCs w:val="24"/>
                <w:highlight w:val="none"/>
                <w:lang w:val="en-US" w:eastAsia="zh-CN"/>
              </w:rPr>
              <w:t>（2）履约信誉得分较高的投标人优先。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jc w:val="center"/>
        </w:trPr>
        <w:tc>
          <w:tcPr>
            <w:tcW w:w="829" w:type="dxa"/>
            <w:shd w:val="clear" w:color="auto" w:fill="FFFFFF"/>
            <w:vAlign w:val="center"/>
          </w:tcPr>
          <w:p>
            <w:pPr>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bidi="zh-CN"/>
              </w:rPr>
              <w:t>3.9.2</w:t>
            </w:r>
          </w:p>
        </w:tc>
        <w:tc>
          <w:tcPr>
            <w:tcW w:w="908" w:type="dxa"/>
            <w:shd w:val="clear" w:color="auto" w:fill="FFFFFF"/>
            <w:vAlign w:val="center"/>
          </w:tcPr>
          <w:p>
            <w:pPr>
              <w:pStyle w:val="19"/>
              <w:spacing w:before="157" w:line="240" w:lineRule="auto"/>
              <w:ind w:right="59" w:rightChars="0"/>
              <w:jc w:val="center"/>
              <w:rPr>
                <w:rFonts w:hint="eastAsia" w:ascii="宋体" w:hAnsi="宋体" w:eastAsia="宋体" w:cs="宋体"/>
                <w:spacing w:val="-5"/>
                <w:sz w:val="24"/>
                <w:szCs w:val="24"/>
                <w:highlight w:val="none"/>
                <w:lang w:val="en-US" w:eastAsia="zh-CN"/>
              </w:rPr>
            </w:pPr>
            <w:r>
              <w:rPr>
                <w:rFonts w:hint="eastAsia" w:ascii="宋体" w:hAnsi="宋体" w:eastAsia="宋体" w:cs="宋体"/>
                <w:spacing w:val="-5"/>
                <w:sz w:val="24"/>
                <w:szCs w:val="24"/>
                <w:highlight w:val="none"/>
                <w:lang w:val="en-US" w:eastAsia="zh-CN"/>
              </w:rPr>
              <w:t>评标</w:t>
            </w:r>
          </w:p>
          <w:p>
            <w:pPr>
              <w:pStyle w:val="19"/>
              <w:spacing w:before="157" w:line="240" w:lineRule="auto"/>
              <w:ind w:right="59" w:rightChars="0"/>
              <w:jc w:val="center"/>
              <w:rPr>
                <w:rFonts w:hint="eastAsia" w:ascii="宋体" w:hAnsi="宋体" w:eastAsia="宋体" w:cs="宋体"/>
                <w:spacing w:val="-5"/>
                <w:sz w:val="24"/>
                <w:szCs w:val="24"/>
                <w:highlight w:val="none"/>
              </w:rPr>
            </w:pPr>
            <w:r>
              <w:rPr>
                <w:rFonts w:hint="eastAsia" w:ascii="宋体" w:hAnsi="宋体" w:eastAsia="宋体" w:cs="宋体"/>
                <w:spacing w:val="-5"/>
                <w:sz w:val="24"/>
                <w:szCs w:val="24"/>
                <w:highlight w:val="none"/>
                <w:lang w:val="en-US" w:eastAsia="zh-CN"/>
              </w:rPr>
              <w:t>报告</w:t>
            </w:r>
          </w:p>
        </w:tc>
        <w:tc>
          <w:tcPr>
            <w:tcW w:w="7881" w:type="dxa"/>
            <w:shd w:val="clear" w:color="auto" w:fill="FFFFFF"/>
            <w:vAlign w:val="center"/>
          </w:tcPr>
          <w:p>
            <w:pPr>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评标报告应如实记载下列内容： </w:t>
            </w:r>
          </w:p>
          <w:p>
            <w:pPr>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（1）招标项目基本情况 </w:t>
            </w:r>
          </w:p>
          <w:p>
            <w:pPr>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（2）评标委员会成员名单 </w:t>
            </w:r>
          </w:p>
          <w:p>
            <w:pPr>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（3）监督人员名单 </w:t>
            </w:r>
          </w:p>
          <w:p>
            <w:pPr>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（4）开标记录 </w:t>
            </w:r>
          </w:p>
          <w:p>
            <w:pPr>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（5）符合要求的投标人名单 </w:t>
            </w:r>
          </w:p>
          <w:p>
            <w:pPr>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（6）否决的投标人名单以及否决理由 </w:t>
            </w:r>
          </w:p>
          <w:p>
            <w:pPr>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（7）串通投标情形的评审情况说明 </w:t>
            </w:r>
          </w:p>
          <w:p>
            <w:pPr>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（8）评分情况 </w:t>
            </w:r>
          </w:p>
          <w:p>
            <w:pPr>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（9）经评审的投标人排序 </w:t>
            </w:r>
          </w:p>
          <w:p>
            <w:pPr>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（10）中标候选人名单 </w:t>
            </w:r>
          </w:p>
          <w:p>
            <w:pPr>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（11）澄清、说明事项纪要 </w:t>
            </w:r>
          </w:p>
          <w:p>
            <w:pPr>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（12）需要说明的其他事项 </w:t>
            </w:r>
          </w:p>
          <w:p>
            <w:pPr>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（13）评标附表</w:t>
            </w:r>
          </w:p>
        </w:tc>
      </w:tr>
    </w:tbl>
    <w:p>
      <w:pPr>
        <w:pStyle w:val="3"/>
        <w:spacing w:before="156" w:beforeLines="50" w:after="156" w:afterLines="50" w:line="240" w:lineRule="auto"/>
      </w:pPr>
      <w:r>
        <w:t>详细评分标准</w:t>
      </w:r>
    </w:p>
    <w:tbl>
      <w:tblPr>
        <w:tblStyle w:val="11"/>
        <w:tblW w:w="91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7"/>
        <w:gridCol w:w="786"/>
        <w:gridCol w:w="2011"/>
        <w:gridCol w:w="817"/>
        <w:gridCol w:w="4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4" w:hRule="atLeast"/>
          <w:jc w:val="center"/>
        </w:trPr>
        <w:tc>
          <w:tcPr>
            <w:tcW w:w="4251" w:type="dxa"/>
            <w:gridSpan w:val="4"/>
            <w:vAlign w:val="center"/>
          </w:tcPr>
          <w:p>
            <w:pPr>
              <w:spacing w:line="240" w:lineRule="atLeast"/>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评分因素与权重分值</w:t>
            </w:r>
          </w:p>
        </w:tc>
        <w:tc>
          <w:tcPr>
            <w:tcW w:w="4899" w:type="dxa"/>
            <w:vMerge w:val="restart"/>
            <w:vAlign w:val="center"/>
          </w:tcPr>
          <w:p>
            <w:pPr>
              <w:pStyle w:val="19"/>
              <w:spacing w:line="240" w:lineRule="atLeast"/>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71" w:hRule="atLeast"/>
          <w:jc w:val="center"/>
        </w:trPr>
        <w:tc>
          <w:tcPr>
            <w:tcW w:w="637" w:type="dxa"/>
            <w:vAlign w:val="center"/>
          </w:tcPr>
          <w:p>
            <w:pPr>
              <w:spacing w:line="240" w:lineRule="atLeast"/>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评分</w:t>
            </w:r>
          </w:p>
          <w:p>
            <w:pPr>
              <w:spacing w:line="240" w:lineRule="atLeast"/>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因素</w:t>
            </w:r>
          </w:p>
        </w:tc>
        <w:tc>
          <w:tcPr>
            <w:tcW w:w="786" w:type="dxa"/>
            <w:vAlign w:val="center"/>
          </w:tcPr>
          <w:p>
            <w:pPr>
              <w:spacing w:line="240" w:lineRule="atLeast"/>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评分因</w:t>
            </w:r>
          </w:p>
          <w:p>
            <w:pPr>
              <w:spacing w:line="240" w:lineRule="atLeast"/>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素权重</w:t>
            </w:r>
          </w:p>
          <w:p>
            <w:pPr>
              <w:spacing w:line="240" w:lineRule="atLeast"/>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分值</w:t>
            </w:r>
          </w:p>
        </w:tc>
        <w:tc>
          <w:tcPr>
            <w:tcW w:w="2011" w:type="dxa"/>
            <w:vAlign w:val="center"/>
          </w:tcPr>
          <w:p>
            <w:pPr>
              <w:spacing w:line="240" w:lineRule="atLeast"/>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各评分因素</w:t>
            </w:r>
          </w:p>
          <w:p>
            <w:pPr>
              <w:spacing w:line="240" w:lineRule="atLeast"/>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细分项</w:t>
            </w:r>
          </w:p>
        </w:tc>
        <w:tc>
          <w:tcPr>
            <w:tcW w:w="817" w:type="dxa"/>
            <w:vAlign w:val="center"/>
          </w:tcPr>
          <w:p>
            <w:pPr>
              <w:spacing w:line="240" w:lineRule="atLeast"/>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分值</w:t>
            </w:r>
          </w:p>
        </w:tc>
        <w:tc>
          <w:tcPr>
            <w:tcW w:w="4899" w:type="dxa"/>
            <w:vMerge w:val="continue"/>
            <w:vAlign w:val="top"/>
          </w:tcPr>
          <w:p>
            <w:pPr>
              <w:spacing w:line="240" w:lineRule="atLeas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76" w:hRule="atLeast"/>
          <w:jc w:val="center"/>
        </w:trPr>
        <w:tc>
          <w:tcPr>
            <w:tcW w:w="637" w:type="dxa"/>
            <w:vMerge w:val="restart"/>
            <w:vAlign w:val="center"/>
          </w:tcPr>
          <w:p>
            <w:pPr>
              <w:pStyle w:val="19"/>
              <w:spacing w:line="240" w:lineRule="atLeast"/>
              <w:jc w:val="center"/>
              <w:rPr>
                <w:rFonts w:hint="eastAsia" w:ascii="宋体" w:hAnsi="宋体" w:eastAsia="宋体" w:cs="宋体"/>
                <w:b/>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施工组织设计</w:t>
            </w:r>
          </w:p>
        </w:tc>
        <w:tc>
          <w:tcPr>
            <w:tcW w:w="786" w:type="dxa"/>
            <w:vMerge w:val="restart"/>
            <w:vAlign w:val="center"/>
          </w:tcPr>
          <w:p>
            <w:pPr>
              <w:pStyle w:val="19"/>
              <w:spacing w:line="244" w:lineRule="auto"/>
              <w:ind w:left="143" w:leftChars="0" w:right="131" w:rightChars="0"/>
              <w:jc w:val="center"/>
              <w:rPr>
                <w:rFonts w:hint="eastAsia" w:ascii="宋体" w:hAnsi="宋体" w:eastAsia="宋体" w:cs="宋体"/>
                <w:b/>
                <w:color w:val="000000"/>
                <w:sz w:val="21"/>
                <w:szCs w:val="21"/>
                <w:highlight w:val="none"/>
                <w:lang w:val="en-US"/>
              </w:rPr>
            </w:pPr>
            <w:r>
              <w:rPr>
                <w:rFonts w:hint="eastAsia" w:ascii="仿宋" w:hAnsi="仿宋" w:eastAsia="仿宋" w:cs="仿宋"/>
                <w:bCs/>
                <w:color w:val="auto"/>
                <w:sz w:val="24"/>
                <w:szCs w:val="24"/>
                <w:highlight w:val="none"/>
                <w:lang w:val="en-US" w:eastAsia="zh-CN"/>
              </w:rPr>
              <w:t>25</w:t>
            </w:r>
            <w:r>
              <w:rPr>
                <w:rFonts w:hint="eastAsia" w:ascii="仿宋" w:hAnsi="仿宋" w:eastAsia="仿宋" w:cs="仿宋"/>
                <w:bCs/>
                <w:color w:val="auto"/>
                <w:sz w:val="24"/>
                <w:szCs w:val="24"/>
                <w:highlight w:val="none"/>
                <w:lang w:val="en-US"/>
              </w:rPr>
              <w:t>分</w:t>
            </w:r>
          </w:p>
        </w:tc>
        <w:tc>
          <w:tcPr>
            <w:tcW w:w="2011"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总体施工组织布置及规划</w:t>
            </w:r>
          </w:p>
        </w:tc>
        <w:tc>
          <w:tcPr>
            <w:tcW w:w="817"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p>
        </w:tc>
        <w:tc>
          <w:tcPr>
            <w:tcW w:w="4899" w:type="dxa"/>
            <w:vAlign w:val="center"/>
          </w:tcPr>
          <w:p>
            <w:pPr>
              <w:spacing w:line="240" w:lineRule="atLeast"/>
              <w:ind w:left="105" w:leftChars="50" w:right="105" w:rightChars="5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好得4.5～5分；较好得4～4.5分；基本满足要求得3～4分。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6" w:hRule="atLeast"/>
          <w:jc w:val="center"/>
        </w:trPr>
        <w:tc>
          <w:tcPr>
            <w:tcW w:w="637" w:type="dxa"/>
            <w:vMerge w:val="continue"/>
            <w:vAlign w:val="top"/>
          </w:tcPr>
          <w:p>
            <w:pPr>
              <w:pStyle w:val="19"/>
              <w:spacing w:line="240" w:lineRule="atLeast"/>
              <w:rPr>
                <w:rFonts w:hint="eastAsia" w:ascii="宋体" w:hAnsi="宋体" w:eastAsia="宋体" w:cs="宋体"/>
                <w:b/>
                <w:color w:val="000000"/>
                <w:sz w:val="21"/>
                <w:szCs w:val="21"/>
                <w:highlight w:val="none"/>
              </w:rPr>
            </w:pPr>
          </w:p>
        </w:tc>
        <w:tc>
          <w:tcPr>
            <w:tcW w:w="786" w:type="dxa"/>
            <w:vMerge w:val="continue"/>
            <w:vAlign w:val="top"/>
          </w:tcPr>
          <w:p>
            <w:pPr>
              <w:pStyle w:val="19"/>
              <w:spacing w:line="244" w:lineRule="auto"/>
              <w:ind w:left="143" w:leftChars="0" w:right="131" w:rightChars="0"/>
              <w:rPr>
                <w:rFonts w:hint="eastAsia" w:ascii="宋体" w:hAnsi="宋体" w:eastAsia="宋体" w:cs="宋体"/>
                <w:b/>
                <w:color w:val="000000"/>
                <w:sz w:val="21"/>
                <w:szCs w:val="21"/>
                <w:highlight w:val="none"/>
              </w:rPr>
            </w:pPr>
          </w:p>
        </w:tc>
        <w:tc>
          <w:tcPr>
            <w:tcW w:w="2011"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施工方案、方法与技术措施</w:t>
            </w:r>
          </w:p>
        </w:tc>
        <w:tc>
          <w:tcPr>
            <w:tcW w:w="817"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p>
        </w:tc>
        <w:tc>
          <w:tcPr>
            <w:tcW w:w="4899" w:type="dxa"/>
            <w:vAlign w:val="center"/>
          </w:tcPr>
          <w:p>
            <w:pPr>
              <w:spacing w:line="240" w:lineRule="atLeast"/>
              <w:ind w:left="105" w:leftChars="50" w:right="105" w:rightChars="5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好得4.5～5分；较好得4～4.5分；基本满足要求得3～4分。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6" w:hRule="atLeast"/>
          <w:jc w:val="center"/>
        </w:trPr>
        <w:tc>
          <w:tcPr>
            <w:tcW w:w="637" w:type="dxa"/>
            <w:vMerge w:val="continue"/>
            <w:vAlign w:val="top"/>
          </w:tcPr>
          <w:p>
            <w:pPr>
              <w:pStyle w:val="19"/>
              <w:spacing w:line="240" w:lineRule="atLeast"/>
              <w:rPr>
                <w:rFonts w:hint="eastAsia" w:ascii="宋体" w:hAnsi="宋体" w:eastAsia="宋体" w:cs="宋体"/>
                <w:b/>
                <w:color w:val="000000"/>
                <w:sz w:val="21"/>
                <w:szCs w:val="21"/>
                <w:highlight w:val="none"/>
              </w:rPr>
            </w:pPr>
          </w:p>
        </w:tc>
        <w:tc>
          <w:tcPr>
            <w:tcW w:w="786" w:type="dxa"/>
            <w:vMerge w:val="continue"/>
            <w:vAlign w:val="top"/>
          </w:tcPr>
          <w:p>
            <w:pPr>
              <w:pStyle w:val="19"/>
              <w:spacing w:line="244" w:lineRule="auto"/>
              <w:ind w:left="143" w:leftChars="0" w:right="131" w:rightChars="0"/>
              <w:rPr>
                <w:rFonts w:hint="eastAsia" w:ascii="宋体" w:hAnsi="宋体" w:eastAsia="宋体" w:cs="宋体"/>
                <w:b/>
                <w:color w:val="000000"/>
                <w:sz w:val="21"/>
                <w:szCs w:val="21"/>
                <w:highlight w:val="none"/>
              </w:rPr>
            </w:pPr>
          </w:p>
        </w:tc>
        <w:tc>
          <w:tcPr>
            <w:tcW w:w="2011"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工期、质量、安全生产、交通保畅管理体系及保证措施</w:t>
            </w:r>
          </w:p>
        </w:tc>
        <w:tc>
          <w:tcPr>
            <w:tcW w:w="817"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p>
        </w:tc>
        <w:tc>
          <w:tcPr>
            <w:tcW w:w="4899" w:type="dxa"/>
            <w:vAlign w:val="center"/>
          </w:tcPr>
          <w:p>
            <w:pPr>
              <w:spacing w:line="240" w:lineRule="atLeast"/>
              <w:ind w:left="105" w:leftChars="50" w:right="105" w:rightChars="5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好得4.5～5分；较好得4～4.5分；基本满足要求得3～4分。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7" w:hRule="atLeast"/>
          <w:jc w:val="center"/>
        </w:trPr>
        <w:tc>
          <w:tcPr>
            <w:tcW w:w="637" w:type="dxa"/>
            <w:vMerge w:val="continue"/>
            <w:vAlign w:val="top"/>
          </w:tcPr>
          <w:p>
            <w:pPr>
              <w:pStyle w:val="19"/>
              <w:spacing w:line="240" w:lineRule="atLeast"/>
              <w:rPr>
                <w:rFonts w:hint="eastAsia" w:ascii="宋体" w:hAnsi="宋体" w:eastAsia="宋体" w:cs="宋体"/>
                <w:b/>
                <w:color w:val="000000"/>
                <w:sz w:val="21"/>
                <w:szCs w:val="21"/>
                <w:highlight w:val="none"/>
              </w:rPr>
            </w:pPr>
          </w:p>
        </w:tc>
        <w:tc>
          <w:tcPr>
            <w:tcW w:w="786" w:type="dxa"/>
            <w:vMerge w:val="continue"/>
            <w:vAlign w:val="top"/>
          </w:tcPr>
          <w:p>
            <w:pPr>
              <w:pStyle w:val="19"/>
              <w:spacing w:line="244" w:lineRule="auto"/>
              <w:ind w:left="143" w:leftChars="0" w:right="131" w:rightChars="0"/>
              <w:rPr>
                <w:rFonts w:hint="eastAsia" w:ascii="宋体" w:hAnsi="宋体" w:eastAsia="宋体" w:cs="宋体"/>
                <w:b/>
                <w:color w:val="000000"/>
                <w:sz w:val="21"/>
                <w:szCs w:val="21"/>
                <w:highlight w:val="none"/>
              </w:rPr>
            </w:pPr>
          </w:p>
        </w:tc>
        <w:tc>
          <w:tcPr>
            <w:tcW w:w="2011"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环境保护、文明施工、事故处理管理体系及保证措施</w:t>
            </w:r>
          </w:p>
        </w:tc>
        <w:tc>
          <w:tcPr>
            <w:tcW w:w="817"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p>
        </w:tc>
        <w:tc>
          <w:tcPr>
            <w:tcW w:w="4899" w:type="dxa"/>
            <w:vAlign w:val="center"/>
          </w:tcPr>
          <w:p>
            <w:pPr>
              <w:spacing w:line="240" w:lineRule="atLeast"/>
              <w:ind w:left="105" w:leftChars="50" w:right="105" w:rightChars="5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好得4.5～5分；较好得4～4.5分；基本满足要求得3～4分。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79" w:hRule="atLeast"/>
          <w:jc w:val="center"/>
        </w:trPr>
        <w:tc>
          <w:tcPr>
            <w:tcW w:w="637" w:type="dxa"/>
            <w:vMerge w:val="continue"/>
            <w:vAlign w:val="top"/>
          </w:tcPr>
          <w:p>
            <w:pPr>
              <w:pStyle w:val="19"/>
              <w:spacing w:line="240" w:lineRule="atLeast"/>
              <w:rPr>
                <w:rFonts w:hint="eastAsia" w:ascii="宋体" w:hAnsi="宋体" w:eastAsia="宋体" w:cs="宋体"/>
                <w:b/>
                <w:color w:val="000000"/>
                <w:sz w:val="21"/>
                <w:szCs w:val="21"/>
                <w:highlight w:val="none"/>
              </w:rPr>
            </w:pPr>
          </w:p>
        </w:tc>
        <w:tc>
          <w:tcPr>
            <w:tcW w:w="786" w:type="dxa"/>
            <w:vMerge w:val="continue"/>
            <w:vAlign w:val="top"/>
          </w:tcPr>
          <w:p>
            <w:pPr>
              <w:pStyle w:val="19"/>
              <w:spacing w:line="244" w:lineRule="auto"/>
              <w:ind w:left="143" w:leftChars="0" w:right="131" w:rightChars="0"/>
              <w:rPr>
                <w:rFonts w:hint="eastAsia" w:ascii="宋体" w:hAnsi="宋体" w:eastAsia="宋体" w:cs="宋体"/>
                <w:b/>
                <w:color w:val="000000"/>
                <w:sz w:val="21"/>
                <w:szCs w:val="21"/>
                <w:highlight w:val="none"/>
              </w:rPr>
            </w:pPr>
          </w:p>
        </w:tc>
        <w:tc>
          <w:tcPr>
            <w:tcW w:w="2011"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支付保障管理体系及保证措施</w:t>
            </w:r>
          </w:p>
        </w:tc>
        <w:tc>
          <w:tcPr>
            <w:tcW w:w="817"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p>
        </w:tc>
        <w:tc>
          <w:tcPr>
            <w:tcW w:w="4899" w:type="dxa"/>
            <w:vAlign w:val="center"/>
          </w:tcPr>
          <w:p>
            <w:pPr>
              <w:spacing w:line="240" w:lineRule="atLeast"/>
              <w:ind w:left="105" w:leftChars="50" w:right="105" w:rightChars="5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好得4.5～5分；较好得4～4.5分；基本满足要求得3～4分。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8" w:hRule="atLeast"/>
          <w:jc w:val="center"/>
        </w:trPr>
        <w:tc>
          <w:tcPr>
            <w:tcW w:w="637" w:type="dxa"/>
            <w:vMerge w:val="restart"/>
            <w:vAlign w:val="center"/>
          </w:tcPr>
          <w:p>
            <w:pPr>
              <w:spacing w:line="240" w:lineRule="atLeast"/>
              <w:jc w:val="center"/>
              <w:rPr>
                <w:rFonts w:hint="eastAsia" w:ascii="宋体" w:hAnsi="宋体" w:eastAsia="宋体" w:cs="宋体"/>
                <w:bCs/>
                <w:color w:val="000000"/>
                <w:sz w:val="21"/>
                <w:szCs w:val="21"/>
                <w:highlight w:val="none"/>
                <w:lang w:val="en-US"/>
              </w:rPr>
            </w:pPr>
            <w:r>
              <w:rPr>
                <w:rFonts w:hint="eastAsia" w:ascii="宋体" w:hAnsi="宋体" w:eastAsia="宋体" w:cs="宋体"/>
                <w:bCs/>
                <w:color w:val="000000"/>
                <w:sz w:val="21"/>
                <w:szCs w:val="21"/>
                <w:highlight w:val="none"/>
                <w:lang w:val="en-US"/>
              </w:rPr>
              <w:t>主要人员</w:t>
            </w:r>
          </w:p>
        </w:tc>
        <w:tc>
          <w:tcPr>
            <w:tcW w:w="786" w:type="dxa"/>
            <w:vMerge w:val="restart"/>
            <w:vAlign w:val="center"/>
          </w:tcPr>
          <w:p>
            <w:pPr>
              <w:jc w:val="center"/>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lang w:val="en-US" w:eastAsia="zh-CN"/>
              </w:rPr>
              <w:t>25</w:t>
            </w:r>
            <w:r>
              <w:rPr>
                <w:rFonts w:hint="eastAsia" w:ascii="宋体" w:hAnsi="宋体" w:eastAsia="宋体" w:cs="宋体"/>
                <w:bCs/>
                <w:color w:val="000000"/>
                <w:sz w:val="21"/>
                <w:szCs w:val="21"/>
                <w:highlight w:val="none"/>
              </w:rPr>
              <w:t>分</w:t>
            </w:r>
          </w:p>
        </w:tc>
        <w:tc>
          <w:tcPr>
            <w:tcW w:w="2011"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满足资格审查条件</w:t>
            </w:r>
          </w:p>
        </w:tc>
        <w:tc>
          <w:tcPr>
            <w:tcW w:w="817"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w:t>
            </w:r>
          </w:p>
        </w:tc>
        <w:tc>
          <w:tcPr>
            <w:tcW w:w="4899" w:type="dxa"/>
            <w:vAlign w:val="center"/>
          </w:tcPr>
          <w:p>
            <w:pPr>
              <w:spacing w:line="240" w:lineRule="atLeast"/>
              <w:ind w:left="105" w:leftChars="50" w:right="105" w:rightChars="5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满足招标文件主要人员最低要求得15分。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4" w:hRule="atLeast"/>
          <w:jc w:val="center"/>
        </w:trPr>
        <w:tc>
          <w:tcPr>
            <w:tcW w:w="637" w:type="dxa"/>
            <w:vMerge w:val="continue"/>
            <w:vAlign w:val="center"/>
          </w:tcPr>
          <w:p>
            <w:pPr>
              <w:spacing w:line="240" w:lineRule="atLeast"/>
              <w:jc w:val="center"/>
              <w:rPr>
                <w:rFonts w:hint="eastAsia" w:ascii="宋体" w:hAnsi="宋体" w:eastAsia="宋体" w:cs="宋体"/>
                <w:bCs/>
                <w:color w:val="000000"/>
                <w:sz w:val="21"/>
                <w:szCs w:val="21"/>
                <w:highlight w:val="none"/>
                <w:lang w:val="en-US"/>
              </w:rPr>
            </w:pPr>
          </w:p>
        </w:tc>
        <w:tc>
          <w:tcPr>
            <w:tcW w:w="786" w:type="dxa"/>
            <w:vMerge w:val="continue"/>
            <w:vAlign w:val="center"/>
          </w:tcPr>
          <w:p>
            <w:pPr>
              <w:jc w:val="center"/>
              <w:rPr>
                <w:rFonts w:hint="eastAsia" w:ascii="宋体" w:hAnsi="宋体" w:eastAsia="宋体" w:cs="宋体"/>
                <w:bCs/>
                <w:color w:val="000000"/>
                <w:sz w:val="21"/>
                <w:szCs w:val="21"/>
                <w:highlight w:val="none"/>
                <w:lang w:val="en-US" w:eastAsia="zh-CN"/>
              </w:rPr>
            </w:pPr>
          </w:p>
        </w:tc>
        <w:tc>
          <w:tcPr>
            <w:tcW w:w="2011"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项目经理任职资格    与业绩</w:t>
            </w:r>
          </w:p>
        </w:tc>
        <w:tc>
          <w:tcPr>
            <w:tcW w:w="817"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4899" w:type="dxa"/>
            <w:vAlign w:val="center"/>
          </w:tcPr>
          <w:p>
            <w:pPr>
              <w:spacing w:line="240" w:lineRule="atLeast"/>
              <w:ind w:left="105" w:leftChars="50" w:right="105" w:rightChars="5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满足资格审查条件之外，每增加1个新建或改扩建高速公路（须包含桥梁工程）施工合同段项目经理经历加3分，最多加6分。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32" w:hRule="atLeast"/>
          <w:jc w:val="center"/>
        </w:trPr>
        <w:tc>
          <w:tcPr>
            <w:tcW w:w="637" w:type="dxa"/>
            <w:vMerge w:val="continue"/>
            <w:vAlign w:val="center"/>
          </w:tcPr>
          <w:p>
            <w:pPr>
              <w:spacing w:line="240" w:lineRule="atLeast"/>
              <w:jc w:val="center"/>
              <w:rPr>
                <w:rFonts w:hint="eastAsia" w:ascii="宋体" w:hAnsi="宋体" w:eastAsia="宋体" w:cs="宋体"/>
                <w:bCs/>
                <w:color w:val="000000"/>
                <w:sz w:val="21"/>
                <w:szCs w:val="21"/>
                <w:highlight w:val="none"/>
                <w:lang w:val="en-US"/>
              </w:rPr>
            </w:pPr>
          </w:p>
        </w:tc>
        <w:tc>
          <w:tcPr>
            <w:tcW w:w="786" w:type="dxa"/>
            <w:vMerge w:val="continue"/>
            <w:vAlign w:val="center"/>
          </w:tcPr>
          <w:p>
            <w:pPr>
              <w:jc w:val="center"/>
              <w:rPr>
                <w:rFonts w:hint="eastAsia" w:ascii="宋体" w:hAnsi="宋体" w:eastAsia="宋体" w:cs="宋体"/>
                <w:bCs/>
                <w:color w:val="000000"/>
                <w:sz w:val="21"/>
                <w:szCs w:val="21"/>
                <w:highlight w:val="none"/>
                <w:lang w:val="en-US"/>
              </w:rPr>
            </w:pPr>
          </w:p>
        </w:tc>
        <w:tc>
          <w:tcPr>
            <w:tcW w:w="2011"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项目总工任职资格   与业绩</w:t>
            </w:r>
          </w:p>
        </w:tc>
        <w:tc>
          <w:tcPr>
            <w:tcW w:w="817"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4</w:t>
            </w:r>
          </w:p>
        </w:tc>
        <w:tc>
          <w:tcPr>
            <w:tcW w:w="4899" w:type="dxa"/>
            <w:vAlign w:val="center"/>
          </w:tcPr>
          <w:p>
            <w:pPr>
              <w:spacing w:line="240" w:lineRule="atLeast"/>
              <w:ind w:left="105" w:leftChars="50" w:right="105" w:rightChars="5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满足资格审查条件之外，每增加1个新建或改扩建高速公路（须包含桥梁工程）施工合同段项目总工经历加2分，最多加4分。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08" w:hRule="atLeast"/>
          <w:jc w:val="center"/>
        </w:trPr>
        <w:tc>
          <w:tcPr>
            <w:tcW w:w="637" w:type="dxa"/>
            <w:vMerge w:val="restart"/>
            <w:vAlign w:val="center"/>
          </w:tcPr>
          <w:p>
            <w:pPr>
              <w:spacing w:line="240" w:lineRule="atLeast"/>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技术</w:t>
            </w:r>
            <w:bookmarkStart w:id="0" w:name="_GoBack"/>
            <w:bookmarkEnd w:id="0"/>
            <w:r>
              <w:rPr>
                <w:rFonts w:hint="eastAsia" w:ascii="宋体" w:hAnsi="宋体" w:eastAsia="宋体" w:cs="宋体"/>
                <w:color w:val="000000"/>
                <w:sz w:val="21"/>
                <w:szCs w:val="21"/>
                <w:highlight w:val="none"/>
                <w:lang w:val="en-US" w:eastAsia="zh-CN"/>
              </w:rPr>
              <w:t>能力</w:t>
            </w:r>
          </w:p>
        </w:tc>
        <w:tc>
          <w:tcPr>
            <w:tcW w:w="786" w:type="dxa"/>
            <w:vMerge w:val="restart"/>
            <w:vAlign w:val="center"/>
          </w:tcPr>
          <w:p>
            <w:pPr>
              <w:jc w:val="center"/>
              <w:rPr>
                <w:rFonts w:hint="eastAsia" w:ascii="宋体" w:hAnsi="宋体" w:eastAsia="宋体" w:cs="宋体"/>
                <w:bCs/>
                <w:color w:val="000000"/>
                <w:sz w:val="21"/>
                <w:szCs w:val="21"/>
                <w:highlight w:val="none"/>
                <w:lang w:val="en-US"/>
              </w:rPr>
            </w:pPr>
            <w:r>
              <w:rPr>
                <w:rFonts w:hint="eastAsia" w:ascii="宋体" w:hAnsi="宋体" w:eastAsia="宋体" w:cs="宋体"/>
                <w:bCs/>
                <w:color w:val="000000"/>
                <w:sz w:val="21"/>
                <w:szCs w:val="21"/>
                <w:highlight w:val="none"/>
              </w:rPr>
              <w:t>10分</w:t>
            </w:r>
          </w:p>
        </w:tc>
        <w:tc>
          <w:tcPr>
            <w:tcW w:w="2011"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满足资格审查条件</w:t>
            </w:r>
          </w:p>
        </w:tc>
        <w:tc>
          <w:tcPr>
            <w:tcW w:w="817"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p>
        </w:tc>
        <w:tc>
          <w:tcPr>
            <w:tcW w:w="4899" w:type="dxa"/>
            <w:vAlign w:val="center"/>
          </w:tcPr>
          <w:p>
            <w:pPr>
              <w:spacing w:line="240" w:lineRule="atLeast"/>
              <w:ind w:left="105" w:leftChars="50" w:right="105" w:rightChars="5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通过商务及技术文件初步评审得6分。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905" w:hRule="atLeast"/>
          <w:jc w:val="center"/>
        </w:trPr>
        <w:tc>
          <w:tcPr>
            <w:tcW w:w="637" w:type="dxa"/>
            <w:vMerge w:val="continue"/>
            <w:vAlign w:val="center"/>
          </w:tcPr>
          <w:p>
            <w:pPr>
              <w:spacing w:line="240" w:lineRule="atLeast"/>
              <w:jc w:val="center"/>
              <w:rPr>
                <w:rFonts w:hint="eastAsia" w:ascii="宋体" w:hAnsi="宋体" w:eastAsia="宋体" w:cs="宋体"/>
                <w:bCs/>
                <w:color w:val="000000"/>
                <w:sz w:val="21"/>
                <w:szCs w:val="21"/>
                <w:highlight w:val="none"/>
                <w:lang w:val="en-US"/>
              </w:rPr>
            </w:pPr>
          </w:p>
        </w:tc>
        <w:tc>
          <w:tcPr>
            <w:tcW w:w="786" w:type="dxa"/>
            <w:vMerge w:val="continue"/>
            <w:vAlign w:val="center"/>
          </w:tcPr>
          <w:p>
            <w:pPr>
              <w:jc w:val="center"/>
              <w:rPr>
                <w:rFonts w:hint="eastAsia" w:ascii="宋体" w:hAnsi="宋体" w:eastAsia="宋体" w:cs="宋体"/>
                <w:bCs/>
                <w:color w:val="000000"/>
                <w:sz w:val="21"/>
                <w:szCs w:val="21"/>
                <w:highlight w:val="none"/>
                <w:lang w:val="en-US"/>
              </w:rPr>
            </w:pPr>
          </w:p>
        </w:tc>
        <w:tc>
          <w:tcPr>
            <w:tcW w:w="2011"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科研开发和技术创新能力</w:t>
            </w:r>
          </w:p>
        </w:tc>
        <w:tc>
          <w:tcPr>
            <w:tcW w:w="817" w:type="dxa"/>
            <w:vAlign w:val="center"/>
          </w:tcPr>
          <w:p>
            <w:pPr>
              <w:spacing w:line="240" w:lineRule="atLeast"/>
              <w:ind w:left="105" w:leftChars="50" w:right="105" w:rightChars="5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w:t>
            </w:r>
          </w:p>
        </w:tc>
        <w:tc>
          <w:tcPr>
            <w:tcW w:w="4899" w:type="dxa"/>
            <w:vAlign w:val="center"/>
          </w:tcPr>
          <w:p>
            <w:pPr>
              <w:spacing w:line="240" w:lineRule="atLeast"/>
              <w:ind w:left="105" w:leftChars="50" w:right="105" w:rightChars="5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人曾获得与项目实施有关的国家级工法、专利（发明专利或实用新型专利），国家科学技术进步奖、省级科学技术进步奖二等奖及以上，主编或参编过的国家、行业或地方标准的，每有一项加2分，最多加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658" w:hRule="atLeast"/>
          <w:jc w:val="center"/>
        </w:trPr>
        <w:tc>
          <w:tcPr>
            <w:tcW w:w="637" w:type="dxa"/>
            <w:vAlign w:val="center"/>
          </w:tcPr>
          <w:p>
            <w:pPr>
              <w:spacing w:line="240" w:lineRule="atLeast"/>
              <w:jc w:val="center"/>
              <w:rPr>
                <w:rFonts w:hint="eastAsia" w:ascii="宋体" w:hAnsi="宋体" w:eastAsia="宋体" w:cs="宋体"/>
                <w:bCs/>
                <w:color w:val="000000"/>
                <w:sz w:val="21"/>
                <w:szCs w:val="21"/>
                <w:highlight w:val="none"/>
              </w:rPr>
            </w:pPr>
            <w:r>
              <w:rPr>
                <w:rFonts w:hint="eastAsia" w:ascii="宋体" w:hAnsi="宋体" w:eastAsia="宋体" w:cs="宋体"/>
                <w:color w:val="000000"/>
                <w:sz w:val="21"/>
                <w:szCs w:val="21"/>
                <w:highlight w:val="none"/>
                <w:lang w:val="en-US" w:eastAsia="zh-CN"/>
              </w:rPr>
              <w:t>履约信誉</w:t>
            </w:r>
          </w:p>
        </w:tc>
        <w:tc>
          <w:tcPr>
            <w:tcW w:w="786" w:type="dxa"/>
            <w:vAlign w:val="center"/>
          </w:tcPr>
          <w:p>
            <w:pPr>
              <w:jc w:val="center"/>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lang w:val="en-US" w:eastAsia="zh-CN"/>
              </w:rPr>
              <w:t>15</w:t>
            </w:r>
            <w:r>
              <w:rPr>
                <w:rFonts w:hint="eastAsia" w:ascii="宋体" w:hAnsi="宋体" w:eastAsia="宋体" w:cs="宋体"/>
                <w:bCs/>
                <w:color w:val="000000"/>
                <w:sz w:val="21"/>
                <w:szCs w:val="21"/>
                <w:highlight w:val="none"/>
              </w:rPr>
              <w:t>分</w:t>
            </w:r>
          </w:p>
        </w:tc>
        <w:tc>
          <w:tcPr>
            <w:tcW w:w="2011" w:type="dxa"/>
            <w:vAlign w:val="center"/>
          </w:tcPr>
          <w:p>
            <w:pPr>
              <w:pStyle w:val="19"/>
              <w:spacing w:line="240" w:lineRule="atLeast"/>
              <w:jc w:val="center"/>
              <w:rPr>
                <w:rFonts w:hint="eastAsia" w:ascii="宋体" w:hAnsi="宋体" w:eastAsia="宋体" w:cs="宋体"/>
                <w:color w:val="000000"/>
                <w:sz w:val="21"/>
                <w:szCs w:val="21"/>
                <w:highlight w:val="none"/>
                <w:shd w:val="clear" w:color="auto" w:fill="auto"/>
                <w:lang w:val="en-US" w:eastAsia="zh-CN"/>
              </w:rPr>
            </w:pPr>
            <w:r>
              <w:rPr>
                <w:rFonts w:hint="eastAsia" w:ascii="宋体" w:hAnsi="宋体" w:eastAsia="宋体" w:cs="宋体"/>
                <w:color w:val="000000"/>
                <w:sz w:val="21"/>
                <w:szCs w:val="21"/>
                <w:highlight w:val="none"/>
                <w:shd w:val="clear" w:color="auto" w:fill="auto"/>
                <w:lang w:val="en-US" w:eastAsia="zh-CN"/>
              </w:rPr>
              <w:t>信用评价</w:t>
            </w:r>
          </w:p>
        </w:tc>
        <w:tc>
          <w:tcPr>
            <w:tcW w:w="817" w:type="dxa"/>
            <w:vAlign w:val="center"/>
          </w:tcPr>
          <w:p>
            <w:pPr>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15</w:t>
            </w:r>
          </w:p>
        </w:tc>
        <w:tc>
          <w:tcPr>
            <w:tcW w:w="4899" w:type="dxa"/>
            <w:vAlign w:val="center"/>
          </w:tcPr>
          <w:p>
            <w:pPr>
              <w:spacing w:line="240" w:lineRule="atLeast"/>
              <w:ind w:left="105" w:leftChars="50" w:right="105" w:rightChars="50"/>
              <w:rPr>
                <w:rFonts w:hint="default" w:ascii="宋体" w:hAnsi="宋体" w:eastAsia="宋体" w:cs="宋体"/>
                <w:color w:val="000000"/>
                <w:szCs w:val="21"/>
                <w:highlight w:val="none"/>
                <w:lang w:val="en-US" w:eastAsia="zh-CN"/>
              </w:rPr>
            </w:pPr>
            <w:r>
              <w:rPr>
                <w:rFonts w:hint="default" w:ascii="宋体" w:hAnsi="宋体" w:eastAsia="宋体" w:cs="宋体"/>
                <w:color w:val="000000"/>
                <w:szCs w:val="21"/>
                <w:highlight w:val="none"/>
                <w:lang w:val="en-US" w:eastAsia="zh-CN"/>
              </w:rPr>
              <w:t>根据陕西省交通运输厅《关于202</w:t>
            </w:r>
            <w:r>
              <w:rPr>
                <w:rFonts w:hint="eastAsia" w:ascii="宋体" w:hAnsi="宋体" w:eastAsia="宋体" w:cs="宋体"/>
                <w:color w:val="000000"/>
                <w:szCs w:val="21"/>
                <w:highlight w:val="none"/>
                <w:lang w:val="en-US" w:eastAsia="zh-CN"/>
              </w:rPr>
              <w:t>5</w:t>
            </w:r>
            <w:r>
              <w:rPr>
                <w:rFonts w:hint="default" w:ascii="宋体" w:hAnsi="宋体" w:eastAsia="宋体" w:cs="宋体"/>
                <w:color w:val="000000"/>
                <w:szCs w:val="21"/>
                <w:highlight w:val="none"/>
                <w:lang w:val="en-US" w:eastAsia="zh-CN"/>
              </w:rPr>
              <w:t>年度陕西省公路建设从业企业信用评价结果应用的通知》文件规定：</w:t>
            </w:r>
          </w:p>
          <w:p>
            <w:pPr>
              <w:spacing w:line="240" w:lineRule="atLeast"/>
              <w:ind w:left="105" w:leftChars="50" w:right="105" w:rightChars="50"/>
              <w:rPr>
                <w:rFonts w:hint="default" w:ascii="宋体" w:hAnsi="宋体" w:eastAsia="宋体" w:cs="宋体"/>
                <w:color w:val="auto"/>
                <w:szCs w:val="21"/>
                <w:highlight w:val="none"/>
                <w:lang w:val="en-US" w:eastAsia="zh-CN"/>
              </w:rPr>
            </w:pPr>
            <w:r>
              <w:rPr>
                <w:rFonts w:hint="default" w:ascii="宋体" w:hAnsi="宋体" w:eastAsia="宋体" w:cs="宋体"/>
                <w:color w:val="000000"/>
                <w:szCs w:val="21"/>
                <w:highlight w:val="none"/>
                <w:lang w:val="en-US" w:eastAsia="zh-CN"/>
              </w:rPr>
              <w:t>1.</w:t>
            </w:r>
            <w:r>
              <w:rPr>
                <w:rFonts w:hint="default" w:ascii="宋体" w:hAnsi="宋体" w:eastAsia="宋体" w:cs="宋体"/>
                <w:color w:val="auto"/>
                <w:szCs w:val="21"/>
                <w:highlight w:val="none"/>
                <w:lang w:val="en-US" w:eastAsia="zh-CN"/>
              </w:rPr>
              <w:t>按照公路施工企业的信用评价等级进行评分，信用评价等级为AA级的施工企业得</w:t>
            </w:r>
            <w:r>
              <w:rPr>
                <w:rFonts w:hint="eastAsia" w:ascii="宋体" w:hAnsi="宋体" w:eastAsia="宋体" w:cs="宋体"/>
                <w:color w:val="auto"/>
                <w:szCs w:val="21"/>
                <w:highlight w:val="none"/>
                <w:lang w:val="en-US" w:eastAsia="zh-CN"/>
              </w:rPr>
              <w:t>15</w:t>
            </w:r>
            <w:r>
              <w:rPr>
                <w:rFonts w:hint="default" w:ascii="宋体" w:hAnsi="宋体" w:eastAsia="宋体" w:cs="宋体"/>
                <w:color w:val="auto"/>
                <w:szCs w:val="21"/>
                <w:highlight w:val="none"/>
                <w:lang w:val="en-US" w:eastAsia="zh-CN"/>
              </w:rPr>
              <w:t>分；信用评价等级为A级的施工企业得</w:t>
            </w:r>
            <w:r>
              <w:rPr>
                <w:rFonts w:hint="eastAsia" w:ascii="宋体" w:hAnsi="宋体" w:eastAsia="宋体" w:cs="宋体"/>
                <w:color w:val="auto"/>
                <w:szCs w:val="21"/>
                <w:highlight w:val="none"/>
                <w:lang w:val="en-US" w:eastAsia="zh-CN"/>
              </w:rPr>
              <w:t>12</w:t>
            </w:r>
            <w:r>
              <w:rPr>
                <w:rFonts w:hint="default" w:ascii="宋体" w:hAnsi="宋体" w:eastAsia="宋体" w:cs="宋体"/>
                <w:color w:val="auto"/>
                <w:szCs w:val="21"/>
                <w:highlight w:val="none"/>
                <w:lang w:val="en-US" w:eastAsia="zh-CN"/>
              </w:rPr>
              <w:t>分；信用评价等级为B级</w:t>
            </w:r>
            <w:r>
              <w:rPr>
                <w:rFonts w:hint="eastAsia" w:ascii="宋体" w:hAnsi="宋体" w:eastAsia="宋体" w:cs="宋体"/>
                <w:color w:val="auto"/>
                <w:szCs w:val="21"/>
                <w:highlight w:val="none"/>
                <w:lang w:val="en-US" w:eastAsia="zh-CN"/>
              </w:rPr>
              <w:t>的</w:t>
            </w:r>
            <w:r>
              <w:rPr>
                <w:rFonts w:hint="default" w:ascii="宋体" w:hAnsi="宋体" w:eastAsia="宋体" w:cs="宋体"/>
                <w:color w:val="auto"/>
                <w:szCs w:val="21"/>
                <w:highlight w:val="none"/>
                <w:lang w:val="en-US" w:eastAsia="zh-CN"/>
              </w:rPr>
              <w:t>施工企业得</w:t>
            </w:r>
            <w:r>
              <w:rPr>
                <w:rFonts w:hint="eastAsia" w:ascii="宋体" w:hAnsi="宋体" w:eastAsia="宋体" w:cs="宋体"/>
                <w:color w:val="auto"/>
                <w:szCs w:val="21"/>
                <w:highlight w:val="none"/>
                <w:lang w:val="en-US" w:eastAsia="zh-CN"/>
              </w:rPr>
              <w:t>9</w:t>
            </w:r>
            <w:r>
              <w:rPr>
                <w:rFonts w:hint="default" w:ascii="宋体" w:hAnsi="宋体" w:eastAsia="宋体" w:cs="宋体"/>
                <w:color w:val="auto"/>
                <w:szCs w:val="21"/>
                <w:highlight w:val="none"/>
                <w:lang w:val="en-US" w:eastAsia="zh-CN"/>
              </w:rPr>
              <w:t>分；信用评价等级为</w:t>
            </w:r>
            <w:r>
              <w:rPr>
                <w:rFonts w:hint="eastAsia" w:ascii="宋体" w:hAnsi="宋体" w:eastAsia="宋体" w:cs="宋体"/>
                <w:color w:val="auto"/>
                <w:szCs w:val="21"/>
                <w:highlight w:val="none"/>
                <w:lang w:val="en-US" w:eastAsia="zh-CN"/>
              </w:rPr>
              <w:t>C</w:t>
            </w:r>
            <w:r>
              <w:rPr>
                <w:rFonts w:hint="default" w:ascii="宋体" w:hAnsi="宋体" w:eastAsia="宋体" w:cs="宋体"/>
                <w:color w:val="auto"/>
                <w:szCs w:val="21"/>
                <w:highlight w:val="none"/>
                <w:lang w:val="en-US" w:eastAsia="zh-CN"/>
              </w:rPr>
              <w:t>级</w:t>
            </w:r>
            <w:r>
              <w:rPr>
                <w:rFonts w:hint="eastAsia" w:ascii="宋体" w:hAnsi="宋体" w:eastAsia="宋体" w:cs="宋体"/>
                <w:color w:val="auto"/>
                <w:szCs w:val="21"/>
                <w:highlight w:val="none"/>
                <w:lang w:val="en-US" w:eastAsia="zh-CN"/>
              </w:rPr>
              <w:t>的</w:t>
            </w:r>
            <w:r>
              <w:rPr>
                <w:rFonts w:hint="default" w:ascii="宋体" w:hAnsi="宋体" w:eastAsia="宋体" w:cs="宋体"/>
                <w:color w:val="auto"/>
                <w:szCs w:val="21"/>
                <w:highlight w:val="none"/>
                <w:lang w:val="en-US" w:eastAsia="zh-CN"/>
              </w:rPr>
              <w:t>施工企业得</w:t>
            </w:r>
            <w:r>
              <w:rPr>
                <w:rFonts w:hint="eastAsia" w:ascii="宋体" w:hAnsi="宋体" w:eastAsia="宋体" w:cs="宋体"/>
                <w:color w:val="auto"/>
                <w:szCs w:val="21"/>
                <w:highlight w:val="none"/>
                <w:lang w:val="en-US" w:eastAsia="zh-CN"/>
              </w:rPr>
              <w:t>6</w:t>
            </w:r>
            <w:r>
              <w:rPr>
                <w:rFonts w:hint="default" w:ascii="宋体" w:hAnsi="宋体" w:eastAsia="宋体" w:cs="宋体"/>
                <w:color w:val="auto"/>
                <w:szCs w:val="21"/>
                <w:highlight w:val="none"/>
                <w:lang w:val="en-US" w:eastAsia="zh-CN"/>
              </w:rPr>
              <w:t>分。</w:t>
            </w:r>
            <w:r>
              <w:rPr>
                <w:rFonts w:hint="eastAsia" w:ascii="宋体" w:hAnsi="宋体" w:eastAsia="宋体" w:cs="宋体"/>
                <w:color w:val="auto"/>
                <w:szCs w:val="21"/>
                <w:highlight w:val="none"/>
                <w:lang w:val="en-US" w:eastAsia="zh-CN"/>
              </w:rPr>
              <w:t>信用评价等级为D级企业限制进入我省公路建设市场。</w:t>
            </w:r>
          </w:p>
          <w:p>
            <w:pPr>
              <w:spacing w:line="240" w:lineRule="atLeast"/>
              <w:ind w:left="105" w:leftChars="50" w:right="105" w:rightChars="50"/>
              <w:rPr>
                <w:rFonts w:hint="default" w:ascii="宋体" w:hAnsi="宋体" w:eastAsia="宋体" w:cs="宋体"/>
                <w:color w:val="000000"/>
                <w:szCs w:val="21"/>
                <w:highlight w:val="none"/>
                <w:lang w:val="en-US" w:eastAsia="zh-CN"/>
              </w:rPr>
            </w:pPr>
            <w:r>
              <w:rPr>
                <w:rFonts w:hint="default" w:ascii="宋体" w:hAnsi="宋体" w:eastAsia="宋体" w:cs="宋体"/>
                <w:color w:val="000000"/>
                <w:szCs w:val="21"/>
                <w:highlight w:val="none"/>
                <w:lang w:val="en-US" w:eastAsia="zh-CN"/>
              </w:rPr>
              <w:t>2.对具有陕西省交通运输厅202</w:t>
            </w:r>
            <w:r>
              <w:rPr>
                <w:rFonts w:hint="eastAsia" w:ascii="宋体" w:hAnsi="宋体" w:eastAsia="宋体" w:cs="宋体"/>
                <w:color w:val="000000"/>
                <w:szCs w:val="21"/>
                <w:highlight w:val="none"/>
                <w:lang w:val="en-US" w:eastAsia="zh-CN"/>
              </w:rPr>
              <w:t>4</w:t>
            </w:r>
            <w:r>
              <w:rPr>
                <w:rFonts w:hint="default" w:ascii="宋体" w:hAnsi="宋体" w:eastAsia="宋体" w:cs="宋体"/>
                <w:color w:val="000000"/>
                <w:szCs w:val="21"/>
                <w:highlight w:val="none"/>
                <w:lang w:val="en-US" w:eastAsia="zh-CN"/>
              </w:rPr>
              <w:t>年度信用评价等级而无202</w:t>
            </w:r>
            <w:r>
              <w:rPr>
                <w:rFonts w:hint="eastAsia" w:ascii="宋体" w:hAnsi="宋体" w:eastAsia="宋体" w:cs="宋体"/>
                <w:color w:val="000000"/>
                <w:szCs w:val="21"/>
                <w:highlight w:val="none"/>
                <w:lang w:val="en-US" w:eastAsia="zh-CN"/>
              </w:rPr>
              <w:t>5</w:t>
            </w:r>
            <w:r>
              <w:rPr>
                <w:rFonts w:hint="default" w:ascii="宋体" w:hAnsi="宋体" w:eastAsia="宋体" w:cs="宋体"/>
                <w:color w:val="000000"/>
                <w:szCs w:val="21"/>
                <w:highlight w:val="none"/>
                <w:lang w:val="en-US" w:eastAsia="zh-CN"/>
              </w:rPr>
              <w:t>年度信用评价等级的企业，其202</w:t>
            </w:r>
            <w:r>
              <w:rPr>
                <w:rFonts w:hint="eastAsia" w:ascii="宋体" w:hAnsi="宋体" w:eastAsia="宋体" w:cs="宋体"/>
                <w:color w:val="000000"/>
                <w:szCs w:val="21"/>
                <w:highlight w:val="none"/>
                <w:lang w:val="en-US" w:eastAsia="zh-CN"/>
              </w:rPr>
              <w:t>4</w:t>
            </w:r>
            <w:r>
              <w:rPr>
                <w:rFonts w:hint="default" w:ascii="宋体" w:hAnsi="宋体" w:eastAsia="宋体" w:cs="宋体"/>
                <w:color w:val="000000"/>
                <w:szCs w:val="21"/>
                <w:highlight w:val="none"/>
                <w:lang w:val="en-US" w:eastAsia="zh-CN"/>
              </w:rPr>
              <w:t>年度信用评价等级延续1年。延续陕西省交通运输厅上一年信用评价结果后仍无信用评价结果的，按照全国综合评价结果对待。</w:t>
            </w:r>
          </w:p>
          <w:p>
            <w:pPr>
              <w:spacing w:line="240" w:lineRule="atLeast"/>
              <w:ind w:left="105" w:leftChars="50" w:right="105" w:rightChars="50"/>
              <w:rPr>
                <w:rFonts w:hint="default" w:ascii="宋体" w:hAnsi="宋体" w:eastAsia="宋体" w:cs="宋体"/>
                <w:color w:val="000000"/>
                <w:szCs w:val="21"/>
                <w:highlight w:val="none"/>
                <w:lang w:val="en-US" w:eastAsia="zh-CN"/>
              </w:rPr>
            </w:pPr>
            <w:r>
              <w:rPr>
                <w:rFonts w:hint="default" w:ascii="宋体" w:hAnsi="宋体" w:eastAsia="宋体" w:cs="宋体"/>
                <w:color w:val="000000"/>
                <w:szCs w:val="21"/>
                <w:highlight w:val="none"/>
                <w:lang w:val="en-US" w:eastAsia="zh-CN"/>
              </w:rPr>
              <w:t>3.初次进入陕西省的从业企业，按照全国公路施工企业综合信用评价等级确定。无全国综合评价结果的企业，且无不良信用行为，其信用评价等级按A级对待。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49" w:hRule="atLeast"/>
          <w:jc w:val="center"/>
        </w:trPr>
        <w:tc>
          <w:tcPr>
            <w:tcW w:w="637" w:type="dxa"/>
            <w:vMerge w:val="restart"/>
            <w:vAlign w:val="center"/>
          </w:tcPr>
          <w:p>
            <w:pPr>
              <w:spacing w:line="240" w:lineRule="atLeast"/>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业绩</w:t>
            </w:r>
          </w:p>
        </w:tc>
        <w:tc>
          <w:tcPr>
            <w:tcW w:w="786" w:type="dxa"/>
            <w:vMerge w:val="restart"/>
            <w:vAlign w:val="center"/>
          </w:tcPr>
          <w:p>
            <w:pPr>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25分</w:t>
            </w:r>
          </w:p>
        </w:tc>
        <w:tc>
          <w:tcPr>
            <w:tcW w:w="2011" w:type="dxa"/>
            <w:vAlign w:val="center"/>
          </w:tcPr>
          <w:p>
            <w:pPr>
              <w:pStyle w:val="18"/>
              <w:tabs>
                <w:tab w:val="left" w:leader="underscore" w:pos="319"/>
              </w:tabs>
              <w:spacing w:before="0" w:after="0" w:line="300" w:lineRule="exact"/>
              <w:ind w:left="105" w:leftChars="50" w:right="105" w:rightChars="50"/>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sz w:val="21"/>
                <w:szCs w:val="21"/>
                <w:highlight w:val="none"/>
                <w:lang w:val="en-US" w:eastAsia="zh-CN"/>
              </w:rPr>
              <w:t>满足资格审查条件</w:t>
            </w:r>
          </w:p>
        </w:tc>
        <w:tc>
          <w:tcPr>
            <w:tcW w:w="817" w:type="dxa"/>
            <w:vAlign w:val="center"/>
          </w:tcPr>
          <w:p>
            <w:pPr>
              <w:jc w:val="center"/>
              <w:rPr>
                <w:rFonts w:hint="default"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15</w:t>
            </w:r>
          </w:p>
        </w:tc>
        <w:tc>
          <w:tcPr>
            <w:tcW w:w="4899" w:type="dxa"/>
            <w:vAlign w:val="center"/>
          </w:tcPr>
          <w:p>
            <w:pPr>
              <w:spacing w:line="240" w:lineRule="atLeast"/>
              <w:ind w:left="105" w:leftChars="50" w:right="105" w:rightChars="5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满足招标文件业绩最低要求得15分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91" w:hRule="atLeast"/>
          <w:jc w:val="center"/>
        </w:trPr>
        <w:tc>
          <w:tcPr>
            <w:tcW w:w="637" w:type="dxa"/>
            <w:vMerge w:val="continue"/>
            <w:vAlign w:val="center"/>
          </w:tcPr>
          <w:p>
            <w:pPr>
              <w:spacing w:line="240" w:lineRule="atLeast"/>
              <w:jc w:val="center"/>
              <w:rPr>
                <w:rFonts w:hint="eastAsia" w:ascii="宋体" w:hAnsi="宋体" w:eastAsia="宋体" w:cs="宋体"/>
                <w:color w:val="000000"/>
                <w:sz w:val="21"/>
                <w:szCs w:val="21"/>
                <w:highlight w:val="none"/>
                <w:lang w:val="en-US" w:eastAsia="zh-CN"/>
              </w:rPr>
            </w:pPr>
          </w:p>
        </w:tc>
        <w:tc>
          <w:tcPr>
            <w:tcW w:w="786" w:type="dxa"/>
            <w:vMerge w:val="continue"/>
            <w:vAlign w:val="center"/>
          </w:tcPr>
          <w:p>
            <w:pPr>
              <w:jc w:val="center"/>
              <w:rPr>
                <w:rFonts w:hint="eastAsia" w:ascii="宋体" w:hAnsi="宋体" w:eastAsia="宋体" w:cs="宋体"/>
                <w:bCs/>
                <w:color w:val="000000"/>
                <w:sz w:val="21"/>
                <w:szCs w:val="21"/>
                <w:highlight w:val="none"/>
                <w:lang w:val="en-US" w:eastAsia="zh-CN"/>
              </w:rPr>
            </w:pPr>
          </w:p>
        </w:tc>
        <w:tc>
          <w:tcPr>
            <w:tcW w:w="2011" w:type="dxa"/>
            <w:vAlign w:val="center"/>
          </w:tcPr>
          <w:p>
            <w:pPr>
              <w:pStyle w:val="19"/>
              <w:spacing w:line="240" w:lineRule="atLeast"/>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工程业绩</w:t>
            </w:r>
          </w:p>
        </w:tc>
        <w:tc>
          <w:tcPr>
            <w:tcW w:w="817" w:type="dxa"/>
            <w:vAlign w:val="center"/>
          </w:tcPr>
          <w:p>
            <w:pPr>
              <w:jc w:val="center"/>
              <w:rPr>
                <w:rFonts w:hint="default"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10</w:t>
            </w:r>
          </w:p>
        </w:tc>
        <w:tc>
          <w:tcPr>
            <w:tcW w:w="4899" w:type="dxa"/>
            <w:vAlign w:val="center"/>
          </w:tcPr>
          <w:p>
            <w:pPr>
              <w:spacing w:line="240" w:lineRule="atLeast"/>
              <w:ind w:left="105" w:leftChars="50" w:right="105" w:rightChars="5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满足资格审查条件之外，每增加1个新建或改扩建高速公路（须包含桥梁工程）施工合同段业绩加5分，此项最高加10分。</w:t>
            </w:r>
          </w:p>
        </w:tc>
      </w:tr>
    </w:tbl>
    <w:p/>
    <w:p>
      <w:pPr>
        <w:pStyle w:val="18"/>
        <w:keepNext w:val="0"/>
        <w:keepLines w:val="0"/>
        <w:pageBreakBefore w:val="0"/>
        <w:widowControl w:val="0"/>
        <w:shd w:val="clear" w:color="auto" w:fill="auto"/>
        <w:tabs>
          <w:tab w:val="left" w:leader="underscore" w:pos="3528"/>
          <w:tab w:val="left" w:leader="underscore" w:pos="7357"/>
        </w:tabs>
        <w:kinsoku/>
        <w:wordWrap/>
        <w:overflowPunct/>
        <w:topLinePunct w:val="0"/>
        <w:autoSpaceDE/>
        <w:autoSpaceDN/>
        <w:bidi w:val="0"/>
        <w:adjustRightInd/>
        <w:snapToGrid/>
        <w:spacing w:before="0" w:after="0" w:line="300" w:lineRule="exact"/>
        <w:ind w:firstLine="480" w:firstLineChars="200"/>
        <w:jc w:val="both"/>
        <w:textAlignment w:val="auto"/>
        <w:rPr>
          <w:rFonts w:hint="eastAsia" w:ascii="宋体" w:hAnsi="宋体" w:eastAsia="宋体"/>
          <w:kern w:val="0"/>
          <w:sz w:val="24"/>
          <w:szCs w:val="24"/>
        </w:rPr>
      </w:pPr>
      <w:r>
        <w:rPr>
          <w:rFonts w:hint="eastAsia" w:ascii="宋体" w:hAnsi="宋体" w:eastAsia="宋体"/>
          <w:kern w:val="0"/>
          <w:sz w:val="24"/>
          <w:szCs w:val="24"/>
        </w:rPr>
        <w:t>评标办法正文详见中华人民共和国交通运输部《公路工程标准施工招标文件（2018年版·第一册）》相应内容。</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60101010101"/>
    <w:charset w:val="86"/>
    <w:family w:val="modern"/>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fldChar w:fldCharType="begin"/>
                          </w:r>
                          <w:r>
                            <w:rPr>
                              <w:rFonts w:hint="eastAsia" w:asciiTheme="minorEastAsia" w:hAnsiTheme="minorEastAsia" w:eastAsiaTheme="minorEastAsia" w:cstheme="minorEastAsia"/>
                              <w:sz w:val="24"/>
                              <w:szCs w:val="24"/>
                              <w:lang w:eastAsia="zh-CN"/>
                            </w:rPr>
                            <w:instrText xml:space="preserve"> PAGE  \* MERGEFORMAT </w:instrText>
                          </w:r>
                          <w:r>
                            <w:rPr>
                              <w:rFonts w:hint="eastAsia" w:asciiTheme="minorEastAsia" w:hAnsiTheme="minorEastAsia" w:eastAsiaTheme="minorEastAsia" w:cstheme="minorEastAsia"/>
                              <w:sz w:val="24"/>
                              <w:szCs w:val="24"/>
                              <w:lang w:eastAsia="zh-CN"/>
                            </w:rPr>
                            <w:fldChar w:fldCharType="separate"/>
                          </w:r>
                          <w:r>
                            <w:rPr>
                              <w:rFonts w:hint="eastAsia" w:asciiTheme="minorEastAsia" w:hAnsiTheme="minorEastAsia" w:eastAsiaTheme="minorEastAsia" w:cstheme="minorEastAsia"/>
                              <w:sz w:val="24"/>
                              <w:szCs w:val="24"/>
                              <w:lang w:eastAsia="zh-CN"/>
                            </w:rPr>
                            <w:t>1</w:t>
                          </w:r>
                          <w:r>
                            <w:rPr>
                              <w:rFonts w:hint="eastAsia" w:asciiTheme="minorEastAsia" w:hAnsiTheme="minorEastAsia" w:eastAsiaTheme="minorEastAsia" w:cstheme="minor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fldChar w:fldCharType="begin"/>
                    </w:r>
                    <w:r>
                      <w:rPr>
                        <w:rFonts w:hint="eastAsia" w:asciiTheme="minorEastAsia" w:hAnsiTheme="minorEastAsia" w:eastAsiaTheme="minorEastAsia" w:cstheme="minorEastAsia"/>
                        <w:sz w:val="24"/>
                        <w:szCs w:val="24"/>
                        <w:lang w:eastAsia="zh-CN"/>
                      </w:rPr>
                      <w:instrText xml:space="preserve"> PAGE  \* MERGEFORMAT </w:instrText>
                    </w:r>
                    <w:r>
                      <w:rPr>
                        <w:rFonts w:hint="eastAsia" w:asciiTheme="minorEastAsia" w:hAnsiTheme="minorEastAsia" w:eastAsiaTheme="minorEastAsia" w:cstheme="minorEastAsia"/>
                        <w:sz w:val="24"/>
                        <w:szCs w:val="24"/>
                        <w:lang w:eastAsia="zh-CN"/>
                      </w:rPr>
                      <w:fldChar w:fldCharType="separate"/>
                    </w:r>
                    <w:r>
                      <w:rPr>
                        <w:rFonts w:hint="eastAsia" w:asciiTheme="minorEastAsia" w:hAnsiTheme="minorEastAsia" w:eastAsiaTheme="minorEastAsia" w:cstheme="minorEastAsia"/>
                        <w:sz w:val="24"/>
                        <w:szCs w:val="24"/>
                        <w:lang w:eastAsia="zh-CN"/>
                      </w:rPr>
                      <w:t>1</w:t>
                    </w:r>
                    <w:r>
                      <w:rPr>
                        <w:rFonts w:hint="eastAsia" w:asciiTheme="minorEastAsia" w:hAnsiTheme="minorEastAsia" w:eastAsiaTheme="minorEastAsia" w:cstheme="minorEastAsia"/>
                        <w:sz w:val="24"/>
                        <w:szCs w:val="24"/>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EDC71B"/>
    <w:multiLevelType w:val="singleLevel"/>
    <w:tmpl w:val="44EDC71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xMTdhNDcwNmE1ZjAyNzZhNzY5MjhkNjU5MGYzZDAifQ=="/>
  </w:docVars>
  <w:rsids>
    <w:rsidRoot w:val="001A2815"/>
    <w:rsid w:val="000D6F75"/>
    <w:rsid w:val="00103056"/>
    <w:rsid w:val="001A2815"/>
    <w:rsid w:val="001C5CF4"/>
    <w:rsid w:val="00226164"/>
    <w:rsid w:val="0029689A"/>
    <w:rsid w:val="0032466E"/>
    <w:rsid w:val="004C42B6"/>
    <w:rsid w:val="00500606"/>
    <w:rsid w:val="0051577F"/>
    <w:rsid w:val="007B028F"/>
    <w:rsid w:val="00851856"/>
    <w:rsid w:val="008D314B"/>
    <w:rsid w:val="00933BB3"/>
    <w:rsid w:val="00A24E34"/>
    <w:rsid w:val="00F419A9"/>
    <w:rsid w:val="01957410"/>
    <w:rsid w:val="01BB4A92"/>
    <w:rsid w:val="028D3F78"/>
    <w:rsid w:val="02FE3E7B"/>
    <w:rsid w:val="06C84AF2"/>
    <w:rsid w:val="07C03DF5"/>
    <w:rsid w:val="0BB363C0"/>
    <w:rsid w:val="0EFE2F29"/>
    <w:rsid w:val="11ED36EB"/>
    <w:rsid w:val="12F02D63"/>
    <w:rsid w:val="144E2637"/>
    <w:rsid w:val="15EB0BDB"/>
    <w:rsid w:val="162310B5"/>
    <w:rsid w:val="18267D07"/>
    <w:rsid w:val="1DE47D7F"/>
    <w:rsid w:val="20397E92"/>
    <w:rsid w:val="23075673"/>
    <w:rsid w:val="24F35F3C"/>
    <w:rsid w:val="2B3312C8"/>
    <w:rsid w:val="2DFF57B9"/>
    <w:rsid w:val="2E3904E8"/>
    <w:rsid w:val="31B446C5"/>
    <w:rsid w:val="32BC4336"/>
    <w:rsid w:val="33466D48"/>
    <w:rsid w:val="38006D9D"/>
    <w:rsid w:val="38B62526"/>
    <w:rsid w:val="397909D4"/>
    <w:rsid w:val="39F747A2"/>
    <w:rsid w:val="3A4B6C9E"/>
    <w:rsid w:val="3A6C7E28"/>
    <w:rsid w:val="3C73605C"/>
    <w:rsid w:val="3EA42CFC"/>
    <w:rsid w:val="40F9559D"/>
    <w:rsid w:val="479B4231"/>
    <w:rsid w:val="4DF3558D"/>
    <w:rsid w:val="4EB01994"/>
    <w:rsid w:val="4F5C42D3"/>
    <w:rsid w:val="4F7412C2"/>
    <w:rsid w:val="4FA3639D"/>
    <w:rsid w:val="50587FB2"/>
    <w:rsid w:val="50DC7FD0"/>
    <w:rsid w:val="51460C6B"/>
    <w:rsid w:val="5B6548CF"/>
    <w:rsid w:val="5BCB76D7"/>
    <w:rsid w:val="5DB23ED6"/>
    <w:rsid w:val="5EAC7460"/>
    <w:rsid w:val="6C915C0E"/>
    <w:rsid w:val="6C9611B5"/>
    <w:rsid w:val="71A30B93"/>
    <w:rsid w:val="75062CA1"/>
    <w:rsid w:val="781D61B9"/>
    <w:rsid w:val="797B41A3"/>
    <w:rsid w:val="7B65786C"/>
    <w:rsid w:val="7D2E79C2"/>
    <w:rsid w:val="7D8F372A"/>
    <w:rsid w:val="7FF244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link w:val="15"/>
    <w:qFormat/>
    <w:uiPriority w:val="0"/>
    <w:pPr>
      <w:keepNext/>
      <w:keepLines/>
      <w:spacing w:line="416" w:lineRule="auto"/>
      <w:outlineLvl w:val="2"/>
    </w:pPr>
    <w:rPr>
      <w:b/>
      <w:bCs/>
      <w:sz w:val="32"/>
      <w:szCs w:val="32"/>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toa heading"/>
    <w:basedOn w:val="1"/>
    <w:next w:val="1"/>
    <w:unhideWhenUsed/>
    <w:qFormat/>
    <w:uiPriority w:val="99"/>
    <w:rPr>
      <w:rFonts w:ascii="Arial" w:hAnsi="Arial"/>
      <w:sz w:val="24"/>
    </w:rPr>
  </w:style>
  <w:style w:type="paragraph" w:styleId="4">
    <w:name w:val="caption"/>
    <w:basedOn w:val="1"/>
    <w:next w:val="1"/>
    <w:unhideWhenUsed/>
    <w:qFormat/>
    <w:uiPriority w:val="0"/>
    <w:rPr>
      <w:rFonts w:ascii="Arial" w:hAnsi="Arial" w:eastAsia="黑体"/>
      <w:sz w:val="20"/>
    </w:rPr>
  </w:style>
  <w:style w:type="paragraph" w:styleId="5">
    <w:name w:val="annotation text"/>
    <w:basedOn w:val="1"/>
    <w:qFormat/>
    <w:uiPriority w:val="0"/>
    <w:pPr>
      <w:jc w:val="left"/>
    </w:pPr>
  </w:style>
  <w:style w:type="paragraph" w:styleId="6">
    <w:name w:val="Body Text"/>
    <w:basedOn w:val="1"/>
    <w:next w:val="1"/>
    <w:qFormat/>
    <w:uiPriority w:val="0"/>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3"/>
    <w:qFormat/>
    <w:uiPriority w:val="0"/>
    <w:pPr>
      <w:tabs>
        <w:tab w:val="center" w:pos="4153"/>
        <w:tab w:val="right" w:pos="8306"/>
      </w:tabs>
      <w:snapToGrid w:val="0"/>
      <w:jc w:val="center"/>
    </w:pPr>
    <w:rPr>
      <w:sz w:val="18"/>
      <w:szCs w:val="18"/>
    </w:rPr>
  </w:style>
  <w:style w:type="character" w:styleId="10">
    <w:name w:val="annotation reference"/>
    <w:qFormat/>
    <w:uiPriority w:val="99"/>
    <w:rPr>
      <w:sz w:val="21"/>
      <w:szCs w:val="21"/>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3">
    <w:name w:val="页眉 字符"/>
    <w:basedOn w:val="9"/>
    <w:link w:val="8"/>
    <w:qFormat/>
    <w:uiPriority w:val="0"/>
    <w:rPr>
      <w:rFonts w:ascii="Calibri" w:hAnsi="Calibri" w:eastAsia="宋体" w:cs="Times New Roman"/>
      <w:kern w:val="2"/>
      <w:sz w:val="18"/>
      <w:szCs w:val="18"/>
    </w:rPr>
  </w:style>
  <w:style w:type="character" w:customStyle="1" w:styleId="14">
    <w:name w:val="页脚 字符"/>
    <w:basedOn w:val="9"/>
    <w:link w:val="7"/>
    <w:qFormat/>
    <w:uiPriority w:val="0"/>
    <w:rPr>
      <w:rFonts w:ascii="Calibri" w:hAnsi="Calibri" w:eastAsia="宋体" w:cs="Times New Roman"/>
      <w:kern w:val="2"/>
      <w:sz w:val="18"/>
      <w:szCs w:val="18"/>
    </w:rPr>
  </w:style>
  <w:style w:type="character" w:customStyle="1" w:styleId="15">
    <w:name w:val="标题 3 字符"/>
    <w:basedOn w:val="9"/>
    <w:link w:val="3"/>
    <w:qFormat/>
    <w:uiPriority w:val="0"/>
    <w:rPr>
      <w:rFonts w:ascii="Calibri" w:hAnsi="Calibri" w:eastAsia="宋体" w:cs="Times New Roman"/>
      <w:b/>
      <w:bCs/>
      <w:kern w:val="2"/>
      <w:sz w:val="32"/>
      <w:szCs w:val="32"/>
    </w:rPr>
  </w:style>
  <w:style w:type="paragraph" w:customStyle="1" w:styleId="16">
    <w:name w:val="Table Text"/>
    <w:basedOn w:val="1"/>
    <w:semiHidden/>
    <w:qFormat/>
    <w:uiPriority w:val="0"/>
    <w:rPr>
      <w:rFonts w:ascii="仿宋" w:hAnsi="仿宋" w:eastAsia="仿宋" w:cs="仿宋"/>
      <w:sz w:val="20"/>
      <w:szCs w:val="20"/>
      <w:lang w:eastAsia="en-US"/>
    </w:rPr>
  </w:style>
  <w:style w:type="table" w:customStyle="1" w:styleId="17">
    <w:name w:val="Table Normal"/>
    <w:semiHidden/>
    <w:unhideWhenUsed/>
    <w:qFormat/>
    <w:uiPriority w:val="0"/>
    <w:rPr>
      <w:rFonts w:ascii="Times New Roman" w:hAnsi="Times New Roman" w:eastAsia="宋体" w:cs="Times New Roman"/>
    </w:rPr>
    <w:tblPr>
      <w:tblLayout w:type="fixed"/>
      <w:tblCellMar>
        <w:top w:w="0" w:type="dxa"/>
        <w:left w:w="0" w:type="dxa"/>
        <w:bottom w:w="0" w:type="dxa"/>
        <w:right w:w="0" w:type="dxa"/>
      </w:tblCellMar>
    </w:tblPr>
  </w:style>
  <w:style w:type="paragraph" w:customStyle="1" w:styleId="18">
    <w:name w:val="正文文本5"/>
    <w:basedOn w:val="1"/>
    <w:qFormat/>
    <w:uiPriority w:val="0"/>
    <w:pPr>
      <w:shd w:val="clear" w:color="auto" w:fill="FFFFFF"/>
      <w:spacing w:before="120" w:after="240" w:line="0" w:lineRule="atLeast"/>
      <w:jc w:val="center"/>
    </w:pPr>
    <w:rPr>
      <w:rFonts w:ascii="黑体" w:hAnsi="黑体" w:eastAsia="黑体" w:cs="黑体"/>
      <w:szCs w:val="22"/>
    </w:rPr>
  </w:style>
  <w:style w:type="paragraph" w:customStyle="1" w:styleId="19">
    <w:name w:val="Table Paragraph"/>
    <w:basedOn w:val="1"/>
    <w:qFormat/>
    <w:uiPriority w:val="0"/>
    <w:pPr>
      <w:jc w:val="left"/>
    </w:pPr>
    <w:rPr>
      <w:kern w:val="0"/>
      <w:sz w:val="22"/>
      <w:szCs w:val="22"/>
      <w:lang w:eastAsia="en-US"/>
    </w:rPr>
  </w:style>
  <w:style w:type="paragraph" w:customStyle="1" w:styleId="20">
    <w:name w:val="正文文本11"/>
    <w:basedOn w:val="1"/>
    <w:link w:val="22"/>
    <w:qFormat/>
    <w:uiPriority w:val="0"/>
    <w:pPr>
      <w:shd w:val="clear" w:color="auto" w:fill="FFFFFF"/>
      <w:spacing w:before="120" w:after="300" w:line="0" w:lineRule="atLeast"/>
      <w:jc w:val="center"/>
    </w:pPr>
    <w:rPr>
      <w:rFonts w:ascii="宋体" w:hAnsi="宋体" w:eastAsia="宋体" w:cs="宋体"/>
      <w:sz w:val="23"/>
      <w:szCs w:val="23"/>
    </w:rPr>
  </w:style>
  <w:style w:type="character" w:customStyle="1" w:styleId="21">
    <w:name w:val="正文文本 + 12.5 pt"/>
    <w:basedOn w:val="22"/>
    <w:qFormat/>
    <w:uiPriority w:val="0"/>
    <w:rPr>
      <w:rFonts w:ascii="宋体" w:hAnsi="宋体" w:eastAsia="宋体" w:cs="宋体"/>
      <w:i/>
      <w:iCs/>
      <w:color w:val="000000"/>
      <w:spacing w:val="-20"/>
      <w:w w:val="100"/>
      <w:position w:val="0"/>
      <w:sz w:val="25"/>
      <w:szCs w:val="25"/>
      <w:shd w:val="clear" w:color="auto" w:fill="FFFFFF"/>
    </w:rPr>
  </w:style>
  <w:style w:type="character" w:customStyle="1" w:styleId="22">
    <w:name w:val="正文文本_"/>
    <w:basedOn w:val="9"/>
    <w:link w:val="20"/>
    <w:qFormat/>
    <w:uiPriority w:val="0"/>
    <w:rPr>
      <w:rFonts w:ascii="宋体" w:hAnsi="宋体" w:eastAsia="宋体" w:cs="宋体"/>
      <w:sz w:val="23"/>
      <w:szCs w:val="23"/>
    </w:rPr>
  </w:style>
  <w:style w:type="character" w:customStyle="1" w:styleId="23">
    <w:name w:val="正文文本 + MS Gothic"/>
    <w:basedOn w:val="22"/>
    <w:qFormat/>
    <w:uiPriority w:val="0"/>
    <w:rPr>
      <w:rFonts w:ascii="MS Gothic" w:hAnsi="MS Gothic" w:eastAsia="MS Gothic" w:cs="MS Gothic"/>
      <w:color w:val="000000"/>
      <w:spacing w:val="0"/>
      <w:w w:val="100"/>
      <w:position w:val="0"/>
      <w:sz w:val="15"/>
      <w:szCs w:val="15"/>
      <w:shd w:val="clear" w:color="auto" w:fill="FFFFFF"/>
      <w:lang w:val="en-US"/>
    </w:rPr>
  </w:style>
  <w:style w:type="paragraph" w:customStyle="1" w:styleId="24">
    <w:name w:val="List Paragraph"/>
    <w:basedOn w:val="1"/>
    <w:qFormat/>
    <w:uiPriority w:val="99"/>
    <w:pPr>
      <w:ind w:left="223" w:firstLine="48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5082</Words>
  <Characters>5302</Characters>
  <Lines>61</Lines>
  <Paragraphs>17</Paragraphs>
  <TotalTime>11</TotalTime>
  <ScaleCrop>false</ScaleCrop>
  <LinksUpToDate>false</LinksUpToDate>
  <CharactersWithSpaces>5337</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2024-07-18T09:31:00Z</dcterms:created>
  <dc:creator>admin</dc:creator>
  <cp:lastModifiedBy>王思锐</cp:lastModifiedBy>
  <cp:lastPrinted>2024-11-07T01:57:00Z</cp:lastPrinted>
  <dcterms:modified xsi:type="dcterms:W3CDTF">2026-10-26T08:06:39Z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F0FD5B533C124921AF9FF715281ACE32_13</vt:lpwstr>
  </property>
  <property fmtid="{D5CDD505-2E9C-101B-9397-08002B2CF9AE}" pid="4" name="KSOTemplateDocerSaveRecord">
    <vt:lpwstr>eyJoZGlkIjoiNDQ1MmIxZDUwMTZjY2NkYTZmZjMwYTg1MDQ3ZmZjMTEiLCJ1c2VySWQiOiIyNjc1NjI5ODkifQ==</vt:lpwstr>
  </property>
</Properties>
</file>