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49C1C3">
      <w:pPr>
        <w:pStyle w:val="5"/>
        <w:rPr>
          <w:rFonts w:hint="eastAsia" w:ascii="仿宋" w:hAnsi="仿宋" w:eastAsia="仿宋" w:cs="仿宋"/>
          <w:caps w:val="0"/>
          <w:color w:val="auto"/>
          <w:spacing w:val="0"/>
          <w:w w:val="100"/>
          <w:lang w:eastAsia="zh-CN"/>
        </w:rPr>
      </w:pPr>
      <w:r>
        <w:rPr>
          <w:rFonts w:hint="eastAsia" w:ascii="仿宋" w:hAnsi="仿宋" w:eastAsia="仿宋" w:cs="仿宋"/>
          <w:caps w:val="0"/>
          <w:color w:val="auto"/>
          <w:spacing w:val="0"/>
          <w:w w:val="100"/>
          <w:lang w:eastAsia="zh-CN"/>
        </w:rPr>
        <w:t>采购公告</w:t>
      </w:r>
    </w:p>
    <w:p w14:paraId="568166B9">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jc w:val="both"/>
        <w:textAlignment w:val="auto"/>
        <w:rPr>
          <w:rFonts w:hint="eastAsia" w:ascii="仿宋" w:hAnsi="仿宋" w:eastAsia="仿宋" w:cs="仿宋"/>
          <w:b/>
          <w:bCs/>
          <w:caps w:val="0"/>
          <w:spacing w:val="0"/>
          <w:w w:val="100"/>
          <w:sz w:val="24"/>
          <w:szCs w:val="24"/>
          <w:highlight w:val="none"/>
          <w:lang w:val="en-US" w:eastAsia="zh-CN"/>
        </w:rPr>
      </w:pPr>
      <w:r>
        <w:rPr>
          <w:rFonts w:hint="eastAsia" w:ascii="仿宋" w:hAnsi="仿宋" w:eastAsia="仿宋" w:cs="仿宋"/>
          <w:b/>
          <w:bCs/>
          <w:caps w:val="0"/>
          <w:spacing w:val="0"/>
          <w:w w:val="100"/>
          <w:sz w:val="24"/>
          <w:szCs w:val="24"/>
          <w:highlight w:val="none"/>
          <w:lang w:val="en-US" w:eastAsia="zh-CN"/>
        </w:rPr>
        <w:t>1.采购条件</w:t>
      </w:r>
    </w:p>
    <w:p w14:paraId="0D44E606">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林州市太行大峡谷旅游开发有限公司红旗渠迎宾馆分公司600kWp光伏项目设计及配套检测鉴定服务供应商甄选项目已具备采购条件，现对林州市太行大峡谷旅游开发有限公司红旗渠迎宾馆分公司600kWp光伏项目设计及配套检测鉴定服务供应商甄选进行询比采购，欢迎符合资格条件的供应商参与询比采购。</w:t>
      </w:r>
    </w:p>
    <w:p w14:paraId="3E95A63A">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jc w:val="both"/>
        <w:textAlignment w:val="auto"/>
        <w:rPr>
          <w:rFonts w:hint="eastAsia" w:ascii="仿宋" w:hAnsi="仿宋" w:eastAsia="仿宋" w:cs="仿宋"/>
          <w:b/>
          <w:bCs/>
          <w:caps w:val="0"/>
          <w:spacing w:val="0"/>
          <w:w w:val="100"/>
          <w:sz w:val="24"/>
          <w:szCs w:val="24"/>
          <w:highlight w:val="none"/>
          <w:lang w:val="en-US" w:eastAsia="zh-CN"/>
        </w:rPr>
      </w:pPr>
      <w:r>
        <w:rPr>
          <w:rFonts w:hint="eastAsia" w:ascii="仿宋" w:hAnsi="仿宋" w:eastAsia="仿宋" w:cs="仿宋"/>
          <w:b/>
          <w:bCs/>
          <w:caps w:val="0"/>
          <w:spacing w:val="0"/>
          <w:w w:val="100"/>
          <w:sz w:val="24"/>
          <w:szCs w:val="24"/>
          <w:highlight w:val="none"/>
          <w:lang w:val="en-US" w:eastAsia="zh-CN"/>
        </w:rPr>
        <w:t>2.采购项目概况</w:t>
      </w:r>
    </w:p>
    <w:p w14:paraId="1EB25EEB">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2.1项目名称：林州市太行大峡谷旅游开发有限公司红旗渠迎宾馆分公司600kWp光伏项目设计及配套检测鉴定服务供应商甄选</w:t>
      </w:r>
    </w:p>
    <w:p w14:paraId="4BDF506B">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default"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2.2采购预算：标段1：设计服务费用控制价：26000元；标段2：检测鉴定服务控制价：7000元。</w:t>
      </w:r>
    </w:p>
    <w:p w14:paraId="35015C38">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default"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2.3采购内容及需求：标段1(设计服务):600kWp光伏项目设计服务含现场踏勘测量、方案设计、并网接入方案编制、施工图设计、设计交底、施工配合及竣工图编制；标段2(检测鉴定服务):检测鉴定服务含酒店屋顶及其附属场所结构安全性检测鉴定（结构构件检测、屋面附加荷载验算复核），检测鉴定服务面积约500m</w:t>
      </w:r>
      <w:r>
        <w:rPr>
          <w:rFonts w:hint="eastAsia" w:ascii="仿宋" w:hAnsi="仿宋" w:eastAsia="仿宋" w:cs="仿宋"/>
          <w:b w:val="0"/>
          <w:bCs w:val="0"/>
          <w:caps w:val="0"/>
          <w:spacing w:val="0"/>
          <w:w w:val="100"/>
          <w:sz w:val="24"/>
          <w:szCs w:val="24"/>
          <w:highlight w:val="none"/>
          <w:vertAlign w:val="superscript"/>
          <w:lang w:val="en-US" w:eastAsia="zh-CN"/>
        </w:rPr>
        <w:t>2</w:t>
      </w:r>
      <w:r>
        <w:rPr>
          <w:rFonts w:hint="eastAsia" w:ascii="仿宋" w:hAnsi="仿宋" w:eastAsia="仿宋" w:cs="仿宋"/>
          <w:b w:val="0"/>
          <w:bCs w:val="0"/>
          <w:caps w:val="0"/>
          <w:spacing w:val="0"/>
          <w:w w:val="100"/>
          <w:sz w:val="24"/>
          <w:szCs w:val="24"/>
          <w:highlight w:val="none"/>
          <w:lang w:val="en-US" w:eastAsia="zh-CN"/>
        </w:rPr>
        <w:t>，为光伏组件及支架安装提供结构安全依据。</w:t>
      </w:r>
    </w:p>
    <w:p w14:paraId="49BE4795">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color w:val="auto"/>
          <w:spacing w:val="0"/>
          <w:w w:val="100"/>
          <w:sz w:val="24"/>
          <w:szCs w:val="24"/>
          <w:highlight w:val="none"/>
          <w:lang w:val="en-US" w:eastAsia="zh-CN"/>
        </w:rPr>
      </w:pPr>
      <w:r>
        <w:rPr>
          <w:rFonts w:hint="eastAsia" w:ascii="仿宋" w:hAnsi="仿宋" w:eastAsia="仿宋" w:cs="仿宋"/>
          <w:b w:val="0"/>
          <w:bCs w:val="0"/>
          <w:caps w:val="0"/>
          <w:color w:val="auto"/>
          <w:spacing w:val="0"/>
          <w:w w:val="100"/>
          <w:sz w:val="24"/>
          <w:szCs w:val="24"/>
          <w:highlight w:val="none"/>
          <w:lang w:val="en-US" w:eastAsia="zh-CN"/>
        </w:rPr>
        <w:t>2.4服务</w:t>
      </w:r>
      <w:r>
        <w:rPr>
          <w:rFonts w:hint="eastAsia" w:ascii="仿宋" w:hAnsi="仿宋" w:eastAsia="仿宋" w:cs="仿宋"/>
          <w:b w:val="0"/>
          <w:bCs w:val="0"/>
          <w:caps w:val="0"/>
          <w:spacing w:val="0"/>
          <w:w w:val="100"/>
          <w:sz w:val="24"/>
          <w:szCs w:val="24"/>
          <w:highlight w:val="none"/>
          <w:lang w:val="en-US" w:eastAsia="zh-CN"/>
        </w:rPr>
        <w:t>期：检测鉴定15个日历天，设计20个日历天。</w:t>
      </w:r>
    </w:p>
    <w:p w14:paraId="1D27420A">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2.5质量要求：合格，满足国家、行业标准及采购人相关质量要求。</w:t>
      </w:r>
    </w:p>
    <w:p w14:paraId="5B2CED6B">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2.6服务地点：林州市太行大峡谷旅游开发有限公司红旗渠迎宾馆分公司。</w:t>
      </w:r>
    </w:p>
    <w:p w14:paraId="03BEC490">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jc w:val="both"/>
        <w:textAlignment w:val="auto"/>
        <w:rPr>
          <w:rFonts w:hint="eastAsia" w:ascii="仿宋" w:hAnsi="仿宋" w:eastAsia="仿宋" w:cs="仿宋"/>
          <w:b/>
          <w:bCs/>
          <w:caps w:val="0"/>
          <w:spacing w:val="0"/>
          <w:w w:val="100"/>
          <w:sz w:val="24"/>
          <w:szCs w:val="24"/>
          <w:highlight w:val="none"/>
          <w:lang w:val="en-US" w:eastAsia="zh-CN"/>
        </w:rPr>
      </w:pPr>
      <w:r>
        <w:rPr>
          <w:rFonts w:hint="eastAsia" w:ascii="仿宋" w:hAnsi="仿宋" w:eastAsia="仿宋" w:cs="仿宋"/>
          <w:b/>
          <w:bCs/>
          <w:caps w:val="0"/>
          <w:spacing w:val="0"/>
          <w:w w:val="100"/>
          <w:sz w:val="24"/>
          <w:szCs w:val="24"/>
          <w:highlight w:val="none"/>
          <w:lang w:val="en-US" w:eastAsia="zh-CN"/>
        </w:rPr>
        <w:t>3.供应商资格要求</w:t>
      </w:r>
    </w:p>
    <w:p w14:paraId="212761D0">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3.1企业要求：中华人民共和国境内注册的企业法人，持有有效的企业法人营业执照，若投标人为分公司，须提供总公司的唯一授权文件。</w:t>
      </w:r>
    </w:p>
    <w:p w14:paraId="773B6405">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3.2财务要求：能够为本项目开具增值税发票事项提供承诺函。（国家相关法律法规规定不适用开具增值税发票的情形除外）。</w:t>
      </w:r>
    </w:p>
    <w:p w14:paraId="74FE072D">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3.3资质要求：</w:t>
      </w:r>
    </w:p>
    <w:p w14:paraId="37A4A9CB">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标段1：设计单位须具备工程设计电力行业乙级或工程设计电力行业（新能源、送电工程、变电工程）专业乙级及以上资质或工程设计综合资质甲级。</w:t>
      </w:r>
    </w:p>
    <w:p w14:paraId="07F3B415">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zh-CN" w:eastAsia="zh-CN"/>
        </w:rPr>
      </w:pPr>
      <w:r>
        <w:rPr>
          <w:rFonts w:hint="eastAsia" w:ascii="仿宋" w:hAnsi="仿宋" w:eastAsia="仿宋" w:cs="仿宋"/>
          <w:b w:val="0"/>
          <w:bCs w:val="0"/>
          <w:caps w:val="0"/>
          <w:spacing w:val="0"/>
          <w:w w:val="100"/>
          <w:sz w:val="24"/>
          <w:szCs w:val="24"/>
          <w:highlight w:val="none"/>
          <w:lang w:val="en-US" w:eastAsia="zh-CN"/>
        </w:rPr>
        <w:t>标段2：检测鉴定单位</w:t>
      </w:r>
      <w:r>
        <w:rPr>
          <w:rFonts w:hint="eastAsia" w:ascii="仿宋" w:hAnsi="仿宋" w:eastAsia="仿宋" w:cs="仿宋"/>
          <w:b w:val="0"/>
          <w:bCs w:val="0"/>
          <w:caps w:val="0"/>
          <w:spacing w:val="0"/>
          <w:w w:val="100"/>
          <w:sz w:val="24"/>
          <w:szCs w:val="24"/>
          <w:highlight w:val="none"/>
          <w:lang w:val="zh-CN" w:eastAsia="zh-CN"/>
        </w:rPr>
        <w:t>须具有省级及以上质量技术监督局（市场监管局）颁发的检验检测机构资质认定证书（CMA）及有效的建设行政主管部门颁发的建设工程质量检测机构资质证书（须</w:t>
      </w:r>
      <w:r>
        <w:rPr>
          <w:rFonts w:hint="eastAsia" w:ascii="仿宋" w:hAnsi="仿宋" w:eastAsia="仿宋" w:cs="仿宋"/>
          <w:b w:val="0"/>
          <w:bCs w:val="0"/>
          <w:caps w:val="0"/>
          <w:spacing w:val="0"/>
          <w:w w:val="100"/>
          <w:sz w:val="24"/>
          <w:szCs w:val="24"/>
          <w:highlight w:val="none"/>
          <w:lang w:val="en-US" w:eastAsia="zh-CN"/>
        </w:rPr>
        <w:t>具备的检测专项资质为地基基础、建筑材料及构配件、主体结构、钢结构</w:t>
      </w:r>
      <w:r>
        <w:rPr>
          <w:rFonts w:hint="eastAsia" w:ascii="仿宋" w:hAnsi="仿宋" w:eastAsia="仿宋" w:cs="仿宋"/>
          <w:b w:val="0"/>
          <w:bCs w:val="0"/>
          <w:caps w:val="0"/>
          <w:spacing w:val="0"/>
          <w:w w:val="100"/>
          <w:sz w:val="24"/>
          <w:szCs w:val="24"/>
          <w:highlight w:val="none"/>
          <w:lang w:val="zh-CN" w:eastAsia="zh-CN"/>
        </w:rPr>
        <w:t>）。</w:t>
      </w:r>
    </w:p>
    <w:p w14:paraId="0BBC3010">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3.4人员资格：</w:t>
      </w:r>
    </w:p>
    <w:p w14:paraId="7958BE27">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标段1：项目设计负责人须具备注册电气工程师执业资格或具有电力工程相关专业高级及以上技术职称。</w:t>
      </w:r>
    </w:p>
    <w:p w14:paraId="422619BD">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标段2：检测鉴定项目负责人须具备二级注册结构工程师执业资格或高级技术职称。</w:t>
      </w:r>
    </w:p>
    <w:p w14:paraId="3D42A079">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3.5业绩要求：</w:t>
      </w:r>
    </w:p>
    <w:p w14:paraId="33ED212C">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标段1：投标人近3年（自2023年10月20日以来）至少完成过2项装机容量不低于100kWp的分布式光伏发电项目设计业绩。</w:t>
      </w:r>
    </w:p>
    <w:p w14:paraId="243385FB">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default"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标段2：投标人近3年（自2023年10月20日以来）至少完成过2项既有建筑屋面结构安全性检测鉴定业绩，须提供合同及成果证明等有效材料。</w:t>
      </w:r>
    </w:p>
    <w:p w14:paraId="6033DDD0">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3.6信誉要求：</w:t>
      </w:r>
    </w:p>
    <w:p w14:paraId="19387196">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3.6.1近三年来供应商没有处于被责令停业的，投标资格被取消，财产被重组、接管、查封、扣押或冻结破产状态，若发现供应商具有弄虚作假行为，一切后果由供应商承担。（提供承诺书）</w:t>
      </w:r>
    </w:p>
    <w:p w14:paraId="35DDD272">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3.6.2投标人未被列入失信被执行人、重大税收违法失信主体、政府采购严重违法失信行为记录名单、严重违法失信企业名单的证明材料。(供应商应通过“信用中国”网站（www.creditchina.gov.cn）查询“失信被执行人”(跳转至中国执行信息公开网)、“重大税收违法失信主体”，中国政府采购网（www.ccgp.gov.cn）查询“政府采购严重违法失信行为记录名单”国家企业信用信息公示系统网站（https://www.gsxt.gov.cn/查询“严重违法失信企业名单”）渠道查询自身信用记录，提供查询网页截图或打印网页版)(投标人提供的仅作为信用参考，以采购人或采购代理机构开标当天查询结果为准)。</w:t>
      </w:r>
    </w:p>
    <w:p w14:paraId="2007D6DD">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3.6.3投标人近三年内未被相关行业主管部门或行政主管部门或司法机关认定有骗取中标、严重违约、重大质量或者安全问题的；（提供承诺书，如有违背不得参与本项目询比采购活动）。</w:t>
      </w:r>
    </w:p>
    <w:p w14:paraId="51BA544F">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3.6.4投标人拟为本项目提供的服务均须符合国家、招标人规定的资格条件和相关要求。保证其投标文件中的全部内容均为真实、有效的。须提供承诺函。</w:t>
      </w:r>
    </w:p>
    <w:p w14:paraId="658D343F">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3.7本项目不接受联合体。</w:t>
      </w:r>
    </w:p>
    <w:p w14:paraId="434A2A66">
      <w:pPr>
        <w:keepNext w:val="0"/>
        <w:keepLines w:val="0"/>
        <w:pageBreakBefore w:val="0"/>
        <w:widowControl w:val="0"/>
        <w:numPr>
          <w:ilvl w:val="0"/>
          <w:numId w:val="0"/>
        </w:numPr>
        <w:shd w:val="clear" w:fill="FFFFFF" w:themeFill="background1"/>
        <w:kinsoku/>
        <w:wordWrap w:val="0"/>
        <w:overflowPunct/>
        <w:topLinePunct/>
        <w:autoSpaceDE/>
        <w:autoSpaceDN/>
        <w:bidi w:val="0"/>
        <w:adjustRightInd/>
        <w:snapToGrid/>
        <w:spacing w:line="240" w:lineRule="auto"/>
        <w:jc w:val="both"/>
        <w:textAlignment w:val="auto"/>
        <w:rPr>
          <w:rFonts w:hint="eastAsia" w:ascii="仿宋" w:hAnsi="仿宋" w:eastAsia="仿宋" w:cs="仿宋"/>
          <w:b/>
          <w:bCs/>
          <w:caps w:val="0"/>
          <w:spacing w:val="0"/>
          <w:w w:val="100"/>
          <w:sz w:val="24"/>
          <w:szCs w:val="24"/>
          <w:highlight w:val="none"/>
          <w:lang w:val="en-US" w:eastAsia="zh-CN"/>
        </w:rPr>
      </w:pPr>
      <w:r>
        <w:rPr>
          <w:rFonts w:hint="eastAsia" w:ascii="仿宋" w:hAnsi="仿宋" w:eastAsia="仿宋" w:cs="仿宋"/>
          <w:b/>
          <w:bCs/>
          <w:caps w:val="0"/>
          <w:spacing w:val="0"/>
          <w:w w:val="100"/>
          <w:sz w:val="24"/>
          <w:szCs w:val="24"/>
          <w:highlight w:val="none"/>
          <w:lang w:val="en-US" w:eastAsia="zh-CN"/>
        </w:rPr>
        <w:t>4.询比采购文件的获取</w:t>
      </w:r>
    </w:p>
    <w:p w14:paraId="23BD96CF">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4.1凡有意参加的供应商，</w:t>
      </w:r>
      <w:bookmarkStart w:id="0" w:name="_GoBack"/>
      <w:r>
        <w:rPr>
          <w:rFonts w:hint="eastAsia" w:ascii="仿宋" w:hAnsi="仿宋" w:eastAsia="仿宋" w:cs="仿宋"/>
          <w:b w:val="0"/>
          <w:bCs w:val="0"/>
          <w:caps w:val="0"/>
          <w:spacing w:val="0"/>
          <w:w w:val="100"/>
          <w:sz w:val="24"/>
          <w:szCs w:val="24"/>
          <w:highlight w:val="none"/>
          <w:lang w:val="en-US" w:eastAsia="zh-CN"/>
        </w:rPr>
        <w:t>请于2026年10月26日至2026年10月28日，每天上午00：00至12：00，下午12：00至23：59（北京</w:t>
      </w:r>
      <w:bookmarkEnd w:id="0"/>
      <w:r>
        <w:rPr>
          <w:rFonts w:hint="eastAsia" w:ascii="仿宋" w:hAnsi="仿宋" w:eastAsia="仿宋" w:cs="仿宋"/>
          <w:b w:val="0"/>
          <w:bCs w:val="0"/>
          <w:caps w:val="0"/>
          <w:spacing w:val="0"/>
          <w:w w:val="100"/>
          <w:sz w:val="24"/>
          <w:szCs w:val="24"/>
          <w:highlight w:val="none"/>
          <w:lang w:val="en-US" w:eastAsia="zh-CN"/>
        </w:rPr>
        <w:t>时间，法定节假日除外），使用企业账号登录“河南文旅投资集团-阳光招采数智平台（http://zc.hnwltzjt.cn/）”下载电子询比文件（首次登陆须完成注册）。</w:t>
      </w:r>
    </w:p>
    <w:p w14:paraId="25E7B10C">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具体操作：供应商在阳光招采数智平台登录页面，点击“供应商登陆”，使用账号（统一社会信用代码）、密码完成系统登录后，即可进行项目投标操作。</w:t>
      </w:r>
    </w:p>
    <w:p w14:paraId="41DAC24A">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点击【阳光招采数智平台】-【供应商登陆】（页面跳转）-左侧菜单“项目管理”-“我要参与”，在要参与的项目后点击“参与”（标包多的需要勾选相应标包参与）；具体操作详见“河南文旅投资集团-阳光招采数智平台——供应商操作指南”。</w:t>
      </w:r>
    </w:p>
    <w:p w14:paraId="5799E0FD">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default"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4.2提示：1.凡有意参加的供应商，须提供（1）营业执照或同等效力证明文件；（2）法定代表人授权委托书（须注明委托代理人的联系方式）及委托代理人身份证复印件。以上资料加盖公章的扫描件整理成一个PDF在系统进行提交审核。</w:t>
      </w:r>
    </w:p>
    <w:p w14:paraId="361532A2">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4.2 询比采购文件售价：0元/份，售后不退。</w:t>
      </w:r>
    </w:p>
    <w:p w14:paraId="03BBDB92">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jc w:val="both"/>
        <w:textAlignment w:val="auto"/>
        <w:rPr>
          <w:rFonts w:hint="eastAsia" w:ascii="仿宋" w:hAnsi="仿宋" w:eastAsia="仿宋" w:cs="仿宋"/>
          <w:b/>
          <w:bCs/>
          <w:caps w:val="0"/>
          <w:spacing w:val="0"/>
          <w:w w:val="100"/>
          <w:sz w:val="24"/>
          <w:szCs w:val="24"/>
          <w:highlight w:val="none"/>
          <w:lang w:val="en-US" w:eastAsia="zh-CN"/>
        </w:rPr>
      </w:pPr>
      <w:r>
        <w:rPr>
          <w:rFonts w:hint="eastAsia" w:ascii="仿宋" w:hAnsi="仿宋" w:eastAsia="仿宋" w:cs="仿宋"/>
          <w:b/>
          <w:bCs/>
          <w:caps w:val="0"/>
          <w:spacing w:val="0"/>
          <w:w w:val="100"/>
          <w:sz w:val="24"/>
          <w:szCs w:val="24"/>
          <w:highlight w:val="none"/>
          <w:lang w:val="en-US" w:eastAsia="zh-CN"/>
        </w:rPr>
        <w:t>5.询比响应文件送达截止时间及地点</w:t>
      </w:r>
    </w:p>
    <w:p w14:paraId="6123A6D5">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5.1响应文件递交截止时间：2026年10月29日8时00分（北京时间）。</w:t>
      </w:r>
    </w:p>
    <w:p w14:paraId="17869AFF">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5.2开标地点：河南文旅投资集团-阳光招采数智平台。</w:t>
      </w:r>
    </w:p>
    <w:p w14:paraId="5134E651">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5.3供应商须按阳光招采数智平台要求制作电子响应文件，并在响应文件递交截止时间前通过河南文旅投资集团-阳光招采数智平台指定位置上传，电子响应文件逾期上传的，采购人及采购代理机构不予受理。</w:t>
      </w:r>
    </w:p>
    <w:p w14:paraId="3F0F6A05">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5.4本项目采用“远程不见面”开标方式，供应商无需到达开标现场。供应商应在询比文件规定的投标截止时间前登陆系统，准时参加开标活动，响应文件递交截止时间后各供应商即可进入系统查看所有响应单位的响应报价，如有异议应在投标截止时间后5分钟内在系统内发起答疑，否则视为认同开标结果。供应商应在开标当天及时关注本项目的情况，如遇问题，请拨打技术咨询电话：15093235192、0371-86631739。</w:t>
      </w:r>
    </w:p>
    <w:p w14:paraId="03457ED1">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5.5具体事宜详见“河南文旅投资集团-阳光招采数智平台—帮助中心-操作指南-供应商操作指南”。</w:t>
      </w:r>
    </w:p>
    <w:p w14:paraId="04984736">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jc w:val="both"/>
        <w:textAlignment w:val="auto"/>
        <w:rPr>
          <w:rFonts w:hint="eastAsia" w:ascii="仿宋" w:hAnsi="仿宋" w:eastAsia="仿宋" w:cs="仿宋"/>
          <w:b/>
          <w:bCs/>
          <w:caps w:val="0"/>
          <w:spacing w:val="0"/>
          <w:w w:val="100"/>
          <w:sz w:val="24"/>
          <w:szCs w:val="24"/>
          <w:highlight w:val="none"/>
          <w:lang w:val="en-US" w:eastAsia="zh-CN"/>
        </w:rPr>
      </w:pPr>
      <w:r>
        <w:rPr>
          <w:rFonts w:hint="eastAsia" w:ascii="仿宋" w:hAnsi="仿宋" w:eastAsia="仿宋" w:cs="仿宋"/>
          <w:b/>
          <w:bCs/>
          <w:caps w:val="0"/>
          <w:spacing w:val="0"/>
          <w:w w:val="100"/>
          <w:sz w:val="24"/>
          <w:szCs w:val="24"/>
          <w:highlight w:val="none"/>
          <w:lang w:val="en-US" w:eastAsia="zh-CN"/>
        </w:rPr>
        <w:t>6.报价要求及询比规则</w:t>
      </w:r>
    </w:p>
    <w:p w14:paraId="2712D1FF">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凡参与报价的供应商，视为均已响应以下报价要求及询比规则：</w:t>
      </w:r>
    </w:p>
    <w:p w14:paraId="750663A3">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6.1本次询比为一次报价，采用总报价的方式报价，最低价中标方式评标。报价包含采购范围内相关的一切费用。</w:t>
      </w:r>
    </w:p>
    <w:p w14:paraId="1342E78F">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6.2若分项报价明显偏离市场价，则该供应商的整体报价为无效报价。</w:t>
      </w:r>
    </w:p>
    <w:p w14:paraId="58F8EB9A">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jc w:val="both"/>
        <w:textAlignment w:val="auto"/>
        <w:rPr>
          <w:rFonts w:hint="eastAsia" w:ascii="仿宋" w:hAnsi="仿宋" w:eastAsia="仿宋" w:cs="仿宋"/>
          <w:b/>
          <w:bCs/>
          <w:caps w:val="0"/>
          <w:spacing w:val="0"/>
          <w:w w:val="100"/>
          <w:sz w:val="24"/>
          <w:szCs w:val="24"/>
          <w:highlight w:val="none"/>
          <w:lang w:val="en-US" w:eastAsia="zh-CN"/>
        </w:rPr>
      </w:pPr>
      <w:r>
        <w:rPr>
          <w:rFonts w:hint="eastAsia" w:ascii="仿宋" w:hAnsi="仿宋" w:eastAsia="仿宋" w:cs="仿宋"/>
          <w:b/>
          <w:bCs/>
          <w:caps w:val="0"/>
          <w:spacing w:val="0"/>
          <w:w w:val="100"/>
          <w:sz w:val="24"/>
          <w:szCs w:val="24"/>
          <w:highlight w:val="none"/>
          <w:lang w:val="en-US" w:eastAsia="zh-CN"/>
        </w:rPr>
        <w:t>7.本公告发布的媒体</w:t>
      </w:r>
    </w:p>
    <w:p w14:paraId="419B1355">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本次公告在《河南省文化旅游投资集团有限公司网站http://www.hnwltzjt.cn/》、《河南省文化旅游投资集团有限公司阳光招采数智平台http://zc.hnwltzjt.cn/》上发布。</w:t>
      </w:r>
    </w:p>
    <w:p w14:paraId="4E406BE3">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jc w:val="both"/>
        <w:textAlignment w:val="auto"/>
        <w:rPr>
          <w:rFonts w:hint="eastAsia" w:ascii="仿宋" w:hAnsi="仿宋" w:eastAsia="仿宋" w:cs="仿宋"/>
          <w:b/>
          <w:bCs/>
          <w:caps w:val="0"/>
          <w:spacing w:val="0"/>
          <w:w w:val="100"/>
          <w:sz w:val="24"/>
          <w:szCs w:val="24"/>
          <w:highlight w:val="none"/>
          <w:lang w:val="en-US" w:eastAsia="zh-CN"/>
        </w:rPr>
      </w:pPr>
      <w:r>
        <w:rPr>
          <w:rFonts w:hint="eastAsia" w:ascii="仿宋" w:hAnsi="仿宋" w:eastAsia="仿宋" w:cs="仿宋"/>
          <w:b/>
          <w:bCs/>
          <w:caps w:val="0"/>
          <w:spacing w:val="0"/>
          <w:w w:val="100"/>
          <w:sz w:val="24"/>
          <w:szCs w:val="24"/>
          <w:highlight w:val="none"/>
          <w:lang w:val="en-US" w:eastAsia="zh-CN"/>
        </w:rPr>
        <w:t>8.联系方式</w:t>
      </w:r>
    </w:p>
    <w:p w14:paraId="12F77BC4">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采购人：林州市太行大峡谷旅游开发有限公司林州市太行大峡谷旅游开发有限公司红旗渠迎宾馆分公司分公司</w:t>
      </w:r>
    </w:p>
    <w:p w14:paraId="024E545B">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地  址：林州市一干渠观光大道中段</w:t>
      </w:r>
    </w:p>
    <w:p w14:paraId="598615DE">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联系人：石女士</w:t>
      </w:r>
    </w:p>
    <w:p w14:paraId="5FC57728">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电  话：0372-3268603/13140416810</w:t>
      </w:r>
    </w:p>
    <w:p w14:paraId="1A78978D">
      <w:pPr>
        <w:keepNext w:val="0"/>
        <w:keepLines w:val="0"/>
        <w:pageBreakBefore w:val="0"/>
        <w:widowControl w:val="0"/>
        <w:shd w:val="clear" w:fill="FFFFFF" w:themeFill="background1"/>
        <w:kinsoku/>
        <w:wordWrap w:val="0"/>
        <w:overflowPunct/>
        <w:topLinePunct/>
        <w:autoSpaceDE/>
        <w:autoSpaceDN/>
        <w:bidi w:val="0"/>
        <w:adjustRightInd/>
        <w:snapToGrid/>
        <w:spacing w:line="240" w:lineRule="auto"/>
        <w:ind w:firstLine="480" w:firstLineChars="200"/>
        <w:jc w:val="both"/>
        <w:textAlignment w:val="auto"/>
        <w:rPr>
          <w:rFonts w:hint="eastAsia" w:ascii="仿宋" w:hAnsi="仿宋" w:eastAsia="仿宋" w:cs="仿宋"/>
          <w:b w:val="0"/>
          <w:bCs w:val="0"/>
          <w:caps w:val="0"/>
          <w:spacing w:val="0"/>
          <w:w w:val="100"/>
          <w:sz w:val="24"/>
          <w:szCs w:val="24"/>
          <w:highlight w:val="none"/>
          <w:lang w:val="en-US" w:eastAsia="zh-CN"/>
        </w:rPr>
      </w:pPr>
      <w:r>
        <w:rPr>
          <w:rFonts w:hint="eastAsia" w:ascii="仿宋" w:hAnsi="仿宋" w:eastAsia="仿宋" w:cs="仿宋"/>
          <w:b w:val="0"/>
          <w:bCs w:val="0"/>
          <w:caps w:val="0"/>
          <w:spacing w:val="0"/>
          <w:w w:val="100"/>
          <w:sz w:val="24"/>
          <w:szCs w:val="24"/>
          <w:highlight w:val="none"/>
          <w:lang w:val="en-US" w:eastAsia="zh-CN"/>
        </w:rPr>
        <w:t>邮  箱：343594481@qq.com</w:t>
      </w:r>
    </w:p>
    <w:p w14:paraId="024703FA">
      <w:pPr>
        <w:shd w:val="clear" w:fill="FFFFFF" w:themeFill="background1"/>
        <w:rPr>
          <w:rFonts w:hint="eastAsia" w:ascii="仿宋" w:hAnsi="仿宋" w:eastAsia="仿宋" w:cs="仿宋"/>
          <w:caps w:val="0"/>
          <w:color w:val="auto"/>
          <w:spacing w:val="0"/>
          <w:w w:val="100"/>
          <w:highlight w:val="none"/>
        </w:rPr>
      </w:pPr>
    </w:p>
    <w:p w14:paraId="4384B36F">
      <w:pPr>
        <w:shd w:val="clear" w:fill="FFFFFF" w:themeFill="background1"/>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A940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rPr>
      <w:rFonts w:ascii="Times New Roman" w:hAnsi="Times New Roman" w:eastAsia="仿宋_GB2312"/>
      <w:sz w:val="28"/>
      <w:szCs w:val="30"/>
    </w:rPr>
  </w:style>
  <w:style w:type="paragraph" w:customStyle="1" w:styleId="5">
    <w:name w:val="标题_0_0"/>
    <w:basedOn w:val="6"/>
    <w:next w:val="6"/>
    <w:qFormat/>
    <w:uiPriority w:val="0"/>
    <w:pPr>
      <w:widowControl/>
      <w:jc w:val="center"/>
      <w:outlineLvl w:val="0"/>
    </w:pPr>
    <w:rPr>
      <w:rFonts w:ascii="Cambria" w:hAnsi="Cambria" w:eastAsia="微软雅黑"/>
      <w:b/>
      <w:bCs/>
      <w:kern w:val="28"/>
      <w:sz w:val="44"/>
      <w:lang w:eastAsia="en-US" w:bidi="en-US"/>
    </w:rPr>
  </w:style>
  <w:style w:type="paragraph" w:customStyle="1" w:styleId="6">
    <w:name w:val="正文_1_0"/>
    <w:basedOn w:val="7"/>
    <w:next w:val="11"/>
    <w:qFormat/>
    <w:uiPriority w:val="0"/>
    <w:pPr>
      <w:widowControl w:val="0"/>
      <w:jc w:val="both"/>
    </w:pPr>
    <w:rPr>
      <w:rFonts w:ascii="Calibri" w:hAnsi="Calibri"/>
      <w:lang w:val="en-US" w:eastAsia="zh-CN" w:bidi="ar-SA"/>
    </w:rPr>
  </w:style>
  <w:style w:type="paragraph" w:customStyle="1" w:styleId="7">
    <w:name w:val="正文_2_0"/>
    <w:next w:val="8"/>
    <w:qFormat/>
    <w:uiPriority w:val="0"/>
    <w:pPr>
      <w:widowControl w:val="0"/>
      <w:jc w:val="both"/>
    </w:pPr>
    <w:rPr>
      <w:rFonts w:ascii="Calibri" w:hAnsi="Calibri" w:eastAsia="宋体" w:cs="Times New Roman"/>
      <w:lang w:val="en-US" w:eastAsia="zh-CN" w:bidi="ar-SA"/>
    </w:rPr>
  </w:style>
  <w:style w:type="paragraph" w:customStyle="1" w:styleId="8">
    <w:name w:val="正文文本_2"/>
    <w:basedOn w:val="9"/>
    <w:next w:val="10"/>
    <w:qFormat/>
    <w:uiPriority w:val="0"/>
    <w:rPr>
      <w:rFonts w:ascii="Calibri" w:hAnsi="Calibri" w:eastAsia="仿宋_GB2312"/>
      <w:kern w:val="2"/>
      <w:sz w:val="28"/>
      <w:szCs w:val="30"/>
    </w:rPr>
  </w:style>
  <w:style w:type="paragraph" w:customStyle="1" w:styleId="9">
    <w:name w:val="正文_20"/>
    <w:next w:val="8"/>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
    <w:name w:val="正文文本 2_2"/>
    <w:basedOn w:val="7"/>
    <w:qFormat/>
    <w:uiPriority w:val="0"/>
    <w:pPr>
      <w:jc w:val="center"/>
      <w:outlineLvl w:val="0"/>
    </w:pPr>
    <w:rPr>
      <w:rFonts w:ascii="楷体_GB2312" w:hAnsi="Calibri" w:eastAsia="仿宋_GB2312"/>
      <w:kern w:val="2"/>
      <w:sz w:val="30"/>
    </w:rPr>
  </w:style>
  <w:style w:type="paragraph" w:customStyle="1" w:styleId="11">
    <w:name w:val="正文文本_0"/>
    <w:basedOn w:val="12"/>
    <w:next w:val="16"/>
    <w:qFormat/>
    <w:uiPriority w:val="0"/>
    <w:rPr>
      <w:rFonts w:eastAsia="仿宋_GB2312"/>
      <w:kern w:val="2"/>
      <w:sz w:val="28"/>
      <w:szCs w:val="30"/>
    </w:rPr>
  </w:style>
  <w:style w:type="paragraph" w:customStyle="1" w:styleId="12">
    <w:name w:val="正文_1_0_0"/>
    <w:next w:val="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正文文本_1"/>
    <w:basedOn w:val="14"/>
    <w:next w:val="15"/>
    <w:qFormat/>
    <w:uiPriority w:val="0"/>
    <w:rPr>
      <w:rFonts w:ascii="Calibri" w:hAnsi="Calibri" w:eastAsia="仿宋_GB2312"/>
      <w:kern w:val="2"/>
      <w:sz w:val="28"/>
      <w:szCs w:val="30"/>
    </w:rPr>
  </w:style>
  <w:style w:type="paragraph" w:customStyle="1" w:styleId="14">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Default_0"/>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2</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2026-10-26T09:46:52Z</dcterms:created>
  <dc:creator>Administrator</dc:creator>
  <cp:lastModifiedBy>小小宇宙(ง •̀_•́)ง</cp:lastModifiedBy>
  <dcterms:modified xsi:type="dcterms:W3CDTF">2026-10-26T09:49:03Z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eyJoZGlkIjoiZDA3YTQ4ZmZjYzYyODUyYTQ3M2IwOThiZGYxN2IxMjkiLCJ1c2VySWQiOiIyNDY2MDQzNTYifQ==</vt:lpwstr>
  </property>
  <property fmtid="{D5CDD505-2E9C-101B-9397-08002B2CF9AE}" pid="4" name="ICV">
    <vt:lpwstr>5DC3ABC570024E04B1A072EBD1B01FAC_12</vt:lpwstr>
  </property>
</Properties>
</file>