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F96EE">
      <w:pPr>
        <w:spacing w:line="360" w:lineRule="auto"/>
        <w:ind w:right="-693" w:rightChars="-330" w:firstLine="1533" w:firstLineChars="347"/>
        <w:rPr>
          <w:rFonts w:ascii="宋体" w:hAnsi="宋体"/>
          <w:b/>
          <w:bCs/>
          <w:sz w:val="44"/>
          <w:szCs w:val="44"/>
          <w:highlight w:val="none"/>
        </w:rPr>
      </w:pPr>
    </w:p>
    <w:p w14:paraId="12E69591">
      <w:pPr>
        <w:spacing w:line="360" w:lineRule="auto"/>
        <w:jc w:val="center"/>
        <w:rPr>
          <w:rFonts w:hint="eastAsia" w:ascii="宋体" w:hAnsi="宋体" w:eastAsia="宋体" w:cs="宋体"/>
          <w:b/>
          <w:kern w:val="0"/>
          <w:sz w:val="58"/>
          <w:szCs w:val="58"/>
          <w:highlight w:val="none"/>
          <w:lang w:val="en-US" w:eastAsia="zh-CN"/>
        </w:rPr>
      </w:pPr>
      <w:bookmarkStart w:id="0" w:name="_Hlk55228965"/>
      <w:r>
        <w:rPr>
          <w:rFonts w:hint="eastAsia" w:hAnsi="宋体" w:eastAsia="宋体" w:cs="宋体"/>
          <w:b/>
          <w:kern w:val="0"/>
          <w:sz w:val="58"/>
          <w:szCs w:val="58"/>
          <w:highlight w:val="none"/>
          <w:u w:val="single"/>
          <w:lang w:val="en-US" w:eastAsia="zh-CN"/>
        </w:rPr>
        <w:t xml:space="preserve">华宁县大龙山风电场项目监理服务          </w:t>
      </w:r>
    </w:p>
    <w:bookmarkEnd w:id="0"/>
    <w:p w14:paraId="4315984B">
      <w:pPr>
        <w:spacing w:line="360" w:lineRule="auto"/>
        <w:ind w:left="210" w:leftChars="100"/>
        <w:jc w:val="center"/>
        <w:rPr>
          <w:rFonts w:ascii="宋体" w:hAnsi="宋体" w:cs="宋体"/>
          <w:b/>
          <w:sz w:val="44"/>
          <w:szCs w:val="44"/>
          <w:highlight w:val="none"/>
        </w:rPr>
      </w:pPr>
      <w:bookmarkStart w:id="1" w:name="OLE_LINK2"/>
      <w:bookmarkStart w:id="2" w:name="OLE_LINK1"/>
    </w:p>
    <w:p w14:paraId="29B592B8">
      <w:pPr>
        <w:spacing w:line="360" w:lineRule="auto"/>
        <w:ind w:left="210" w:leftChars="100"/>
        <w:jc w:val="center"/>
        <w:rPr>
          <w:rFonts w:ascii="宋体" w:hAnsi="宋体" w:cs="宋体"/>
          <w:b/>
          <w:sz w:val="44"/>
          <w:szCs w:val="44"/>
          <w:highlight w:val="none"/>
        </w:rPr>
      </w:pPr>
    </w:p>
    <w:p w14:paraId="268C551F">
      <w:pPr>
        <w:spacing w:line="360" w:lineRule="auto"/>
        <w:jc w:val="center"/>
        <w:rPr>
          <w:rFonts w:ascii="宋体" w:hAnsi="宋体" w:cs="宋体"/>
          <w:b/>
          <w:bCs/>
          <w:sz w:val="72"/>
          <w:szCs w:val="72"/>
          <w:highlight w:val="none"/>
        </w:rPr>
      </w:pPr>
      <w:r>
        <w:rPr>
          <w:rFonts w:hint="eastAsia" w:ascii="宋体" w:hAnsi="宋体" w:cs="宋体"/>
          <w:b/>
          <w:bCs/>
          <w:sz w:val="72"/>
          <w:szCs w:val="72"/>
          <w:highlight w:val="none"/>
        </w:rPr>
        <w:t>竞争性谈判采购文件</w:t>
      </w:r>
    </w:p>
    <w:p w14:paraId="2784AE5F">
      <w:pPr>
        <w:spacing w:line="360" w:lineRule="auto"/>
        <w:jc w:val="center"/>
        <w:rPr>
          <w:rFonts w:ascii="宋体" w:hAnsi="宋体" w:cs="宋体"/>
          <w:bCs/>
          <w:sz w:val="24"/>
          <w:szCs w:val="24"/>
          <w:highlight w:val="none"/>
        </w:rPr>
      </w:pPr>
    </w:p>
    <w:p w14:paraId="430FAF3B">
      <w:pPr>
        <w:spacing w:line="360" w:lineRule="auto"/>
        <w:jc w:val="center"/>
        <w:rPr>
          <w:rFonts w:ascii="宋体" w:hAnsi="宋体" w:cs="宋体"/>
          <w:b/>
          <w:bCs/>
          <w:sz w:val="32"/>
          <w:szCs w:val="32"/>
          <w:highlight w:val="none"/>
        </w:rPr>
      </w:pPr>
    </w:p>
    <w:p w14:paraId="0F8C34E5">
      <w:pPr>
        <w:spacing w:line="360" w:lineRule="auto"/>
        <w:rPr>
          <w:rFonts w:ascii="宋体" w:hAnsi="宋体" w:cs="宋体"/>
          <w:b/>
          <w:bCs/>
          <w:sz w:val="44"/>
          <w:szCs w:val="36"/>
          <w:highlight w:val="none"/>
        </w:rPr>
      </w:pPr>
    </w:p>
    <w:p w14:paraId="72284B1A">
      <w:pPr>
        <w:spacing w:line="360" w:lineRule="auto"/>
        <w:rPr>
          <w:rFonts w:ascii="宋体" w:hAnsi="宋体" w:cs="宋体"/>
          <w:b/>
          <w:bCs/>
          <w:sz w:val="44"/>
          <w:szCs w:val="36"/>
          <w:highlight w:val="none"/>
        </w:rPr>
      </w:pPr>
    </w:p>
    <w:p w14:paraId="11DB076D">
      <w:pPr>
        <w:spacing w:line="360" w:lineRule="auto"/>
        <w:rPr>
          <w:rFonts w:ascii="宋体" w:hAnsi="宋体" w:cs="宋体"/>
          <w:b/>
          <w:bCs/>
          <w:sz w:val="32"/>
          <w:szCs w:val="32"/>
          <w:highlight w:val="none"/>
        </w:rPr>
      </w:pPr>
    </w:p>
    <w:p w14:paraId="079BC959">
      <w:pPr>
        <w:pStyle w:val="2"/>
        <w:ind w:firstLine="0" w:firstLineChars="0"/>
        <w:jc w:val="center"/>
        <w:rPr>
          <w:rFonts w:hint="default" w:hAnsi="宋体" w:eastAsia="宋体" w:cs="宋体"/>
          <w:b/>
          <w:bCs/>
          <w:sz w:val="32"/>
          <w:szCs w:val="32"/>
          <w:highlight w:val="none"/>
          <w:lang w:val="en-US" w:eastAsia="zh-CN"/>
        </w:rPr>
      </w:pPr>
      <w:r>
        <w:rPr>
          <w:rFonts w:hint="eastAsia" w:hAnsi="宋体" w:eastAsia="宋体" w:cs="宋体"/>
          <w:b/>
          <w:bCs/>
          <w:sz w:val="32"/>
          <w:szCs w:val="32"/>
          <w:highlight w:val="none"/>
        </w:rPr>
        <w:t>采购人：</w:t>
      </w:r>
      <w:r>
        <w:rPr>
          <w:rFonts w:hint="eastAsia" w:hAnsi="宋体" w:eastAsia="宋体" w:cs="宋体"/>
          <w:b/>
          <w:bCs/>
          <w:sz w:val="32"/>
          <w:szCs w:val="32"/>
          <w:highlight w:val="none"/>
          <w:u w:val="single"/>
          <w:lang w:eastAsia="zh-CN"/>
        </w:rPr>
        <w:t xml:space="preserve"> </w:t>
      </w:r>
      <w:r>
        <w:rPr>
          <w:rFonts w:hint="eastAsia" w:hAnsi="宋体" w:eastAsia="宋体" w:cs="宋体"/>
          <w:b/>
          <w:bCs/>
          <w:sz w:val="32"/>
          <w:szCs w:val="32"/>
          <w:highlight w:val="none"/>
          <w:u w:val="single"/>
          <w:lang w:val="en-US" w:eastAsia="zh-CN"/>
        </w:rPr>
        <w:t>华宁云能投新能源开发有限公司</w:t>
      </w:r>
    </w:p>
    <w:p w14:paraId="3A13337F">
      <w:pPr>
        <w:jc w:val="center"/>
        <w:rPr>
          <w:rFonts w:ascii="宋体" w:hAnsi="宋体" w:cs="宋体"/>
          <w:highlight w:val="none"/>
        </w:rPr>
      </w:pPr>
    </w:p>
    <w:p w14:paraId="605317A7">
      <w:pPr>
        <w:autoSpaceDE w:val="0"/>
        <w:autoSpaceDN w:val="0"/>
        <w:adjustRightInd w:val="0"/>
        <w:spacing w:line="560" w:lineRule="exact"/>
        <w:jc w:val="center"/>
        <w:rPr>
          <w:rFonts w:ascii="宋体" w:hAnsi="宋体" w:cs="宋体"/>
          <w:b/>
          <w:bCs/>
          <w:sz w:val="32"/>
          <w:szCs w:val="32"/>
          <w:highlight w:val="none"/>
        </w:rPr>
      </w:pPr>
    </w:p>
    <w:p w14:paraId="755C14FF">
      <w:pPr>
        <w:spacing w:line="360" w:lineRule="auto"/>
        <w:ind w:firstLine="2891" w:firstLineChars="900"/>
        <w:rPr>
          <w:rFonts w:ascii="宋体" w:hAnsi="宋体" w:cs="宋体"/>
          <w:b/>
          <w:bCs/>
          <w:sz w:val="32"/>
          <w:szCs w:val="32"/>
          <w:highlight w:val="none"/>
        </w:rPr>
      </w:pPr>
      <w:r>
        <w:rPr>
          <w:rFonts w:hint="eastAsia" w:ascii="宋体" w:hAnsi="宋体" w:cs="宋体"/>
          <w:b/>
          <w:bCs/>
          <w:sz w:val="32"/>
          <w:szCs w:val="32"/>
          <w:highlight w:val="none"/>
        </w:rPr>
        <w:t>日  期：二〇二</w:t>
      </w:r>
      <w:r>
        <w:rPr>
          <w:rFonts w:hint="eastAsia" w:ascii="宋体" w:hAnsi="宋体" w:cs="宋体"/>
          <w:b/>
          <w:bCs/>
          <w:sz w:val="32"/>
          <w:szCs w:val="32"/>
          <w:highlight w:val="none"/>
          <w:lang w:val="en-US" w:eastAsia="zh-CN"/>
        </w:rPr>
        <w:t>六</w:t>
      </w:r>
      <w:r>
        <w:rPr>
          <w:rFonts w:hint="eastAsia" w:ascii="宋体" w:hAnsi="宋体" w:cs="宋体"/>
          <w:b/>
          <w:bCs/>
          <w:sz w:val="32"/>
          <w:szCs w:val="32"/>
          <w:highlight w:val="none"/>
        </w:rPr>
        <w:t>年</w:t>
      </w:r>
      <w:r>
        <w:rPr>
          <w:rFonts w:hint="eastAsia" w:ascii="宋体" w:hAnsi="宋体" w:cs="宋体"/>
          <w:b/>
          <w:bCs/>
          <w:sz w:val="32"/>
          <w:szCs w:val="32"/>
          <w:highlight w:val="none"/>
          <w:lang w:val="en-US" w:eastAsia="zh-CN"/>
        </w:rPr>
        <w:t>十</w:t>
      </w:r>
      <w:r>
        <w:rPr>
          <w:rFonts w:hint="eastAsia" w:ascii="宋体" w:hAnsi="宋体" w:cs="宋体"/>
          <w:b/>
          <w:bCs/>
          <w:sz w:val="32"/>
          <w:szCs w:val="32"/>
          <w:highlight w:val="none"/>
        </w:rPr>
        <w:t>月</w:t>
      </w:r>
    </w:p>
    <w:p w14:paraId="00E57F57">
      <w:pPr>
        <w:widowControl/>
        <w:jc w:val="center"/>
        <w:rPr>
          <w:rFonts w:ascii="宋体" w:hAnsi="宋体" w:cs="宋体"/>
          <w:b/>
          <w:bCs/>
          <w:sz w:val="32"/>
          <w:szCs w:val="32"/>
          <w:highlight w:val="none"/>
        </w:rPr>
      </w:pPr>
      <w:r>
        <w:rPr>
          <w:rFonts w:hint="eastAsia" w:ascii="宋体" w:hAnsi="宋体" w:cs="宋体"/>
          <w:sz w:val="44"/>
          <w:highlight w:val="none"/>
        </w:rPr>
        <w:br w:type="page"/>
      </w:r>
      <w:bookmarkEnd w:id="1"/>
      <w:bookmarkEnd w:id="2"/>
      <w:r>
        <w:rPr>
          <w:rFonts w:hint="eastAsia" w:ascii="宋体" w:hAnsi="宋体" w:cs="宋体"/>
          <w:b/>
          <w:bCs/>
          <w:sz w:val="44"/>
          <w:szCs w:val="44"/>
          <w:highlight w:val="none"/>
        </w:rPr>
        <w:t>目  录</w:t>
      </w:r>
    </w:p>
    <w:p w14:paraId="370653D7">
      <w:pPr>
        <w:spacing w:line="360" w:lineRule="auto"/>
        <w:ind w:firstLine="281"/>
        <w:jc w:val="center"/>
        <w:rPr>
          <w:rFonts w:ascii="宋体" w:hAnsi="宋体" w:cs="宋体"/>
          <w:b/>
          <w:bCs/>
          <w:sz w:val="44"/>
          <w:szCs w:val="44"/>
          <w:highlight w:val="none"/>
        </w:rPr>
      </w:pPr>
    </w:p>
    <w:p w14:paraId="40882B78">
      <w:pPr>
        <w:pStyle w:val="37"/>
        <w:tabs>
          <w:tab w:val="right" w:leader="dot" w:pos="8844"/>
        </w:tabs>
        <w:rPr>
          <w:sz w:val="28"/>
          <w:szCs w:val="24"/>
          <w:highlight w:val="none"/>
        </w:rPr>
      </w:pPr>
      <w:r>
        <w:rPr>
          <w:rFonts w:hint="eastAsia" w:ascii="宋体" w:hAnsi="宋体" w:cs="宋体"/>
          <w:b/>
          <w:bCs/>
          <w:smallCaps/>
          <w:sz w:val="40"/>
          <w:szCs w:val="40"/>
          <w:highlight w:val="none"/>
        </w:rPr>
        <w:fldChar w:fldCharType="begin"/>
      </w:r>
      <w:r>
        <w:rPr>
          <w:rFonts w:hint="eastAsia" w:ascii="宋体" w:hAnsi="宋体" w:cs="宋体"/>
          <w:b/>
          <w:bCs/>
          <w:sz w:val="40"/>
          <w:szCs w:val="40"/>
          <w:highlight w:val="none"/>
        </w:rPr>
        <w:instrText xml:space="preserve"> TOC \o "1-3" \h \z </w:instrText>
      </w:r>
      <w:r>
        <w:rPr>
          <w:rFonts w:hint="eastAsia" w:ascii="宋体" w:hAnsi="宋体" w:cs="宋体"/>
          <w:b/>
          <w:bCs/>
          <w:smallCaps/>
          <w:sz w:val="40"/>
          <w:szCs w:val="40"/>
          <w:highlight w:val="none"/>
        </w:rPr>
        <w:fldChar w:fldCharType="separate"/>
      </w: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_Toc1094733066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第一章  采购公告</w:t>
      </w:r>
      <w:r>
        <w:rPr>
          <w:sz w:val="28"/>
          <w:szCs w:val="24"/>
          <w:highlight w:val="none"/>
        </w:rPr>
        <w:tab/>
      </w:r>
      <w:r>
        <w:rPr>
          <w:sz w:val="28"/>
          <w:szCs w:val="24"/>
          <w:highlight w:val="none"/>
        </w:rPr>
        <w:fldChar w:fldCharType="begin"/>
      </w:r>
      <w:r>
        <w:rPr>
          <w:sz w:val="28"/>
          <w:szCs w:val="24"/>
          <w:highlight w:val="none"/>
        </w:rPr>
        <w:instrText xml:space="preserve"> PAGEREF _Toc1094733066 \h </w:instrText>
      </w:r>
      <w:r>
        <w:rPr>
          <w:sz w:val="28"/>
          <w:szCs w:val="24"/>
          <w:highlight w:val="none"/>
        </w:rPr>
        <w:fldChar w:fldCharType="separate"/>
      </w:r>
      <w:r>
        <w:rPr>
          <w:sz w:val="28"/>
          <w:szCs w:val="24"/>
          <w:highlight w:val="none"/>
        </w:rPr>
        <w:t>3</w:t>
      </w:r>
      <w:r>
        <w:rPr>
          <w:sz w:val="28"/>
          <w:szCs w:val="24"/>
          <w:highlight w:val="none"/>
        </w:rPr>
        <w:fldChar w:fldCharType="end"/>
      </w:r>
      <w:r>
        <w:rPr>
          <w:rFonts w:hint="eastAsia" w:ascii="宋体" w:hAnsi="宋体" w:cs="宋体"/>
          <w:bCs/>
          <w:sz w:val="28"/>
          <w:szCs w:val="40"/>
          <w:highlight w:val="none"/>
        </w:rPr>
        <w:fldChar w:fldCharType="end"/>
      </w:r>
    </w:p>
    <w:p w14:paraId="4C504E76">
      <w:pPr>
        <w:pStyle w:val="37"/>
        <w:tabs>
          <w:tab w:val="right" w:leader="dot" w:pos="8844"/>
        </w:tabs>
        <w:rPr>
          <w:sz w:val="28"/>
          <w:szCs w:val="24"/>
          <w:highlight w:val="none"/>
        </w:rPr>
      </w:pP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_Toc1197334358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第二章  供应商须知及前附表</w:t>
      </w:r>
      <w:r>
        <w:rPr>
          <w:sz w:val="28"/>
          <w:szCs w:val="24"/>
          <w:highlight w:val="none"/>
        </w:rPr>
        <w:tab/>
      </w:r>
      <w:r>
        <w:rPr>
          <w:sz w:val="28"/>
          <w:szCs w:val="24"/>
          <w:highlight w:val="none"/>
        </w:rPr>
        <w:fldChar w:fldCharType="begin"/>
      </w:r>
      <w:r>
        <w:rPr>
          <w:sz w:val="28"/>
          <w:szCs w:val="24"/>
          <w:highlight w:val="none"/>
        </w:rPr>
        <w:instrText xml:space="preserve"> PAGEREF _Toc1197334358 \h </w:instrText>
      </w:r>
      <w:r>
        <w:rPr>
          <w:sz w:val="28"/>
          <w:szCs w:val="24"/>
          <w:highlight w:val="none"/>
        </w:rPr>
        <w:fldChar w:fldCharType="separate"/>
      </w:r>
      <w:r>
        <w:rPr>
          <w:sz w:val="28"/>
          <w:szCs w:val="24"/>
          <w:highlight w:val="none"/>
        </w:rPr>
        <w:t>9</w:t>
      </w:r>
      <w:r>
        <w:rPr>
          <w:sz w:val="28"/>
          <w:szCs w:val="24"/>
          <w:highlight w:val="none"/>
        </w:rPr>
        <w:fldChar w:fldCharType="end"/>
      </w:r>
      <w:r>
        <w:rPr>
          <w:rFonts w:hint="eastAsia" w:ascii="宋体" w:hAnsi="宋体" w:cs="宋体"/>
          <w:bCs/>
          <w:sz w:val="28"/>
          <w:szCs w:val="40"/>
          <w:highlight w:val="none"/>
        </w:rPr>
        <w:fldChar w:fldCharType="end"/>
      </w:r>
    </w:p>
    <w:p w14:paraId="35523976">
      <w:pPr>
        <w:pStyle w:val="37"/>
        <w:tabs>
          <w:tab w:val="right" w:leader="dot" w:pos="8844"/>
        </w:tabs>
        <w:rPr>
          <w:sz w:val="28"/>
          <w:szCs w:val="24"/>
          <w:highlight w:val="none"/>
        </w:rPr>
      </w:pP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_Toc764417141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第三章  评审办法</w:t>
      </w:r>
      <w:r>
        <w:rPr>
          <w:sz w:val="28"/>
          <w:szCs w:val="24"/>
          <w:highlight w:val="none"/>
        </w:rPr>
        <w:tab/>
      </w:r>
      <w:r>
        <w:rPr>
          <w:sz w:val="28"/>
          <w:szCs w:val="24"/>
          <w:highlight w:val="none"/>
        </w:rPr>
        <w:fldChar w:fldCharType="begin"/>
      </w:r>
      <w:r>
        <w:rPr>
          <w:sz w:val="28"/>
          <w:szCs w:val="24"/>
          <w:highlight w:val="none"/>
        </w:rPr>
        <w:instrText xml:space="preserve"> PAGEREF _Toc764417141 \h </w:instrText>
      </w:r>
      <w:r>
        <w:rPr>
          <w:sz w:val="28"/>
          <w:szCs w:val="24"/>
          <w:highlight w:val="none"/>
        </w:rPr>
        <w:fldChar w:fldCharType="separate"/>
      </w:r>
      <w:r>
        <w:rPr>
          <w:sz w:val="28"/>
          <w:szCs w:val="24"/>
          <w:highlight w:val="none"/>
        </w:rPr>
        <w:t>17</w:t>
      </w:r>
      <w:r>
        <w:rPr>
          <w:sz w:val="28"/>
          <w:szCs w:val="24"/>
          <w:highlight w:val="none"/>
        </w:rPr>
        <w:fldChar w:fldCharType="end"/>
      </w:r>
      <w:r>
        <w:rPr>
          <w:rFonts w:hint="eastAsia" w:ascii="宋体" w:hAnsi="宋体" w:cs="宋体"/>
          <w:bCs/>
          <w:sz w:val="28"/>
          <w:szCs w:val="40"/>
          <w:highlight w:val="none"/>
        </w:rPr>
        <w:fldChar w:fldCharType="end"/>
      </w:r>
    </w:p>
    <w:p w14:paraId="1C1C86F4">
      <w:pPr>
        <w:pStyle w:val="37"/>
        <w:tabs>
          <w:tab w:val="right" w:leader="dot" w:pos="8844"/>
        </w:tabs>
        <w:rPr>
          <w:sz w:val="28"/>
          <w:szCs w:val="24"/>
          <w:highlight w:val="none"/>
        </w:rPr>
      </w:pP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_Toc1938972028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第四章  合同条款及格式</w:t>
      </w:r>
      <w:r>
        <w:rPr>
          <w:sz w:val="28"/>
          <w:szCs w:val="24"/>
          <w:highlight w:val="none"/>
        </w:rPr>
        <w:tab/>
      </w:r>
      <w:r>
        <w:rPr>
          <w:sz w:val="28"/>
          <w:szCs w:val="24"/>
          <w:highlight w:val="none"/>
        </w:rPr>
        <w:fldChar w:fldCharType="begin"/>
      </w:r>
      <w:r>
        <w:rPr>
          <w:sz w:val="28"/>
          <w:szCs w:val="24"/>
          <w:highlight w:val="none"/>
        </w:rPr>
        <w:instrText xml:space="preserve"> PAGEREF _Toc1938972028 \h </w:instrText>
      </w:r>
      <w:r>
        <w:rPr>
          <w:sz w:val="28"/>
          <w:szCs w:val="24"/>
          <w:highlight w:val="none"/>
        </w:rPr>
        <w:fldChar w:fldCharType="separate"/>
      </w:r>
      <w:r>
        <w:rPr>
          <w:sz w:val="28"/>
          <w:szCs w:val="24"/>
          <w:highlight w:val="none"/>
        </w:rPr>
        <w:t>25</w:t>
      </w:r>
      <w:r>
        <w:rPr>
          <w:sz w:val="28"/>
          <w:szCs w:val="24"/>
          <w:highlight w:val="none"/>
        </w:rPr>
        <w:fldChar w:fldCharType="end"/>
      </w:r>
      <w:r>
        <w:rPr>
          <w:rFonts w:hint="eastAsia" w:ascii="宋体" w:hAnsi="宋体" w:cs="宋体"/>
          <w:bCs/>
          <w:sz w:val="28"/>
          <w:szCs w:val="40"/>
          <w:highlight w:val="none"/>
        </w:rPr>
        <w:fldChar w:fldCharType="end"/>
      </w:r>
    </w:p>
    <w:p w14:paraId="40F640B0">
      <w:pPr>
        <w:pStyle w:val="37"/>
        <w:tabs>
          <w:tab w:val="right" w:leader="dot" w:pos="8844"/>
        </w:tabs>
        <w:rPr>
          <w:sz w:val="28"/>
          <w:szCs w:val="24"/>
          <w:highlight w:val="none"/>
        </w:rPr>
      </w:pP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_Toc1323697249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w:t>
      </w:r>
      <w:r>
        <w:rPr>
          <w:rFonts w:hint="eastAsia" w:ascii="宋体" w:hAnsi="宋体" w:eastAsia="宋体" w:cs="宋体"/>
          <w:sz w:val="28"/>
          <w:szCs w:val="24"/>
          <w:highlight w:val="none"/>
          <w:lang w:val="en-US" w:eastAsia="zh-CN"/>
        </w:rPr>
        <w:t>五</w:t>
      </w:r>
      <w:r>
        <w:rPr>
          <w:rFonts w:hint="eastAsia" w:ascii="宋体" w:hAnsi="宋体" w:eastAsia="宋体" w:cs="宋体"/>
          <w:sz w:val="28"/>
          <w:szCs w:val="24"/>
          <w:highlight w:val="none"/>
        </w:rPr>
        <w:t xml:space="preserve">章  </w:t>
      </w:r>
      <w:r>
        <w:rPr>
          <w:rFonts w:hint="eastAsia" w:ascii="宋体" w:hAnsi="宋体" w:eastAsia="宋体" w:cs="宋体"/>
          <w:sz w:val="28"/>
          <w:szCs w:val="24"/>
          <w:highlight w:val="none"/>
          <w:lang w:val="en-US" w:eastAsia="zh-CN"/>
        </w:rPr>
        <w:t>采购人</w:t>
      </w:r>
      <w:r>
        <w:rPr>
          <w:rFonts w:hint="eastAsia" w:ascii="宋体" w:hAnsi="宋体" w:eastAsia="宋体" w:cs="宋体"/>
          <w:sz w:val="28"/>
          <w:szCs w:val="24"/>
          <w:highlight w:val="none"/>
        </w:rPr>
        <w:t>要求</w:t>
      </w:r>
      <w:r>
        <w:rPr>
          <w:sz w:val="28"/>
          <w:szCs w:val="24"/>
          <w:highlight w:val="none"/>
        </w:rPr>
        <w:tab/>
      </w:r>
      <w:r>
        <w:rPr>
          <w:sz w:val="28"/>
          <w:szCs w:val="24"/>
          <w:highlight w:val="none"/>
        </w:rPr>
        <w:fldChar w:fldCharType="begin"/>
      </w:r>
      <w:r>
        <w:rPr>
          <w:sz w:val="28"/>
          <w:szCs w:val="24"/>
          <w:highlight w:val="none"/>
        </w:rPr>
        <w:instrText xml:space="preserve"> PAGEREF _Toc1323697249 \h </w:instrText>
      </w:r>
      <w:r>
        <w:rPr>
          <w:sz w:val="28"/>
          <w:szCs w:val="24"/>
          <w:highlight w:val="none"/>
        </w:rPr>
        <w:fldChar w:fldCharType="separate"/>
      </w:r>
      <w:r>
        <w:rPr>
          <w:sz w:val="28"/>
          <w:szCs w:val="24"/>
          <w:highlight w:val="none"/>
        </w:rPr>
        <w:t>65</w:t>
      </w:r>
      <w:r>
        <w:rPr>
          <w:sz w:val="28"/>
          <w:szCs w:val="24"/>
          <w:highlight w:val="none"/>
        </w:rPr>
        <w:fldChar w:fldCharType="end"/>
      </w:r>
      <w:r>
        <w:rPr>
          <w:rFonts w:hint="eastAsia" w:ascii="宋体" w:hAnsi="宋体" w:cs="宋体"/>
          <w:bCs/>
          <w:sz w:val="28"/>
          <w:szCs w:val="40"/>
          <w:highlight w:val="none"/>
        </w:rPr>
        <w:fldChar w:fldCharType="end"/>
      </w:r>
    </w:p>
    <w:p w14:paraId="7375D2C5">
      <w:pPr>
        <w:pStyle w:val="37"/>
        <w:tabs>
          <w:tab w:val="right" w:leader="dot" w:pos="8844"/>
        </w:tabs>
        <w:rPr>
          <w:sz w:val="28"/>
          <w:szCs w:val="24"/>
          <w:highlight w:val="none"/>
        </w:rPr>
      </w:pP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_Toc972989012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lang w:val="en-US" w:eastAsia="zh-CN"/>
        </w:rPr>
        <w:t>第六</w:t>
      </w:r>
      <w:r>
        <w:rPr>
          <w:rFonts w:hint="eastAsia" w:ascii="宋体" w:hAnsi="宋体" w:eastAsia="宋体" w:cs="宋体"/>
          <w:sz w:val="28"/>
          <w:szCs w:val="24"/>
          <w:highlight w:val="none"/>
        </w:rPr>
        <w:t>章  竞争性谈判响应文件格式</w:t>
      </w:r>
      <w:r>
        <w:rPr>
          <w:sz w:val="28"/>
          <w:szCs w:val="24"/>
          <w:highlight w:val="none"/>
        </w:rPr>
        <w:tab/>
      </w:r>
      <w:r>
        <w:rPr>
          <w:sz w:val="28"/>
          <w:szCs w:val="24"/>
          <w:highlight w:val="none"/>
        </w:rPr>
        <w:fldChar w:fldCharType="begin"/>
      </w:r>
      <w:r>
        <w:rPr>
          <w:sz w:val="28"/>
          <w:szCs w:val="24"/>
          <w:highlight w:val="none"/>
        </w:rPr>
        <w:instrText xml:space="preserve"> PAGEREF _Toc972989012 \h </w:instrText>
      </w:r>
      <w:r>
        <w:rPr>
          <w:sz w:val="28"/>
          <w:szCs w:val="24"/>
          <w:highlight w:val="none"/>
        </w:rPr>
        <w:fldChar w:fldCharType="separate"/>
      </w:r>
      <w:r>
        <w:rPr>
          <w:sz w:val="28"/>
          <w:szCs w:val="24"/>
          <w:highlight w:val="none"/>
        </w:rPr>
        <w:t>79</w:t>
      </w:r>
      <w:r>
        <w:rPr>
          <w:sz w:val="28"/>
          <w:szCs w:val="24"/>
          <w:highlight w:val="none"/>
        </w:rPr>
        <w:fldChar w:fldCharType="end"/>
      </w:r>
      <w:r>
        <w:rPr>
          <w:rFonts w:hint="eastAsia" w:ascii="宋体" w:hAnsi="宋体" w:cs="宋体"/>
          <w:bCs/>
          <w:sz w:val="28"/>
          <w:szCs w:val="40"/>
          <w:highlight w:val="none"/>
        </w:rPr>
        <w:fldChar w:fldCharType="end"/>
      </w:r>
    </w:p>
    <w:p w14:paraId="11186A5B">
      <w:pPr>
        <w:tabs>
          <w:tab w:val="right" w:leader="dot" w:pos="8505"/>
        </w:tabs>
        <w:spacing w:line="360" w:lineRule="auto"/>
        <w:jc w:val="center"/>
        <w:rPr>
          <w:rFonts w:ascii="宋体" w:hAnsi="宋体" w:cs="宋体"/>
          <w:b/>
          <w:sz w:val="28"/>
          <w:szCs w:val="28"/>
          <w:highlight w:val="none"/>
        </w:rPr>
      </w:pPr>
      <w:r>
        <w:rPr>
          <w:rFonts w:hint="eastAsia" w:ascii="宋体" w:hAnsi="宋体" w:cs="宋体"/>
          <w:b/>
          <w:bCs/>
          <w:sz w:val="40"/>
          <w:szCs w:val="40"/>
          <w:highlight w:val="none"/>
        </w:rPr>
        <w:fldChar w:fldCharType="end"/>
      </w:r>
    </w:p>
    <w:p w14:paraId="5ECDCF64">
      <w:pPr>
        <w:pStyle w:val="45"/>
        <w:outlineLvl w:val="9"/>
        <w:rPr>
          <w:rFonts w:ascii="宋体" w:hAnsi="宋体" w:eastAsia="宋体" w:cs="宋体"/>
          <w:highlight w:val="none"/>
        </w:rPr>
      </w:pPr>
      <w:bookmarkStart w:id="3" w:name="_Toc23293"/>
      <w:bookmarkStart w:id="4" w:name="_Toc55310050"/>
      <w:bookmarkStart w:id="5" w:name="_Toc6281"/>
      <w:bookmarkStart w:id="6" w:name="_Toc10250"/>
      <w:bookmarkStart w:id="7" w:name="_Toc22972"/>
      <w:bookmarkStart w:id="8" w:name="_Toc13186"/>
      <w:bookmarkStart w:id="9" w:name="_Toc22118"/>
      <w:bookmarkStart w:id="10" w:name="_Toc4482"/>
    </w:p>
    <w:p w14:paraId="1EBA9FDE">
      <w:pPr>
        <w:tabs>
          <w:tab w:val="left" w:pos="2756"/>
        </w:tabs>
        <w:rPr>
          <w:rFonts w:hint="default"/>
          <w:highlight w:val="none"/>
        </w:rPr>
      </w:pPr>
      <w:r>
        <w:rPr>
          <w:highlight w:val="none"/>
        </w:rPr>
        <w:tab/>
      </w:r>
    </w:p>
    <w:p w14:paraId="64975C5F">
      <w:pPr>
        <w:rPr>
          <w:highlight w:val="none"/>
        </w:rPr>
      </w:pPr>
    </w:p>
    <w:p w14:paraId="6C1657FD">
      <w:pPr>
        <w:rPr>
          <w:highlight w:val="none"/>
        </w:rPr>
      </w:pPr>
    </w:p>
    <w:p w14:paraId="18FC7B4E">
      <w:pPr>
        <w:rPr>
          <w:highlight w:val="none"/>
        </w:rPr>
      </w:pPr>
    </w:p>
    <w:p w14:paraId="60D10EC3">
      <w:pPr>
        <w:rPr>
          <w:highlight w:val="none"/>
        </w:rPr>
      </w:pPr>
    </w:p>
    <w:p w14:paraId="28FED167">
      <w:pPr>
        <w:rPr>
          <w:highlight w:val="none"/>
        </w:rPr>
      </w:pPr>
    </w:p>
    <w:p w14:paraId="15066E50">
      <w:pPr>
        <w:rPr>
          <w:highlight w:val="none"/>
        </w:rPr>
      </w:pPr>
    </w:p>
    <w:p w14:paraId="71F703D2">
      <w:pPr>
        <w:rPr>
          <w:highlight w:val="none"/>
        </w:rPr>
      </w:pPr>
    </w:p>
    <w:p w14:paraId="3AE959D2">
      <w:pPr>
        <w:rPr>
          <w:highlight w:val="none"/>
        </w:rPr>
      </w:pPr>
    </w:p>
    <w:p w14:paraId="179795F2">
      <w:pPr>
        <w:rPr>
          <w:highlight w:val="none"/>
        </w:rPr>
      </w:pPr>
    </w:p>
    <w:p w14:paraId="0E828C0A">
      <w:pPr>
        <w:rPr>
          <w:highlight w:val="none"/>
        </w:rPr>
      </w:pPr>
    </w:p>
    <w:p w14:paraId="39425F36">
      <w:pPr>
        <w:rPr>
          <w:highlight w:val="none"/>
        </w:rPr>
      </w:pPr>
    </w:p>
    <w:p w14:paraId="2874B0A3">
      <w:pPr>
        <w:rPr>
          <w:highlight w:val="none"/>
        </w:rPr>
      </w:pPr>
    </w:p>
    <w:p w14:paraId="1AEEB324">
      <w:pPr>
        <w:rPr>
          <w:highlight w:val="none"/>
        </w:rPr>
      </w:pPr>
    </w:p>
    <w:p w14:paraId="1D678BC7">
      <w:pPr>
        <w:rPr>
          <w:highlight w:val="none"/>
        </w:rPr>
      </w:pPr>
    </w:p>
    <w:p w14:paraId="1D5C89C7">
      <w:pPr>
        <w:rPr>
          <w:highlight w:val="none"/>
        </w:rPr>
      </w:pPr>
    </w:p>
    <w:p w14:paraId="22767848">
      <w:pPr>
        <w:rPr>
          <w:highlight w:val="none"/>
        </w:rPr>
      </w:pPr>
    </w:p>
    <w:p w14:paraId="557D50AB">
      <w:pPr>
        <w:rPr>
          <w:highlight w:val="none"/>
        </w:rPr>
      </w:pPr>
    </w:p>
    <w:p w14:paraId="792D25D6">
      <w:pPr>
        <w:rPr>
          <w:highlight w:val="none"/>
        </w:rPr>
      </w:pPr>
    </w:p>
    <w:p w14:paraId="30644CF0">
      <w:pPr>
        <w:tabs>
          <w:tab w:val="left" w:pos="2953"/>
        </w:tabs>
        <w:jc w:val="left"/>
        <w:rPr>
          <w:rFonts w:hint="default"/>
          <w:highlight w:val="none"/>
        </w:rPr>
        <w:sectPr>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pPr>
      <w:r>
        <w:rPr>
          <w:highlight w:val="none"/>
        </w:rPr>
        <w:tab/>
      </w:r>
    </w:p>
    <w:p w14:paraId="48AC7D4E">
      <w:pPr>
        <w:pStyle w:val="45"/>
        <w:rPr>
          <w:rFonts w:ascii="宋体" w:hAnsi="宋体" w:eastAsia="宋体" w:cs="宋体"/>
          <w:highlight w:val="none"/>
        </w:rPr>
      </w:pPr>
      <w:bookmarkStart w:id="11" w:name="_Toc313936280"/>
      <w:bookmarkStart w:id="12" w:name="_Toc1714770980"/>
      <w:bookmarkStart w:id="13" w:name="_Toc2079530535"/>
      <w:bookmarkStart w:id="14" w:name="_Toc1807154329"/>
      <w:bookmarkStart w:id="15" w:name="_Toc1094733066"/>
      <w:r>
        <w:rPr>
          <w:rFonts w:hint="eastAsia" w:ascii="宋体" w:hAnsi="宋体" w:eastAsia="宋体" w:cs="宋体"/>
          <w:highlight w:val="none"/>
        </w:rPr>
        <w:t xml:space="preserve">第一章  </w:t>
      </w:r>
      <w:bookmarkEnd w:id="3"/>
      <w:bookmarkEnd w:id="4"/>
      <w:bookmarkEnd w:id="5"/>
      <w:bookmarkEnd w:id="6"/>
      <w:bookmarkEnd w:id="7"/>
      <w:bookmarkEnd w:id="8"/>
      <w:bookmarkEnd w:id="9"/>
      <w:r>
        <w:rPr>
          <w:rFonts w:hint="eastAsia" w:ascii="宋体" w:hAnsi="宋体" w:eastAsia="宋体" w:cs="宋体"/>
          <w:highlight w:val="none"/>
        </w:rPr>
        <w:t>采购公告</w:t>
      </w:r>
      <w:bookmarkEnd w:id="10"/>
      <w:bookmarkEnd w:id="11"/>
      <w:bookmarkEnd w:id="12"/>
      <w:bookmarkEnd w:id="13"/>
      <w:bookmarkEnd w:id="14"/>
      <w:bookmarkEnd w:id="15"/>
    </w:p>
    <w:p w14:paraId="2B7716F3">
      <w:pPr>
        <w:rPr>
          <w:rFonts w:ascii="宋体" w:hAnsi="宋体" w:cs="宋体"/>
          <w:highlight w:val="none"/>
        </w:rPr>
      </w:pPr>
    </w:p>
    <w:p w14:paraId="366440D4">
      <w:pPr>
        <w:wordWrap w:val="0"/>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本项目为</w:t>
      </w:r>
      <w:r>
        <w:rPr>
          <w:rFonts w:hint="eastAsia" w:ascii="宋体" w:hAnsi="宋体" w:cs="宋体"/>
          <w:sz w:val="24"/>
          <w:szCs w:val="24"/>
          <w:highlight w:val="none"/>
          <w:u w:val="single"/>
        </w:rPr>
        <w:t>华宁县大龙山风电场项目</w:t>
      </w:r>
      <w:r>
        <w:rPr>
          <w:rFonts w:hint="eastAsia" w:ascii="宋体" w:hAnsi="宋体" w:cs="宋体"/>
          <w:sz w:val="24"/>
          <w:szCs w:val="24"/>
          <w:highlight w:val="none"/>
          <w:u w:val="single"/>
          <w:lang w:val="en-US" w:eastAsia="zh-CN"/>
        </w:rPr>
        <w:t>监理服务</w:t>
      </w:r>
      <w:r>
        <w:rPr>
          <w:rFonts w:hint="eastAsia" w:ascii="宋体" w:hAnsi="宋体" w:cs="宋体"/>
          <w:sz w:val="24"/>
          <w:szCs w:val="24"/>
          <w:highlight w:val="none"/>
        </w:rPr>
        <w:t>，项目已由云南省发展和改革委员会《关于</w:t>
      </w:r>
      <w:r>
        <w:rPr>
          <w:rFonts w:hint="eastAsia" w:ascii="宋体" w:hAnsi="宋体" w:cs="宋体"/>
          <w:sz w:val="24"/>
          <w:szCs w:val="24"/>
          <w:highlight w:val="none"/>
          <w:lang w:val="en-US" w:eastAsia="zh-CN"/>
        </w:rPr>
        <w:t>玉溪</w:t>
      </w:r>
      <w:r>
        <w:rPr>
          <w:rFonts w:hint="eastAsia" w:ascii="宋体" w:hAnsi="宋体" w:cs="宋体"/>
          <w:sz w:val="24"/>
          <w:szCs w:val="24"/>
          <w:highlight w:val="none"/>
        </w:rPr>
        <w:t>市</w:t>
      </w:r>
      <w:r>
        <w:rPr>
          <w:rFonts w:hint="eastAsia" w:ascii="宋体" w:hAnsi="宋体" w:cs="宋体"/>
          <w:sz w:val="24"/>
          <w:szCs w:val="24"/>
          <w:highlight w:val="none"/>
          <w:lang w:val="en-US" w:eastAsia="zh-CN"/>
        </w:rPr>
        <w:t>华宁</w:t>
      </w:r>
      <w:r>
        <w:rPr>
          <w:rFonts w:hint="eastAsia" w:ascii="宋体" w:hAnsi="宋体" w:cs="宋体"/>
          <w:sz w:val="24"/>
          <w:szCs w:val="24"/>
          <w:highlight w:val="none"/>
        </w:rPr>
        <w:t>县</w:t>
      </w:r>
      <w:r>
        <w:rPr>
          <w:rFonts w:hint="eastAsia" w:ascii="宋体" w:hAnsi="宋体" w:cs="宋体"/>
          <w:sz w:val="24"/>
          <w:szCs w:val="24"/>
          <w:highlight w:val="none"/>
          <w:lang w:val="en-US" w:eastAsia="zh-CN"/>
        </w:rPr>
        <w:t>大龙山</w:t>
      </w:r>
      <w:r>
        <w:rPr>
          <w:rFonts w:hint="eastAsia" w:ascii="宋体" w:hAnsi="宋体" w:cs="宋体"/>
          <w:sz w:val="24"/>
          <w:szCs w:val="24"/>
          <w:highlight w:val="none"/>
        </w:rPr>
        <w:t>风电场项目核准的批复》批准建设，项目代码：2506-530</w:t>
      </w:r>
      <w:r>
        <w:rPr>
          <w:rFonts w:hint="eastAsia" w:ascii="宋体" w:hAnsi="宋体" w:cs="宋体"/>
          <w:sz w:val="24"/>
          <w:szCs w:val="24"/>
          <w:highlight w:val="none"/>
          <w:lang w:val="en-US" w:eastAsia="zh-CN"/>
        </w:rPr>
        <w:t>424</w:t>
      </w:r>
      <w:r>
        <w:rPr>
          <w:rFonts w:hint="eastAsia" w:ascii="宋体" w:hAnsi="宋体" w:cs="宋体"/>
          <w:sz w:val="24"/>
          <w:szCs w:val="24"/>
          <w:highlight w:val="none"/>
        </w:rPr>
        <w:t>-04-01-</w:t>
      </w:r>
      <w:r>
        <w:rPr>
          <w:rFonts w:hint="eastAsia" w:ascii="宋体" w:hAnsi="宋体" w:cs="宋体"/>
          <w:sz w:val="24"/>
          <w:szCs w:val="24"/>
          <w:highlight w:val="none"/>
          <w:lang w:val="en-US" w:eastAsia="zh-CN"/>
        </w:rPr>
        <w:t>815071。</w:t>
      </w:r>
      <w:r>
        <w:rPr>
          <w:rFonts w:hint="eastAsia" w:ascii="宋体" w:hAnsi="宋体" w:cs="宋体"/>
          <w:sz w:val="24"/>
          <w:szCs w:val="24"/>
          <w:highlight w:val="none"/>
        </w:rPr>
        <w:t>采购人为</w:t>
      </w:r>
      <w:r>
        <w:rPr>
          <w:rFonts w:hint="eastAsia" w:ascii="宋体" w:hAnsi="宋体" w:cs="宋体"/>
          <w:sz w:val="24"/>
          <w:szCs w:val="24"/>
          <w:highlight w:val="none"/>
          <w:u w:val="single"/>
          <w:lang w:val="en-US" w:eastAsia="zh-CN"/>
        </w:rPr>
        <w:t>华宁云能投新能源开发有限公司</w:t>
      </w:r>
      <w:r>
        <w:rPr>
          <w:rFonts w:hint="eastAsia" w:ascii="宋体" w:hAnsi="宋体" w:cs="宋体"/>
          <w:sz w:val="24"/>
          <w:szCs w:val="24"/>
          <w:highlight w:val="none"/>
        </w:rPr>
        <w:t>。资金来源已落实。该项目已具备采购条件，现开展供应商公开竞争性谈判。</w:t>
      </w:r>
    </w:p>
    <w:p w14:paraId="5479C7F1">
      <w:pPr>
        <w:pStyle w:val="4"/>
        <w:ind w:firstLineChars="100"/>
        <w:outlineLvl w:val="1"/>
        <w:rPr>
          <w:rFonts w:ascii="宋体" w:hAnsi="宋体" w:eastAsia="宋体" w:cs="宋体"/>
          <w:color w:val="auto"/>
          <w:szCs w:val="28"/>
          <w:highlight w:val="none"/>
        </w:rPr>
      </w:pPr>
      <w:bookmarkStart w:id="16" w:name="_Toc18622"/>
      <w:bookmarkStart w:id="17" w:name="_Toc21484"/>
      <w:bookmarkStart w:id="18" w:name="_Toc1117"/>
      <w:bookmarkStart w:id="19" w:name="_Toc3431"/>
      <w:bookmarkStart w:id="20" w:name="_Toc17434"/>
      <w:bookmarkStart w:id="21" w:name="_Toc7636"/>
      <w:bookmarkStart w:id="22" w:name="_Toc55310051"/>
      <w:bookmarkStart w:id="23" w:name="_Toc6310"/>
      <w:bookmarkStart w:id="24" w:name="_Toc55229783"/>
      <w:bookmarkStart w:id="25" w:name="_Toc19200"/>
      <w:bookmarkStart w:id="26" w:name="_Toc3743"/>
      <w:bookmarkStart w:id="27" w:name="_Toc55303738"/>
      <w:bookmarkStart w:id="28" w:name="_Toc13125"/>
      <w:bookmarkStart w:id="29" w:name="_Toc1961560796"/>
      <w:bookmarkStart w:id="30" w:name="_Toc1132188766"/>
      <w:bookmarkStart w:id="31" w:name="_Toc1532957538"/>
      <w:bookmarkStart w:id="32" w:name="_Toc13372"/>
      <w:bookmarkStart w:id="33" w:name="_Toc30978"/>
      <w:bookmarkStart w:id="34" w:name="_Toc1702041023"/>
      <w:bookmarkStart w:id="35" w:name="_Toc25508"/>
      <w:bookmarkStart w:id="36" w:name="_Toc807977393"/>
      <w:r>
        <w:rPr>
          <w:rFonts w:hint="default" w:ascii="宋体" w:hAnsi="宋体" w:eastAsia="宋体" w:cs="宋体"/>
          <w:color w:val="auto"/>
          <w:szCs w:val="28"/>
          <w:highlight w:val="none"/>
        </w:rPr>
        <w:t>一、</w:t>
      </w:r>
      <w:bookmarkEnd w:id="16"/>
      <w:bookmarkEnd w:id="17"/>
      <w:bookmarkEnd w:id="18"/>
      <w:bookmarkEnd w:id="19"/>
      <w:bookmarkEnd w:id="20"/>
      <w:r>
        <w:rPr>
          <w:rFonts w:hint="default" w:ascii="宋体" w:hAnsi="宋体" w:eastAsia="宋体" w:cs="宋体"/>
          <w:color w:val="auto"/>
          <w:szCs w:val="28"/>
          <w:highlight w:val="none"/>
        </w:rPr>
        <w:t>项目概况</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10F6E488">
      <w:pPr>
        <w:pStyle w:val="48"/>
        <w:spacing w:after="0" w:line="360" w:lineRule="auto"/>
        <w:ind w:left="0" w:leftChars="0" w:firstLine="480"/>
        <w:outlineLvl w:val="1"/>
        <w:rPr>
          <w:rFonts w:hint="eastAsia" w:eastAsia="宋体" w:cs="宋体"/>
          <w:b w:val="0"/>
          <w:bCs w:val="0"/>
          <w:color w:val="000000"/>
          <w:highlight w:val="none"/>
          <w:lang w:eastAsia="zh-CN"/>
        </w:rPr>
      </w:pPr>
      <w:bookmarkStart w:id="37" w:name="_Toc55310052"/>
      <w:bookmarkStart w:id="38" w:name="_Toc55303739"/>
      <w:bookmarkStart w:id="39" w:name="_Toc55229784"/>
      <w:r>
        <w:rPr>
          <w:rFonts w:hint="eastAsia" w:eastAsia="宋体" w:cs="宋体"/>
          <w:b w:val="0"/>
          <w:bCs w:val="0"/>
          <w:color w:val="000000"/>
          <w:highlight w:val="none"/>
        </w:rPr>
        <w:t>项目名称：</w:t>
      </w:r>
      <w:r>
        <w:rPr>
          <w:rFonts w:hint="eastAsia" w:ascii="宋体" w:hAnsi="宋体" w:cs="宋体"/>
          <w:b w:val="0"/>
          <w:bCs w:val="0"/>
          <w:sz w:val="24"/>
          <w:szCs w:val="24"/>
          <w:highlight w:val="none"/>
          <w:u w:val="single"/>
        </w:rPr>
        <w:t>华宁县大龙山风电场项目监理服务</w:t>
      </w:r>
    </w:p>
    <w:p w14:paraId="71CEAFBD">
      <w:pPr>
        <w:pStyle w:val="48"/>
        <w:spacing w:after="0" w:line="360" w:lineRule="auto"/>
        <w:ind w:left="0" w:leftChars="0" w:firstLine="480"/>
        <w:outlineLvl w:val="1"/>
        <w:rPr>
          <w:rFonts w:hint="default" w:eastAsia="宋体" w:cs="宋体"/>
          <w:b w:val="0"/>
          <w:bCs w:val="0"/>
          <w:color w:val="000000"/>
          <w:highlight w:val="none"/>
          <w:u w:val="single"/>
        </w:rPr>
      </w:pPr>
      <w:r>
        <w:rPr>
          <w:rFonts w:hint="eastAsia" w:eastAsia="宋体" w:cs="宋体"/>
          <w:b w:val="0"/>
          <w:bCs w:val="0"/>
          <w:color w:val="000000"/>
          <w:highlight w:val="none"/>
          <w:lang w:val="en-US" w:eastAsia="zh-CN"/>
        </w:rPr>
        <w:t>项目基本情况：</w:t>
      </w:r>
      <w:r>
        <w:rPr>
          <w:rFonts w:hint="default" w:eastAsia="宋体" w:cs="宋体"/>
          <w:b w:val="0"/>
          <w:bCs w:val="0"/>
          <w:color w:val="000000"/>
          <w:highlight w:val="none"/>
          <w:u w:val="single"/>
        </w:rPr>
        <w:t>大龙山风电场位于玉溪市华宁县青龙镇东北部的山脊及山顶台地上，场址中心距离华宁县城直线距离约35km，场址内不良物理地质现象不发育，山体稳定性较好，具备布置风机的地形地质条件。项目拟安装9台单机容量6.25MW的风电机组，装机规模为56.25MW。本项目在场址中部配套建设一座升压站，设计电压等级为110kV。项目配置</w:t>
      </w:r>
      <w:r>
        <w:rPr>
          <w:rFonts w:hint="eastAsia" w:eastAsia="宋体" w:cs="宋体"/>
          <w:b w:val="0"/>
          <w:bCs w:val="0"/>
          <w:color w:val="000000"/>
          <w:highlight w:val="none"/>
          <w:u w:val="single"/>
          <w:lang w:eastAsia="zh-CN"/>
        </w:rPr>
        <w:t>9</w:t>
      </w:r>
      <w:r>
        <w:rPr>
          <w:rFonts w:hint="default" w:eastAsia="宋体" w:cs="宋体"/>
          <w:b w:val="0"/>
          <w:bCs w:val="0"/>
          <w:color w:val="000000"/>
          <w:highlight w:val="none"/>
          <w:u w:val="single"/>
        </w:rPr>
        <w:t>台箱变，将风电场的</w:t>
      </w:r>
      <w:r>
        <w:rPr>
          <w:rFonts w:hint="eastAsia" w:eastAsia="宋体" w:cs="宋体"/>
          <w:b w:val="0"/>
          <w:bCs w:val="0"/>
          <w:color w:val="000000"/>
          <w:highlight w:val="none"/>
          <w:u w:val="single"/>
          <w:lang w:eastAsia="zh-CN"/>
        </w:rPr>
        <w:t>9</w:t>
      </w:r>
      <w:r>
        <w:rPr>
          <w:rFonts w:hint="default" w:eastAsia="宋体" w:cs="宋体"/>
          <w:b w:val="0"/>
          <w:bCs w:val="0"/>
          <w:color w:val="000000"/>
          <w:highlight w:val="none"/>
          <w:u w:val="single"/>
        </w:rPr>
        <w:t>台风机箱变分为2组，并通过2回35kV线路连接至新建110kV升压站。</w:t>
      </w:r>
    </w:p>
    <w:p w14:paraId="2A13D70C">
      <w:pPr>
        <w:pStyle w:val="48"/>
        <w:spacing w:after="0" w:line="360" w:lineRule="auto"/>
        <w:ind w:left="0" w:leftChars="0" w:firstLine="480"/>
        <w:outlineLvl w:val="1"/>
        <w:rPr>
          <w:rFonts w:hint="eastAsia" w:eastAsia="宋体" w:cs="宋体"/>
          <w:b w:val="0"/>
          <w:bCs w:val="0"/>
          <w:color w:val="000000"/>
          <w:highlight w:val="none"/>
          <w:lang w:eastAsia="zh-CN"/>
        </w:rPr>
      </w:pPr>
      <w:r>
        <w:rPr>
          <w:rFonts w:hint="default" w:eastAsia="宋体" w:cs="宋体"/>
          <w:b w:val="0"/>
          <w:bCs w:val="0"/>
          <w:color w:val="000000"/>
          <w:highlight w:val="none"/>
          <w:u w:val="single"/>
        </w:rPr>
        <w:t>风电场主要由1座110kV升压站、1台主变、9台风机、9台箱式变压器、2回35kV集电线路、进场及场内道路组成。</w:t>
      </w:r>
    </w:p>
    <w:bookmarkEnd w:id="37"/>
    <w:bookmarkEnd w:id="38"/>
    <w:bookmarkEnd w:id="39"/>
    <w:p w14:paraId="1435ECA1">
      <w:pPr>
        <w:pStyle w:val="4"/>
        <w:outlineLvl w:val="1"/>
        <w:rPr>
          <w:rFonts w:ascii="宋体" w:hAnsi="宋体" w:eastAsia="宋体" w:cs="宋体"/>
          <w:color w:val="auto"/>
          <w:szCs w:val="28"/>
          <w:highlight w:val="none"/>
        </w:rPr>
      </w:pPr>
      <w:bookmarkStart w:id="40" w:name="_Toc1368014904"/>
      <w:bookmarkStart w:id="41" w:name="_Toc5137"/>
      <w:bookmarkStart w:id="42" w:name="_Toc2133600840"/>
      <w:bookmarkStart w:id="43" w:name="_Toc1214107525"/>
      <w:bookmarkStart w:id="44" w:name="_Toc607950350"/>
      <w:bookmarkStart w:id="45" w:name="_Toc1765682589"/>
      <w:r>
        <w:rPr>
          <w:rFonts w:hint="default" w:ascii="宋体" w:hAnsi="宋体" w:eastAsia="宋体" w:cs="宋体"/>
          <w:color w:val="auto"/>
          <w:szCs w:val="28"/>
          <w:highlight w:val="none"/>
        </w:rPr>
        <w:t>二、采购内容</w:t>
      </w:r>
      <w:bookmarkEnd w:id="40"/>
      <w:bookmarkEnd w:id="41"/>
      <w:bookmarkEnd w:id="42"/>
      <w:bookmarkEnd w:id="43"/>
      <w:bookmarkEnd w:id="44"/>
      <w:bookmarkEnd w:id="45"/>
    </w:p>
    <w:p w14:paraId="02755CBA">
      <w:pPr>
        <w:spacing w:line="360" w:lineRule="auto"/>
        <w:ind w:firstLine="480" w:firstLineChars="200"/>
        <w:outlineLvl w:val="1"/>
        <w:rPr>
          <w:rFonts w:hint="default" w:ascii="宋体" w:hAnsi="宋体" w:cs="宋体"/>
          <w:sz w:val="24"/>
          <w:szCs w:val="24"/>
          <w:highlight w:val="none"/>
          <w:u w:val="single"/>
        </w:rPr>
      </w:pPr>
      <w:r>
        <w:rPr>
          <w:rFonts w:hint="eastAsia" w:ascii="宋体" w:hAnsi="宋体" w:cs="宋体"/>
          <w:sz w:val="24"/>
          <w:szCs w:val="24"/>
          <w:highlight w:val="none"/>
        </w:rPr>
        <w:t>2.1 采购范围：</w:t>
      </w:r>
      <w:r>
        <w:rPr>
          <w:rFonts w:hint="eastAsia" w:ascii="宋体" w:hAnsi="宋体" w:cs="宋体"/>
          <w:sz w:val="24"/>
          <w:szCs w:val="24"/>
          <w:highlight w:val="none"/>
          <w:lang w:val="en-US" w:eastAsia="zh-CN"/>
        </w:rPr>
        <w:t>大龙山</w:t>
      </w:r>
      <w:r>
        <w:rPr>
          <w:rFonts w:hint="eastAsia" w:ascii="宋体" w:hAnsi="宋体" w:cs="宋体"/>
          <w:sz w:val="24"/>
          <w:szCs w:val="24"/>
          <w:highlight w:val="none"/>
        </w:rPr>
        <w:t>风电场建设项目建设期全过程的监理服务工作。工作内容：进度、质量、安全、合同、安全、水环保、投资控制和信息管理及协调参建各方关系；监理服务范围包括但不限于以上工作范围，还包括涉及</w:t>
      </w:r>
      <w:r>
        <w:rPr>
          <w:rFonts w:hint="eastAsia" w:ascii="宋体" w:hAnsi="宋体" w:cs="宋体"/>
          <w:sz w:val="24"/>
          <w:szCs w:val="24"/>
          <w:highlight w:val="none"/>
          <w:lang w:val="en-US" w:eastAsia="zh-CN"/>
        </w:rPr>
        <w:t>大龙山</w:t>
      </w:r>
      <w:r>
        <w:rPr>
          <w:rFonts w:hint="eastAsia" w:ascii="宋体" w:hAnsi="宋体" w:cs="宋体"/>
          <w:sz w:val="24"/>
          <w:szCs w:val="24"/>
          <w:highlight w:val="none"/>
        </w:rPr>
        <w:t>风电场建设工程发包方临时提出的工作安排</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如宁州葫芦地光伏电站建设构网型配储项目监理工作</w:t>
      </w:r>
      <w:r>
        <w:rPr>
          <w:rFonts w:hint="eastAsia" w:ascii="宋体" w:hAnsi="宋体" w:cs="宋体"/>
          <w:sz w:val="24"/>
          <w:szCs w:val="24"/>
          <w:highlight w:val="none"/>
        </w:rPr>
        <w:t>。</w:t>
      </w:r>
      <w:r>
        <w:rPr>
          <w:rFonts w:hint="eastAsia" w:ascii="宋体" w:hAnsi="宋体" w:cs="宋体"/>
          <w:sz w:val="24"/>
          <w:szCs w:val="24"/>
          <w:highlight w:val="none"/>
          <w:lang w:val="en-US" w:eastAsia="zh-CN"/>
        </w:rPr>
        <w:t>具体监理范围</w:t>
      </w:r>
      <w:r>
        <w:rPr>
          <w:rFonts w:hint="eastAsia" w:ascii="宋体" w:hAnsi="宋体" w:cs="宋体"/>
          <w:sz w:val="24"/>
          <w:szCs w:val="24"/>
          <w:highlight w:val="none"/>
          <w:u w:val="none"/>
        </w:rPr>
        <w:t>包括但不限于以下内容：</w:t>
      </w:r>
      <w:r>
        <w:rPr>
          <w:rFonts w:hint="default" w:ascii="宋体" w:hAnsi="宋体" w:cs="宋体"/>
          <w:sz w:val="24"/>
          <w:szCs w:val="24"/>
          <w:highlight w:val="none"/>
          <w:u w:val="none"/>
        </w:rPr>
        <w:t xml:space="preserve"> </w:t>
      </w:r>
      <w:r>
        <w:rPr>
          <w:rFonts w:hint="eastAsia" w:ascii="宋体" w:hAnsi="宋体" w:cs="宋体"/>
          <w:sz w:val="24"/>
          <w:szCs w:val="24"/>
          <w:highlight w:val="none"/>
          <w:u w:val="single"/>
          <w:lang w:eastAsia="zh-CN"/>
        </w:rPr>
        <w:t>（</w:t>
      </w:r>
      <w:r>
        <w:rPr>
          <w:rFonts w:hint="default" w:ascii="宋体" w:hAnsi="宋体" w:cs="宋体"/>
          <w:sz w:val="24"/>
          <w:szCs w:val="24"/>
          <w:highlight w:val="none"/>
          <w:u w:val="single"/>
        </w:rPr>
        <w:t>1</w:t>
      </w:r>
      <w:r>
        <w:rPr>
          <w:rFonts w:hint="eastAsia" w:ascii="宋体" w:hAnsi="宋体" w:cs="宋体"/>
          <w:sz w:val="24"/>
          <w:szCs w:val="24"/>
          <w:highlight w:val="none"/>
          <w:u w:val="single"/>
          <w:lang w:eastAsia="zh-CN"/>
        </w:rPr>
        <w:t>）</w:t>
      </w:r>
      <w:r>
        <w:rPr>
          <w:rFonts w:hint="default" w:ascii="宋体" w:hAnsi="宋体" w:cs="宋体"/>
          <w:sz w:val="24"/>
          <w:szCs w:val="24"/>
          <w:highlight w:val="none"/>
          <w:u w:val="single"/>
        </w:rPr>
        <w:t>.参加由</w:t>
      </w:r>
      <w:r>
        <w:rPr>
          <w:rFonts w:hint="eastAsia" w:ascii="宋体" w:hAnsi="宋体" w:cs="宋体"/>
          <w:sz w:val="24"/>
          <w:szCs w:val="24"/>
          <w:highlight w:val="none"/>
          <w:u w:val="single"/>
          <w:lang w:eastAsia="zh-CN"/>
        </w:rPr>
        <w:t>采购人</w:t>
      </w:r>
      <w:r>
        <w:rPr>
          <w:rFonts w:hint="default" w:ascii="宋体" w:hAnsi="宋体" w:cs="宋体"/>
          <w:sz w:val="24"/>
          <w:szCs w:val="24"/>
          <w:highlight w:val="none"/>
          <w:u w:val="single"/>
        </w:rPr>
        <w:t>主持的图纸会审和设计交底会议</w:t>
      </w:r>
      <w:r>
        <w:rPr>
          <w:rFonts w:hint="eastAsia" w:ascii="宋体" w:hAnsi="宋体" w:cs="宋体"/>
          <w:sz w:val="24"/>
          <w:szCs w:val="24"/>
          <w:highlight w:val="none"/>
          <w:u w:val="single"/>
          <w:lang w:eastAsia="zh-CN"/>
        </w:rPr>
        <w:t>。（</w:t>
      </w:r>
      <w:r>
        <w:rPr>
          <w:rFonts w:hint="default" w:ascii="宋体" w:hAnsi="宋体" w:cs="宋体"/>
          <w:sz w:val="24"/>
          <w:szCs w:val="24"/>
          <w:highlight w:val="none"/>
          <w:u w:val="single"/>
        </w:rPr>
        <w:t>2</w:t>
      </w:r>
      <w:r>
        <w:rPr>
          <w:rFonts w:hint="eastAsia" w:ascii="宋体" w:hAnsi="宋体" w:cs="宋体"/>
          <w:sz w:val="24"/>
          <w:szCs w:val="24"/>
          <w:highlight w:val="none"/>
          <w:u w:val="single"/>
          <w:lang w:eastAsia="zh-CN"/>
        </w:rPr>
        <w:t>）</w:t>
      </w:r>
      <w:r>
        <w:rPr>
          <w:rFonts w:hint="default" w:ascii="宋体" w:hAnsi="宋体" w:cs="宋体"/>
          <w:sz w:val="24"/>
          <w:szCs w:val="24"/>
          <w:highlight w:val="none"/>
          <w:u w:val="single"/>
        </w:rPr>
        <w:t>.风电场项目道路（不包含业主已自主招标实施的场内道路工程）、风机及箱变基础、吊装平台、风电机组、箱变、集电线路（架空线路/直埋电缆）、110kV升压站土建及设备采购安装、机电及电气设备的安装及调试等项目施工全过程监理；其他与主体工程相关的水土保持、环境保护、植被恢复、林地土地复垦、消防等辅助工程的施工监理。（3）.工程验收（含水保、环保、消防、安全设施、职业卫生、档案等各专项验收和竣工验收）、移交以及质保期内的服务，除以上之外的各专项验收监理单位</w:t>
      </w:r>
      <w:r>
        <w:rPr>
          <w:rFonts w:hint="eastAsia" w:ascii="宋体" w:hAnsi="宋体" w:cs="宋体"/>
          <w:sz w:val="24"/>
          <w:szCs w:val="24"/>
          <w:highlight w:val="none"/>
          <w:u w:val="single"/>
          <w:lang w:val="en-US" w:eastAsia="zh-CN"/>
        </w:rPr>
        <w:t>配合进行。（4）.本工程达标投产、工程创优全过程监理工作的策划和服务。（5）.本工程环境监理、水土保持监理均在本标范围。</w:t>
      </w:r>
      <w:r>
        <w:rPr>
          <w:rFonts w:hint="default" w:ascii="宋体" w:hAnsi="宋体" w:cs="宋体"/>
          <w:sz w:val="24"/>
          <w:szCs w:val="24"/>
          <w:highlight w:val="none"/>
          <w:u w:val="single"/>
        </w:rPr>
        <w:t xml:space="preserve"> 注：具体的招标范围招标人在项目实施过程中可根据项目具体情况进行调整，监理人须无条件予以配合且不会据此提出任何索赔要求。</w:t>
      </w:r>
    </w:p>
    <w:p w14:paraId="6FABBF90">
      <w:pPr>
        <w:spacing w:line="360" w:lineRule="auto"/>
        <w:ind w:firstLine="480" w:firstLineChars="200"/>
        <w:outlineLvl w:val="1"/>
        <w:rPr>
          <w:rFonts w:hint="eastAsia" w:ascii="宋体" w:hAnsi="宋体" w:eastAsia="宋体" w:cs="宋体"/>
          <w:b w:val="0"/>
          <w:kern w:val="2"/>
          <w:sz w:val="24"/>
          <w:szCs w:val="24"/>
          <w:highlight w:val="none"/>
          <w:u w:val="single"/>
          <w:lang w:val="en-US" w:eastAsia="zh-CN" w:bidi="ar-SA"/>
        </w:rPr>
      </w:pPr>
      <w:r>
        <w:rPr>
          <w:rFonts w:hint="eastAsia" w:ascii="宋体" w:hAnsi="宋体" w:cs="宋体"/>
          <w:sz w:val="24"/>
          <w:szCs w:val="24"/>
          <w:highlight w:val="none"/>
          <w:u w:val="none"/>
          <w:lang w:val="en-US" w:eastAsia="zh-CN"/>
        </w:rPr>
        <w:t>2.2质量标准及要求：本项目工程监理执行国家、地方及行业现行的有关规范、规程和技术标准。监理服务质量满足《建设工程监理规范》（GB50319—2013）、《风力发电工程建设施工监理规范》（NB/T31084-2016），符合相关行业工程质量验收标准。工程质量达到一次性验收合格，并且工程合格率100%。</w:t>
      </w:r>
    </w:p>
    <w:p w14:paraId="6C5D98BD">
      <w:pPr>
        <w:spacing w:line="360" w:lineRule="auto"/>
        <w:ind w:firstLine="480" w:firstLineChars="200"/>
        <w:outlineLvl w:val="1"/>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 xml:space="preserve"> </w:t>
      </w:r>
      <w:r>
        <w:rPr>
          <w:rFonts w:hint="eastAsia" w:ascii="宋体" w:hAnsi="宋体" w:cs="宋体"/>
          <w:sz w:val="24"/>
          <w:szCs w:val="24"/>
          <w:highlight w:val="none"/>
          <w:lang w:val="en-US" w:eastAsia="zh-CN"/>
        </w:rPr>
        <w:t>服务期限</w:t>
      </w:r>
      <w:r>
        <w:rPr>
          <w:rFonts w:hint="eastAsia" w:ascii="宋体" w:hAnsi="宋体" w:eastAsia="宋体" w:cs="宋体"/>
          <w:sz w:val="24"/>
          <w:szCs w:val="24"/>
          <w:highlight w:val="none"/>
        </w:rPr>
        <w:t>要求：</w:t>
      </w:r>
      <w:r>
        <w:rPr>
          <w:rFonts w:hint="eastAsia" w:ascii="宋体" w:hAnsi="宋体" w:cs="宋体"/>
          <w:sz w:val="24"/>
          <w:szCs w:val="24"/>
          <w:highlight w:val="none"/>
          <w:u w:val="single"/>
          <w:lang w:eastAsia="zh-CN"/>
        </w:rPr>
        <w:t>招标人与中标人签订的合同生效后，招标人发布进场通知之日起至本工程竣工、全部</w:t>
      </w:r>
      <w:r>
        <w:rPr>
          <w:rFonts w:hint="eastAsia" w:ascii="宋体" w:hAnsi="宋体" w:cs="宋体"/>
          <w:sz w:val="24"/>
          <w:szCs w:val="24"/>
          <w:highlight w:val="none"/>
          <w:u w:val="single"/>
          <w:lang w:val="en-US" w:eastAsia="zh-CN"/>
        </w:rPr>
        <w:t>竣</w:t>
      </w:r>
      <w:r>
        <w:rPr>
          <w:rFonts w:hint="eastAsia" w:ascii="宋体" w:hAnsi="宋体" w:cs="宋体"/>
          <w:sz w:val="24"/>
          <w:szCs w:val="24"/>
          <w:highlight w:val="none"/>
          <w:u w:val="single"/>
          <w:lang w:eastAsia="zh-CN"/>
        </w:rPr>
        <w:t>工资料归档止，暂定12个月;</w:t>
      </w:r>
      <w:r>
        <w:rPr>
          <w:rFonts w:hint="eastAsia" w:ascii="宋体" w:hAnsi="宋体" w:cs="宋体"/>
          <w:sz w:val="24"/>
          <w:szCs w:val="24"/>
          <w:highlight w:val="none"/>
          <w:u w:val="single"/>
          <w:lang w:val="en-US" w:eastAsia="zh-CN"/>
        </w:rPr>
        <w:t>由供应商在投标阶段结合自身实际和类似项目进行综合研判，风险包干。</w:t>
      </w:r>
      <w:r>
        <w:rPr>
          <w:rFonts w:hint="eastAsia" w:ascii="宋体" w:hAnsi="宋体" w:cs="宋体"/>
          <w:sz w:val="24"/>
          <w:szCs w:val="24"/>
          <w:highlight w:val="none"/>
          <w:u w:val="single"/>
          <w:lang w:eastAsia="zh-CN"/>
        </w:rPr>
        <w:t>缺陷责任期监理服务自工程通过竣工验收之日起计算2年</w:t>
      </w:r>
      <w:r>
        <w:rPr>
          <w:rFonts w:hint="eastAsia" w:ascii="宋体" w:hAnsi="宋体" w:eastAsia="宋体" w:cs="宋体"/>
          <w:sz w:val="24"/>
          <w:szCs w:val="24"/>
          <w:highlight w:val="none"/>
        </w:rPr>
        <w:t>。</w:t>
      </w:r>
    </w:p>
    <w:p w14:paraId="32AFC3C0">
      <w:pPr>
        <w:pStyle w:val="4"/>
        <w:outlineLvl w:val="1"/>
        <w:rPr>
          <w:rFonts w:ascii="宋体" w:hAnsi="宋体" w:eastAsia="宋体" w:cs="宋体"/>
          <w:color w:val="auto"/>
          <w:szCs w:val="28"/>
          <w:highlight w:val="none"/>
        </w:rPr>
      </w:pPr>
      <w:bookmarkStart w:id="46" w:name="_Toc1036117842"/>
      <w:bookmarkStart w:id="47" w:name="_Toc29613"/>
      <w:bookmarkStart w:id="48" w:name="_Toc939220092"/>
      <w:bookmarkStart w:id="49" w:name="_Toc1781906741"/>
      <w:bookmarkStart w:id="50" w:name="_Toc214860362"/>
      <w:bookmarkStart w:id="51" w:name="_Toc1954472271"/>
      <w:r>
        <w:rPr>
          <w:rFonts w:hint="default" w:ascii="宋体" w:hAnsi="宋体" w:eastAsia="宋体" w:cs="宋体"/>
          <w:color w:val="auto"/>
          <w:szCs w:val="28"/>
          <w:highlight w:val="none"/>
        </w:rPr>
        <w:t>三、供应商资格要求</w:t>
      </w:r>
      <w:bookmarkEnd w:id="46"/>
      <w:bookmarkEnd w:id="47"/>
      <w:bookmarkEnd w:id="48"/>
      <w:bookmarkEnd w:id="49"/>
      <w:bookmarkEnd w:id="50"/>
      <w:bookmarkEnd w:id="51"/>
    </w:p>
    <w:p w14:paraId="4F308F7E">
      <w:pPr>
        <w:spacing w:line="360" w:lineRule="auto"/>
        <w:ind w:firstLine="480" w:firstLineChars="200"/>
        <w:outlineLvl w:val="1"/>
        <w:rPr>
          <w:rFonts w:hint="eastAsia" w:ascii="宋体" w:hAnsi="宋体" w:cs="宋体"/>
          <w:sz w:val="24"/>
          <w:szCs w:val="24"/>
          <w:highlight w:val="none"/>
        </w:rPr>
      </w:pPr>
      <w:r>
        <w:rPr>
          <w:rFonts w:hint="eastAsia" w:ascii="宋体" w:hAnsi="宋体" w:cs="宋体"/>
          <w:sz w:val="24"/>
          <w:szCs w:val="24"/>
          <w:highlight w:val="none"/>
        </w:rPr>
        <w:t xml:space="preserve">3.1 </w:t>
      </w:r>
      <w:r>
        <w:rPr>
          <w:rFonts w:hint="eastAsia" w:ascii="宋体" w:hAnsi="宋体" w:cs="宋体"/>
          <w:sz w:val="24"/>
          <w:szCs w:val="24"/>
          <w:highlight w:val="none"/>
          <w:lang w:val="en-US" w:eastAsia="zh-CN"/>
        </w:rPr>
        <w:t>通用资格条件</w:t>
      </w:r>
    </w:p>
    <w:p w14:paraId="3E5EC48E">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sz w:val="24"/>
          <w:szCs w:val="24"/>
          <w:highlight w:val="none"/>
          <w:lang w:val="en-US" w:eastAsia="zh-CN"/>
        </w:rPr>
        <w:t>3.1.1营业执照：</w:t>
      </w:r>
      <w:r>
        <w:rPr>
          <w:rFonts w:hint="eastAsia" w:ascii="宋体" w:hAnsi="宋体" w:cs="宋体"/>
          <w:color w:val="auto"/>
          <w:sz w:val="24"/>
          <w:szCs w:val="24"/>
          <w:highlight w:val="none"/>
        </w:rPr>
        <w:t>供应商为中华人民共和国境内合法注册的独立企业法人或其他组织，具有独立承担民事责任能力，具有独立签订立合同的权利，营业执照应在有效期内。</w:t>
      </w:r>
    </w:p>
    <w:p w14:paraId="3FD521F4">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 xml:space="preserve">1.2 </w:t>
      </w:r>
      <w:r>
        <w:rPr>
          <w:rFonts w:hint="eastAsia" w:ascii="宋体" w:hAnsi="宋体" w:cs="宋体"/>
          <w:sz w:val="24"/>
          <w:szCs w:val="24"/>
          <w:highlight w:val="none"/>
        </w:rPr>
        <w:t>信誉要求：</w:t>
      </w:r>
    </w:p>
    <w:p w14:paraId="2B024FFF">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①供应商应当信誉良好，未被列入“信用中国”网站（www.creditchina.gov.cn）严重失信主体</w:t>
      </w:r>
      <w:r>
        <w:rPr>
          <w:rFonts w:hint="eastAsia" w:ascii="宋体" w:hAnsi="宋体" w:cs="宋体"/>
          <w:sz w:val="24"/>
          <w:szCs w:val="24"/>
          <w:highlight w:val="none"/>
          <w:lang w:eastAsia="zh-CN"/>
        </w:rPr>
        <w:t>、</w:t>
      </w:r>
      <w:r>
        <w:rPr>
          <w:rFonts w:hint="eastAsia" w:ascii="宋体" w:hAnsi="宋体" w:cs="宋体"/>
          <w:sz w:val="24"/>
          <w:szCs w:val="24"/>
          <w:highlight w:val="none"/>
        </w:rPr>
        <w:t>重大税收违法失信主体</w:t>
      </w:r>
      <w:r>
        <w:rPr>
          <w:rFonts w:hint="eastAsia" w:ascii="宋体" w:hAnsi="宋体" w:cs="宋体"/>
          <w:sz w:val="24"/>
          <w:szCs w:val="24"/>
          <w:highlight w:val="none"/>
          <w:lang w:eastAsia="zh-CN"/>
        </w:rPr>
        <w:t>、安全生产严重失信主体</w:t>
      </w:r>
      <w:r>
        <w:rPr>
          <w:rFonts w:hint="eastAsia" w:ascii="宋体" w:hAnsi="宋体" w:cs="宋体"/>
          <w:sz w:val="24"/>
          <w:szCs w:val="24"/>
          <w:highlight w:val="none"/>
        </w:rPr>
        <w:t>记录名单；</w:t>
      </w:r>
    </w:p>
    <w:p w14:paraId="4343CC4F">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②未被列入“中国执行信息公开网”网站（http://zxgk.court.gov.cn）失信被执行人；</w:t>
      </w:r>
    </w:p>
    <w:p w14:paraId="18E1F4B6">
      <w:pPr>
        <w:spacing w:line="360" w:lineRule="auto"/>
        <w:ind w:firstLine="480" w:firstLineChars="200"/>
        <w:outlineLvl w:val="1"/>
        <w:rPr>
          <w:rFonts w:hint="eastAsia" w:ascii="宋体" w:hAnsi="宋体" w:cs="宋体"/>
          <w:sz w:val="24"/>
          <w:szCs w:val="24"/>
          <w:highlight w:val="none"/>
          <w:u w:val="single"/>
        </w:rPr>
      </w:pPr>
      <w:r>
        <w:rPr>
          <w:rFonts w:hint="eastAsia" w:ascii="宋体" w:hAnsi="宋体" w:cs="宋体"/>
          <w:sz w:val="24"/>
          <w:szCs w:val="24"/>
          <w:highlight w:val="none"/>
          <w:u w:val="single"/>
        </w:rPr>
        <w:t>提供上述相关网页查询记录截图。</w:t>
      </w:r>
    </w:p>
    <w:p w14:paraId="03B2BC4D">
      <w:pPr>
        <w:spacing w:line="360" w:lineRule="auto"/>
        <w:ind w:firstLine="480" w:firstLineChars="200"/>
        <w:outlineLvl w:val="1"/>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3.2专用资格条件</w:t>
      </w:r>
    </w:p>
    <w:p w14:paraId="25DC5EE0">
      <w:pPr>
        <w:pStyle w:val="23"/>
        <w:pageBreakBefore w:val="0"/>
        <w:tabs>
          <w:tab w:val="left" w:pos="4716"/>
          <w:tab w:val="left" w:pos="6012"/>
          <w:tab w:val="left" w:pos="7169"/>
          <w:tab w:val="left" w:pos="8535"/>
        </w:tabs>
        <w:kinsoku/>
        <w:wordWrap/>
        <w:overflowPunct/>
        <w:bidi w:val="0"/>
        <w:spacing w:line="360" w:lineRule="auto"/>
        <w:ind w:firstLine="480" w:firstLineChars="200"/>
        <w:jc w:val="both"/>
        <w:textAlignment w:val="auto"/>
        <w:outlineLvl w:val="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（1）资质要求：</w:t>
      </w: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须须具备工程监理综合资质或电力工程监理乙级及以上资质</w:t>
      </w:r>
      <w:r>
        <w:rPr>
          <w:rFonts w:hint="eastAsia" w:ascii="宋体" w:hAnsi="宋体" w:eastAsia="宋体" w:cs="宋体"/>
          <w:color w:val="auto"/>
          <w:spacing w:val="0"/>
          <w:sz w:val="24"/>
          <w:szCs w:val="24"/>
          <w:highlight w:val="none"/>
          <w:lang w:eastAsia="zh-CN"/>
        </w:rPr>
        <w:t>。</w:t>
      </w:r>
    </w:p>
    <w:p w14:paraId="206B96C8">
      <w:pPr>
        <w:spacing w:line="360" w:lineRule="auto"/>
        <w:ind w:firstLine="480" w:firstLineChars="200"/>
        <w:outlineLvl w:val="1"/>
        <w:rPr>
          <w:rFonts w:hint="eastAsia" w:ascii="宋体" w:hAnsi="宋体"/>
          <w:color w:val="auto"/>
          <w:sz w:val="24"/>
          <w:szCs w:val="22"/>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2）</w:t>
      </w:r>
      <w:r>
        <w:rPr>
          <w:rFonts w:hint="eastAsia" w:ascii="宋体" w:hAnsi="宋体" w:cs="宋体"/>
          <w:sz w:val="24"/>
          <w:szCs w:val="24"/>
          <w:highlight w:val="none"/>
        </w:rPr>
        <w:t>财务要求：</w:t>
      </w:r>
      <w:r>
        <w:rPr>
          <w:rFonts w:hint="eastAsia" w:ascii="宋体" w:hAnsi="宋体" w:cs="宋体"/>
          <w:sz w:val="24"/>
          <w:szCs w:val="24"/>
          <w:highlight w:val="none"/>
          <w:lang w:val="en-US" w:eastAsia="zh-CN"/>
        </w:rPr>
        <w:t>供应商</w:t>
      </w:r>
      <w:r>
        <w:rPr>
          <w:rFonts w:hint="eastAsia" w:ascii="宋体" w:hAnsi="宋体" w:cs="宋体"/>
          <w:sz w:val="24"/>
          <w:szCs w:val="24"/>
          <w:highlight w:val="none"/>
        </w:rPr>
        <w:t>财务状况良好，具有顺利完成本招标项目的服务能力，提供近三年（202</w:t>
      </w:r>
      <w:r>
        <w:rPr>
          <w:rFonts w:hint="eastAsia" w:ascii="宋体" w:hAnsi="宋体" w:cs="宋体"/>
          <w:sz w:val="24"/>
          <w:szCs w:val="24"/>
          <w:highlight w:val="none"/>
          <w:lang w:val="en-US" w:eastAsia="zh-CN"/>
        </w:rPr>
        <w:t>3</w:t>
      </w:r>
      <w:r>
        <w:rPr>
          <w:rFonts w:hint="eastAsia" w:ascii="宋体" w:hAnsi="宋体" w:cs="宋体"/>
          <w:sz w:val="24"/>
          <w:szCs w:val="24"/>
          <w:highlight w:val="none"/>
        </w:rPr>
        <w:t>年-202</w:t>
      </w:r>
      <w:r>
        <w:rPr>
          <w:rFonts w:hint="eastAsia" w:ascii="宋体" w:hAnsi="宋体" w:cs="宋体"/>
          <w:sz w:val="24"/>
          <w:szCs w:val="24"/>
          <w:highlight w:val="none"/>
          <w:lang w:val="en-US" w:eastAsia="zh-CN"/>
        </w:rPr>
        <w:t>5</w:t>
      </w:r>
      <w:r>
        <w:rPr>
          <w:rFonts w:hint="eastAsia" w:ascii="宋体" w:hAnsi="宋体" w:cs="宋体"/>
          <w:sz w:val="24"/>
          <w:szCs w:val="24"/>
          <w:highlight w:val="none"/>
        </w:rPr>
        <w:t>年）经会计师事务所或其他审计机构审计的财务报表（含资产负债表、利润表或损益表、现金流量表）及审计报告；近三年内新成立企业（以营业执照成立日期为准）提供成立年度至今经会计师事务所或其他审计机构审计的财务报表及审计报告；本年度内新成立企业（以营业执照成立日期为准）提供公司财务情况说明。</w:t>
      </w:r>
    </w:p>
    <w:p w14:paraId="2E9A0EE7">
      <w:pPr>
        <w:spacing w:line="360" w:lineRule="auto"/>
        <w:ind w:firstLine="480" w:firstLineChars="200"/>
        <w:outlineLvl w:val="1"/>
        <w:rPr>
          <w:rFonts w:hint="default" w:ascii="宋体" w:hAnsi="宋体" w:eastAsia="宋体" w:cs="宋体"/>
          <w:sz w:val="24"/>
          <w:szCs w:val="24"/>
          <w:highlight w:val="none"/>
          <w:u w:val="none"/>
          <w:lang w:eastAsia="zh-CN"/>
        </w:rPr>
      </w:pPr>
      <w:r>
        <w:rPr>
          <w:rFonts w:hint="default" w:ascii="宋体" w:hAnsi="宋体" w:eastAsia="宋体" w:cs="宋体"/>
          <w:sz w:val="24"/>
          <w:szCs w:val="24"/>
          <w:highlight w:val="none"/>
          <w:u w:val="none"/>
          <w:lang w:eastAsia="zh-CN"/>
        </w:rPr>
        <w:t>（3）总监理工程师：拟派总监理工程师应具有住建部颁发的全国注册监理工程师执业证书，并在本单位注册（提供劳动合同或投标截止时间前近六个月社保等证明材料以及四库一平台执业注册信息查询记录）。</w:t>
      </w:r>
    </w:p>
    <w:p w14:paraId="69A175CB">
      <w:pPr>
        <w:spacing w:line="360" w:lineRule="auto"/>
        <w:ind w:firstLine="480" w:firstLineChars="200"/>
        <w:outlineLvl w:val="1"/>
        <w:rPr>
          <w:rFonts w:hint="default" w:ascii="宋体" w:hAnsi="宋体" w:eastAsia="宋体" w:cs="宋体"/>
          <w:sz w:val="24"/>
          <w:szCs w:val="24"/>
          <w:highlight w:val="none"/>
          <w:u w:val="none"/>
          <w:lang w:eastAsia="zh-CN"/>
        </w:rPr>
      </w:pPr>
      <w:r>
        <w:rPr>
          <w:rFonts w:hint="default" w:ascii="宋体" w:hAnsi="宋体" w:eastAsia="宋体" w:cs="宋体"/>
          <w:sz w:val="24"/>
          <w:szCs w:val="24"/>
          <w:highlight w:val="none"/>
          <w:u w:val="none"/>
          <w:lang w:eastAsia="zh-CN"/>
        </w:rPr>
        <w:t>（4）安全监理工程师：拟派安全监理工程师须具有中级注册安全工程师（建筑施工安全）资格证书。并在本单位注册（提供劳动合同或投标截止时间前近六个月社保等证明材料以及四库一平台执业注册信息查询记录）。</w:t>
      </w:r>
    </w:p>
    <w:p w14:paraId="6C309957">
      <w:pPr>
        <w:keepNext w:val="0"/>
        <w:keepLines w:val="0"/>
        <w:pageBreakBefore w:val="0"/>
        <w:widowControl/>
        <w:kinsoku/>
        <w:wordWrap/>
        <w:overflowPunct w:val="0"/>
        <w:topLinePunct w:val="0"/>
        <w:autoSpaceDE/>
        <w:autoSpaceDN/>
        <w:bidi w:val="0"/>
        <w:adjustRightInd/>
        <w:snapToGrid/>
        <w:spacing w:before="0" w:line="360" w:lineRule="auto"/>
        <w:ind w:firstLine="480" w:firstLineChars="200"/>
        <w:textAlignment w:val="baseline"/>
        <w:outlineLvl w:val="1"/>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rPr>
        <w:t>3.</w:t>
      </w:r>
      <w:r>
        <w:rPr>
          <w:rFonts w:hint="eastAsia" w:ascii="宋体" w:hAnsi="宋体" w:cs="宋体"/>
          <w:b w:val="0"/>
          <w:bCs w:val="0"/>
          <w:sz w:val="24"/>
          <w:szCs w:val="24"/>
          <w:highlight w:val="none"/>
          <w:lang w:val="en-US" w:eastAsia="zh-CN"/>
        </w:rPr>
        <w:t>3</w:t>
      </w:r>
      <w:r>
        <w:rPr>
          <w:rFonts w:hint="eastAsia" w:ascii="宋体" w:hAnsi="宋体" w:eastAsia="宋体" w:cs="宋体"/>
          <w:b w:val="0"/>
          <w:bCs w:val="0"/>
          <w:sz w:val="24"/>
          <w:szCs w:val="24"/>
          <w:highlight w:val="none"/>
        </w:rPr>
        <w:t>业绩要求：</w:t>
      </w:r>
      <w:r>
        <w:rPr>
          <w:rFonts w:hint="eastAsia" w:ascii="宋体" w:hAnsi="宋体" w:eastAsia="宋体" w:cs="宋体"/>
          <w:b w:val="0"/>
          <w:bCs w:val="0"/>
          <w:color w:val="auto"/>
          <w:kern w:val="2"/>
          <w:sz w:val="24"/>
          <w:szCs w:val="24"/>
          <w:highlight w:val="none"/>
          <w:u w:val="single"/>
          <w:lang w:val="en-US" w:eastAsia="zh-CN" w:bidi="ar-SA"/>
        </w:rPr>
        <w:t xml:space="preserve"> 202</w:t>
      </w:r>
      <w:r>
        <w:rPr>
          <w:rFonts w:hint="eastAsia" w:ascii="宋体" w:hAnsi="宋体" w:cs="宋体"/>
          <w:b w:val="0"/>
          <w:bCs w:val="0"/>
          <w:color w:val="auto"/>
          <w:kern w:val="2"/>
          <w:sz w:val="24"/>
          <w:szCs w:val="24"/>
          <w:highlight w:val="none"/>
          <w:u w:val="single"/>
          <w:lang w:val="en-US" w:eastAsia="zh-CN" w:bidi="ar-SA"/>
        </w:rPr>
        <w:t>3</w:t>
      </w:r>
      <w:r>
        <w:rPr>
          <w:rFonts w:hint="eastAsia" w:ascii="宋体" w:hAnsi="宋体" w:eastAsia="宋体" w:cs="宋体"/>
          <w:b w:val="0"/>
          <w:bCs w:val="0"/>
          <w:color w:val="auto"/>
          <w:kern w:val="2"/>
          <w:sz w:val="24"/>
          <w:szCs w:val="24"/>
          <w:highlight w:val="none"/>
          <w:u w:val="single"/>
          <w:lang w:val="en-US" w:eastAsia="zh-CN" w:bidi="ar-SA"/>
        </w:rPr>
        <w:t xml:space="preserve"> </w:t>
      </w:r>
      <w:r>
        <w:rPr>
          <w:rFonts w:hint="eastAsia" w:ascii="宋体" w:hAnsi="宋体" w:eastAsia="宋体" w:cs="宋体"/>
          <w:b w:val="0"/>
          <w:bCs w:val="0"/>
          <w:color w:val="auto"/>
          <w:kern w:val="2"/>
          <w:sz w:val="24"/>
          <w:szCs w:val="24"/>
          <w:highlight w:val="none"/>
          <w:lang w:val="en-US" w:eastAsia="zh-CN" w:bidi="ar-SA"/>
        </w:rPr>
        <w:t>年</w:t>
      </w:r>
      <w:r>
        <w:rPr>
          <w:rFonts w:hint="eastAsia" w:ascii="宋体" w:hAnsi="宋体" w:eastAsia="宋体" w:cs="宋体"/>
          <w:b w:val="0"/>
          <w:bCs w:val="0"/>
          <w:color w:val="auto"/>
          <w:kern w:val="2"/>
          <w:sz w:val="24"/>
          <w:szCs w:val="24"/>
          <w:highlight w:val="none"/>
          <w:u w:val="single"/>
          <w:lang w:val="en-US" w:eastAsia="zh-CN" w:bidi="ar-SA"/>
        </w:rPr>
        <w:t xml:space="preserve"> 1 </w:t>
      </w:r>
      <w:r>
        <w:rPr>
          <w:rFonts w:hint="eastAsia" w:ascii="宋体" w:hAnsi="宋体" w:eastAsia="宋体" w:cs="宋体"/>
          <w:b w:val="0"/>
          <w:bCs w:val="0"/>
          <w:color w:val="auto"/>
          <w:kern w:val="2"/>
          <w:sz w:val="24"/>
          <w:szCs w:val="24"/>
          <w:highlight w:val="none"/>
          <w:lang w:val="en-US" w:eastAsia="zh-CN" w:bidi="ar-SA"/>
        </w:rPr>
        <w:t>月</w:t>
      </w:r>
      <w:r>
        <w:rPr>
          <w:rFonts w:hint="eastAsia" w:ascii="宋体" w:hAnsi="宋体" w:eastAsia="宋体" w:cs="宋体"/>
          <w:b w:val="0"/>
          <w:bCs w:val="0"/>
          <w:color w:val="auto"/>
          <w:kern w:val="2"/>
          <w:sz w:val="24"/>
          <w:szCs w:val="24"/>
          <w:highlight w:val="none"/>
          <w:u w:val="single"/>
          <w:lang w:val="en-US" w:eastAsia="zh-CN" w:bidi="ar-SA"/>
        </w:rPr>
        <w:t xml:space="preserve"> 1 </w:t>
      </w:r>
      <w:r>
        <w:rPr>
          <w:rFonts w:hint="eastAsia" w:ascii="宋体" w:hAnsi="宋体" w:eastAsia="宋体" w:cs="宋体"/>
          <w:b w:val="0"/>
          <w:bCs w:val="0"/>
          <w:color w:val="auto"/>
          <w:kern w:val="2"/>
          <w:sz w:val="24"/>
          <w:szCs w:val="24"/>
          <w:highlight w:val="none"/>
          <w:lang w:val="en-US" w:eastAsia="zh-CN" w:bidi="ar-SA"/>
        </w:rPr>
        <w:t>日至今（以合同签订时间为准）至少具有</w:t>
      </w:r>
      <w:r>
        <w:rPr>
          <w:rFonts w:hint="eastAsia" w:ascii="宋体" w:hAnsi="宋体" w:cs="宋体"/>
          <w:b w:val="0"/>
          <w:bCs w:val="0"/>
          <w:color w:val="auto"/>
          <w:kern w:val="2"/>
          <w:sz w:val="24"/>
          <w:szCs w:val="24"/>
          <w:highlight w:val="none"/>
          <w:u w:val="single"/>
          <w:lang w:val="en-US" w:eastAsia="zh-CN" w:bidi="ar-SA"/>
        </w:rPr>
        <w:t xml:space="preserve"> 1项装机容量50MW及以上规模风电项目监理</w:t>
      </w:r>
      <w:r>
        <w:rPr>
          <w:rFonts w:hint="eastAsia" w:ascii="宋体" w:hAnsi="宋体" w:cs="宋体"/>
          <w:b w:val="0"/>
          <w:bCs w:val="0"/>
          <w:color w:val="auto"/>
          <w:kern w:val="2"/>
          <w:sz w:val="24"/>
          <w:szCs w:val="24"/>
          <w:highlight w:val="none"/>
          <w:u w:val="none"/>
          <w:lang w:val="en-US" w:eastAsia="zh-CN" w:bidi="ar-SA"/>
        </w:rPr>
        <w:t>相关</w:t>
      </w:r>
      <w:r>
        <w:rPr>
          <w:rFonts w:hint="eastAsia" w:ascii="宋体" w:hAnsi="宋体" w:eastAsia="宋体" w:cs="宋体"/>
          <w:b w:val="0"/>
          <w:bCs w:val="0"/>
          <w:color w:val="auto"/>
          <w:kern w:val="2"/>
          <w:sz w:val="24"/>
          <w:szCs w:val="24"/>
          <w:highlight w:val="none"/>
          <w:u w:val="none"/>
          <w:lang w:val="en-US" w:eastAsia="zh-CN" w:bidi="ar-SA"/>
        </w:rPr>
        <w:t>业绩</w:t>
      </w:r>
      <w:r>
        <w:rPr>
          <w:rFonts w:hint="eastAsia" w:ascii="宋体" w:hAnsi="宋体" w:eastAsia="宋体" w:cs="宋体"/>
          <w:b w:val="0"/>
          <w:bCs w:val="0"/>
          <w:color w:val="auto"/>
          <w:kern w:val="2"/>
          <w:sz w:val="24"/>
          <w:szCs w:val="24"/>
          <w:highlight w:val="none"/>
          <w:lang w:val="en-US" w:eastAsia="zh-CN" w:bidi="ar-SA"/>
        </w:rPr>
        <w:t>（合同扫描件须至少包含：合同双方</w:t>
      </w:r>
      <w:r>
        <w:rPr>
          <w:rFonts w:hint="eastAsia" w:ascii="宋体" w:hAnsi="宋体" w:cs="宋体"/>
          <w:b w:val="0"/>
          <w:bCs w:val="0"/>
          <w:color w:val="auto"/>
          <w:kern w:val="2"/>
          <w:sz w:val="24"/>
          <w:szCs w:val="24"/>
          <w:highlight w:val="none"/>
          <w:lang w:val="en-US" w:eastAsia="zh-CN" w:bidi="ar-SA"/>
        </w:rPr>
        <w:t>签订</w:t>
      </w:r>
      <w:r>
        <w:rPr>
          <w:rFonts w:hint="eastAsia" w:ascii="宋体" w:hAnsi="宋体" w:eastAsia="宋体" w:cs="宋体"/>
          <w:b w:val="0"/>
          <w:bCs w:val="0"/>
          <w:color w:val="auto"/>
          <w:kern w:val="2"/>
          <w:sz w:val="24"/>
          <w:szCs w:val="24"/>
          <w:highlight w:val="none"/>
          <w:lang w:val="en-US" w:eastAsia="zh-CN" w:bidi="ar-SA"/>
        </w:rPr>
        <w:t>盖章页、合同签订时间和业绩要求中的关键信息页，如提供的业绩证明材料不能清晰分辨上述业绩要求内容，按无效业绩处理）。</w:t>
      </w:r>
    </w:p>
    <w:p w14:paraId="4C5CD95E">
      <w:pPr>
        <w:adjustRightInd w:val="0"/>
        <w:snapToGrid w:val="0"/>
        <w:spacing w:line="300" w:lineRule="auto"/>
        <w:ind w:firstLine="480" w:firstLineChars="200"/>
        <w:outlineLvl w:val="1"/>
        <w:rPr>
          <w:rFonts w:hint="eastAsia" w:ascii="宋体" w:hAnsi="宋体" w:cs="宋体"/>
          <w:b w:val="0"/>
          <w:bCs/>
          <w:snapToGrid w:val="0"/>
          <w:kern w:val="0"/>
          <w:sz w:val="24"/>
          <w:szCs w:val="30"/>
          <w:highlight w:val="none"/>
          <w:u w:val="single"/>
        </w:rPr>
      </w:pPr>
      <w:bookmarkStart w:id="52" w:name="_Toc55310054"/>
      <w:bookmarkStart w:id="53" w:name="_Toc55229786"/>
      <w:bookmarkStart w:id="54" w:name="_Toc55303741"/>
      <w:r>
        <w:rPr>
          <w:rFonts w:hint="eastAsia" w:ascii="宋体" w:hAnsi="宋体" w:cs="宋体"/>
          <w:b w:val="0"/>
          <w:bCs/>
          <w:snapToGrid w:val="0"/>
          <w:kern w:val="0"/>
          <w:sz w:val="24"/>
          <w:szCs w:val="30"/>
          <w:highlight w:val="none"/>
          <w:u w:val="single"/>
        </w:rPr>
        <w:t>注：以上材料必须提供，否则将导致废标。</w:t>
      </w:r>
    </w:p>
    <w:p w14:paraId="4924D2DC">
      <w:pPr>
        <w:widowControl/>
        <w:overflowPunct w:val="0"/>
        <w:spacing w:line="360" w:lineRule="auto"/>
        <w:ind w:firstLine="480" w:firstLineChars="200"/>
        <w:textAlignment w:val="baseline"/>
        <w:outlineLvl w:val="1"/>
        <w:rPr>
          <w:rFonts w:hint="eastAsia" w:ascii="宋体" w:hAnsi="宋体" w:cs="宋体"/>
          <w:sz w:val="24"/>
          <w:szCs w:val="24"/>
          <w:highlight w:val="none"/>
        </w:rPr>
      </w:pPr>
      <w:r>
        <w:rPr>
          <w:rFonts w:hint="eastAsia" w:ascii="宋体" w:hAnsi="宋体" w:cs="宋体"/>
          <w:sz w:val="24"/>
          <w:szCs w:val="24"/>
          <w:highlight w:val="none"/>
          <w:lang w:val="en-US" w:eastAsia="zh-CN"/>
        </w:rPr>
        <w:t>3.4</w:t>
      </w:r>
      <w:r>
        <w:rPr>
          <w:rFonts w:hint="eastAsia" w:ascii="宋体" w:hAnsi="宋体" w:cs="宋体"/>
          <w:sz w:val="24"/>
          <w:szCs w:val="24"/>
          <w:highlight w:val="none"/>
        </w:rPr>
        <w:t>其他要求：</w:t>
      </w:r>
    </w:p>
    <w:p w14:paraId="63957166">
      <w:pPr>
        <w:widowControl/>
        <w:overflowPunct w:val="0"/>
        <w:spacing w:line="360" w:lineRule="auto"/>
        <w:ind w:firstLine="480" w:firstLineChars="200"/>
        <w:textAlignment w:val="baseline"/>
        <w:outlineLvl w:val="1"/>
        <w:rPr>
          <w:rFonts w:hint="eastAsia" w:ascii="宋体" w:hAnsi="宋体" w:cs="宋体"/>
          <w:sz w:val="24"/>
          <w:szCs w:val="24"/>
          <w:highlight w:val="none"/>
        </w:rPr>
      </w:pPr>
      <w:r>
        <w:rPr>
          <w:rFonts w:hint="eastAsia" w:ascii="宋体" w:hAnsi="宋体" w:cs="宋体"/>
          <w:sz w:val="24"/>
          <w:szCs w:val="24"/>
          <w:highlight w:val="none"/>
        </w:rPr>
        <w:t>（1）与招标人存在利害关系可能影响招标公正性的法人、其他组织或者个人，不得参加投标（提供书面承诺或相关证明材料）。</w:t>
      </w:r>
    </w:p>
    <w:p w14:paraId="38270D86">
      <w:pPr>
        <w:widowControl/>
        <w:overflowPunct w:val="0"/>
        <w:spacing w:line="360" w:lineRule="auto"/>
        <w:ind w:firstLine="480" w:firstLineChars="200"/>
        <w:textAlignment w:val="baseline"/>
        <w:outlineLvl w:val="1"/>
        <w:rPr>
          <w:rFonts w:hint="eastAsia" w:ascii="宋体" w:hAnsi="宋体" w:cs="宋体"/>
          <w:sz w:val="24"/>
          <w:szCs w:val="24"/>
          <w:highlight w:val="none"/>
        </w:rPr>
      </w:pPr>
      <w:r>
        <w:rPr>
          <w:rFonts w:hint="eastAsia" w:ascii="宋体" w:hAnsi="宋体" w:cs="宋体"/>
          <w:sz w:val="24"/>
          <w:szCs w:val="24"/>
          <w:highlight w:val="none"/>
        </w:rPr>
        <w:t>（2）单位负责人为同一人或者存在控股、管理关系的不同单位不得参加同一标段的投标或者未划分标段的同一招标项目的投标（提供书面承诺或相关证明材料）。</w:t>
      </w:r>
    </w:p>
    <w:p w14:paraId="63EAD189">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5</w:t>
      </w:r>
      <w:r>
        <w:rPr>
          <w:rFonts w:hint="eastAsia" w:ascii="宋体" w:hAnsi="宋体" w:cs="宋体"/>
          <w:sz w:val="24"/>
          <w:szCs w:val="24"/>
          <w:highlight w:val="none"/>
        </w:rPr>
        <w:t xml:space="preserve"> 供应商不得存在下列情形之一：</w:t>
      </w:r>
    </w:p>
    <w:p w14:paraId="7357E60B">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（1）处于被责令停产停业、暂扣或者吊销执照、暂扣或者吊销许可证、吊销资质证书状态；</w:t>
      </w:r>
    </w:p>
    <w:p w14:paraId="0FF540BB">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（2）进入清算程序，或被宣告破产，或其他丧失履约能力的情形；</w:t>
      </w:r>
    </w:p>
    <w:p w14:paraId="17AAE734">
      <w:pPr>
        <w:adjustRightInd w:val="0"/>
        <w:snapToGrid w:val="0"/>
        <w:spacing w:line="300" w:lineRule="auto"/>
        <w:ind w:firstLine="482" w:firstLineChars="200"/>
        <w:outlineLvl w:val="1"/>
        <w:rPr>
          <w:rFonts w:ascii="宋体" w:hAnsi="宋体" w:cs="宋体"/>
          <w:b/>
          <w:snapToGrid w:val="0"/>
          <w:kern w:val="0"/>
          <w:sz w:val="24"/>
          <w:szCs w:val="30"/>
          <w:highlight w:val="none"/>
          <w:u w:val="single"/>
        </w:rPr>
      </w:pPr>
      <w:r>
        <w:rPr>
          <w:rFonts w:hint="eastAsia" w:ascii="宋体" w:hAnsi="宋体" w:cs="宋体"/>
          <w:b/>
          <w:snapToGrid w:val="0"/>
          <w:kern w:val="0"/>
          <w:sz w:val="24"/>
          <w:szCs w:val="30"/>
          <w:highlight w:val="none"/>
          <w:u w:val="single"/>
        </w:rPr>
        <w:t>注：提供相关承诺说明。</w:t>
      </w:r>
    </w:p>
    <w:p w14:paraId="404D5ED5">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6</w:t>
      </w:r>
      <w:r>
        <w:rPr>
          <w:rFonts w:hint="eastAsia" w:ascii="宋体" w:hAnsi="宋体" w:cs="宋体"/>
          <w:sz w:val="24"/>
          <w:szCs w:val="24"/>
          <w:highlight w:val="none"/>
        </w:rPr>
        <w:t xml:space="preserve"> 联合体投标</w:t>
      </w:r>
      <w:r>
        <w:rPr>
          <w:rFonts w:hint="eastAsia" w:ascii="宋体" w:hAnsi="宋体" w:cs="宋体"/>
          <w:sz w:val="24"/>
          <w:szCs w:val="24"/>
          <w:highlight w:val="none"/>
          <w:lang w:eastAsia="zh-CN"/>
        </w:rPr>
        <w:t>：</w:t>
      </w:r>
      <w:r>
        <w:rPr>
          <w:rFonts w:hint="eastAsia" w:ascii="宋体" w:hAnsi="宋体" w:cs="宋体"/>
          <w:sz w:val="24"/>
          <w:szCs w:val="24"/>
          <w:highlight w:val="none"/>
        </w:rPr>
        <w:t>本次采购</w:t>
      </w:r>
      <w:r>
        <w:rPr>
          <w:rFonts w:hint="eastAsia" w:ascii="宋体" w:hAnsi="宋体" w:cs="宋体"/>
          <w:b/>
          <w:bCs/>
          <w:sz w:val="24"/>
          <w:szCs w:val="24"/>
          <w:highlight w:val="none"/>
          <w:u w:val="single"/>
        </w:rPr>
        <w:t>不接受</w:t>
      </w:r>
      <w:r>
        <w:rPr>
          <w:rFonts w:hint="eastAsia" w:ascii="宋体" w:hAnsi="宋体" w:cs="宋体"/>
          <w:sz w:val="24"/>
          <w:szCs w:val="24"/>
          <w:highlight w:val="none"/>
        </w:rPr>
        <w:t>联合体投标。</w:t>
      </w:r>
    </w:p>
    <w:bookmarkEnd w:id="52"/>
    <w:bookmarkEnd w:id="53"/>
    <w:bookmarkEnd w:id="54"/>
    <w:p w14:paraId="541E2D81">
      <w:pPr>
        <w:pStyle w:val="4"/>
        <w:spacing w:before="0" w:after="0"/>
        <w:outlineLvl w:val="1"/>
        <w:rPr>
          <w:rFonts w:hint="default" w:ascii="宋体" w:hAnsi="宋体" w:eastAsia="宋体" w:cs="宋体"/>
          <w:color w:val="auto"/>
          <w:sz w:val="28"/>
          <w:szCs w:val="28"/>
          <w:highlight w:val="none"/>
        </w:rPr>
      </w:pPr>
      <w:bookmarkStart w:id="55" w:name="_Toc1936"/>
      <w:bookmarkStart w:id="56" w:name="_Toc25811"/>
      <w:bookmarkStart w:id="57" w:name="_Toc27061"/>
      <w:bookmarkStart w:id="58" w:name="_Toc3635"/>
      <w:bookmarkStart w:id="59" w:name="_Toc31343"/>
      <w:bookmarkStart w:id="60" w:name="_Toc23414"/>
      <w:bookmarkStart w:id="61" w:name="_Toc26160"/>
      <w:bookmarkStart w:id="62" w:name="_Toc16692"/>
      <w:bookmarkStart w:id="63" w:name="_Toc11601"/>
      <w:bookmarkStart w:id="64" w:name="_Toc4623"/>
      <w:bookmarkStart w:id="65" w:name="_Toc340377305"/>
      <w:bookmarkStart w:id="66" w:name="_Toc2138505499"/>
      <w:bookmarkStart w:id="67" w:name="_Toc1656142349"/>
      <w:bookmarkStart w:id="68" w:name="_Toc987470028"/>
      <w:bookmarkStart w:id="69" w:name="_Toc829177456"/>
      <w:bookmarkStart w:id="70" w:name="_Toc55310058"/>
      <w:bookmarkStart w:id="71" w:name="_Toc26358"/>
      <w:bookmarkStart w:id="72" w:name="_Toc32008"/>
      <w:bookmarkStart w:id="73" w:name="_Toc7192"/>
      <w:bookmarkStart w:id="74" w:name="_Toc24995"/>
      <w:bookmarkStart w:id="75" w:name="_Toc14733"/>
      <w:bookmarkStart w:id="76" w:name="_Toc15232"/>
      <w:bookmarkStart w:id="77" w:name="_Toc290111286"/>
      <w:bookmarkStart w:id="78" w:name="_Toc19007"/>
      <w:r>
        <w:rPr>
          <w:rFonts w:hint="default" w:ascii="宋体" w:hAnsi="宋体" w:eastAsia="宋体" w:cs="宋体"/>
          <w:color w:val="auto"/>
          <w:sz w:val="28"/>
          <w:szCs w:val="28"/>
          <w:highlight w:val="none"/>
        </w:rPr>
        <w:t>四、</w:t>
      </w:r>
      <w:bookmarkEnd w:id="55"/>
      <w:bookmarkEnd w:id="56"/>
      <w:bookmarkEnd w:id="57"/>
      <w:bookmarkEnd w:id="58"/>
      <w:bookmarkEnd w:id="59"/>
      <w:bookmarkEnd w:id="60"/>
      <w:bookmarkEnd w:id="61"/>
      <w:r>
        <w:rPr>
          <w:rFonts w:hint="default" w:ascii="宋体" w:hAnsi="宋体" w:eastAsia="宋体" w:cs="宋体"/>
          <w:color w:val="auto"/>
          <w:sz w:val="28"/>
          <w:szCs w:val="28"/>
          <w:highlight w:val="none"/>
        </w:rPr>
        <w:t>采购文件的获取</w:t>
      </w:r>
      <w:bookmarkEnd w:id="62"/>
      <w:bookmarkEnd w:id="63"/>
      <w:bookmarkEnd w:id="64"/>
      <w:bookmarkEnd w:id="65"/>
      <w:bookmarkEnd w:id="66"/>
      <w:bookmarkEnd w:id="67"/>
      <w:bookmarkEnd w:id="68"/>
      <w:bookmarkEnd w:id="69"/>
    </w:p>
    <w:p w14:paraId="044861E9">
      <w:pPr>
        <w:wordWrap w:val="0"/>
        <w:spacing w:line="360" w:lineRule="auto"/>
        <w:ind w:firstLine="480" w:firstLineChars="200"/>
        <w:jc w:val="left"/>
        <w:outlineLvl w:val="1"/>
        <w:rPr>
          <w:rFonts w:hint="eastAsia" w:ascii="宋体" w:hAnsi="宋体" w:cs="宋体"/>
          <w:color w:val="auto"/>
          <w:sz w:val="24"/>
          <w:szCs w:val="24"/>
          <w:highlight w:val="none"/>
        </w:rPr>
      </w:pPr>
      <w:bookmarkStart w:id="79" w:name="_Toc19187"/>
      <w:bookmarkStart w:id="80" w:name="_Toc32710"/>
      <w:bookmarkStart w:id="81" w:name="_Toc28477"/>
      <w:bookmarkStart w:id="82" w:name="_Toc2706"/>
      <w:bookmarkStart w:id="83" w:name="_Toc55303742"/>
      <w:bookmarkStart w:id="84" w:name="_Toc55310055"/>
      <w:bookmarkStart w:id="85" w:name="_Toc26691"/>
      <w:bookmarkStart w:id="86" w:name="_Toc7557"/>
      <w:bookmarkStart w:id="87" w:name="_Toc17671"/>
      <w:bookmarkStart w:id="88" w:name="_Toc31714"/>
      <w:bookmarkStart w:id="89" w:name="_Toc23855"/>
      <w:bookmarkStart w:id="90" w:name="_Toc55229787"/>
      <w:bookmarkStart w:id="91" w:name="_Toc32757"/>
      <w:bookmarkStart w:id="92" w:name="_Toc20123"/>
      <w:bookmarkStart w:id="93" w:name="_Toc29193"/>
      <w:bookmarkStart w:id="94" w:name="_Toc12984"/>
      <w:r>
        <w:rPr>
          <w:rFonts w:hint="eastAsia" w:ascii="宋体" w:hAnsi="宋体" w:cs="宋体"/>
          <w:color w:val="auto"/>
          <w:sz w:val="24"/>
          <w:szCs w:val="24"/>
          <w:highlight w:val="none"/>
        </w:rPr>
        <w:t>采购文件随公告在“云南能</w:t>
      </w:r>
      <w:r>
        <w:rPr>
          <w:rFonts w:hint="eastAsia" w:ascii="宋体" w:hAnsi="宋体" w:cs="宋体"/>
          <w:color w:val="auto"/>
          <w:sz w:val="24"/>
          <w:szCs w:val="24"/>
          <w:highlight w:val="none"/>
          <w:lang w:val="en-US" w:eastAsia="zh-CN"/>
        </w:rPr>
        <w:t>源</w:t>
      </w:r>
      <w:r>
        <w:rPr>
          <w:rFonts w:hint="eastAsia" w:ascii="宋体" w:hAnsi="宋体" w:cs="宋体"/>
          <w:color w:val="auto"/>
          <w:sz w:val="24"/>
          <w:szCs w:val="24"/>
          <w:highlight w:val="none"/>
        </w:rPr>
        <w:t>集团招采发布平台”发布，不再另行线下提供纸质购文件，凡有意参与者可在本公告期内自行查看和下载（http://zcfb.cnyeig.cn/sjhz/），并于</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2026</w:t>
      </w:r>
      <w:r>
        <w:rPr>
          <w:rFonts w:hint="eastAsia" w:ascii="宋体" w:hAnsi="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 xml:space="preserve"> 10</w:t>
      </w:r>
      <w:r>
        <w:rPr>
          <w:rFonts w:hint="eastAsia" w:ascii="宋体" w:hAnsi="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 xml:space="preserve"> 30</w:t>
      </w:r>
      <w:r>
        <w:rPr>
          <w:rFonts w:hint="eastAsia" w:ascii="宋体" w:hAnsi="宋体" w:cs="宋体"/>
          <w:color w:val="auto"/>
          <w:sz w:val="24"/>
          <w:szCs w:val="24"/>
          <w:highlight w:val="none"/>
          <w:u w:val="single"/>
        </w:rPr>
        <w:t>日</w:t>
      </w:r>
      <w:r>
        <w:rPr>
          <w:rFonts w:hint="eastAsia" w:ascii="宋体" w:hAnsi="宋体" w:cs="宋体"/>
          <w:color w:val="auto"/>
          <w:sz w:val="24"/>
          <w:szCs w:val="24"/>
          <w:highlight w:val="none"/>
          <w:u w:val="single"/>
          <w:lang w:val="en-US" w:eastAsia="zh-CN"/>
        </w:rPr>
        <w:t>18</w:t>
      </w:r>
      <w:r>
        <w:rPr>
          <w:rFonts w:hint="eastAsia" w:ascii="宋体" w:hAnsi="宋体" w:cs="宋体"/>
          <w:color w:val="auto"/>
          <w:sz w:val="24"/>
          <w:szCs w:val="24"/>
          <w:highlight w:val="none"/>
          <w:u w:val="single"/>
        </w:rPr>
        <w:t>时</w:t>
      </w:r>
      <w:r>
        <w:rPr>
          <w:rFonts w:hint="eastAsia" w:ascii="宋体" w:hAnsi="宋体" w:cs="宋体"/>
          <w:color w:val="auto"/>
          <w:sz w:val="24"/>
          <w:szCs w:val="24"/>
          <w:highlight w:val="none"/>
          <w:u w:val="single"/>
          <w:lang w:val="en-US" w:eastAsia="zh-CN"/>
        </w:rPr>
        <w:t>00</w:t>
      </w:r>
      <w:r>
        <w:rPr>
          <w:rFonts w:hint="eastAsia" w:ascii="宋体" w:hAnsi="宋体" w:cs="宋体"/>
          <w:color w:val="auto"/>
          <w:sz w:val="24"/>
          <w:szCs w:val="24"/>
          <w:highlight w:val="none"/>
          <w:u w:val="single"/>
        </w:rPr>
        <w:t>分</w:t>
      </w:r>
      <w:r>
        <w:rPr>
          <w:rFonts w:hint="eastAsia" w:ascii="宋体" w:hAnsi="宋体" w:cs="宋体"/>
          <w:color w:val="auto"/>
          <w:sz w:val="24"/>
          <w:szCs w:val="24"/>
          <w:highlight w:val="none"/>
        </w:rPr>
        <w:t>前以书面形式确认是否参加本次采购活动（格式见附件），同时需将确认函盖章后的电子版以公司名称＋项目名称命名发送至电子邮箱</w:t>
      </w:r>
      <w:r>
        <w:rPr>
          <w:rFonts w:hint="eastAsia" w:ascii="宋体" w:hAnsi="宋体" w:cs="宋体"/>
          <w:color w:val="auto"/>
          <w:sz w:val="24"/>
          <w:szCs w:val="24"/>
          <w:highlight w:val="none"/>
          <w:u w:val="single"/>
          <w:lang w:eastAsia="zh-CN"/>
        </w:rPr>
        <w:t>2</w:t>
      </w:r>
      <w:r>
        <w:rPr>
          <w:rFonts w:hint="eastAsia" w:ascii="宋体" w:hAnsi="宋体" w:cs="宋体"/>
          <w:color w:val="auto"/>
          <w:sz w:val="24"/>
          <w:szCs w:val="24"/>
          <w:highlight w:val="none"/>
          <w:u w:val="single"/>
          <w:lang w:val="en-US" w:eastAsia="zh-CN"/>
        </w:rPr>
        <w:t>906486069@qq.com</w:t>
      </w:r>
      <w:r>
        <w:rPr>
          <w:rFonts w:hint="eastAsia" w:ascii="宋体" w:hAnsi="宋体" w:cs="宋体"/>
          <w:color w:val="auto"/>
          <w:sz w:val="24"/>
          <w:szCs w:val="24"/>
          <w:highlight w:val="none"/>
        </w:rPr>
        <w:t>。在本公告规定的时间内未按上述要求发送电子邮件至指定邮箱者，不得递交响应文件或参加竞谈。</w:t>
      </w:r>
    </w:p>
    <w:p w14:paraId="1B72FC14">
      <w:pPr>
        <w:pStyle w:val="4"/>
        <w:spacing w:before="0" w:after="0"/>
        <w:outlineLvl w:val="1"/>
        <w:rPr>
          <w:rFonts w:hint="default" w:ascii="宋体" w:hAnsi="宋体" w:eastAsia="宋体" w:cs="宋体"/>
          <w:color w:val="auto"/>
          <w:sz w:val="28"/>
          <w:szCs w:val="28"/>
          <w:highlight w:val="none"/>
        </w:rPr>
      </w:pPr>
      <w:bookmarkStart w:id="95" w:name="_Toc1792406470"/>
      <w:bookmarkStart w:id="96" w:name="_Toc259035731"/>
      <w:bookmarkStart w:id="97" w:name="_Toc2091142948"/>
      <w:bookmarkStart w:id="98" w:name="_Toc29326"/>
      <w:bookmarkStart w:id="99" w:name="_Toc663173731"/>
      <w:bookmarkStart w:id="100" w:name="_Toc30137"/>
      <w:bookmarkStart w:id="101" w:name="_Toc1380947824"/>
      <w:r>
        <w:rPr>
          <w:rFonts w:hint="default" w:ascii="宋体" w:hAnsi="宋体" w:eastAsia="宋体" w:cs="宋体"/>
          <w:color w:val="auto"/>
          <w:sz w:val="28"/>
          <w:szCs w:val="28"/>
          <w:highlight w:val="none"/>
        </w:rPr>
        <w:t>五、</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hint="default" w:ascii="宋体" w:hAnsi="宋体" w:eastAsia="宋体" w:cs="宋体"/>
          <w:color w:val="auto"/>
          <w:sz w:val="28"/>
          <w:szCs w:val="28"/>
          <w:highlight w:val="none"/>
        </w:rPr>
        <w:t>响应文件的递交</w:t>
      </w:r>
      <w:bookmarkEnd w:id="94"/>
      <w:bookmarkEnd w:id="95"/>
      <w:bookmarkEnd w:id="96"/>
      <w:bookmarkEnd w:id="97"/>
      <w:bookmarkEnd w:id="98"/>
      <w:bookmarkEnd w:id="99"/>
      <w:bookmarkEnd w:id="100"/>
      <w:bookmarkEnd w:id="101"/>
    </w:p>
    <w:p w14:paraId="0020A59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bookmarkStart w:id="102" w:name="_Toc20894"/>
      <w:bookmarkStart w:id="103" w:name="_Toc32372"/>
      <w:bookmarkStart w:id="104" w:name="_Toc22040"/>
      <w:bookmarkStart w:id="105" w:name="_Toc2461"/>
      <w:bookmarkStart w:id="106" w:name="_Toc55229788"/>
      <w:bookmarkStart w:id="107" w:name="_Toc14240"/>
      <w:bookmarkStart w:id="108" w:name="_Toc28074"/>
      <w:bookmarkStart w:id="109" w:name="_Toc22823"/>
      <w:bookmarkStart w:id="110" w:name="_Toc19854"/>
      <w:bookmarkStart w:id="111" w:name="_Toc5745"/>
      <w:bookmarkStart w:id="112" w:name="_Toc25853"/>
      <w:bookmarkStart w:id="113" w:name="_Toc55310056"/>
      <w:bookmarkStart w:id="114" w:name="_Toc25286"/>
      <w:bookmarkStart w:id="115" w:name="_Toc11968"/>
      <w:bookmarkStart w:id="116" w:name="_Toc55303743"/>
      <w:bookmarkStart w:id="117" w:name="_Toc771"/>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.1</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竞争性谈判响应文件递交的截止时间为：</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2026 </w:t>
      </w:r>
      <w:r>
        <w:rPr>
          <w:rFonts w:hint="eastAsia" w:ascii="宋体" w:hAnsi="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 xml:space="preserve"> 6 </w:t>
      </w:r>
      <w:r>
        <w:rPr>
          <w:rFonts w:hint="eastAsia" w:ascii="宋体" w:hAnsi="宋体" w:cs="宋体"/>
          <w:color w:val="auto"/>
          <w:sz w:val="24"/>
          <w:szCs w:val="24"/>
          <w:highlight w:val="none"/>
          <w:u w:val="single"/>
        </w:rPr>
        <w:t>日</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10</w:t>
      </w:r>
      <w:r>
        <w:rPr>
          <w:rFonts w:hint="eastAsia" w:ascii="宋体" w:hAnsi="宋体" w:cs="宋体"/>
          <w:color w:val="auto"/>
          <w:sz w:val="24"/>
          <w:szCs w:val="24"/>
          <w:highlight w:val="none"/>
          <w:u w:val="single"/>
        </w:rPr>
        <w:t>时</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00</w:t>
      </w:r>
      <w:r>
        <w:rPr>
          <w:rFonts w:hint="eastAsia" w:ascii="宋体" w:hAnsi="宋体" w:cs="宋体"/>
          <w:color w:val="auto"/>
          <w:sz w:val="24"/>
          <w:szCs w:val="24"/>
          <w:highlight w:val="none"/>
          <w:u w:val="single"/>
        </w:rPr>
        <w:t>分</w:t>
      </w:r>
      <w:r>
        <w:rPr>
          <w:rFonts w:hint="eastAsia" w:ascii="宋体" w:hAnsi="宋体" w:eastAsia="宋体" w:cs="宋体"/>
          <w:color w:val="auto"/>
          <w:kern w:val="0"/>
          <w:sz w:val="24"/>
          <w:szCs w:val="24"/>
          <w:highlight w:val="none"/>
          <w:lang w:val="en-US" w:eastAsia="zh-CN" w:bidi="ar"/>
        </w:rPr>
        <w:t>，递交地址：</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玉溪市华宁县青龙镇小平宾馆三楼会议室</w:t>
      </w:r>
      <w:r>
        <w:rPr>
          <w:rFonts w:hint="eastAsia" w:ascii="宋体" w:hAnsi="宋体" w:eastAsia="宋体" w:cs="宋体"/>
          <w:color w:val="auto"/>
          <w:kern w:val="0"/>
          <w:sz w:val="24"/>
          <w:szCs w:val="24"/>
          <w:highlight w:val="none"/>
          <w:lang w:val="en-US" w:eastAsia="zh-CN" w:bidi="ar"/>
        </w:rPr>
        <w:t>，逾期送达的或者未送达指定地点的竞争性谈判响应文件，采购人不予受理。</w:t>
      </w:r>
    </w:p>
    <w:p w14:paraId="20ECD4FF">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.2</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竞争性谈判时间：同谈判响应文件递交截止时间。</w:t>
      </w:r>
    </w:p>
    <w:p w14:paraId="263CEB3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.3</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竞争性谈判地点：同谈判响应文件递交地点。</w:t>
      </w:r>
    </w:p>
    <w:p w14:paraId="64D901EF">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竞争性谈判方式：线上、线下两种方式均可，具体视情况</w:t>
      </w:r>
      <w:r>
        <w:rPr>
          <w:rFonts w:hint="eastAsia" w:ascii="宋体" w:hAnsi="宋体" w:cs="宋体"/>
          <w:color w:val="auto"/>
          <w:kern w:val="0"/>
          <w:sz w:val="24"/>
          <w:szCs w:val="24"/>
          <w:highlight w:val="none"/>
          <w:lang w:val="en-US" w:eastAsia="zh-CN" w:bidi="ar"/>
        </w:rPr>
        <w:t>提前通知</w:t>
      </w:r>
      <w:r>
        <w:rPr>
          <w:rFonts w:hint="eastAsia" w:ascii="宋体" w:hAnsi="宋体" w:eastAsia="宋体" w:cs="宋体"/>
          <w:color w:val="auto"/>
          <w:kern w:val="0"/>
          <w:sz w:val="24"/>
          <w:szCs w:val="24"/>
          <w:highlight w:val="none"/>
          <w:lang w:val="en-US" w:eastAsia="zh-CN" w:bidi="ar"/>
        </w:rPr>
        <w:t>。</w:t>
      </w:r>
    </w:p>
    <w:p w14:paraId="138176D3">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r>
        <w:rPr>
          <w:rFonts w:hint="eastAsia" w:ascii="宋体" w:hAnsi="宋体" w:cs="宋体"/>
          <w:color w:val="auto"/>
          <w:kern w:val="0"/>
          <w:sz w:val="24"/>
          <w:szCs w:val="24"/>
          <w:highlight w:val="none"/>
          <w:lang w:val="en-US" w:eastAsia="zh-CN" w:bidi="ar"/>
        </w:rPr>
        <w:t>5 响应文件</w:t>
      </w:r>
      <w:r>
        <w:rPr>
          <w:rFonts w:hint="eastAsia" w:ascii="宋体" w:hAnsi="宋体" w:eastAsia="宋体" w:cs="宋体"/>
          <w:color w:val="auto"/>
          <w:kern w:val="0"/>
          <w:sz w:val="24"/>
          <w:szCs w:val="24"/>
          <w:highlight w:val="none"/>
          <w:lang w:val="en-US" w:eastAsia="zh-CN" w:bidi="ar"/>
        </w:rPr>
        <w:t>要求：份数及要求详见“第二章供应商须知及前附表”</w:t>
      </w:r>
      <w:r>
        <w:rPr>
          <w:rFonts w:hint="eastAsia" w:ascii="宋体" w:hAnsi="宋体" w:cs="宋体"/>
          <w:color w:val="auto"/>
          <w:kern w:val="0"/>
          <w:sz w:val="24"/>
          <w:szCs w:val="24"/>
          <w:highlight w:val="none"/>
          <w:lang w:val="en-US" w:eastAsia="zh-CN" w:bidi="ar"/>
        </w:rPr>
        <w:t>，不按要求编制的文件有可能导致其谈判响应文件被拒绝。</w:t>
      </w:r>
    </w:p>
    <w:p w14:paraId="5B054FF7">
      <w:pPr>
        <w:pStyle w:val="4"/>
        <w:spacing w:before="0" w:after="0"/>
        <w:outlineLvl w:val="1"/>
        <w:rPr>
          <w:rFonts w:hint="eastAsia" w:ascii="宋体" w:hAnsi="宋体" w:eastAsia="宋体" w:cs="宋体"/>
          <w:color w:val="auto"/>
          <w:sz w:val="28"/>
          <w:szCs w:val="28"/>
          <w:highlight w:val="none"/>
          <w:lang w:val="en-US" w:eastAsia="zh-CN"/>
        </w:rPr>
      </w:pPr>
      <w:bookmarkStart w:id="118" w:name="_Toc17769"/>
      <w:bookmarkStart w:id="119" w:name="_Toc12910"/>
      <w:bookmarkStart w:id="120" w:name="_Toc905068575"/>
      <w:bookmarkStart w:id="121" w:name="_Toc207162630"/>
      <w:bookmarkStart w:id="122" w:name="_Toc1601506238"/>
      <w:bookmarkStart w:id="123" w:name="_Toc501307372"/>
      <w:bookmarkStart w:id="124" w:name="_Toc955575"/>
      <w:r>
        <w:rPr>
          <w:rFonts w:hint="eastAsia" w:ascii="宋体" w:hAnsi="宋体" w:eastAsia="宋体" w:cs="宋体"/>
          <w:color w:val="auto"/>
          <w:sz w:val="28"/>
          <w:szCs w:val="28"/>
          <w:highlight w:val="none"/>
        </w:rPr>
        <w:t>六、</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Fonts w:hint="eastAsia" w:ascii="宋体" w:hAnsi="宋体" w:eastAsia="宋体" w:cs="宋体"/>
          <w:color w:val="auto"/>
          <w:sz w:val="28"/>
          <w:szCs w:val="28"/>
          <w:highlight w:val="none"/>
          <w:lang w:val="en-US" w:eastAsia="zh-CN"/>
        </w:rPr>
        <w:t>其他相关事宜</w:t>
      </w:r>
      <w:bookmarkEnd w:id="118"/>
      <w:bookmarkEnd w:id="119"/>
      <w:bookmarkEnd w:id="120"/>
      <w:bookmarkEnd w:id="121"/>
      <w:bookmarkEnd w:id="122"/>
      <w:bookmarkEnd w:id="123"/>
      <w:bookmarkEnd w:id="124"/>
    </w:p>
    <w:p w14:paraId="058D60F1">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6.1 </w:t>
      </w:r>
      <w:r>
        <w:rPr>
          <w:rFonts w:hint="eastAsia" w:ascii="宋体" w:hAnsi="宋体" w:cs="宋体"/>
          <w:color w:val="auto"/>
          <w:sz w:val="24"/>
          <w:szCs w:val="24"/>
          <w:highlight w:val="none"/>
        </w:rPr>
        <w:t>本次评审以所报密封资料为依据。</w:t>
      </w:r>
    </w:p>
    <w:p w14:paraId="5EE7ACE3">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6.2 </w:t>
      </w:r>
      <w:r>
        <w:rPr>
          <w:rFonts w:hint="eastAsia" w:ascii="宋体" w:hAnsi="宋体" w:cs="宋体"/>
          <w:color w:val="auto"/>
          <w:sz w:val="24"/>
          <w:szCs w:val="24"/>
          <w:highlight w:val="none"/>
        </w:rPr>
        <w:t>如果</w:t>
      </w:r>
      <w:r>
        <w:rPr>
          <w:rFonts w:hint="eastAsia" w:ascii="宋体" w:hAnsi="宋体" w:cs="宋体"/>
          <w:color w:val="auto"/>
          <w:sz w:val="24"/>
          <w:szCs w:val="24"/>
          <w:highlight w:val="none"/>
          <w:lang w:val="en-US" w:eastAsia="zh-CN"/>
        </w:rPr>
        <w:t>供应商</w:t>
      </w:r>
      <w:r>
        <w:rPr>
          <w:rFonts w:hint="eastAsia" w:ascii="宋体" w:hAnsi="宋体" w:cs="宋体"/>
          <w:color w:val="auto"/>
          <w:sz w:val="24"/>
          <w:szCs w:val="24"/>
          <w:highlight w:val="none"/>
        </w:rPr>
        <w:t>未能在规定时间提交材料，视为放弃参与此次竞争性谈判。</w:t>
      </w:r>
    </w:p>
    <w:p w14:paraId="23D58997">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6.3 </w:t>
      </w:r>
      <w:r>
        <w:rPr>
          <w:rFonts w:hint="eastAsia" w:ascii="宋体" w:hAnsi="宋体" w:cs="宋体"/>
          <w:color w:val="auto"/>
          <w:sz w:val="24"/>
          <w:szCs w:val="24"/>
          <w:highlight w:val="none"/>
        </w:rPr>
        <w:t>参与此次竞争性谈判的费用</w:t>
      </w:r>
      <w:r>
        <w:rPr>
          <w:rFonts w:hint="eastAsia" w:ascii="宋体" w:hAnsi="宋体" w:cs="宋体"/>
          <w:color w:val="auto"/>
          <w:sz w:val="24"/>
          <w:szCs w:val="24"/>
          <w:highlight w:val="none"/>
          <w:lang w:val="en-US" w:eastAsia="zh-CN"/>
        </w:rPr>
        <w:t>由供应商</w:t>
      </w:r>
      <w:r>
        <w:rPr>
          <w:rFonts w:hint="eastAsia" w:ascii="宋体" w:hAnsi="宋体" w:cs="宋体"/>
          <w:color w:val="auto"/>
          <w:sz w:val="24"/>
          <w:szCs w:val="24"/>
          <w:highlight w:val="none"/>
        </w:rPr>
        <w:t>自理。</w:t>
      </w:r>
    </w:p>
    <w:p w14:paraId="2A02652E">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6.4 </w:t>
      </w:r>
      <w:r>
        <w:rPr>
          <w:rFonts w:hint="eastAsia" w:ascii="宋体" w:hAnsi="宋体" w:cs="宋体"/>
          <w:color w:val="auto"/>
          <w:sz w:val="24"/>
          <w:szCs w:val="24"/>
          <w:highlight w:val="none"/>
        </w:rPr>
        <w:t>其他未尽事宜请及时联系</w:t>
      </w:r>
      <w:r>
        <w:rPr>
          <w:rFonts w:hint="eastAsia" w:ascii="宋体" w:hAnsi="宋体" w:cs="宋体"/>
          <w:color w:val="auto"/>
          <w:sz w:val="24"/>
          <w:szCs w:val="24"/>
          <w:highlight w:val="none"/>
          <w:lang w:val="en-US" w:eastAsia="zh-CN"/>
        </w:rPr>
        <w:t>采购人</w:t>
      </w:r>
      <w:r>
        <w:rPr>
          <w:rFonts w:hint="eastAsia" w:ascii="宋体" w:hAnsi="宋体" w:cs="宋体"/>
          <w:color w:val="auto"/>
          <w:sz w:val="24"/>
          <w:szCs w:val="24"/>
          <w:highlight w:val="none"/>
        </w:rPr>
        <w:t>。</w:t>
      </w:r>
    </w:p>
    <w:p w14:paraId="2E9A2647">
      <w:pPr>
        <w:pStyle w:val="4"/>
        <w:spacing w:before="0" w:after="0"/>
        <w:outlineLvl w:val="1"/>
        <w:rPr>
          <w:rFonts w:hint="eastAsia" w:ascii="宋体" w:hAnsi="宋体" w:eastAsia="宋体" w:cs="宋体"/>
          <w:color w:val="auto"/>
          <w:sz w:val="28"/>
          <w:szCs w:val="28"/>
          <w:highlight w:val="none"/>
        </w:rPr>
      </w:pPr>
      <w:bookmarkStart w:id="125" w:name="_Toc909"/>
      <w:bookmarkStart w:id="126" w:name="_Toc1850573490"/>
      <w:bookmarkStart w:id="127" w:name="_Toc2114120071"/>
      <w:bookmarkStart w:id="128" w:name="_Toc27384"/>
      <w:bookmarkStart w:id="129" w:name="_Toc1719487414"/>
      <w:bookmarkStart w:id="130" w:name="_Toc755192189"/>
      <w:bookmarkStart w:id="131" w:name="_Toc1805825367"/>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联系方式</w:t>
      </w:r>
      <w:bookmarkEnd w:id="117"/>
      <w:bookmarkEnd w:id="125"/>
      <w:bookmarkEnd w:id="126"/>
      <w:bookmarkEnd w:id="127"/>
      <w:bookmarkEnd w:id="128"/>
      <w:bookmarkEnd w:id="129"/>
      <w:bookmarkEnd w:id="130"/>
      <w:bookmarkEnd w:id="131"/>
    </w:p>
    <w:p w14:paraId="3BD1AC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购</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人：</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华宁云能投新能源开发有限公司 </w:t>
      </w:r>
    </w:p>
    <w:p w14:paraId="74DFC6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址：</w:t>
      </w:r>
      <w:r>
        <w:rPr>
          <w:rFonts w:hint="eastAsia" w:ascii="宋体" w:hAnsi="宋体" w:cs="宋体"/>
          <w:color w:val="auto"/>
          <w:sz w:val="24"/>
          <w:szCs w:val="24"/>
          <w:highlight w:val="none"/>
          <w:u w:val="single"/>
          <w:lang w:eastAsia="zh-CN"/>
        </w:rPr>
        <w:t>云南省玉溪市华宁县盘溪镇新村村民委员会山后村</w:t>
      </w:r>
    </w:p>
    <w:p w14:paraId="389350FC">
      <w:pPr>
        <w:spacing w:line="360" w:lineRule="auto"/>
        <w:ind w:firstLine="480" w:firstLineChars="200"/>
        <w:outlineLvl w:val="1"/>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联系人：</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蒋圳超 </w:t>
      </w:r>
    </w:p>
    <w:p w14:paraId="67E2D0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17842224980 </w:t>
      </w:r>
    </w:p>
    <w:p w14:paraId="3F5F2D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邮箱：</w:t>
      </w:r>
      <w:r>
        <w:rPr>
          <w:rFonts w:hint="eastAsia" w:ascii="宋体" w:hAnsi="宋体" w:cs="宋体"/>
          <w:color w:val="auto"/>
          <w:sz w:val="24"/>
          <w:szCs w:val="24"/>
          <w:highlight w:val="none"/>
          <w:u w:val="single"/>
          <w:lang w:eastAsia="zh-CN"/>
        </w:rPr>
        <w:t>2906486069@qq.com</w:t>
      </w:r>
    </w:p>
    <w:p w14:paraId="2FB997F5">
      <w:pPr>
        <w:spacing w:line="360" w:lineRule="auto"/>
        <w:ind w:firstLine="480" w:firstLineChars="200"/>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采购人监督部门：供应商对本次采购过程中发现的违法、违纪问题可以向云南能源投资股份有限公司纪委办公室反映，电话0871-63135805。</w:t>
      </w:r>
    </w:p>
    <w:p w14:paraId="61796E61">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附件：竞争性谈判参与确</w:t>
      </w:r>
      <w:r>
        <w:rPr>
          <w:rFonts w:hint="eastAsia" w:ascii="宋体" w:hAnsi="宋体" w:cs="宋体"/>
          <w:color w:val="auto"/>
          <w:kern w:val="0"/>
          <w:sz w:val="24"/>
          <w:szCs w:val="24"/>
          <w:highlight w:val="none"/>
          <w:lang w:val="en-US" w:eastAsia="zh-CN" w:bidi="ar"/>
        </w:rPr>
        <w:t>认</w:t>
      </w:r>
      <w:r>
        <w:rPr>
          <w:rFonts w:hint="eastAsia" w:ascii="宋体" w:hAnsi="宋体" w:eastAsia="宋体" w:cs="宋体"/>
          <w:color w:val="auto"/>
          <w:kern w:val="0"/>
          <w:sz w:val="24"/>
          <w:szCs w:val="24"/>
          <w:highlight w:val="none"/>
          <w:lang w:val="en-US" w:eastAsia="zh-CN" w:bidi="ar"/>
        </w:rPr>
        <w:t>函</w:t>
      </w:r>
    </w:p>
    <w:p w14:paraId="6839F0B3">
      <w:pPr>
        <w:spacing w:line="360" w:lineRule="auto"/>
        <w:ind w:firstLine="460" w:firstLineChars="192"/>
        <w:outlineLvl w:val="1"/>
        <w:rPr>
          <w:rFonts w:hint="eastAsia" w:ascii="宋体" w:hAnsi="宋体" w:cs="宋体"/>
          <w:color w:val="auto"/>
          <w:sz w:val="24"/>
          <w:szCs w:val="24"/>
          <w:highlight w:val="none"/>
        </w:rPr>
      </w:pPr>
    </w:p>
    <w:p w14:paraId="6761844E">
      <w:pPr>
        <w:spacing w:line="360" w:lineRule="auto"/>
        <w:ind w:right="240" w:firstLine="460" w:firstLineChars="192"/>
        <w:jc w:val="right"/>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u w:val="single"/>
          <w:lang w:val="en-US" w:eastAsia="zh-CN"/>
        </w:rPr>
        <w:t xml:space="preserve"> 华宁云能投新能源开发有限公司 </w:t>
      </w:r>
      <w:r>
        <w:rPr>
          <w:rFonts w:hint="eastAsia" w:ascii="宋体" w:hAnsi="宋体" w:cs="宋体"/>
          <w:color w:val="auto"/>
          <w:sz w:val="24"/>
          <w:szCs w:val="24"/>
          <w:highlight w:val="none"/>
          <w:lang w:val="en-US" w:eastAsia="zh-CN"/>
        </w:rPr>
        <w:t xml:space="preserve"> </w:t>
      </w:r>
    </w:p>
    <w:p w14:paraId="4C36C1E1">
      <w:pPr>
        <w:spacing w:line="360" w:lineRule="auto"/>
        <w:jc w:val="center"/>
        <w:outlineLvl w:val="1"/>
        <w:rPr>
          <w:rFonts w:hint="eastAsia" w:ascii="宋体" w:hAnsi="宋体" w:cs="宋体"/>
          <w:color w:val="auto"/>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2026</w:t>
      </w:r>
      <w:r>
        <w:rPr>
          <w:rFonts w:hint="eastAsia" w:ascii="宋体" w:hAnsi="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 xml:space="preserve"> 10 </w:t>
      </w:r>
      <w:r>
        <w:rPr>
          <w:rFonts w:hint="eastAsia" w:ascii="宋体" w:hAnsi="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 xml:space="preserve"> 26 </w:t>
      </w:r>
      <w:r>
        <w:rPr>
          <w:rFonts w:hint="eastAsia" w:ascii="宋体" w:hAnsi="宋体" w:cs="宋体"/>
          <w:color w:val="auto"/>
          <w:sz w:val="24"/>
          <w:szCs w:val="24"/>
          <w:highlight w:val="none"/>
          <w:u w:val="single"/>
        </w:rPr>
        <w:t>日</w:t>
      </w:r>
    </w:p>
    <w:p w14:paraId="1079D0F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highlight w:val="none"/>
        </w:rPr>
        <w:br w:type="page"/>
      </w:r>
      <w:r>
        <w:rPr>
          <w:rFonts w:hint="eastAsia" w:ascii="宋体" w:hAnsi="宋体" w:eastAsia="宋体" w:cs="宋体"/>
          <w:color w:val="auto"/>
          <w:kern w:val="0"/>
          <w:sz w:val="24"/>
          <w:szCs w:val="24"/>
          <w:highlight w:val="none"/>
          <w:lang w:val="en-US" w:eastAsia="zh-CN" w:bidi="ar"/>
        </w:rPr>
        <w:t>*附件：(报名者请按以下格式要求将确认函以</w:t>
      </w:r>
      <w:r>
        <w:rPr>
          <w:rFonts w:hint="eastAsia" w:ascii="宋体" w:hAnsi="宋体" w:cs="宋体"/>
          <w:color w:val="auto"/>
          <w:kern w:val="0"/>
          <w:sz w:val="24"/>
          <w:szCs w:val="24"/>
          <w:highlight w:val="none"/>
          <w:lang w:val="en-US" w:eastAsia="zh-CN" w:bidi="ar"/>
        </w:rPr>
        <w:t>单位</w:t>
      </w:r>
      <w:r>
        <w:rPr>
          <w:rFonts w:hint="eastAsia" w:ascii="宋体" w:hAnsi="宋体" w:eastAsia="宋体" w:cs="宋体"/>
          <w:color w:val="auto"/>
          <w:kern w:val="0"/>
          <w:sz w:val="24"/>
          <w:szCs w:val="24"/>
          <w:highlight w:val="none"/>
          <w:lang w:val="en-US" w:eastAsia="zh-CN" w:bidi="ar"/>
        </w:rPr>
        <w:t>名称＋项目名称命名发送电子邮件至指定邮箱：</w:t>
      </w:r>
      <w:r>
        <w:rPr>
          <w:rFonts w:hint="eastAsia" w:ascii="宋体" w:hAnsi="宋体" w:cs="宋体"/>
          <w:color w:val="auto"/>
          <w:sz w:val="24"/>
          <w:szCs w:val="24"/>
          <w:highlight w:val="none"/>
          <w:u w:val="single"/>
          <w:lang w:eastAsia="zh-CN"/>
        </w:rPr>
        <w:t>2906486069@qq.com</w:t>
      </w:r>
      <w:r>
        <w:rPr>
          <w:rFonts w:hint="eastAsia" w:ascii="宋体" w:hAnsi="宋体" w:eastAsia="宋体" w:cs="宋体"/>
          <w:color w:val="auto"/>
          <w:kern w:val="0"/>
          <w:sz w:val="24"/>
          <w:szCs w:val="24"/>
          <w:highlight w:val="none"/>
          <w:lang w:val="en-US" w:eastAsia="zh-CN" w:bidi="ar"/>
        </w:rPr>
        <w:t>)</w:t>
      </w:r>
    </w:p>
    <w:p w14:paraId="598ECB5F">
      <w:pPr>
        <w:pStyle w:val="23"/>
        <w:outlineLvl w:val="1"/>
        <w:rPr>
          <w:rFonts w:hint="eastAsia"/>
          <w:highlight w:val="none"/>
        </w:rPr>
      </w:pPr>
    </w:p>
    <w:p w14:paraId="052104D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eastAsia="宋体" w:cs="宋体"/>
          <w:color w:val="auto"/>
          <w:sz w:val="28"/>
          <w:szCs w:val="28"/>
          <w:highlight w:val="none"/>
        </w:rPr>
      </w:pPr>
      <w:r>
        <w:rPr>
          <w:rStyle w:val="52"/>
          <w:rFonts w:hint="eastAsia" w:ascii="宋体" w:hAnsi="宋体" w:eastAsia="宋体" w:cs="宋体"/>
          <w:color w:val="auto"/>
          <w:kern w:val="0"/>
          <w:sz w:val="28"/>
          <w:szCs w:val="28"/>
          <w:highlight w:val="none"/>
          <w:lang w:val="en-US" w:eastAsia="zh-CN" w:bidi="ar"/>
        </w:rPr>
        <w:t>竞争性谈判参与确认函</w:t>
      </w:r>
    </w:p>
    <w:p w14:paraId="599B5DC8">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val="en-US" w:eastAsia="zh-CN"/>
        </w:rPr>
        <w:t>华宁云能投新能源开发有限公司</w:t>
      </w:r>
      <w:r>
        <w:rPr>
          <w:rFonts w:hint="eastAsia" w:ascii="宋体" w:hAnsi="宋体" w:eastAsia="宋体" w:cs="宋体"/>
          <w:color w:val="auto"/>
          <w:kern w:val="0"/>
          <w:sz w:val="24"/>
          <w:szCs w:val="24"/>
          <w:highlight w:val="none"/>
          <w:lang w:val="en-US" w:eastAsia="zh-CN" w:bidi="ar"/>
        </w:rPr>
        <w:t>：</w:t>
      </w:r>
    </w:p>
    <w:p w14:paraId="3F76416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我单位对贵公司</w:t>
      </w:r>
      <w:r>
        <w:rPr>
          <w:rFonts w:hint="eastAsia" w:ascii="宋体" w:hAnsi="宋体" w:cs="宋体"/>
          <w:color w:val="auto"/>
          <w:sz w:val="24"/>
          <w:szCs w:val="24"/>
          <w:highlight w:val="none"/>
          <w:u w:val="single"/>
          <w:lang w:val="en-US" w:eastAsia="zh-CN"/>
        </w:rPr>
        <w:t>华宁县大龙山风电场项目监理服务</w:t>
      </w:r>
      <w:r>
        <w:rPr>
          <w:rFonts w:hint="eastAsia" w:ascii="宋体" w:hAnsi="宋体" w:eastAsia="宋体" w:cs="宋体"/>
          <w:color w:val="auto"/>
          <w:kern w:val="0"/>
          <w:sz w:val="24"/>
          <w:szCs w:val="24"/>
          <w:highlight w:val="none"/>
          <w:lang w:val="en-US" w:eastAsia="zh-CN" w:bidi="ar"/>
        </w:rPr>
        <w:t>的竞争性谈判公告已知悉，我单位将按公告要求参加贵公司此项采购活动，并作出以下承诺：</w:t>
      </w:r>
    </w:p>
    <w:p w14:paraId="756023EB">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6EB994F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2.我单位不属于与采购人存在利害关系可能影响采购公正性的法人、其他组织或者个人。</w:t>
      </w:r>
    </w:p>
    <w:p w14:paraId="4C315C6A">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3.如最终未能成为此项目的成交人，响应本项目产生的所有费用（包括但不限于差旅费、响应文件制作费用）均由我公司自行承担。</w:t>
      </w:r>
    </w:p>
    <w:p w14:paraId="064FE10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XX单位（单位</w:t>
      </w:r>
      <w:r>
        <w:rPr>
          <w:rFonts w:hint="eastAsia" w:ascii="宋体" w:hAnsi="宋体" w:cs="宋体"/>
          <w:color w:val="auto"/>
          <w:kern w:val="0"/>
          <w:sz w:val="24"/>
          <w:szCs w:val="24"/>
          <w:highlight w:val="none"/>
          <w:lang w:val="en-US" w:eastAsia="zh-CN" w:bidi="ar"/>
        </w:rPr>
        <w:t>公章</w:t>
      </w:r>
      <w:r>
        <w:rPr>
          <w:rFonts w:hint="eastAsia" w:ascii="宋体" w:hAnsi="宋体" w:eastAsia="宋体" w:cs="宋体"/>
          <w:color w:val="auto"/>
          <w:kern w:val="0"/>
          <w:sz w:val="24"/>
          <w:szCs w:val="24"/>
          <w:highlight w:val="none"/>
          <w:lang w:val="en-US" w:eastAsia="zh-CN" w:bidi="ar"/>
        </w:rPr>
        <w:t>）</w:t>
      </w:r>
    </w:p>
    <w:p w14:paraId="39D5C91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法定代表人或委托代理人（签字</w:t>
      </w:r>
      <w:r>
        <w:rPr>
          <w:rFonts w:hint="eastAsia" w:ascii="宋体" w:hAnsi="宋体" w:cs="宋体"/>
          <w:color w:val="auto"/>
          <w:sz w:val="24"/>
          <w:szCs w:val="24"/>
          <w:highlight w:val="none"/>
          <w:lang w:val="en-US" w:eastAsia="zh-CN"/>
        </w:rPr>
        <w:t>或签章</w:t>
      </w:r>
      <w:r>
        <w:rPr>
          <w:rFonts w:hint="eastAsia" w:ascii="宋体" w:hAnsi="宋体" w:eastAsia="宋体" w:cs="宋体"/>
          <w:color w:val="auto"/>
          <w:sz w:val="24"/>
          <w:szCs w:val="24"/>
          <w:highlight w:val="none"/>
          <w:lang w:val="en-US" w:eastAsia="zh-CN"/>
        </w:rPr>
        <w:t>）：</w:t>
      </w:r>
    </w:p>
    <w:p w14:paraId="2E23990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联系电话：</w:t>
      </w:r>
    </w:p>
    <w:p w14:paraId="088411E4">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cs="宋体"/>
          <w:color w:val="auto"/>
          <w:highlight w:val="none"/>
        </w:rPr>
        <w:sectPr>
          <w:footerReference r:id="rId3"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color w:val="auto"/>
          <w:kern w:val="0"/>
          <w:sz w:val="24"/>
          <w:szCs w:val="24"/>
          <w:highlight w:val="none"/>
          <w:lang w:val="en-US" w:eastAsia="zh-CN" w:bidi="ar"/>
        </w:rPr>
        <w:t>202X年X月X日</w:t>
      </w:r>
    </w:p>
    <w:p w14:paraId="4C6D5F1F">
      <w:pPr>
        <w:pStyle w:val="45"/>
        <w:rPr>
          <w:rFonts w:hint="eastAsia" w:ascii="宋体" w:hAnsi="宋体" w:eastAsia="宋体" w:cs="宋体"/>
          <w:highlight w:val="none"/>
        </w:rPr>
      </w:pPr>
      <w:bookmarkStart w:id="132" w:name="_Toc1786171541"/>
      <w:bookmarkStart w:id="133" w:name="_Toc1500721988"/>
      <w:bookmarkStart w:id="134" w:name="_Toc1197334358"/>
      <w:bookmarkStart w:id="135" w:name="_Toc194729403"/>
      <w:bookmarkStart w:id="136" w:name="_Toc434355496"/>
      <w:r>
        <w:rPr>
          <w:rFonts w:hint="eastAsia" w:ascii="宋体" w:hAnsi="宋体" w:eastAsia="宋体" w:cs="宋体"/>
          <w:highlight w:val="none"/>
        </w:rPr>
        <w:t xml:space="preserve">第二章  </w:t>
      </w:r>
      <w:bookmarkEnd w:id="70"/>
      <w:bookmarkEnd w:id="71"/>
      <w:bookmarkEnd w:id="72"/>
      <w:bookmarkEnd w:id="73"/>
      <w:bookmarkEnd w:id="74"/>
      <w:bookmarkEnd w:id="75"/>
      <w:bookmarkEnd w:id="76"/>
      <w:bookmarkEnd w:id="77"/>
      <w:r>
        <w:rPr>
          <w:rFonts w:hint="eastAsia" w:ascii="宋体" w:hAnsi="宋体" w:eastAsia="宋体" w:cs="宋体"/>
          <w:highlight w:val="none"/>
        </w:rPr>
        <w:t>供应商须知及前附表</w:t>
      </w:r>
      <w:bookmarkEnd w:id="78"/>
      <w:bookmarkEnd w:id="132"/>
      <w:bookmarkEnd w:id="133"/>
      <w:bookmarkEnd w:id="134"/>
      <w:bookmarkEnd w:id="135"/>
      <w:bookmarkEnd w:id="136"/>
    </w:p>
    <w:p w14:paraId="58EBFF90">
      <w:pPr>
        <w:jc w:val="center"/>
        <w:outlineLvl w:val="9"/>
        <w:rPr>
          <w:rFonts w:ascii="宋体" w:hAnsi="宋体" w:eastAsia="宋体" w:cs="宋体"/>
          <w:highlight w:val="none"/>
        </w:rPr>
      </w:pPr>
      <w:bookmarkStart w:id="137" w:name="_Toc334847610"/>
      <w:bookmarkStart w:id="138" w:name="_Toc20064"/>
      <w:bookmarkStart w:id="139" w:name="_Toc1131315258"/>
      <w:bookmarkStart w:id="140" w:name="_Toc8041"/>
      <w:r>
        <w:rPr>
          <w:rFonts w:hint="default" w:ascii="宋体" w:hAnsi="宋体" w:cs="宋体"/>
          <w:highlight w:val="none"/>
        </w:rPr>
        <w:t xml:space="preserve">                                  </w:t>
      </w:r>
      <w:r>
        <w:rPr>
          <w:rFonts w:hint="eastAsia" w:ascii="宋体" w:hAnsi="宋体" w:eastAsia="宋体" w:cs="宋体"/>
          <w:b/>
          <w:sz w:val="24"/>
          <w:highlight w:val="none"/>
        </w:rPr>
        <w:t>供应商须知前附表</w:t>
      </w:r>
      <w:bookmarkEnd w:id="137"/>
      <w:bookmarkEnd w:id="138"/>
      <w:bookmarkEnd w:id="139"/>
      <w:bookmarkEnd w:id="140"/>
    </w:p>
    <w:tbl>
      <w:tblPr>
        <w:tblStyle w:val="49"/>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490F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7A49931">
            <w:pPr>
              <w:jc w:val="center"/>
              <w:outlineLvl w:val="9"/>
              <w:rPr>
                <w:rFonts w:ascii="宋体" w:hAnsi="宋体" w:cs="宋体"/>
                <w:b/>
                <w:bCs/>
                <w:szCs w:val="21"/>
                <w:highlight w:val="none"/>
              </w:rPr>
            </w:pPr>
            <w:r>
              <w:rPr>
                <w:rFonts w:hint="eastAsia" w:ascii="宋体" w:hAnsi="宋体" w:cs="宋体"/>
                <w:b/>
                <w:bCs/>
                <w:szCs w:val="21"/>
                <w:highlight w:val="none"/>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25FD7F2E">
            <w:pPr>
              <w:jc w:val="center"/>
              <w:outlineLvl w:val="9"/>
              <w:rPr>
                <w:rFonts w:ascii="宋体" w:hAnsi="宋体" w:cs="宋体"/>
                <w:b/>
                <w:bCs/>
                <w:szCs w:val="21"/>
                <w:highlight w:val="none"/>
              </w:rPr>
            </w:pPr>
            <w:r>
              <w:rPr>
                <w:rFonts w:hint="eastAsia" w:ascii="宋体" w:hAnsi="宋体" w:cs="宋体"/>
                <w:b/>
                <w:bCs/>
                <w:szCs w:val="21"/>
                <w:highlight w:val="none"/>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1B2A74AB">
            <w:pPr>
              <w:jc w:val="center"/>
              <w:outlineLvl w:val="9"/>
              <w:rPr>
                <w:rFonts w:ascii="宋体" w:hAnsi="宋体" w:cs="宋体"/>
                <w:b/>
                <w:bCs/>
                <w:szCs w:val="21"/>
                <w:highlight w:val="none"/>
              </w:rPr>
            </w:pPr>
            <w:r>
              <w:rPr>
                <w:rFonts w:hint="eastAsia" w:ascii="宋体" w:hAnsi="宋体" w:cs="宋体"/>
                <w:b/>
                <w:bCs/>
                <w:szCs w:val="21"/>
                <w:highlight w:val="none"/>
              </w:rPr>
              <w:t>编列内容</w:t>
            </w:r>
          </w:p>
        </w:tc>
      </w:tr>
      <w:tr w14:paraId="081D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EB384A8">
            <w:pPr>
              <w:jc w:val="center"/>
              <w:outlineLvl w:val="9"/>
              <w:rPr>
                <w:rFonts w:ascii="宋体" w:hAnsi="宋体" w:cs="宋体"/>
                <w:b/>
                <w:bCs/>
                <w:szCs w:val="21"/>
                <w:highlight w:val="none"/>
              </w:rPr>
            </w:pPr>
            <w:r>
              <w:rPr>
                <w:rFonts w:hint="eastAsia" w:ascii="宋体" w:hAnsi="宋体" w:cs="宋体"/>
                <w:b/>
                <w:bCs/>
                <w:szCs w:val="21"/>
                <w:highlight w:val="none"/>
              </w:rPr>
              <w:t>2.1</w:t>
            </w:r>
          </w:p>
        </w:tc>
        <w:tc>
          <w:tcPr>
            <w:tcW w:w="1846" w:type="dxa"/>
            <w:tcBorders>
              <w:top w:val="single" w:color="auto" w:sz="4" w:space="0"/>
              <w:left w:val="single" w:color="auto" w:sz="4" w:space="0"/>
              <w:bottom w:val="single" w:color="auto" w:sz="4" w:space="0"/>
              <w:right w:val="single" w:color="auto" w:sz="4" w:space="0"/>
            </w:tcBorders>
            <w:vAlign w:val="center"/>
          </w:tcPr>
          <w:p w14:paraId="000A9A08">
            <w:pPr>
              <w:outlineLvl w:val="9"/>
              <w:rPr>
                <w:rFonts w:ascii="宋体" w:hAnsi="宋体" w:cs="宋体"/>
                <w:b/>
                <w:bCs/>
                <w:szCs w:val="21"/>
                <w:highlight w:val="none"/>
              </w:rPr>
            </w:pPr>
            <w:r>
              <w:rPr>
                <w:rFonts w:hint="eastAsia" w:ascii="宋体" w:hAnsi="宋体" w:cs="宋体"/>
                <w:b/>
                <w:bCs/>
                <w:szCs w:val="21"/>
                <w:highlight w:val="none"/>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6C36BC54">
            <w:pPr>
              <w:outlineLvl w:val="9"/>
              <w:rPr>
                <w:rFonts w:ascii="宋体" w:hAnsi="宋体" w:cs="宋体"/>
                <w:szCs w:val="21"/>
                <w:highlight w:val="none"/>
              </w:rPr>
            </w:pPr>
            <w:r>
              <w:rPr>
                <w:rFonts w:hint="eastAsia" w:ascii="宋体" w:hAnsi="宋体" w:cs="宋体"/>
                <w:szCs w:val="21"/>
                <w:highlight w:val="none"/>
              </w:rPr>
              <w:t>详见第一章采购公告</w:t>
            </w:r>
          </w:p>
        </w:tc>
      </w:tr>
      <w:tr w14:paraId="2F61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7A55360">
            <w:pPr>
              <w:jc w:val="center"/>
              <w:outlineLvl w:val="9"/>
              <w:rPr>
                <w:rFonts w:ascii="宋体" w:hAnsi="宋体" w:cs="宋体"/>
                <w:b/>
                <w:bCs/>
                <w:szCs w:val="21"/>
                <w:highlight w:val="none"/>
              </w:rPr>
            </w:pPr>
            <w:r>
              <w:rPr>
                <w:rFonts w:hint="eastAsia" w:ascii="宋体" w:hAnsi="宋体" w:cs="宋体"/>
                <w:b/>
                <w:bCs/>
                <w:szCs w:val="21"/>
                <w:highlight w:val="none"/>
              </w:rPr>
              <w:t>4.1</w:t>
            </w:r>
          </w:p>
        </w:tc>
        <w:tc>
          <w:tcPr>
            <w:tcW w:w="1846" w:type="dxa"/>
            <w:tcBorders>
              <w:top w:val="single" w:color="auto" w:sz="4" w:space="0"/>
              <w:left w:val="single" w:color="auto" w:sz="4" w:space="0"/>
              <w:bottom w:val="single" w:color="auto" w:sz="4" w:space="0"/>
              <w:right w:val="single" w:color="auto" w:sz="4" w:space="0"/>
            </w:tcBorders>
            <w:vAlign w:val="center"/>
          </w:tcPr>
          <w:p w14:paraId="772BD743">
            <w:pPr>
              <w:outlineLvl w:val="9"/>
              <w:rPr>
                <w:rFonts w:ascii="宋体" w:hAnsi="宋体" w:cs="宋体"/>
                <w:b/>
                <w:bCs/>
                <w:color w:val="000000"/>
                <w:szCs w:val="21"/>
                <w:highlight w:val="none"/>
              </w:rPr>
            </w:pPr>
            <w:r>
              <w:rPr>
                <w:rFonts w:hint="eastAsia" w:ascii="宋体" w:hAnsi="宋体" w:cs="宋体"/>
                <w:b/>
                <w:bCs/>
                <w:color w:val="000000"/>
                <w:szCs w:val="21"/>
                <w:highlight w:val="none"/>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26951AE4">
            <w:pPr>
              <w:outlineLvl w:val="9"/>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不组织</w:t>
            </w:r>
          </w:p>
          <w:p w14:paraId="47D1D156">
            <w:pPr>
              <w:outlineLvl w:val="9"/>
              <w:rPr>
                <w:rFonts w:ascii="宋体" w:hAnsi="宋体" w:cs="宋体"/>
                <w:color w:val="000000"/>
                <w:szCs w:val="22"/>
                <w:highlight w:val="none"/>
              </w:rPr>
            </w:pPr>
            <w:r>
              <w:rPr>
                <w:rFonts w:hint="eastAsia" w:ascii="宋体" w:hAnsi="宋体" w:cs="宋体"/>
                <w:color w:val="000000"/>
                <w:szCs w:val="22"/>
                <w:highlight w:val="none"/>
              </w:rPr>
              <w:t>□组织，踏勘时间：</w:t>
            </w:r>
            <w:r>
              <w:rPr>
                <w:rFonts w:hint="eastAsia" w:ascii="宋体" w:hAnsi="宋体" w:cs="宋体"/>
                <w:color w:val="000000"/>
                <w:szCs w:val="22"/>
                <w:highlight w:val="none"/>
                <w:u w:val="single"/>
              </w:rPr>
              <w:t xml:space="preserve">            </w:t>
            </w:r>
          </w:p>
          <w:p w14:paraId="4037466A">
            <w:pPr>
              <w:outlineLvl w:val="9"/>
              <w:rPr>
                <w:rFonts w:ascii="宋体" w:hAnsi="宋体" w:cs="宋体"/>
                <w:color w:val="000000"/>
                <w:szCs w:val="21"/>
                <w:highlight w:val="none"/>
              </w:rPr>
            </w:pPr>
            <w:r>
              <w:rPr>
                <w:rFonts w:hint="eastAsia" w:ascii="宋体" w:hAnsi="宋体" w:cs="宋体"/>
                <w:color w:val="000000"/>
                <w:szCs w:val="22"/>
                <w:highlight w:val="none"/>
              </w:rPr>
              <w:t>踏勘集中地点：</w:t>
            </w:r>
            <w:r>
              <w:rPr>
                <w:rFonts w:hint="eastAsia" w:ascii="宋体" w:hAnsi="宋体" w:cs="宋体"/>
                <w:color w:val="000000"/>
                <w:szCs w:val="22"/>
                <w:highlight w:val="none"/>
                <w:u w:val="single"/>
              </w:rPr>
              <w:t xml:space="preserve">                </w:t>
            </w:r>
          </w:p>
        </w:tc>
      </w:tr>
      <w:tr w14:paraId="4E00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F27287F">
            <w:pPr>
              <w:jc w:val="center"/>
              <w:outlineLvl w:val="9"/>
              <w:rPr>
                <w:rFonts w:ascii="宋体" w:hAnsi="宋体" w:cs="宋体"/>
                <w:b/>
                <w:bCs/>
                <w:szCs w:val="21"/>
                <w:highlight w:val="none"/>
              </w:rPr>
            </w:pPr>
            <w:r>
              <w:rPr>
                <w:rFonts w:hint="eastAsia" w:ascii="宋体" w:hAnsi="宋体" w:cs="宋体"/>
                <w:b/>
                <w:bCs/>
                <w:szCs w:val="21"/>
                <w:highlight w:val="none"/>
              </w:rPr>
              <w:t>6.1</w:t>
            </w:r>
          </w:p>
        </w:tc>
        <w:tc>
          <w:tcPr>
            <w:tcW w:w="1846" w:type="dxa"/>
            <w:tcBorders>
              <w:top w:val="single" w:color="auto" w:sz="4" w:space="0"/>
              <w:left w:val="single" w:color="auto" w:sz="4" w:space="0"/>
              <w:bottom w:val="single" w:color="auto" w:sz="4" w:space="0"/>
              <w:right w:val="single" w:color="auto" w:sz="4" w:space="0"/>
            </w:tcBorders>
            <w:vAlign w:val="center"/>
          </w:tcPr>
          <w:p w14:paraId="7F6ABFDA">
            <w:pPr>
              <w:outlineLvl w:val="9"/>
              <w:rPr>
                <w:rFonts w:ascii="宋体" w:hAnsi="宋体" w:cs="宋体"/>
                <w:b/>
                <w:bCs/>
                <w:szCs w:val="21"/>
                <w:highlight w:val="none"/>
              </w:rPr>
            </w:pPr>
            <w:r>
              <w:rPr>
                <w:rFonts w:hint="eastAsia" w:ascii="宋体" w:hAnsi="宋体" w:cs="宋体"/>
                <w:b/>
                <w:bCs/>
                <w:szCs w:val="21"/>
                <w:highlight w:val="none"/>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3F71648A">
            <w:pPr>
              <w:outlineLvl w:val="9"/>
              <w:rPr>
                <w:rFonts w:ascii="宋体" w:hAnsi="宋体" w:cs="宋体"/>
                <w:szCs w:val="21"/>
                <w:highlight w:val="none"/>
              </w:rPr>
            </w:pPr>
            <w:r>
              <w:rPr>
                <w:rFonts w:hint="eastAsia" w:ascii="宋体" w:hAnsi="宋体" w:cs="宋体"/>
                <w:szCs w:val="21"/>
                <w:highlight w:val="none"/>
              </w:rPr>
              <w:t>供应商需在</w:t>
            </w:r>
            <w:r>
              <w:rPr>
                <w:rFonts w:hint="eastAsia" w:ascii="宋体" w:hAnsi="宋体" w:cs="宋体"/>
                <w:color w:val="auto"/>
                <w:sz w:val="21"/>
                <w:szCs w:val="21"/>
                <w:highlight w:val="none"/>
                <w:u w:val="single"/>
                <w:lang w:eastAsia="zh-CN"/>
              </w:rPr>
              <w:t xml:space="preserve"> </w:t>
            </w:r>
            <w:r>
              <w:rPr>
                <w:rFonts w:hint="eastAsia" w:ascii="宋体" w:hAnsi="宋体" w:cs="宋体"/>
                <w:color w:val="auto"/>
                <w:sz w:val="21"/>
                <w:szCs w:val="21"/>
                <w:highlight w:val="none"/>
                <w:u w:val="single"/>
                <w:lang w:val="en-US" w:eastAsia="zh-CN"/>
              </w:rPr>
              <w:t xml:space="preserve">2026 </w:t>
            </w:r>
            <w:r>
              <w:rPr>
                <w:rFonts w:hint="eastAsia" w:ascii="宋体" w:hAnsi="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 xml:space="preserve"> 11 </w:t>
            </w:r>
            <w:r>
              <w:rPr>
                <w:rFonts w:hint="eastAsia" w:ascii="宋体" w:hAnsi="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 xml:space="preserve"> 6 </w:t>
            </w:r>
            <w:r>
              <w:rPr>
                <w:rFonts w:hint="eastAsia" w:ascii="宋体" w:hAnsi="宋体" w:cs="宋体"/>
                <w:color w:val="auto"/>
                <w:sz w:val="21"/>
                <w:szCs w:val="21"/>
                <w:highlight w:val="none"/>
                <w:u w:val="single"/>
              </w:rPr>
              <w:t>日</w:t>
            </w:r>
            <w:r>
              <w:rPr>
                <w:rFonts w:hint="eastAsia" w:ascii="宋体" w:hAnsi="宋体" w:cs="宋体"/>
                <w:szCs w:val="21"/>
                <w:highlight w:val="none"/>
              </w:rPr>
              <w:t>前发出澄清问题，采购人将在收到澄清后24小时内回复。</w:t>
            </w:r>
          </w:p>
        </w:tc>
      </w:tr>
      <w:tr w14:paraId="5022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2A69B77">
            <w:pPr>
              <w:jc w:val="center"/>
              <w:outlineLvl w:val="9"/>
              <w:rPr>
                <w:rFonts w:ascii="宋体" w:hAnsi="宋体" w:cs="宋体"/>
                <w:b/>
                <w:bCs/>
                <w:szCs w:val="21"/>
                <w:highlight w:val="none"/>
              </w:rPr>
            </w:pPr>
            <w:r>
              <w:rPr>
                <w:rFonts w:hint="eastAsia" w:ascii="宋体" w:hAnsi="宋体" w:cs="宋体"/>
                <w:b/>
                <w:bCs/>
                <w:szCs w:val="21"/>
                <w:highlight w:val="none"/>
              </w:rPr>
              <w:t>9.1</w:t>
            </w:r>
          </w:p>
        </w:tc>
        <w:tc>
          <w:tcPr>
            <w:tcW w:w="1846" w:type="dxa"/>
            <w:tcBorders>
              <w:top w:val="single" w:color="auto" w:sz="4" w:space="0"/>
              <w:left w:val="single" w:color="auto" w:sz="4" w:space="0"/>
              <w:bottom w:val="single" w:color="auto" w:sz="4" w:space="0"/>
              <w:right w:val="single" w:color="auto" w:sz="4" w:space="0"/>
            </w:tcBorders>
            <w:vAlign w:val="center"/>
          </w:tcPr>
          <w:p w14:paraId="0C47E0FB">
            <w:pPr>
              <w:outlineLvl w:val="9"/>
              <w:rPr>
                <w:rFonts w:ascii="宋体" w:hAnsi="宋体" w:cs="宋体"/>
                <w:b/>
                <w:bCs/>
                <w:szCs w:val="21"/>
                <w:highlight w:val="none"/>
              </w:rPr>
            </w:pPr>
            <w:r>
              <w:rPr>
                <w:rFonts w:hint="eastAsia" w:ascii="宋体" w:hAnsi="宋体" w:cs="宋体"/>
                <w:b/>
                <w:bCs/>
                <w:szCs w:val="21"/>
                <w:highlight w:val="none"/>
              </w:rPr>
              <w:t>报价方法</w:t>
            </w:r>
          </w:p>
        </w:tc>
        <w:tc>
          <w:tcPr>
            <w:tcW w:w="6505" w:type="dxa"/>
            <w:tcBorders>
              <w:top w:val="single" w:color="auto" w:sz="4" w:space="0"/>
              <w:left w:val="single" w:color="auto" w:sz="4" w:space="0"/>
              <w:bottom w:val="single" w:color="auto" w:sz="4" w:space="0"/>
              <w:right w:val="single" w:color="auto" w:sz="4" w:space="0"/>
            </w:tcBorders>
            <w:vAlign w:val="center"/>
          </w:tcPr>
          <w:p w14:paraId="570816F8">
            <w:pPr>
              <w:jc w:val="left"/>
              <w:outlineLvl w:val="9"/>
              <w:rPr>
                <w:rFonts w:ascii="宋体" w:hAnsi="宋体" w:cs="宋体"/>
                <w:bCs/>
                <w:highlight w:val="none"/>
              </w:rPr>
            </w:pPr>
            <w:r>
              <w:rPr>
                <w:rFonts w:hint="eastAsia" w:ascii="宋体" w:hAnsi="宋体" w:cs="宋体"/>
                <w:bCs/>
                <w:highlight w:val="none"/>
              </w:rPr>
              <w:t>1.本项目的报价采用包干价（含税）的形式。</w:t>
            </w:r>
          </w:p>
          <w:p w14:paraId="65855E14">
            <w:pPr>
              <w:outlineLvl w:val="9"/>
              <w:rPr>
                <w:rFonts w:ascii="宋体" w:hAnsi="宋体" w:cs="宋体"/>
                <w:szCs w:val="21"/>
                <w:highlight w:val="none"/>
              </w:rPr>
            </w:pPr>
            <w:r>
              <w:rPr>
                <w:rFonts w:hint="eastAsia" w:ascii="宋体" w:hAnsi="宋体" w:cs="宋体"/>
                <w:bCs/>
                <w:szCs w:val="22"/>
                <w:highlight w:val="none"/>
              </w:rPr>
              <w:t>2.</w:t>
            </w:r>
            <w:r>
              <w:rPr>
                <w:rFonts w:hint="eastAsia" w:ascii="宋体" w:hAnsi="宋体" w:cs="宋体"/>
                <w:kern w:val="0"/>
                <w:szCs w:val="21"/>
                <w:highlight w:val="none"/>
              </w:rPr>
              <w:t>供应商</w:t>
            </w:r>
            <w:r>
              <w:rPr>
                <w:rFonts w:hint="eastAsia" w:ascii="宋体" w:hAnsi="宋体" w:cs="宋体"/>
                <w:bCs/>
                <w:szCs w:val="22"/>
                <w:highlight w:val="none"/>
              </w:rPr>
              <w:t>的报价应包含为完成本项目范围的所有工作的全部费用，包括但不限于人</w:t>
            </w:r>
            <w:r>
              <w:rPr>
                <w:rFonts w:hint="eastAsia" w:ascii="宋体" w:hAnsi="宋体" w:cs="宋体"/>
                <w:bCs/>
                <w:szCs w:val="22"/>
                <w:highlight w:val="none"/>
                <w:lang w:val="en-US" w:eastAsia="zh-CN"/>
              </w:rPr>
              <w:t>工</w:t>
            </w:r>
            <w:r>
              <w:rPr>
                <w:rFonts w:hint="eastAsia" w:ascii="宋体" w:hAnsi="宋体" w:cs="宋体"/>
                <w:bCs/>
                <w:szCs w:val="22"/>
                <w:highlight w:val="none"/>
              </w:rPr>
              <w:t>、材料、工器具、车辆、运费、利润、保险、</w:t>
            </w:r>
            <w:r>
              <w:rPr>
                <w:rFonts w:hint="eastAsia" w:ascii="宋体" w:hAnsi="宋体" w:cs="宋体"/>
                <w:bCs/>
                <w:szCs w:val="22"/>
                <w:highlight w:val="none"/>
                <w:lang w:eastAsia="zh-CN"/>
              </w:rPr>
              <w:t>税率</w:t>
            </w:r>
            <w:bookmarkStart w:id="783" w:name="_GoBack"/>
            <w:bookmarkEnd w:id="783"/>
            <w:r>
              <w:rPr>
                <w:rFonts w:hint="eastAsia" w:ascii="宋体" w:hAnsi="宋体" w:cs="宋体"/>
                <w:bCs/>
                <w:szCs w:val="22"/>
                <w:highlight w:val="none"/>
              </w:rPr>
              <w:t>及其他与此相关的所有费用。在采购范围内不得以任何理由予以重复报价。成交后，在采购范围内采购人不再支付与本项目有关的其他任何费用。</w:t>
            </w:r>
          </w:p>
        </w:tc>
      </w:tr>
      <w:tr w14:paraId="50079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E5705D2">
            <w:pPr>
              <w:jc w:val="center"/>
              <w:outlineLvl w:val="9"/>
              <w:rPr>
                <w:rFonts w:ascii="宋体" w:hAnsi="宋体" w:cs="宋体"/>
                <w:b/>
                <w:bCs/>
                <w:szCs w:val="21"/>
                <w:highlight w:val="none"/>
              </w:rPr>
            </w:pPr>
            <w:r>
              <w:rPr>
                <w:rFonts w:hint="eastAsia" w:ascii="宋体" w:hAnsi="宋体" w:cs="宋体"/>
                <w:b/>
                <w:bCs/>
                <w:szCs w:val="21"/>
                <w:highlight w:val="none"/>
              </w:rPr>
              <w:t>9.6</w:t>
            </w:r>
          </w:p>
        </w:tc>
        <w:tc>
          <w:tcPr>
            <w:tcW w:w="1846" w:type="dxa"/>
            <w:tcBorders>
              <w:top w:val="single" w:color="auto" w:sz="4" w:space="0"/>
              <w:left w:val="single" w:color="auto" w:sz="4" w:space="0"/>
              <w:bottom w:val="single" w:color="auto" w:sz="4" w:space="0"/>
              <w:right w:val="single" w:color="auto" w:sz="4" w:space="0"/>
            </w:tcBorders>
            <w:vAlign w:val="center"/>
          </w:tcPr>
          <w:p w14:paraId="0C34929B">
            <w:pPr>
              <w:outlineLvl w:val="9"/>
              <w:rPr>
                <w:rFonts w:ascii="宋体" w:hAnsi="宋体" w:cs="宋体"/>
                <w:b/>
                <w:bCs/>
                <w:szCs w:val="21"/>
                <w:highlight w:val="none"/>
              </w:rPr>
            </w:pPr>
            <w:r>
              <w:rPr>
                <w:rFonts w:hint="eastAsia" w:ascii="宋体" w:hAnsi="宋体" w:cs="宋体"/>
                <w:b/>
                <w:bCs/>
                <w:szCs w:val="21"/>
                <w:highlight w:val="none"/>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1915A5A5">
            <w:pPr>
              <w:outlineLvl w:val="9"/>
              <w:rPr>
                <w:rFonts w:ascii="宋体" w:hAnsi="宋体" w:cs="宋体"/>
                <w:kern w:val="0"/>
                <w:sz w:val="22"/>
                <w:szCs w:val="22"/>
                <w:highlight w:val="none"/>
              </w:rPr>
            </w:pPr>
            <w:r>
              <w:rPr>
                <w:rFonts w:hint="eastAsia" w:ascii="宋体" w:hAnsi="宋体" w:cs="宋体"/>
                <w:szCs w:val="22"/>
                <w:highlight w:val="none"/>
                <w:lang w:eastAsia="zh-CN"/>
              </w:rPr>
              <w:t>□</w:t>
            </w:r>
            <w:r>
              <w:rPr>
                <w:rFonts w:hint="eastAsia" w:ascii="宋体" w:hAnsi="宋体" w:cs="宋体"/>
                <w:szCs w:val="22"/>
                <w:highlight w:val="none"/>
              </w:rPr>
              <w:t>无</w:t>
            </w:r>
          </w:p>
          <w:p w14:paraId="2D5C2979">
            <w:pPr>
              <w:outlineLvl w:val="9"/>
              <w:rPr>
                <w:rFonts w:ascii="宋体" w:hAnsi="宋体" w:cs="宋体"/>
                <w:szCs w:val="21"/>
                <w:highlight w:val="none"/>
              </w:rPr>
            </w:pPr>
            <w:r>
              <w:rPr>
                <w:rFonts w:hint="eastAsia" w:ascii="宋体" w:hAnsi="宋体" w:cs="宋体"/>
                <w:szCs w:val="22"/>
                <w:highlight w:val="none"/>
                <w:lang w:eastAsia="zh-CN"/>
              </w:rPr>
              <w:t>☑</w:t>
            </w:r>
            <w:r>
              <w:rPr>
                <w:rFonts w:hint="eastAsia" w:ascii="宋体" w:hAnsi="宋体" w:cs="宋体"/>
                <w:szCs w:val="22"/>
                <w:highlight w:val="none"/>
              </w:rPr>
              <w:t>有，最高限价：</w:t>
            </w:r>
            <w:r>
              <w:rPr>
                <w:rFonts w:hint="eastAsia" w:ascii="宋体" w:hAnsi="宋体" w:cs="宋体"/>
                <w:szCs w:val="22"/>
                <w:highlight w:val="none"/>
                <w:u w:val="single"/>
                <w:lang w:val="en-US" w:eastAsia="zh-CN"/>
              </w:rPr>
              <w:t>98</w:t>
            </w:r>
            <w:r>
              <w:rPr>
                <w:rFonts w:hint="eastAsia" w:ascii="宋体" w:hAnsi="宋体" w:cs="宋体"/>
                <w:szCs w:val="22"/>
                <w:highlight w:val="none"/>
                <w:u w:val="single"/>
              </w:rPr>
              <w:t>万元</w:t>
            </w:r>
            <w:r>
              <w:rPr>
                <w:rFonts w:hint="eastAsia" w:ascii="宋体" w:hAnsi="宋体" w:cs="宋体"/>
                <w:szCs w:val="22"/>
                <w:highlight w:val="none"/>
                <w:u w:val="single"/>
                <w:lang w:eastAsia="zh-CN"/>
              </w:rPr>
              <w:t>（</w:t>
            </w:r>
            <w:r>
              <w:rPr>
                <w:rFonts w:hint="eastAsia" w:ascii="宋体" w:hAnsi="宋体" w:cs="宋体"/>
                <w:szCs w:val="22"/>
                <w:highlight w:val="none"/>
                <w:u w:val="single"/>
                <w:lang w:val="en-US" w:eastAsia="zh-CN"/>
              </w:rPr>
              <w:t>大写：玖拾捌万元</w:t>
            </w:r>
            <w:r>
              <w:rPr>
                <w:rFonts w:hint="eastAsia" w:ascii="宋体" w:hAnsi="宋体" w:cs="宋体"/>
                <w:szCs w:val="22"/>
                <w:highlight w:val="none"/>
                <w:u w:val="single"/>
                <w:lang w:eastAsia="zh-CN"/>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供应商</w:t>
            </w:r>
            <w:r>
              <w:rPr>
                <w:rFonts w:hint="eastAsia" w:ascii="宋体" w:hAnsi="宋体" w:eastAsia="宋体" w:cs="宋体"/>
                <w:snapToGrid w:val="0"/>
                <w:color w:val="000000" w:themeColor="text1"/>
                <w:kern w:val="0"/>
                <w:sz w:val="24"/>
                <w:szCs w:val="24"/>
                <w:highlight w:val="none"/>
                <w14:textFill>
                  <w14:solidFill>
                    <w14:schemeClr w14:val="tx1"/>
                  </w14:solidFill>
                </w14:textFill>
              </w:rPr>
              <w:t>的投标总报价不得超过此最高投标限价，若超过则其投标文件作否决投标处理</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p>
        </w:tc>
      </w:tr>
      <w:tr w14:paraId="0B88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B0B25E1">
            <w:pPr>
              <w:jc w:val="center"/>
              <w:outlineLvl w:val="9"/>
              <w:rPr>
                <w:rFonts w:ascii="宋体" w:hAnsi="宋体" w:cs="宋体"/>
                <w:b/>
                <w:bCs/>
                <w:szCs w:val="21"/>
                <w:highlight w:val="none"/>
              </w:rPr>
            </w:pPr>
            <w:r>
              <w:rPr>
                <w:rFonts w:hint="eastAsia" w:ascii="宋体" w:hAnsi="宋体" w:cs="宋体"/>
                <w:b/>
                <w:bCs/>
                <w:szCs w:val="21"/>
                <w:highlight w:val="none"/>
              </w:rPr>
              <w:t>10</w:t>
            </w:r>
          </w:p>
        </w:tc>
        <w:tc>
          <w:tcPr>
            <w:tcW w:w="1846" w:type="dxa"/>
            <w:tcBorders>
              <w:top w:val="single" w:color="auto" w:sz="4" w:space="0"/>
              <w:left w:val="single" w:color="auto" w:sz="4" w:space="0"/>
              <w:bottom w:val="single" w:color="auto" w:sz="4" w:space="0"/>
              <w:right w:val="single" w:color="auto" w:sz="4" w:space="0"/>
            </w:tcBorders>
            <w:vAlign w:val="center"/>
          </w:tcPr>
          <w:p w14:paraId="4EE10E76">
            <w:pPr>
              <w:outlineLvl w:val="9"/>
              <w:rPr>
                <w:rFonts w:ascii="宋体" w:hAnsi="宋体" w:cs="宋体"/>
                <w:b/>
                <w:bCs/>
                <w:szCs w:val="21"/>
                <w:highlight w:val="none"/>
              </w:rPr>
            </w:pPr>
            <w:r>
              <w:rPr>
                <w:rFonts w:hint="eastAsia" w:ascii="宋体" w:hAnsi="宋体" w:cs="宋体"/>
                <w:b/>
                <w:bCs/>
                <w:szCs w:val="21"/>
                <w:highlight w:val="none"/>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3F06C5BB">
            <w:pPr>
              <w:outlineLvl w:val="9"/>
              <w:rPr>
                <w:rFonts w:ascii="宋体" w:hAnsi="宋体" w:cs="宋体"/>
                <w:szCs w:val="21"/>
                <w:highlight w:val="none"/>
              </w:rPr>
            </w:pPr>
            <w:r>
              <w:rPr>
                <w:rFonts w:hint="eastAsia" w:ascii="宋体" w:hAnsi="宋体" w:cs="宋体"/>
                <w:szCs w:val="21"/>
                <w:highlight w:val="none"/>
              </w:rPr>
              <w:t>人民币</w:t>
            </w:r>
          </w:p>
        </w:tc>
      </w:tr>
      <w:tr w14:paraId="3A6C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A2900C6">
            <w:pPr>
              <w:jc w:val="center"/>
              <w:outlineLvl w:val="9"/>
              <w:rPr>
                <w:rFonts w:ascii="宋体" w:hAnsi="宋体" w:cs="宋体"/>
                <w:b/>
                <w:bCs/>
                <w:szCs w:val="21"/>
                <w:highlight w:val="none"/>
              </w:rPr>
            </w:pPr>
            <w:r>
              <w:rPr>
                <w:rFonts w:hint="eastAsia" w:ascii="宋体" w:hAnsi="宋体" w:cs="宋体"/>
                <w:b/>
                <w:bCs/>
                <w:szCs w:val="21"/>
                <w:highlight w:val="none"/>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48DD76AC">
            <w:pPr>
              <w:outlineLvl w:val="9"/>
              <w:rPr>
                <w:rFonts w:ascii="宋体" w:hAnsi="宋体" w:cs="宋体"/>
                <w:b/>
                <w:bCs/>
                <w:szCs w:val="21"/>
                <w:highlight w:val="none"/>
              </w:rPr>
            </w:pPr>
            <w:r>
              <w:rPr>
                <w:rFonts w:hint="eastAsia" w:ascii="宋体" w:hAnsi="宋体" w:cs="宋体"/>
                <w:b/>
                <w:bCs/>
                <w:szCs w:val="21"/>
                <w:highlight w:val="none"/>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1FD9A2DA">
            <w:pPr>
              <w:outlineLvl w:val="9"/>
              <w:rPr>
                <w:rFonts w:ascii="宋体" w:hAnsi="宋体" w:cs="宋体"/>
                <w:kern w:val="0"/>
                <w:sz w:val="22"/>
                <w:szCs w:val="22"/>
                <w:highlight w:val="none"/>
              </w:rPr>
            </w:pPr>
            <w:r>
              <w:rPr>
                <w:rFonts w:hint="eastAsia" w:ascii="宋体" w:hAnsi="宋体" w:cs="宋体"/>
                <w:szCs w:val="22"/>
                <w:highlight w:val="none"/>
              </w:rPr>
              <w:sym w:font="Wingdings 2" w:char="0052"/>
            </w:r>
            <w:r>
              <w:rPr>
                <w:rFonts w:hint="eastAsia" w:ascii="宋体" w:hAnsi="宋体" w:cs="宋体"/>
                <w:szCs w:val="22"/>
                <w:highlight w:val="none"/>
              </w:rPr>
              <w:t>无</w:t>
            </w:r>
          </w:p>
          <w:p w14:paraId="18715771">
            <w:pPr>
              <w:outlineLvl w:val="9"/>
              <w:rPr>
                <w:rFonts w:ascii="宋体" w:hAnsi="宋体" w:cs="宋体"/>
                <w:szCs w:val="22"/>
                <w:highlight w:val="none"/>
              </w:rPr>
            </w:pPr>
            <w:r>
              <w:rPr>
                <w:rFonts w:hint="eastAsia" w:ascii="宋体" w:hAnsi="宋体" w:cs="宋体"/>
                <w:szCs w:val="22"/>
                <w:highlight w:val="none"/>
              </w:rPr>
              <w:t>□有</w:t>
            </w:r>
            <w:r>
              <w:rPr>
                <w:rFonts w:hint="eastAsia" w:ascii="宋体" w:hAnsi="宋体" w:cs="宋体"/>
                <w:color w:val="000000"/>
                <w:szCs w:val="22"/>
                <w:highlight w:val="none"/>
              </w:rPr>
              <w:t>，按照以下方式：</w:t>
            </w:r>
            <w:r>
              <w:rPr>
                <w:rFonts w:hint="eastAsia" w:ascii="宋体" w:hAnsi="宋体" w:cs="宋体"/>
                <w:color w:val="000000"/>
                <w:szCs w:val="22"/>
                <w:highlight w:val="none"/>
                <w:u w:val="single"/>
              </w:rPr>
              <w:t xml:space="preserve">                 </w:t>
            </w:r>
          </w:p>
          <w:p w14:paraId="27651999">
            <w:pPr>
              <w:outlineLvl w:val="9"/>
              <w:rPr>
                <w:rFonts w:ascii="宋体" w:hAnsi="宋体" w:cs="宋体"/>
                <w:color w:val="000000"/>
                <w:szCs w:val="22"/>
                <w:highlight w:val="none"/>
                <w:u w:val="single"/>
              </w:rPr>
            </w:pPr>
            <w:r>
              <w:rPr>
                <w:rFonts w:hint="eastAsia" w:ascii="宋体" w:hAnsi="宋体" w:cs="宋体"/>
                <w:color w:val="000000"/>
                <w:szCs w:val="22"/>
                <w:highlight w:val="none"/>
              </w:rPr>
              <w:t>响应保证金的金额：</w:t>
            </w:r>
            <w:r>
              <w:rPr>
                <w:rFonts w:hint="eastAsia" w:ascii="宋体" w:hAnsi="宋体" w:cs="宋体"/>
                <w:color w:val="000000"/>
                <w:szCs w:val="22"/>
                <w:highlight w:val="none"/>
                <w:u w:val="single"/>
              </w:rPr>
              <w:t xml:space="preserve">                   </w:t>
            </w:r>
          </w:p>
          <w:p w14:paraId="5A12462E">
            <w:pPr>
              <w:outlineLvl w:val="9"/>
              <w:rPr>
                <w:rFonts w:ascii="宋体" w:hAnsi="宋体" w:cs="宋体"/>
                <w:color w:val="000000"/>
                <w:szCs w:val="22"/>
                <w:highlight w:val="none"/>
                <w:u w:val="single"/>
              </w:rPr>
            </w:pPr>
            <w:r>
              <w:rPr>
                <w:rFonts w:hint="eastAsia" w:ascii="宋体" w:hAnsi="宋体" w:cs="宋体"/>
                <w:color w:val="000000"/>
                <w:szCs w:val="22"/>
                <w:highlight w:val="none"/>
              </w:rPr>
              <w:t>响应保证金的形式：</w:t>
            </w:r>
            <w:r>
              <w:rPr>
                <w:rFonts w:hint="eastAsia" w:ascii="宋体" w:hAnsi="宋体" w:cs="宋体"/>
                <w:color w:val="000000"/>
                <w:szCs w:val="22"/>
                <w:highlight w:val="none"/>
                <w:u w:val="single"/>
              </w:rPr>
              <w:t xml:space="preserve">                   </w:t>
            </w:r>
          </w:p>
          <w:p w14:paraId="248DD6A4">
            <w:pPr>
              <w:outlineLvl w:val="9"/>
              <w:rPr>
                <w:rFonts w:ascii="宋体" w:hAnsi="宋体" w:cs="宋体"/>
                <w:color w:val="000000"/>
                <w:szCs w:val="22"/>
                <w:highlight w:val="none"/>
              </w:rPr>
            </w:pPr>
            <w:r>
              <w:rPr>
                <w:rFonts w:hint="eastAsia" w:ascii="宋体" w:hAnsi="宋体" w:cs="宋体"/>
                <w:color w:val="000000"/>
                <w:szCs w:val="22"/>
                <w:highlight w:val="none"/>
              </w:rPr>
              <w:t>响应保证金的递交截止时间为：</w:t>
            </w:r>
            <w:r>
              <w:rPr>
                <w:rFonts w:hint="eastAsia" w:ascii="宋体" w:hAnsi="宋体" w:cs="宋体"/>
                <w:color w:val="000000"/>
                <w:szCs w:val="21"/>
                <w:highlight w:val="none"/>
                <w:u w:val="single"/>
              </w:rPr>
              <w:t xml:space="preserve">      </w:t>
            </w:r>
            <w:r>
              <w:rPr>
                <w:rFonts w:hint="eastAsia" w:ascii="宋体" w:hAnsi="宋体" w:cs="宋体"/>
                <w:color w:val="000000"/>
                <w:szCs w:val="22"/>
                <w:highlight w:val="none"/>
              </w:rPr>
              <w:t>年</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月</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日</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时之前</w:t>
            </w:r>
          </w:p>
          <w:p w14:paraId="42CBA43A">
            <w:pPr>
              <w:outlineLvl w:val="9"/>
              <w:rPr>
                <w:rFonts w:ascii="宋体" w:hAnsi="宋体" w:cs="宋体"/>
                <w:color w:val="000000"/>
                <w:szCs w:val="22"/>
                <w:highlight w:val="none"/>
              </w:rPr>
            </w:pPr>
            <w:r>
              <w:rPr>
                <w:rFonts w:hint="eastAsia" w:ascii="宋体" w:hAnsi="宋体" w:cs="宋体"/>
                <w:color w:val="000000"/>
                <w:szCs w:val="22"/>
                <w:highlight w:val="none"/>
              </w:rPr>
              <w:t>开户银行及账号如下：</w:t>
            </w:r>
          </w:p>
          <w:p w14:paraId="3035A419">
            <w:pPr>
              <w:outlineLvl w:val="9"/>
              <w:rPr>
                <w:rFonts w:ascii="宋体" w:hAnsi="宋体" w:cs="宋体"/>
                <w:color w:val="000000"/>
                <w:szCs w:val="22"/>
                <w:highlight w:val="none"/>
                <w:u w:val="single"/>
              </w:rPr>
            </w:pPr>
            <w:r>
              <w:rPr>
                <w:rFonts w:hint="eastAsia" w:ascii="宋体" w:hAnsi="宋体" w:cs="宋体"/>
                <w:color w:val="000000"/>
                <w:szCs w:val="22"/>
                <w:highlight w:val="none"/>
              </w:rPr>
              <w:t>账户名称：</w:t>
            </w:r>
            <w:r>
              <w:rPr>
                <w:rFonts w:hint="eastAsia" w:ascii="宋体" w:hAnsi="宋体" w:cs="宋体"/>
                <w:color w:val="000000"/>
                <w:szCs w:val="22"/>
                <w:highlight w:val="none"/>
                <w:u w:val="single"/>
              </w:rPr>
              <w:t xml:space="preserve">                    </w:t>
            </w:r>
          </w:p>
          <w:p w14:paraId="1B99EC53">
            <w:pPr>
              <w:outlineLvl w:val="9"/>
              <w:rPr>
                <w:rFonts w:ascii="宋体" w:hAnsi="宋体" w:cs="宋体"/>
                <w:color w:val="000000"/>
                <w:szCs w:val="22"/>
                <w:highlight w:val="none"/>
                <w:u w:val="single"/>
              </w:rPr>
            </w:pPr>
            <w:r>
              <w:rPr>
                <w:rFonts w:hint="eastAsia" w:ascii="宋体" w:hAnsi="宋体" w:cs="宋体"/>
                <w:color w:val="000000"/>
                <w:szCs w:val="22"/>
                <w:highlight w:val="none"/>
              </w:rPr>
              <w:t>开户银行：</w:t>
            </w:r>
            <w:r>
              <w:rPr>
                <w:rFonts w:hint="eastAsia" w:ascii="宋体" w:hAnsi="宋体" w:cs="宋体"/>
                <w:color w:val="000000"/>
                <w:szCs w:val="22"/>
                <w:highlight w:val="none"/>
                <w:u w:val="single"/>
              </w:rPr>
              <w:t xml:space="preserve">                    </w:t>
            </w:r>
          </w:p>
          <w:p w14:paraId="613044CE">
            <w:pPr>
              <w:outlineLvl w:val="9"/>
              <w:rPr>
                <w:rFonts w:ascii="宋体" w:hAnsi="宋体" w:cs="宋体"/>
                <w:szCs w:val="21"/>
                <w:highlight w:val="none"/>
              </w:rPr>
            </w:pPr>
            <w:r>
              <w:rPr>
                <w:rFonts w:hint="eastAsia" w:ascii="宋体" w:hAnsi="宋体" w:cs="宋体"/>
                <w:color w:val="000000"/>
                <w:szCs w:val="22"/>
                <w:highlight w:val="none"/>
              </w:rPr>
              <w:t>账    号：</w:t>
            </w:r>
            <w:r>
              <w:rPr>
                <w:rFonts w:hint="eastAsia" w:ascii="宋体" w:hAnsi="宋体" w:cs="宋体"/>
                <w:color w:val="000000"/>
                <w:szCs w:val="22"/>
                <w:highlight w:val="none"/>
                <w:u w:val="single"/>
              </w:rPr>
              <w:t xml:space="preserve">                    </w:t>
            </w:r>
          </w:p>
        </w:tc>
      </w:tr>
      <w:tr w14:paraId="5B69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3B0E9E0">
            <w:pPr>
              <w:jc w:val="center"/>
              <w:outlineLvl w:val="9"/>
              <w:rPr>
                <w:rFonts w:ascii="宋体" w:hAnsi="宋体" w:cs="宋体"/>
                <w:b/>
                <w:bCs/>
                <w:szCs w:val="21"/>
                <w:highlight w:val="none"/>
              </w:rPr>
            </w:pPr>
            <w:r>
              <w:rPr>
                <w:rFonts w:hint="eastAsia" w:ascii="宋体" w:hAnsi="宋体" w:cs="宋体"/>
                <w:b/>
                <w:bCs/>
                <w:szCs w:val="21"/>
                <w:highlight w:val="none"/>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1998C456">
            <w:pPr>
              <w:outlineLvl w:val="9"/>
              <w:rPr>
                <w:rFonts w:ascii="宋体" w:hAnsi="宋体" w:cs="宋体"/>
                <w:b/>
                <w:bCs/>
                <w:szCs w:val="21"/>
                <w:highlight w:val="none"/>
              </w:rPr>
            </w:pPr>
            <w:r>
              <w:rPr>
                <w:rFonts w:hint="eastAsia" w:ascii="宋体" w:hAnsi="宋体" w:cs="宋体"/>
                <w:b/>
                <w:bCs/>
                <w:szCs w:val="21"/>
                <w:highlight w:val="none"/>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2FDC6522">
            <w:pPr>
              <w:outlineLvl w:val="9"/>
              <w:rPr>
                <w:rFonts w:ascii="宋体" w:hAnsi="宋体" w:cs="宋体"/>
                <w:szCs w:val="21"/>
                <w:highlight w:val="none"/>
              </w:rPr>
            </w:pPr>
            <w:r>
              <w:rPr>
                <w:rFonts w:hint="eastAsia" w:ascii="宋体" w:hAnsi="宋体" w:cs="宋体"/>
                <w:szCs w:val="21"/>
                <w:highlight w:val="none"/>
              </w:rPr>
              <w:t>自响应文件递交截止时间起</w:t>
            </w:r>
            <w:r>
              <w:rPr>
                <w:rFonts w:hint="eastAsia" w:ascii="宋体" w:hAnsi="宋体" w:cs="宋体"/>
                <w:szCs w:val="21"/>
                <w:highlight w:val="none"/>
                <w:u w:val="single"/>
              </w:rPr>
              <w:t xml:space="preserve"> 90 </w:t>
            </w:r>
            <w:r>
              <w:rPr>
                <w:rFonts w:hint="eastAsia" w:ascii="宋体" w:hAnsi="宋体" w:cs="宋体"/>
                <w:szCs w:val="21"/>
                <w:highlight w:val="none"/>
              </w:rPr>
              <w:t>个日历日</w:t>
            </w:r>
          </w:p>
        </w:tc>
      </w:tr>
      <w:tr w14:paraId="553A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6DF32B7">
            <w:pPr>
              <w:jc w:val="center"/>
              <w:outlineLvl w:val="9"/>
              <w:rPr>
                <w:rFonts w:ascii="宋体" w:hAnsi="宋体" w:cs="宋体"/>
                <w:b/>
                <w:bCs/>
                <w:szCs w:val="21"/>
                <w:highlight w:val="none"/>
              </w:rPr>
            </w:pPr>
            <w:r>
              <w:rPr>
                <w:rFonts w:hint="eastAsia" w:ascii="宋体" w:hAnsi="宋体" w:cs="宋体"/>
                <w:b/>
                <w:bCs/>
                <w:szCs w:val="21"/>
                <w:highlight w:val="none"/>
              </w:rPr>
              <w:t>13</w:t>
            </w:r>
          </w:p>
        </w:tc>
        <w:tc>
          <w:tcPr>
            <w:tcW w:w="1846" w:type="dxa"/>
            <w:tcBorders>
              <w:top w:val="single" w:color="auto" w:sz="4" w:space="0"/>
              <w:left w:val="single" w:color="auto" w:sz="4" w:space="0"/>
              <w:bottom w:val="single" w:color="auto" w:sz="4" w:space="0"/>
              <w:right w:val="single" w:color="auto" w:sz="4" w:space="0"/>
            </w:tcBorders>
            <w:vAlign w:val="center"/>
          </w:tcPr>
          <w:p w14:paraId="2D47F3B1">
            <w:pPr>
              <w:outlineLvl w:val="9"/>
              <w:rPr>
                <w:rFonts w:ascii="宋体" w:hAnsi="宋体" w:cs="宋体"/>
                <w:b/>
                <w:bCs/>
                <w:szCs w:val="21"/>
                <w:highlight w:val="none"/>
              </w:rPr>
            </w:pPr>
            <w:r>
              <w:rPr>
                <w:rFonts w:hint="eastAsia" w:ascii="宋体" w:hAnsi="宋体" w:cs="宋体"/>
                <w:b/>
                <w:bCs/>
                <w:szCs w:val="21"/>
                <w:highlight w:val="none"/>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5454A04F">
            <w:pPr>
              <w:outlineLvl w:val="9"/>
              <w:rPr>
                <w:highlight w:val="none"/>
              </w:rPr>
            </w:pPr>
            <w:r>
              <w:rPr>
                <w:rFonts w:hint="eastAsia"/>
                <w:highlight w:val="none"/>
              </w:rPr>
              <w:t>响应文件递交截止时间：</w:t>
            </w:r>
            <w:r>
              <w:rPr>
                <w:rFonts w:hint="eastAsia" w:ascii="宋体" w:hAnsi="宋体" w:cs="宋体"/>
                <w:highlight w:val="none"/>
                <w:u w:val="single"/>
                <w:lang w:val="en-US" w:eastAsia="zh-CN"/>
              </w:rPr>
              <w:t>2026</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11 </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6 </w:t>
            </w:r>
            <w:r>
              <w:rPr>
                <w:rFonts w:hint="eastAsia" w:ascii="宋体" w:hAnsi="宋体" w:eastAsia="宋体" w:cs="宋体"/>
                <w:highlight w:val="none"/>
                <w:u w:val="single"/>
              </w:rPr>
              <w:t xml:space="preserve"> </w:t>
            </w:r>
            <w:r>
              <w:rPr>
                <w:rFonts w:hint="eastAsia" w:ascii="宋体" w:hAnsi="宋体" w:eastAsia="宋体" w:cs="宋体"/>
                <w:highlight w:val="none"/>
              </w:rPr>
              <w:t>日</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10 </w:t>
            </w:r>
            <w:r>
              <w:rPr>
                <w:rFonts w:hint="eastAsia" w:ascii="宋体" w:hAnsi="宋体" w:eastAsia="宋体" w:cs="宋体"/>
                <w:highlight w:val="none"/>
                <w:u w:val="single"/>
              </w:rPr>
              <w:t xml:space="preserve"> </w:t>
            </w:r>
            <w:r>
              <w:rPr>
                <w:rFonts w:hint="eastAsia" w:ascii="宋体" w:hAnsi="宋体" w:eastAsia="宋体" w:cs="宋体"/>
                <w:highlight w:val="none"/>
              </w:rPr>
              <w:t>时</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00 </w:t>
            </w:r>
            <w:r>
              <w:rPr>
                <w:rFonts w:hint="eastAsia" w:ascii="宋体" w:hAnsi="宋体" w:eastAsia="宋体" w:cs="宋体"/>
                <w:highlight w:val="none"/>
                <w:u w:val="single"/>
              </w:rPr>
              <w:t xml:space="preserve"> </w:t>
            </w:r>
            <w:r>
              <w:rPr>
                <w:rFonts w:hint="eastAsia" w:ascii="宋体" w:hAnsi="宋体" w:eastAsia="宋体" w:cs="宋体"/>
                <w:highlight w:val="none"/>
              </w:rPr>
              <w:t>分</w:t>
            </w:r>
          </w:p>
        </w:tc>
      </w:tr>
      <w:tr w14:paraId="5825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BD54EB0">
            <w:pPr>
              <w:jc w:val="center"/>
              <w:outlineLvl w:val="9"/>
              <w:rPr>
                <w:rFonts w:ascii="宋体" w:hAnsi="宋体" w:cs="宋体"/>
                <w:b/>
                <w:bCs/>
                <w:szCs w:val="21"/>
                <w:highlight w:val="none"/>
              </w:rPr>
            </w:pPr>
            <w:r>
              <w:rPr>
                <w:rFonts w:hint="eastAsia" w:ascii="宋体" w:hAnsi="宋体" w:cs="宋体"/>
                <w:b/>
                <w:bCs/>
                <w:szCs w:val="21"/>
                <w:highlight w:val="none"/>
              </w:rPr>
              <w:t>15.1</w:t>
            </w:r>
          </w:p>
        </w:tc>
        <w:tc>
          <w:tcPr>
            <w:tcW w:w="1846" w:type="dxa"/>
            <w:tcBorders>
              <w:top w:val="single" w:color="auto" w:sz="4" w:space="0"/>
              <w:left w:val="single" w:color="auto" w:sz="4" w:space="0"/>
              <w:bottom w:val="single" w:color="auto" w:sz="4" w:space="0"/>
              <w:right w:val="single" w:color="auto" w:sz="4" w:space="0"/>
            </w:tcBorders>
            <w:vAlign w:val="center"/>
          </w:tcPr>
          <w:p w14:paraId="5D03F69A">
            <w:pPr>
              <w:outlineLvl w:val="9"/>
              <w:rPr>
                <w:rFonts w:ascii="宋体" w:hAnsi="宋体" w:cs="宋体"/>
                <w:b/>
                <w:bCs/>
                <w:szCs w:val="21"/>
                <w:highlight w:val="none"/>
              </w:rPr>
            </w:pPr>
            <w:r>
              <w:rPr>
                <w:rFonts w:hint="eastAsia" w:ascii="宋体" w:hAnsi="宋体" w:cs="宋体"/>
                <w:b/>
                <w:bCs/>
                <w:szCs w:val="21"/>
                <w:highlight w:val="none"/>
              </w:rPr>
              <w:t>谈判小组的组成</w:t>
            </w:r>
          </w:p>
        </w:tc>
        <w:tc>
          <w:tcPr>
            <w:tcW w:w="6505" w:type="dxa"/>
            <w:tcBorders>
              <w:top w:val="single" w:color="auto" w:sz="4" w:space="0"/>
              <w:left w:val="single" w:color="auto" w:sz="4" w:space="0"/>
              <w:bottom w:val="single" w:color="auto" w:sz="4" w:space="0"/>
              <w:right w:val="single" w:color="auto" w:sz="4" w:space="0"/>
            </w:tcBorders>
            <w:vAlign w:val="center"/>
          </w:tcPr>
          <w:p w14:paraId="63195DA0">
            <w:pPr>
              <w:outlineLvl w:val="9"/>
              <w:rPr>
                <w:rFonts w:ascii="宋体" w:hAnsi="宋体" w:cs="宋体"/>
                <w:szCs w:val="21"/>
                <w:highlight w:val="none"/>
              </w:rPr>
            </w:pPr>
            <w:r>
              <w:rPr>
                <w:rFonts w:hint="eastAsia" w:ascii="宋体" w:hAnsi="宋体" w:cs="宋体"/>
                <w:szCs w:val="21"/>
                <w:highlight w:val="none"/>
              </w:rPr>
              <w:t>谈判小组为5人及以上单数组成。</w:t>
            </w:r>
          </w:p>
        </w:tc>
      </w:tr>
      <w:tr w14:paraId="2751E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734" w:type="dxa"/>
            <w:tcBorders>
              <w:top w:val="single" w:color="auto" w:sz="4" w:space="0"/>
              <w:left w:val="single" w:color="auto" w:sz="4" w:space="0"/>
              <w:bottom w:val="single" w:color="auto" w:sz="4" w:space="0"/>
              <w:right w:val="single" w:color="auto" w:sz="4" w:space="0"/>
            </w:tcBorders>
            <w:vAlign w:val="center"/>
          </w:tcPr>
          <w:p w14:paraId="53D20011">
            <w:pPr>
              <w:jc w:val="center"/>
              <w:outlineLvl w:val="9"/>
              <w:rPr>
                <w:rFonts w:ascii="宋体" w:hAnsi="宋体" w:cs="宋体"/>
                <w:b/>
                <w:bCs/>
                <w:szCs w:val="21"/>
                <w:highlight w:val="none"/>
              </w:rPr>
            </w:pPr>
            <w:r>
              <w:rPr>
                <w:rFonts w:hint="eastAsia" w:ascii="宋体" w:hAnsi="宋体" w:cs="宋体"/>
                <w:b/>
                <w:bCs/>
                <w:szCs w:val="21"/>
                <w:highlight w:val="none"/>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0252A1DB">
            <w:pPr>
              <w:outlineLvl w:val="9"/>
              <w:rPr>
                <w:rFonts w:ascii="宋体" w:hAnsi="宋体" w:cs="宋体"/>
                <w:b/>
                <w:bCs/>
                <w:szCs w:val="21"/>
                <w:highlight w:val="none"/>
              </w:rPr>
            </w:pPr>
            <w:r>
              <w:rPr>
                <w:rFonts w:hint="eastAsia" w:ascii="宋体" w:hAnsi="宋体" w:cs="宋体"/>
                <w:b/>
                <w:bCs/>
                <w:szCs w:val="21"/>
                <w:highlight w:val="none"/>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799D4FF5">
            <w:pPr>
              <w:outlineLvl w:val="9"/>
              <w:rPr>
                <w:rFonts w:ascii="宋体" w:hAnsi="宋体" w:cs="宋体"/>
                <w:szCs w:val="21"/>
                <w:highlight w:val="none"/>
              </w:rPr>
            </w:pPr>
            <w:r>
              <w:rPr>
                <w:rFonts w:hint="eastAsia" w:ascii="宋体" w:hAnsi="宋体" w:cs="宋体"/>
                <w:szCs w:val="21"/>
                <w:highlight w:val="none"/>
              </w:rPr>
              <w:t>开启响应文件开始时间：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2026</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11 </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6 </w:t>
            </w:r>
            <w:r>
              <w:rPr>
                <w:rFonts w:hint="eastAsia" w:ascii="宋体" w:hAnsi="宋体" w:eastAsia="宋体" w:cs="宋体"/>
                <w:highlight w:val="none"/>
                <w:u w:val="single"/>
              </w:rPr>
              <w:t xml:space="preserve"> </w:t>
            </w:r>
            <w:r>
              <w:rPr>
                <w:rFonts w:hint="eastAsia" w:ascii="宋体" w:hAnsi="宋体" w:eastAsia="宋体" w:cs="宋体"/>
                <w:highlight w:val="none"/>
              </w:rPr>
              <w:t>日</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10 </w:t>
            </w:r>
            <w:r>
              <w:rPr>
                <w:rFonts w:hint="eastAsia" w:ascii="宋体" w:hAnsi="宋体" w:eastAsia="宋体" w:cs="宋体"/>
                <w:highlight w:val="none"/>
                <w:u w:val="single"/>
              </w:rPr>
              <w:t xml:space="preserve"> </w:t>
            </w:r>
            <w:r>
              <w:rPr>
                <w:rFonts w:hint="eastAsia" w:ascii="宋体" w:hAnsi="宋体" w:eastAsia="宋体" w:cs="宋体"/>
                <w:highlight w:val="none"/>
              </w:rPr>
              <w:t>时</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00 </w:t>
            </w:r>
            <w:r>
              <w:rPr>
                <w:rFonts w:hint="eastAsia" w:ascii="宋体" w:hAnsi="宋体" w:eastAsia="宋体" w:cs="宋体"/>
                <w:highlight w:val="none"/>
                <w:u w:val="single"/>
              </w:rPr>
              <w:t xml:space="preserve"> </w:t>
            </w:r>
            <w:r>
              <w:rPr>
                <w:rFonts w:hint="eastAsia" w:ascii="宋体" w:hAnsi="宋体" w:eastAsia="宋体" w:cs="宋体"/>
                <w:highlight w:val="none"/>
              </w:rPr>
              <w:t>分</w:t>
            </w:r>
          </w:p>
          <w:p w14:paraId="1162AD8C">
            <w:pPr>
              <w:outlineLvl w:val="9"/>
              <w:rPr>
                <w:rFonts w:ascii="宋体" w:hAnsi="宋体" w:cs="宋体"/>
                <w:szCs w:val="21"/>
                <w:highlight w:val="none"/>
              </w:rPr>
            </w:pPr>
            <w:r>
              <w:rPr>
                <w:rFonts w:hint="eastAsia" w:ascii="宋体" w:hAnsi="宋体" w:cs="宋体"/>
                <w:szCs w:val="21"/>
                <w:highlight w:val="none"/>
              </w:rPr>
              <w:t>地点：</w:t>
            </w:r>
            <w:r>
              <w:rPr>
                <w:rFonts w:hint="eastAsia" w:ascii="宋体" w:hAnsi="宋体" w:cs="宋体"/>
                <w:color w:val="auto"/>
                <w:sz w:val="24"/>
                <w:szCs w:val="24"/>
                <w:highlight w:val="none"/>
                <w:u w:val="single"/>
                <w:lang w:val="en-US" w:eastAsia="zh-CN"/>
              </w:rPr>
              <w:t xml:space="preserve"> 玉溪市华宁县青龙镇小平宾馆三楼会议室   </w:t>
            </w:r>
          </w:p>
        </w:tc>
      </w:tr>
      <w:tr w14:paraId="1C95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1FB45BA">
            <w:pPr>
              <w:jc w:val="center"/>
              <w:outlineLvl w:val="9"/>
              <w:rPr>
                <w:rFonts w:ascii="宋体" w:hAnsi="宋体" w:cs="宋体"/>
                <w:b/>
                <w:bCs/>
                <w:szCs w:val="21"/>
                <w:highlight w:val="none"/>
              </w:rPr>
            </w:pPr>
            <w:r>
              <w:rPr>
                <w:rFonts w:hint="eastAsia" w:ascii="宋体" w:hAnsi="宋体" w:cs="宋体"/>
                <w:b/>
                <w:bCs/>
                <w:szCs w:val="21"/>
                <w:highlight w:val="none"/>
              </w:rPr>
              <w:t>17.1</w:t>
            </w:r>
          </w:p>
        </w:tc>
        <w:tc>
          <w:tcPr>
            <w:tcW w:w="1846" w:type="dxa"/>
            <w:tcBorders>
              <w:top w:val="single" w:color="auto" w:sz="4" w:space="0"/>
              <w:left w:val="single" w:color="auto" w:sz="4" w:space="0"/>
              <w:bottom w:val="single" w:color="auto" w:sz="4" w:space="0"/>
              <w:right w:val="single" w:color="auto" w:sz="4" w:space="0"/>
            </w:tcBorders>
            <w:vAlign w:val="center"/>
          </w:tcPr>
          <w:p w14:paraId="02C855B6">
            <w:pPr>
              <w:jc w:val="left"/>
              <w:outlineLvl w:val="9"/>
              <w:rPr>
                <w:rFonts w:ascii="宋体" w:hAnsi="宋体" w:cs="宋体"/>
                <w:b/>
                <w:bCs/>
                <w:szCs w:val="21"/>
                <w:highlight w:val="none"/>
              </w:rPr>
            </w:pPr>
            <w:r>
              <w:rPr>
                <w:rFonts w:hint="eastAsia" w:ascii="宋体" w:hAnsi="宋体" w:cs="宋体"/>
                <w:b/>
                <w:bCs/>
                <w:szCs w:val="21"/>
                <w:highlight w:val="none"/>
              </w:rPr>
              <w:t>谈判方式</w:t>
            </w:r>
          </w:p>
        </w:tc>
        <w:tc>
          <w:tcPr>
            <w:tcW w:w="6505" w:type="dxa"/>
            <w:tcBorders>
              <w:top w:val="single" w:color="auto" w:sz="4" w:space="0"/>
              <w:left w:val="single" w:color="auto" w:sz="4" w:space="0"/>
              <w:bottom w:val="single" w:color="auto" w:sz="4" w:space="0"/>
              <w:right w:val="single" w:color="auto" w:sz="4" w:space="0"/>
            </w:tcBorders>
            <w:vAlign w:val="center"/>
          </w:tcPr>
          <w:p w14:paraId="7705809A">
            <w:pPr>
              <w:outlineLvl w:val="9"/>
              <w:rPr>
                <w:rFonts w:ascii="宋体" w:hAnsi="宋体" w:cs="宋体"/>
                <w:szCs w:val="21"/>
                <w:highlight w:val="none"/>
              </w:rPr>
            </w:pPr>
            <w:r>
              <w:rPr>
                <w:rFonts w:hint="eastAsia" w:ascii="宋体" w:hAnsi="宋体" w:cs="宋体"/>
                <w:szCs w:val="21"/>
                <w:highlight w:val="none"/>
              </w:rPr>
              <w:t>第一轮为密封报价；经谈判小组评审通过资格评审和符合性评审的供应商将进入到下一轮与采购人进行谈判、报价。</w:t>
            </w:r>
          </w:p>
        </w:tc>
      </w:tr>
      <w:tr w14:paraId="1CD6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0562C34">
            <w:pPr>
              <w:jc w:val="center"/>
              <w:outlineLvl w:val="9"/>
              <w:rPr>
                <w:rFonts w:ascii="宋体" w:hAnsi="宋体" w:cs="宋体"/>
                <w:b/>
                <w:bCs/>
                <w:szCs w:val="21"/>
                <w:highlight w:val="none"/>
              </w:rPr>
            </w:pPr>
            <w:r>
              <w:rPr>
                <w:rFonts w:hint="eastAsia" w:ascii="宋体" w:hAnsi="宋体" w:cs="宋体"/>
                <w:b/>
                <w:bCs/>
                <w:szCs w:val="21"/>
                <w:highlight w:val="none"/>
              </w:rPr>
              <w:t>17.2</w:t>
            </w:r>
          </w:p>
        </w:tc>
        <w:tc>
          <w:tcPr>
            <w:tcW w:w="1846" w:type="dxa"/>
            <w:tcBorders>
              <w:top w:val="single" w:color="auto" w:sz="4" w:space="0"/>
              <w:left w:val="single" w:color="auto" w:sz="4" w:space="0"/>
              <w:bottom w:val="single" w:color="auto" w:sz="4" w:space="0"/>
              <w:right w:val="single" w:color="auto" w:sz="4" w:space="0"/>
            </w:tcBorders>
            <w:vAlign w:val="center"/>
          </w:tcPr>
          <w:p w14:paraId="313FA39C">
            <w:pPr>
              <w:jc w:val="left"/>
              <w:outlineLvl w:val="9"/>
              <w:rPr>
                <w:rFonts w:ascii="宋体" w:hAnsi="宋体" w:cs="宋体"/>
                <w:b/>
                <w:bCs/>
                <w:szCs w:val="21"/>
                <w:highlight w:val="none"/>
              </w:rPr>
            </w:pPr>
            <w:r>
              <w:rPr>
                <w:rFonts w:hint="eastAsia" w:ascii="宋体" w:hAnsi="宋体" w:cs="宋体"/>
                <w:b/>
                <w:bCs/>
                <w:szCs w:val="21"/>
                <w:highlight w:val="none"/>
              </w:rPr>
              <w:t>谈判程序及原则</w:t>
            </w:r>
          </w:p>
        </w:tc>
        <w:tc>
          <w:tcPr>
            <w:tcW w:w="6505" w:type="dxa"/>
            <w:tcBorders>
              <w:top w:val="single" w:color="auto" w:sz="4" w:space="0"/>
              <w:left w:val="single" w:color="auto" w:sz="4" w:space="0"/>
              <w:bottom w:val="single" w:color="auto" w:sz="4" w:space="0"/>
              <w:right w:val="single" w:color="auto" w:sz="4" w:space="0"/>
            </w:tcBorders>
            <w:vAlign w:val="center"/>
          </w:tcPr>
          <w:p w14:paraId="275FC37A">
            <w:pPr>
              <w:outlineLvl w:val="9"/>
              <w:rPr>
                <w:rFonts w:ascii="宋体" w:hAnsi="宋体" w:cs="宋体"/>
                <w:szCs w:val="21"/>
                <w:highlight w:val="none"/>
              </w:rPr>
            </w:pPr>
            <w:r>
              <w:rPr>
                <w:rFonts w:hint="eastAsia" w:ascii="宋体" w:hAnsi="宋体" w:cs="宋体"/>
                <w:szCs w:val="21"/>
                <w:highlight w:val="none"/>
              </w:rPr>
              <w:t>1.谈判小组根据所有供应商提交的响应文件及第一轮报价情况进行初步评审，只有通过初步评审的供应商才能进入到下一轮谈判、报价阶段。</w:t>
            </w:r>
          </w:p>
          <w:p w14:paraId="3D677E4D">
            <w:pPr>
              <w:outlineLvl w:val="9"/>
              <w:rPr>
                <w:rFonts w:ascii="宋体" w:hAnsi="宋体" w:cs="宋体"/>
                <w:szCs w:val="21"/>
                <w:highlight w:val="none"/>
              </w:rPr>
            </w:pPr>
            <w:r>
              <w:rPr>
                <w:rFonts w:hint="eastAsia" w:ascii="宋体" w:hAnsi="宋体" w:cs="宋体"/>
                <w:szCs w:val="21"/>
                <w:highlight w:val="none"/>
              </w:rPr>
              <w:t>2.进入第二轮谈判的供应商代表按谈判申请文件递交顺序进行单独谈判。</w:t>
            </w:r>
          </w:p>
          <w:p w14:paraId="7E841115">
            <w:pPr>
              <w:outlineLvl w:val="9"/>
              <w:rPr>
                <w:rFonts w:ascii="宋体" w:hAnsi="宋体" w:cs="宋体"/>
                <w:szCs w:val="21"/>
                <w:highlight w:val="none"/>
              </w:rPr>
            </w:pPr>
            <w:r>
              <w:rPr>
                <w:rFonts w:hint="eastAsia" w:ascii="宋体" w:hAnsi="宋体" w:cs="宋体"/>
                <w:szCs w:val="21"/>
                <w:highlight w:val="none"/>
              </w:rPr>
              <w:t>3.谈判结束后，谈判小组应要求所有供应商在规定时间内提交最终报价此报价成交后不得调整。谈判小组根据谈判情况及最终报价情况进行评审。</w:t>
            </w:r>
          </w:p>
          <w:p w14:paraId="057AB399">
            <w:pPr>
              <w:outlineLvl w:val="9"/>
              <w:rPr>
                <w:rFonts w:ascii="宋体" w:hAnsi="宋体" w:cs="宋体"/>
                <w:szCs w:val="21"/>
                <w:highlight w:val="none"/>
              </w:rPr>
            </w:pPr>
            <w:r>
              <w:rPr>
                <w:rFonts w:hint="eastAsia" w:ascii="宋体" w:hAnsi="宋体" w:cs="宋体"/>
                <w:szCs w:val="21"/>
                <w:highlight w:val="none"/>
              </w:rPr>
              <w:t>4.采用的评分办法为综合评分法：依据制定的评分标准，各评委通过定性与定量的标准，对供应商提交的响应文件进行综合评审打分，按照分数高低从高到低推荐中标候选人。</w:t>
            </w:r>
          </w:p>
          <w:p w14:paraId="679F7355">
            <w:pPr>
              <w:outlineLvl w:val="9"/>
              <w:rPr>
                <w:rFonts w:ascii="宋体" w:hAnsi="宋体" w:cs="宋体"/>
                <w:szCs w:val="21"/>
                <w:highlight w:val="none"/>
              </w:rPr>
            </w:pPr>
            <w:r>
              <w:rPr>
                <w:rFonts w:hint="eastAsia" w:ascii="宋体" w:hAnsi="宋体" w:cs="宋体"/>
                <w:szCs w:val="21"/>
                <w:highlight w:val="none"/>
              </w:rPr>
              <w:t>5.完成评审后，谈判小组向采购人提交书面谈判结果报告。</w:t>
            </w:r>
          </w:p>
        </w:tc>
      </w:tr>
      <w:tr w14:paraId="4FDA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8BC5B35">
            <w:pPr>
              <w:jc w:val="center"/>
              <w:outlineLvl w:val="9"/>
              <w:rPr>
                <w:rFonts w:ascii="宋体" w:hAnsi="宋体" w:cs="宋体"/>
                <w:b/>
                <w:bCs/>
                <w:szCs w:val="21"/>
                <w:highlight w:val="none"/>
              </w:rPr>
            </w:pPr>
            <w:r>
              <w:rPr>
                <w:rFonts w:hint="eastAsia" w:ascii="宋体" w:hAnsi="宋体" w:cs="宋体"/>
                <w:b/>
                <w:bCs/>
                <w:szCs w:val="21"/>
                <w:highlight w:val="none"/>
              </w:rPr>
              <w:t>20.3</w:t>
            </w:r>
          </w:p>
        </w:tc>
        <w:tc>
          <w:tcPr>
            <w:tcW w:w="1846" w:type="dxa"/>
            <w:tcBorders>
              <w:top w:val="single" w:color="auto" w:sz="4" w:space="0"/>
              <w:left w:val="single" w:color="auto" w:sz="4" w:space="0"/>
              <w:bottom w:val="single" w:color="auto" w:sz="4" w:space="0"/>
              <w:right w:val="single" w:color="auto" w:sz="4" w:space="0"/>
            </w:tcBorders>
            <w:vAlign w:val="center"/>
          </w:tcPr>
          <w:p w14:paraId="660123DD">
            <w:pPr>
              <w:outlineLvl w:val="9"/>
              <w:rPr>
                <w:rFonts w:ascii="宋体" w:hAnsi="宋体" w:cs="宋体"/>
                <w:b/>
                <w:bCs/>
                <w:szCs w:val="21"/>
                <w:highlight w:val="none"/>
              </w:rPr>
            </w:pPr>
            <w:r>
              <w:rPr>
                <w:rFonts w:hint="eastAsia" w:ascii="宋体" w:hAnsi="宋体" w:cs="宋体"/>
                <w:b/>
                <w:bCs/>
                <w:szCs w:val="21"/>
                <w:highlight w:val="none"/>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7FB208EA">
            <w:pPr>
              <w:outlineLvl w:val="9"/>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A3"/>
            </w:r>
            <w:r>
              <w:rPr>
                <w:rFonts w:hint="eastAsia" w:ascii="宋体" w:hAnsi="宋体" w:cs="宋体"/>
                <w:color w:val="000000"/>
                <w:szCs w:val="22"/>
                <w:highlight w:val="none"/>
              </w:rPr>
              <w:t>不提供</w:t>
            </w:r>
          </w:p>
          <w:p w14:paraId="43F2CFDF">
            <w:pPr>
              <w:outlineLvl w:val="9"/>
              <w:rPr>
                <w:rFonts w:ascii="宋体" w:hAnsi="宋体" w:cs="宋体"/>
                <w:color w:val="000000"/>
                <w:szCs w:val="22"/>
                <w:highlight w:val="none"/>
              </w:rPr>
            </w:pPr>
            <w:r>
              <w:rPr>
                <w:rFonts w:hint="default" w:ascii="宋体" w:hAnsi="宋体" w:cs="宋体"/>
                <w:color w:val="000000"/>
                <w:szCs w:val="22"/>
                <w:highlight w:val="none"/>
              </w:rPr>
              <w:t>☑</w:t>
            </w:r>
            <w:r>
              <w:rPr>
                <w:rFonts w:hint="eastAsia" w:ascii="宋体" w:hAnsi="宋体" w:cs="宋体"/>
                <w:color w:val="000000"/>
                <w:szCs w:val="22"/>
                <w:highlight w:val="none"/>
              </w:rPr>
              <w:t>提供，履约担保金额：</w:t>
            </w:r>
            <w:r>
              <w:rPr>
                <w:rFonts w:hint="eastAsia" w:ascii="宋体" w:hAnsi="宋体" w:cs="宋体"/>
                <w:color w:val="000000"/>
                <w:szCs w:val="22"/>
                <w:highlight w:val="none"/>
                <w:u w:val="single"/>
              </w:rPr>
              <w:t>合同价格10%</w:t>
            </w:r>
          </w:p>
          <w:p w14:paraId="1C99FDC0">
            <w:pPr>
              <w:outlineLvl w:val="9"/>
              <w:rPr>
                <w:rFonts w:hint="default" w:ascii="宋体" w:hAnsi="宋体" w:cs="宋体"/>
                <w:szCs w:val="21"/>
                <w:highlight w:val="none"/>
              </w:rPr>
            </w:pPr>
            <w:r>
              <w:rPr>
                <w:rFonts w:hint="eastAsia" w:ascii="宋体" w:hAnsi="宋体" w:cs="宋体"/>
                <w:color w:val="000000"/>
                <w:szCs w:val="22"/>
                <w:highlight w:val="none"/>
              </w:rPr>
              <w:t>履约担保形式：</w:t>
            </w:r>
            <w:r>
              <w:rPr>
                <w:rFonts w:hint="default" w:ascii="宋体" w:hAnsi="宋体" w:cs="宋体"/>
                <w:color w:val="000000"/>
                <w:szCs w:val="22"/>
                <w:highlight w:val="none"/>
                <w:u w:val="single"/>
              </w:rPr>
              <w:t>银行保函</w:t>
            </w:r>
          </w:p>
        </w:tc>
      </w:tr>
      <w:tr w14:paraId="150E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8A4965F">
            <w:pPr>
              <w:jc w:val="center"/>
              <w:outlineLvl w:val="9"/>
              <w:rPr>
                <w:rFonts w:ascii="宋体" w:hAnsi="宋体" w:cs="宋体"/>
                <w:b/>
                <w:bCs/>
                <w:szCs w:val="21"/>
                <w:highlight w:val="none"/>
              </w:rPr>
            </w:pPr>
            <w:r>
              <w:rPr>
                <w:rFonts w:hint="eastAsia" w:ascii="宋体" w:hAnsi="宋体" w:cs="宋体"/>
                <w:b/>
                <w:bCs/>
                <w:szCs w:val="21"/>
                <w:highlight w:val="none"/>
              </w:rPr>
              <w:t>21</w:t>
            </w:r>
          </w:p>
        </w:tc>
        <w:tc>
          <w:tcPr>
            <w:tcW w:w="8351" w:type="dxa"/>
            <w:gridSpan w:val="2"/>
            <w:tcBorders>
              <w:top w:val="single" w:color="auto" w:sz="4" w:space="0"/>
              <w:left w:val="single" w:color="auto" w:sz="4" w:space="0"/>
              <w:bottom w:val="single" w:color="auto" w:sz="4" w:space="0"/>
              <w:right w:val="single" w:color="auto" w:sz="4" w:space="0"/>
            </w:tcBorders>
            <w:vAlign w:val="center"/>
          </w:tcPr>
          <w:p w14:paraId="5A209AB8">
            <w:pPr>
              <w:outlineLvl w:val="9"/>
              <w:rPr>
                <w:rFonts w:ascii="宋体" w:hAnsi="宋体" w:cs="宋体"/>
                <w:b/>
                <w:bCs/>
                <w:szCs w:val="21"/>
                <w:highlight w:val="none"/>
              </w:rPr>
            </w:pPr>
            <w:r>
              <w:rPr>
                <w:rFonts w:hint="eastAsia" w:ascii="宋体" w:hAnsi="宋体" w:cs="宋体"/>
                <w:b/>
                <w:bCs/>
                <w:szCs w:val="21"/>
                <w:highlight w:val="none"/>
              </w:rPr>
              <w:t>其他需要补充的内容</w:t>
            </w:r>
          </w:p>
        </w:tc>
      </w:tr>
      <w:tr w14:paraId="757A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ED348B4">
            <w:pPr>
              <w:jc w:val="center"/>
              <w:outlineLvl w:val="9"/>
              <w:rPr>
                <w:rFonts w:ascii="宋体" w:hAnsi="宋体" w:cs="宋体"/>
                <w:b/>
                <w:bCs/>
                <w:szCs w:val="21"/>
                <w:highlight w:val="none"/>
              </w:rPr>
            </w:pPr>
            <w:r>
              <w:rPr>
                <w:rFonts w:hint="eastAsia" w:ascii="宋体" w:hAnsi="宋体" w:cs="宋体"/>
                <w:b/>
                <w:bCs/>
                <w:szCs w:val="21"/>
                <w:highlight w:val="none"/>
              </w:rPr>
              <w:t>21.1</w:t>
            </w:r>
          </w:p>
        </w:tc>
        <w:tc>
          <w:tcPr>
            <w:tcW w:w="1846" w:type="dxa"/>
            <w:tcBorders>
              <w:top w:val="single" w:color="auto" w:sz="4" w:space="0"/>
              <w:left w:val="single" w:color="auto" w:sz="4" w:space="0"/>
              <w:bottom w:val="single" w:color="auto" w:sz="4" w:space="0"/>
              <w:right w:val="single" w:color="auto" w:sz="4" w:space="0"/>
            </w:tcBorders>
            <w:vAlign w:val="center"/>
          </w:tcPr>
          <w:p w14:paraId="6A554A5B">
            <w:pPr>
              <w:widowControl w:val="0"/>
              <w:jc w:val="both"/>
              <w:outlineLvl w:val="9"/>
              <w:rPr>
                <w:rFonts w:ascii="宋体" w:hAnsi="宋体" w:cs="宋体"/>
                <w:b/>
                <w:bCs/>
                <w:szCs w:val="21"/>
                <w:highlight w:val="none"/>
              </w:rPr>
            </w:pPr>
            <w:r>
              <w:rPr>
                <w:rFonts w:hint="eastAsia" w:ascii="宋体" w:hAnsi="宋体" w:eastAsia="宋体" w:cs="宋体"/>
                <w:b/>
                <w:bCs/>
                <w:color w:val="auto"/>
                <w:kern w:val="2"/>
                <w:sz w:val="21"/>
                <w:szCs w:val="21"/>
                <w:highlight w:val="none"/>
                <w:lang w:val="en-US" w:eastAsia="zh-CN" w:bidi="ar-SA"/>
              </w:rPr>
              <w:t>纸质响应文件</w:t>
            </w:r>
          </w:p>
        </w:tc>
        <w:tc>
          <w:tcPr>
            <w:tcW w:w="6505" w:type="dxa"/>
            <w:tcBorders>
              <w:top w:val="single" w:color="auto" w:sz="4" w:space="0"/>
              <w:left w:val="single" w:color="auto" w:sz="4" w:space="0"/>
              <w:bottom w:val="single" w:color="auto" w:sz="4" w:space="0"/>
              <w:right w:val="single" w:color="auto" w:sz="4" w:space="0"/>
            </w:tcBorders>
            <w:vAlign w:val="center"/>
          </w:tcPr>
          <w:p w14:paraId="352A1F8B">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1.谈判响应文件的提交及份数：纸质正本1份，纸质副本</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份，电子版本1份（</w:t>
            </w:r>
            <w:r>
              <w:rPr>
                <w:rFonts w:hint="eastAsia" w:ascii="宋体" w:hAnsi="宋体" w:cs="宋体"/>
                <w:color w:val="auto"/>
                <w:kern w:val="2"/>
                <w:sz w:val="21"/>
                <w:szCs w:val="21"/>
                <w:highlight w:val="none"/>
                <w:lang w:val="en-US" w:eastAsia="zh-CN" w:bidi="ar-SA"/>
              </w:rPr>
              <w:t>商务部分、技术/商务偏离表</w:t>
            </w:r>
            <w:r>
              <w:rPr>
                <w:rFonts w:hint="eastAsia" w:ascii="宋体" w:hAnsi="宋体" w:eastAsia="宋体" w:cs="宋体"/>
                <w:color w:val="auto"/>
                <w:kern w:val="2"/>
                <w:sz w:val="21"/>
                <w:szCs w:val="21"/>
                <w:highlight w:val="none"/>
                <w:lang w:val="en-US" w:eastAsia="zh-CN" w:bidi="ar-SA"/>
              </w:rPr>
              <w:t>必须是签字盖章齐全的PDF格式扫描件，</w:t>
            </w:r>
            <w:r>
              <w:rPr>
                <w:rFonts w:hint="eastAsia" w:ascii="宋体" w:hAnsi="宋体" w:cs="宋体"/>
                <w:color w:val="auto"/>
                <w:kern w:val="2"/>
                <w:sz w:val="21"/>
                <w:szCs w:val="21"/>
                <w:highlight w:val="none"/>
                <w:lang w:val="en-US" w:eastAsia="zh-CN" w:bidi="ar-SA"/>
              </w:rPr>
              <w:t>技术部分</w:t>
            </w:r>
            <w:r>
              <w:rPr>
                <w:rFonts w:hint="eastAsia" w:ascii="宋体" w:hAnsi="宋体" w:eastAsia="宋体" w:cs="宋体"/>
                <w:color w:val="auto"/>
                <w:kern w:val="2"/>
                <w:sz w:val="21"/>
                <w:szCs w:val="21"/>
                <w:highlight w:val="none"/>
                <w:lang w:val="en-US" w:eastAsia="zh-CN" w:bidi="ar-SA"/>
              </w:rPr>
              <w:t>可以采用word或PPT格式，采用U盘存储），统一密封在一个封包内，封口处均应加盖“密封”章或公章，密封袋上应写明：</w:t>
            </w:r>
          </w:p>
          <w:p w14:paraId="0F0358EE">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项目名称：</w:t>
            </w:r>
            <w:r>
              <w:rPr>
                <w:rFonts w:hint="eastAsia" w:ascii="宋体" w:hAnsi="宋体" w:eastAsia="宋体" w:cs="宋体"/>
                <w:color w:val="auto"/>
                <w:kern w:val="2"/>
                <w:sz w:val="21"/>
                <w:szCs w:val="21"/>
                <w:highlight w:val="none"/>
                <w:u w:val="none"/>
                <w:lang w:val="en-US" w:eastAsia="zh-CN" w:bidi="ar-SA"/>
              </w:rPr>
              <w:t>华宁县</w:t>
            </w:r>
            <w:r>
              <w:rPr>
                <w:rFonts w:hint="eastAsia" w:ascii="宋体" w:hAnsi="宋体" w:eastAsia="宋体" w:cs="宋体"/>
                <w:color w:val="auto"/>
                <w:sz w:val="21"/>
                <w:szCs w:val="21"/>
                <w:highlight w:val="none"/>
                <w:u w:val="none"/>
                <w:lang w:val="en-US" w:eastAsia="zh-CN"/>
              </w:rPr>
              <w:t>大龙山风电场项目监理服务</w:t>
            </w:r>
          </w:p>
          <w:p w14:paraId="72C3F518">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谈判申请文件在</w:t>
            </w:r>
            <w:r>
              <w:rPr>
                <w:rFonts w:hint="eastAsia" w:ascii="宋体" w:hAnsi="宋体" w:cs="宋体"/>
                <w:highlight w:val="none"/>
                <w:u w:val="single"/>
                <w:lang w:val="en-US" w:eastAsia="zh-CN"/>
              </w:rPr>
              <w:t>2026</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11 </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6 </w:t>
            </w:r>
            <w:r>
              <w:rPr>
                <w:rFonts w:hint="eastAsia" w:ascii="宋体" w:hAnsi="宋体" w:eastAsia="宋体" w:cs="宋体"/>
                <w:highlight w:val="none"/>
                <w:u w:val="single"/>
              </w:rPr>
              <w:t xml:space="preserve"> </w:t>
            </w:r>
            <w:r>
              <w:rPr>
                <w:rFonts w:hint="eastAsia" w:ascii="宋体" w:hAnsi="宋体" w:eastAsia="宋体" w:cs="宋体"/>
                <w:highlight w:val="none"/>
              </w:rPr>
              <w:t>日</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10 </w:t>
            </w:r>
            <w:r>
              <w:rPr>
                <w:rFonts w:hint="eastAsia" w:ascii="宋体" w:hAnsi="宋体" w:eastAsia="宋体" w:cs="宋体"/>
                <w:highlight w:val="none"/>
                <w:u w:val="single"/>
              </w:rPr>
              <w:t xml:space="preserve"> </w:t>
            </w:r>
            <w:r>
              <w:rPr>
                <w:rFonts w:hint="eastAsia" w:ascii="宋体" w:hAnsi="宋体" w:eastAsia="宋体" w:cs="宋体"/>
                <w:highlight w:val="none"/>
              </w:rPr>
              <w:t>时</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00 </w:t>
            </w:r>
            <w:r>
              <w:rPr>
                <w:rFonts w:hint="eastAsia" w:ascii="宋体" w:hAnsi="宋体" w:eastAsia="宋体" w:cs="宋体"/>
                <w:highlight w:val="none"/>
                <w:u w:val="single"/>
              </w:rPr>
              <w:t xml:space="preserve"> </w:t>
            </w:r>
            <w:r>
              <w:rPr>
                <w:rFonts w:hint="eastAsia" w:ascii="宋体" w:hAnsi="宋体" w:eastAsia="宋体" w:cs="宋体"/>
                <w:highlight w:val="none"/>
              </w:rPr>
              <w:t>分</w:t>
            </w:r>
            <w:r>
              <w:rPr>
                <w:rFonts w:hint="eastAsia" w:ascii="宋体" w:hAnsi="宋体" w:eastAsia="宋体" w:cs="宋体"/>
                <w:color w:val="auto"/>
                <w:kern w:val="2"/>
                <w:sz w:val="21"/>
                <w:szCs w:val="21"/>
                <w:highlight w:val="none"/>
                <w:lang w:val="en-US" w:eastAsia="zh-CN" w:bidi="ar-SA"/>
              </w:rPr>
              <w:t>（开标时间）前不得开启。</w:t>
            </w:r>
          </w:p>
          <w:p w14:paraId="2A28972F">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2.谈判响应文件用A4幅面出版，竖向左侧热熔胶装方式装订，文件装订应牢固，</w:t>
            </w:r>
            <w:r>
              <w:rPr>
                <w:rFonts w:hint="eastAsia" w:ascii="宋体" w:hAnsi="宋体" w:eastAsia="宋体" w:cs="宋体"/>
                <w:color w:val="auto"/>
                <w:szCs w:val="22"/>
                <w:highlight w:val="none"/>
              </w:rPr>
              <w:t>不得活页装订，否则该</w:t>
            </w:r>
            <w:r>
              <w:rPr>
                <w:rFonts w:hint="eastAsia" w:ascii="宋体" w:hAnsi="宋体" w:eastAsia="宋体" w:cs="宋体"/>
                <w:color w:val="auto"/>
                <w:szCs w:val="21"/>
                <w:highlight w:val="none"/>
              </w:rPr>
              <w:t>纸质响应</w:t>
            </w:r>
            <w:r>
              <w:rPr>
                <w:rFonts w:hint="eastAsia" w:ascii="宋体" w:hAnsi="宋体" w:eastAsia="宋体" w:cs="宋体"/>
                <w:color w:val="auto"/>
                <w:szCs w:val="22"/>
                <w:highlight w:val="none"/>
              </w:rPr>
              <w:t>文件将被拒绝</w:t>
            </w:r>
            <w:r>
              <w:rPr>
                <w:rFonts w:hint="eastAsia" w:ascii="宋体" w:hAnsi="宋体" w:eastAsia="宋体" w:cs="宋体"/>
                <w:color w:val="auto"/>
                <w:kern w:val="2"/>
                <w:sz w:val="21"/>
                <w:szCs w:val="21"/>
                <w:highlight w:val="none"/>
                <w:lang w:val="en-US" w:eastAsia="zh-CN" w:bidi="ar-SA"/>
              </w:rPr>
              <w:t>，采购人对于谈判响应文件装订松散而造成的丢失或其他后果不承担任何责任。</w:t>
            </w:r>
          </w:p>
          <w:p w14:paraId="087D3116">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3.谈判响应文件应编制目录并逐页标注连续页码，建议采用双面打印；</w:t>
            </w:r>
          </w:p>
          <w:p w14:paraId="3B8F58E6">
            <w:pPr>
              <w:widowControl w:val="0"/>
              <w:jc w:val="both"/>
              <w:outlineLvl w:val="9"/>
              <w:rPr>
                <w:rFonts w:ascii="宋体" w:hAnsi="宋体" w:cs="宋体"/>
                <w:szCs w:val="22"/>
                <w:highlight w:val="none"/>
              </w:rPr>
            </w:pPr>
            <w:r>
              <w:rPr>
                <w:rFonts w:hint="eastAsia" w:ascii="宋体" w:hAnsi="宋体" w:eastAsia="宋体" w:cs="宋体"/>
                <w:color w:val="auto"/>
                <w:kern w:val="2"/>
                <w:sz w:val="21"/>
                <w:szCs w:val="21"/>
                <w:highlight w:val="none"/>
                <w:lang w:val="en-US" w:eastAsia="zh-CN" w:bidi="ar-SA"/>
              </w:rPr>
              <w:t>4.最终报价无需装订，需单独密封送达谈判现场。</w:t>
            </w:r>
          </w:p>
        </w:tc>
      </w:tr>
      <w:tr w14:paraId="667D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6C2F30D">
            <w:pPr>
              <w:jc w:val="center"/>
              <w:outlineLvl w:val="9"/>
              <w:rPr>
                <w:rFonts w:ascii="宋体" w:hAnsi="宋体" w:cs="宋体"/>
                <w:b/>
                <w:bCs/>
                <w:szCs w:val="21"/>
                <w:highlight w:val="none"/>
              </w:rPr>
            </w:pPr>
            <w:r>
              <w:rPr>
                <w:rFonts w:hint="eastAsia" w:ascii="宋体" w:hAnsi="宋体" w:cs="宋体"/>
                <w:b/>
                <w:bCs/>
                <w:szCs w:val="21"/>
                <w:highlight w:val="none"/>
              </w:rPr>
              <w:t>21.2</w:t>
            </w:r>
          </w:p>
        </w:tc>
        <w:tc>
          <w:tcPr>
            <w:tcW w:w="1846" w:type="dxa"/>
            <w:tcBorders>
              <w:top w:val="single" w:color="auto" w:sz="4" w:space="0"/>
              <w:left w:val="single" w:color="auto" w:sz="4" w:space="0"/>
              <w:bottom w:val="single" w:color="auto" w:sz="4" w:space="0"/>
              <w:right w:val="single" w:color="auto" w:sz="4" w:space="0"/>
            </w:tcBorders>
            <w:vAlign w:val="center"/>
          </w:tcPr>
          <w:p w14:paraId="54E35EC2">
            <w:pPr>
              <w:outlineLvl w:val="9"/>
              <w:rPr>
                <w:rFonts w:ascii="宋体" w:hAnsi="宋体" w:cs="宋体"/>
                <w:b/>
                <w:bCs/>
                <w:szCs w:val="21"/>
                <w:highlight w:val="none"/>
              </w:rPr>
            </w:pPr>
            <w:r>
              <w:rPr>
                <w:rFonts w:hint="eastAsia" w:ascii="宋体" w:hAnsi="宋体" w:cs="宋体"/>
                <w:b/>
                <w:bCs/>
                <w:szCs w:val="21"/>
                <w:highlight w:val="none"/>
              </w:rPr>
              <w:t>签字（或）盖章要求</w:t>
            </w:r>
          </w:p>
        </w:tc>
        <w:tc>
          <w:tcPr>
            <w:tcW w:w="6505" w:type="dxa"/>
            <w:tcBorders>
              <w:top w:val="single" w:color="auto" w:sz="4" w:space="0"/>
              <w:left w:val="single" w:color="auto" w:sz="4" w:space="0"/>
              <w:bottom w:val="single" w:color="auto" w:sz="4" w:space="0"/>
              <w:right w:val="single" w:color="auto" w:sz="4" w:space="0"/>
            </w:tcBorders>
            <w:vAlign w:val="center"/>
          </w:tcPr>
          <w:p w14:paraId="5AFAC1D5">
            <w:pPr>
              <w:outlineLvl w:val="9"/>
              <w:rPr>
                <w:rFonts w:ascii="宋体" w:hAnsi="宋体" w:cs="宋体"/>
                <w:szCs w:val="21"/>
                <w:highlight w:val="none"/>
              </w:rPr>
            </w:pPr>
            <w:r>
              <w:rPr>
                <w:rFonts w:hint="eastAsia" w:ascii="宋体" w:hAnsi="宋体" w:cs="宋体"/>
                <w:szCs w:val="21"/>
                <w:highlight w:val="none"/>
              </w:rPr>
              <w:t>响应文件应按要求在相应位置签字、签章或盖章。</w:t>
            </w:r>
          </w:p>
        </w:tc>
      </w:tr>
      <w:tr w14:paraId="0861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D6BBC82">
            <w:pPr>
              <w:jc w:val="center"/>
              <w:outlineLvl w:val="9"/>
              <w:rPr>
                <w:rFonts w:ascii="宋体" w:hAnsi="宋体" w:cs="宋体"/>
                <w:b/>
                <w:bCs/>
                <w:szCs w:val="21"/>
                <w:highlight w:val="none"/>
              </w:rPr>
            </w:pPr>
            <w:r>
              <w:rPr>
                <w:rFonts w:hint="eastAsia" w:ascii="宋体" w:hAnsi="宋体" w:cs="宋体"/>
                <w:b/>
                <w:bCs/>
                <w:szCs w:val="21"/>
                <w:highlight w:val="none"/>
              </w:rPr>
              <w:t>21.3</w:t>
            </w:r>
          </w:p>
        </w:tc>
        <w:tc>
          <w:tcPr>
            <w:tcW w:w="1846" w:type="dxa"/>
            <w:tcBorders>
              <w:top w:val="single" w:color="auto" w:sz="4" w:space="0"/>
              <w:left w:val="single" w:color="auto" w:sz="4" w:space="0"/>
              <w:bottom w:val="single" w:color="auto" w:sz="4" w:space="0"/>
              <w:right w:val="single" w:color="auto" w:sz="4" w:space="0"/>
            </w:tcBorders>
            <w:vAlign w:val="center"/>
          </w:tcPr>
          <w:p w14:paraId="647C7F2D">
            <w:pPr>
              <w:jc w:val="left"/>
              <w:outlineLvl w:val="9"/>
              <w:rPr>
                <w:rFonts w:ascii="宋体" w:hAnsi="宋体" w:cs="宋体"/>
                <w:b/>
                <w:bCs/>
                <w:szCs w:val="21"/>
                <w:highlight w:val="none"/>
              </w:rPr>
            </w:pPr>
            <w:r>
              <w:rPr>
                <w:rFonts w:hint="eastAsia" w:ascii="宋体" w:hAnsi="宋体" w:cs="宋体"/>
                <w:b/>
                <w:bCs/>
                <w:szCs w:val="21"/>
                <w:highlight w:val="none"/>
              </w:rPr>
              <w:t>保密</w:t>
            </w:r>
          </w:p>
        </w:tc>
        <w:tc>
          <w:tcPr>
            <w:tcW w:w="6505" w:type="dxa"/>
            <w:tcBorders>
              <w:top w:val="single" w:color="auto" w:sz="4" w:space="0"/>
              <w:left w:val="single" w:color="auto" w:sz="4" w:space="0"/>
              <w:bottom w:val="single" w:color="auto" w:sz="4" w:space="0"/>
              <w:right w:val="single" w:color="auto" w:sz="4" w:space="0"/>
            </w:tcBorders>
            <w:vAlign w:val="center"/>
          </w:tcPr>
          <w:p w14:paraId="404857D7">
            <w:pPr>
              <w:jc w:val="left"/>
              <w:outlineLvl w:val="9"/>
              <w:rPr>
                <w:rFonts w:ascii="宋体" w:hAnsi="宋体" w:cs="宋体"/>
                <w:szCs w:val="21"/>
                <w:highlight w:val="none"/>
              </w:rPr>
            </w:pPr>
            <w:r>
              <w:rPr>
                <w:rFonts w:hint="eastAsia" w:ascii="宋体" w:hAnsi="宋体" w:cs="宋体"/>
                <w:szCs w:val="21"/>
                <w:highlight w:val="none"/>
              </w:rPr>
              <w:t>参加谈判采购活动的各方应对采购文件和响应文件中的商业和技术等秘密保密，否则应承担相应的法律责任。</w:t>
            </w:r>
          </w:p>
        </w:tc>
      </w:tr>
      <w:tr w14:paraId="6429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AB9F3B6">
            <w:pPr>
              <w:jc w:val="center"/>
              <w:outlineLvl w:val="9"/>
              <w:rPr>
                <w:rFonts w:ascii="宋体" w:hAnsi="宋体" w:cs="宋体"/>
                <w:b/>
                <w:bCs/>
                <w:szCs w:val="21"/>
                <w:highlight w:val="none"/>
              </w:rPr>
            </w:pPr>
            <w:r>
              <w:rPr>
                <w:rFonts w:hint="eastAsia" w:ascii="宋体" w:hAnsi="宋体" w:cs="宋体"/>
                <w:b/>
                <w:bCs/>
                <w:szCs w:val="21"/>
                <w:highlight w:val="none"/>
              </w:rPr>
              <w:t>21.4</w:t>
            </w:r>
          </w:p>
        </w:tc>
        <w:tc>
          <w:tcPr>
            <w:tcW w:w="1846" w:type="dxa"/>
            <w:tcBorders>
              <w:top w:val="single" w:color="auto" w:sz="4" w:space="0"/>
              <w:left w:val="single" w:color="auto" w:sz="4" w:space="0"/>
              <w:bottom w:val="single" w:color="auto" w:sz="4" w:space="0"/>
              <w:right w:val="single" w:color="auto" w:sz="4" w:space="0"/>
            </w:tcBorders>
            <w:vAlign w:val="center"/>
          </w:tcPr>
          <w:p w14:paraId="77423DFD">
            <w:pPr>
              <w:jc w:val="left"/>
              <w:outlineLvl w:val="9"/>
              <w:rPr>
                <w:rFonts w:ascii="宋体" w:hAnsi="宋体" w:cs="宋体"/>
                <w:b/>
                <w:bCs/>
                <w:szCs w:val="21"/>
                <w:highlight w:val="none"/>
              </w:rPr>
            </w:pPr>
            <w:r>
              <w:rPr>
                <w:rFonts w:hint="eastAsia" w:ascii="宋体" w:hAnsi="宋体" w:cs="宋体"/>
                <w:b/>
                <w:bCs/>
                <w:szCs w:val="21"/>
                <w:highlight w:val="none"/>
                <w:lang w:val="zh-CN"/>
              </w:rPr>
              <w:t>纪律和监督</w:t>
            </w:r>
          </w:p>
        </w:tc>
        <w:tc>
          <w:tcPr>
            <w:tcW w:w="6505" w:type="dxa"/>
            <w:tcBorders>
              <w:top w:val="single" w:color="auto" w:sz="4" w:space="0"/>
              <w:left w:val="single" w:color="auto" w:sz="4" w:space="0"/>
              <w:bottom w:val="single" w:color="auto" w:sz="4" w:space="0"/>
              <w:right w:val="single" w:color="auto" w:sz="4" w:space="0"/>
            </w:tcBorders>
            <w:vAlign w:val="center"/>
          </w:tcPr>
          <w:p w14:paraId="0B8DC687">
            <w:pPr>
              <w:jc w:val="left"/>
              <w:outlineLvl w:val="9"/>
              <w:rPr>
                <w:rFonts w:ascii="宋体" w:hAnsi="宋体" w:cs="宋体"/>
                <w:szCs w:val="21"/>
                <w:highlight w:val="none"/>
                <w:lang w:val="zh-CN"/>
              </w:rPr>
            </w:pPr>
            <w:r>
              <w:rPr>
                <w:rFonts w:hint="eastAsia" w:ascii="宋体" w:hAnsi="宋体" w:cs="宋体"/>
                <w:szCs w:val="21"/>
                <w:highlight w:val="none"/>
                <w:lang w:val="zh-CN"/>
              </w:rPr>
              <w:t>1</w:t>
            </w:r>
            <w:r>
              <w:rPr>
                <w:rFonts w:hint="eastAsia" w:ascii="宋体" w:hAnsi="宋体" w:cs="宋体"/>
                <w:szCs w:val="21"/>
                <w:highlight w:val="none"/>
              </w:rPr>
              <w:t>.</w:t>
            </w:r>
            <w:r>
              <w:rPr>
                <w:rFonts w:hint="eastAsia" w:ascii="宋体" w:hAnsi="宋体" w:cs="宋体"/>
                <w:szCs w:val="21"/>
                <w:highlight w:val="none"/>
                <w:lang w:val="zh-CN"/>
              </w:rPr>
              <w:t>对</w:t>
            </w:r>
            <w:r>
              <w:rPr>
                <w:rFonts w:hint="eastAsia" w:ascii="宋体" w:hAnsi="宋体" w:cs="宋体"/>
                <w:szCs w:val="21"/>
                <w:highlight w:val="none"/>
              </w:rPr>
              <w:t>采购人</w:t>
            </w:r>
            <w:r>
              <w:rPr>
                <w:rFonts w:hint="eastAsia" w:ascii="宋体" w:hAnsi="宋体" w:cs="宋体"/>
                <w:szCs w:val="21"/>
                <w:highlight w:val="none"/>
                <w:lang w:val="zh-CN"/>
              </w:rPr>
              <w:t>的纪律要求，</w:t>
            </w:r>
            <w:r>
              <w:rPr>
                <w:rFonts w:hint="eastAsia" w:ascii="宋体" w:hAnsi="宋体" w:cs="宋体"/>
                <w:szCs w:val="21"/>
                <w:highlight w:val="none"/>
              </w:rPr>
              <w:t>采购人</w:t>
            </w:r>
            <w:r>
              <w:rPr>
                <w:rFonts w:hint="eastAsia" w:ascii="宋体" w:hAnsi="宋体" w:cs="宋体"/>
                <w:szCs w:val="21"/>
                <w:highlight w:val="none"/>
                <w:lang w:val="zh-CN"/>
              </w:rPr>
              <w:t>不得泄漏报价活动中应当保密的情况和资料，不得与</w:t>
            </w:r>
            <w:r>
              <w:rPr>
                <w:rFonts w:hint="eastAsia" w:ascii="宋体" w:hAnsi="宋体" w:cs="宋体"/>
                <w:kern w:val="0"/>
                <w:szCs w:val="21"/>
                <w:highlight w:val="none"/>
              </w:rPr>
              <w:t>供应商</w:t>
            </w:r>
            <w:r>
              <w:rPr>
                <w:rFonts w:hint="eastAsia" w:ascii="宋体" w:hAnsi="宋体" w:cs="宋体"/>
                <w:szCs w:val="21"/>
                <w:highlight w:val="none"/>
                <w:lang w:val="zh-CN"/>
              </w:rPr>
              <w:t>串通损害国家利益、社会公共利益或者他人合法权益。</w:t>
            </w:r>
          </w:p>
          <w:p w14:paraId="7BD6B308">
            <w:pPr>
              <w:jc w:val="left"/>
              <w:outlineLvl w:val="9"/>
              <w:rPr>
                <w:rFonts w:ascii="宋体" w:hAnsi="宋体" w:cs="宋体"/>
                <w:szCs w:val="21"/>
                <w:highlight w:val="none"/>
                <w:lang w:val="zh-CN"/>
              </w:rPr>
            </w:pPr>
            <w:r>
              <w:rPr>
                <w:rFonts w:hint="eastAsia" w:ascii="宋体" w:hAnsi="宋体" w:cs="宋体"/>
                <w:szCs w:val="21"/>
                <w:highlight w:val="none"/>
              </w:rPr>
              <w:t>2.</w:t>
            </w:r>
            <w:r>
              <w:rPr>
                <w:rFonts w:hint="eastAsia" w:ascii="宋体" w:hAnsi="宋体" w:cs="宋体"/>
                <w:szCs w:val="21"/>
                <w:highlight w:val="none"/>
                <w:lang w:val="zh-CN"/>
              </w:rPr>
              <w:t>对</w:t>
            </w:r>
            <w:r>
              <w:rPr>
                <w:rFonts w:hint="eastAsia" w:ascii="宋体" w:hAnsi="宋体" w:cs="宋体"/>
                <w:kern w:val="0"/>
                <w:szCs w:val="21"/>
                <w:highlight w:val="none"/>
              </w:rPr>
              <w:t>供应商</w:t>
            </w:r>
            <w:r>
              <w:rPr>
                <w:rFonts w:hint="eastAsia" w:ascii="宋体" w:hAnsi="宋体" w:cs="宋体"/>
                <w:szCs w:val="21"/>
                <w:highlight w:val="none"/>
                <w:lang w:val="zh-CN"/>
              </w:rPr>
              <w:t>的纪律要求，</w:t>
            </w:r>
            <w:r>
              <w:rPr>
                <w:rFonts w:hint="eastAsia" w:ascii="宋体" w:hAnsi="宋体" w:cs="宋体"/>
                <w:kern w:val="0"/>
                <w:szCs w:val="21"/>
                <w:highlight w:val="none"/>
              </w:rPr>
              <w:t>供应商</w:t>
            </w:r>
            <w:r>
              <w:rPr>
                <w:rFonts w:hint="eastAsia" w:ascii="宋体" w:hAnsi="宋体" w:cs="宋体"/>
                <w:szCs w:val="21"/>
                <w:highlight w:val="none"/>
                <w:lang w:val="zh-CN"/>
              </w:rPr>
              <w:t>不得相互串通报价或者与</w:t>
            </w:r>
            <w:r>
              <w:rPr>
                <w:rFonts w:hint="eastAsia" w:ascii="宋体" w:hAnsi="宋体" w:cs="宋体"/>
                <w:szCs w:val="21"/>
                <w:highlight w:val="none"/>
              </w:rPr>
              <w:t>采购人</w:t>
            </w:r>
            <w:r>
              <w:rPr>
                <w:rFonts w:hint="eastAsia" w:ascii="宋体" w:hAnsi="宋体" w:cs="宋体"/>
                <w:szCs w:val="21"/>
                <w:highlight w:val="none"/>
                <w:lang w:val="zh-CN"/>
              </w:rPr>
              <w:t>串通报价，不得向</w:t>
            </w:r>
            <w:r>
              <w:rPr>
                <w:rFonts w:hint="eastAsia" w:ascii="宋体" w:hAnsi="宋体" w:cs="宋体"/>
                <w:szCs w:val="21"/>
                <w:highlight w:val="none"/>
              </w:rPr>
              <w:t>采购人</w:t>
            </w:r>
            <w:r>
              <w:rPr>
                <w:rFonts w:hint="eastAsia" w:ascii="宋体" w:hAnsi="宋体" w:cs="宋体"/>
                <w:szCs w:val="21"/>
                <w:highlight w:val="none"/>
                <w:lang w:val="zh-CN"/>
              </w:rPr>
              <w:t>或者</w:t>
            </w:r>
            <w:r>
              <w:rPr>
                <w:rFonts w:hint="eastAsia" w:ascii="宋体" w:hAnsi="宋体" w:cs="宋体"/>
                <w:szCs w:val="21"/>
                <w:highlight w:val="none"/>
              </w:rPr>
              <w:t>谈判</w:t>
            </w:r>
            <w:r>
              <w:rPr>
                <w:rFonts w:hint="eastAsia" w:ascii="宋体" w:hAnsi="宋体" w:cs="宋体"/>
                <w:szCs w:val="21"/>
                <w:highlight w:val="none"/>
                <w:lang w:val="zh-CN"/>
              </w:rPr>
              <w:t>小组成员行贿谋取中标，不得以他人名义报价或者以其他方式弄虚作假骗取中标；</w:t>
            </w:r>
            <w:r>
              <w:rPr>
                <w:rFonts w:hint="eastAsia" w:ascii="宋体" w:hAnsi="宋体" w:cs="宋体"/>
                <w:kern w:val="0"/>
                <w:szCs w:val="21"/>
                <w:highlight w:val="none"/>
              </w:rPr>
              <w:t>供应商</w:t>
            </w:r>
            <w:r>
              <w:rPr>
                <w:rFonts w:hint="eastAsia" w:ascii="宋体" w:hAnsi="宋体" w:cs="宋体"/>
                <w:szCs w:val="21"/>
                <w:highlight w:val="none"/>
                <w:lang w:val="zh-CN"/>
              </w:rPr>
              <w:t>不得以任何方式干扰、影响竞谈工作。</w:t>
            </w:r>
          </w:p>
          <w:p w14:paraId="4AA21D10">
            <w:pPr>
              <w:jc w:val="left"/>
              <w:outlineLvl w:val="9"/>
              <w:rPr>
                <w:rFonts w:ascii="宋体" w:hAnsi="宋体" w:cs="宋体"/>
                <w:szCs w:val="21"/>
                <w:highlight w:val="none"/>
                <w:lang w:val="zh-CN"/>
              </w:rPr>
            </w:pPr>
            <w:r>
              <w:rPr>
                <w:rFonts w:hint="eastAsia" w:ascii="宋体" w:hAnsi="宋体" w:cs="宋体"/>
                <w:szCs w:val="21"/>
                <w:highlight w:val="none"/>
              </w:rPr>
              <w:t>3</w:t>
            </w:r>
            <w:r>
              <w:rPr>
                <w:rFonts w:hint="eastAsia" w:ascii="宋体" w:hAnsi="宋体" w:cs="宋体"/>
                <w:szCs w:val="21"/>
                <w:highlight w:val="none"/>
                <w:lang w:val="zh-CN"/>
              </w:rPr>
              <w:t>、对</w:t>
            </w:r>
            <w:r>
              <w:rPr>
                <w:rFonts w:hint="eastAsia" w:ascii="宋体" w:hAnsi="宋体" w:cs="宋体"/>
                <w:szCs w:val="21"/>
                <w:highlight w:val="none"/>
              </w:rPr>
              <w:t>谈判</w:t>
            </w:r>
            <w:r>
              <w:rPr>
                <w:rFonts w:hint="eastAsia" w:ascii="宋体" w:hAnsi="宋体" w:cs="宋体"/>
                <w:szCs w:val="21"/>
                <w:highlight w:val="none"/>
                <w:lang w:val="zh-CN"/>
              </w:rPr>
              <w:t>小组成员的纪律要求，</w:t>
            </w:r>
            <w:r>
              <w:rPr>
                <w:rFonts w:hint="eastAsia" w:ascii="宋体" w:hAnsi="宋体" w:cs="宋体"/>
                <w:szCs w:val="21"/>
                <w:highlight w:val="none"/>
              </w:rPr>
              <w:t>谈判</w:t>
            </w:r>
            <w:r>
              <w:rPr>
                <w:rFonts w:hint="eastAsia" w:ascii="宋体" w:hAnsi="宋体" w:cs="宋体"/>
                <w:szCs w:val="21"/>
                <w:highlight w:val="none"/>
                <w:lang w:val="zh-CN"/>
              </w:rPr>
              <w:t>小组成员不得收受他人的财物或者其他好处，不得向他人透漏对报价文件的评审和比较、成交候选人的推荐情况以及竞谈有关的其他情况。在竞谈活动中，</w:t>
            </w:r>
            <w:r>
              <w:rPr>
                <w:rFonts w:hint="eastAsia" w:ascii="宋体" w:hAnsi="宋体" w:cs="宋体"/>
                <w:szCs w:val="21"/>
                <w:highlight w:val="none"/>
              </w:rPr>
              <w:t>谈判小组</w:t>
            </w:r>
            <w:r>
              <w:rPr>
                <w:rFonts w:hint="eastAsia" w:ascii="宋体" w:hAnsi="宋体" w:cs="宋体"/>
                <w:szCs w:val="21"/>
                <w:highlight w:val="none"/>
                <w:lang w:val="zh-CN"/>
              </w:rPr>
              <w:t>成员不得擅离职守，影响竞谈程序正常进行。</w:t>
            </w:r>
          </w:p>
          <w:p w14:paraId="5701E06D">
            <w:pPr>
              <w:jc w:val="left"/>
              <w:outlineLvl w:val="9"/>
              <w:rPr>
                <w:rFonts w:ascii="宋体" w:hAnsi="宋体" w:cs="宋体"/>
                <w:szCs w:val="21"/>
                <w:highlight w:val="none"/>
                <w:lang w:val="zh-CN"/>
              </w:rPr>
            </w:pPr>
            <w:r>
              <w:rPr>
                <w:rFonts w:hint="eastAsia" w:ascii="宋体" w:hAnsi="宋体" w:cs="宋体"/>
                <w:szCs w:val="21"/>
                <w:highlight w:val="none"/>
                <w:lang w:val="zh-CN"/>
              </w:rPr>
              <w:t>4、对与竞谈活动有关的工作人员的纪律要求，与竞谈活动有关的工作人员不得收受他人的财物或者其他好处，不得向他人透漏对报价文件的评审和比较、中标候选人的推荐情况以及竞谈有关的其他情况。在竞谈活动中，与竞谈活动有关的工作人员不得擅离职守，影响竞谈程序正常进行。</w:t>
            </w:r>
          </w:p>
          <w:p w14:paraId="7F379F0E">
            <w:pPr>
              <w:jc w:val="left"/>
              <w:outlineLvl w:val="9"/>
              <w:rPr>
                <w:rFonts w:ascii="宋体" w:hAnsi="宋体" w:cs="宋体"/>
                <w:szCs w:val="21"/>
                <w:highlight w:val="none"/>
              </w:rPr>
            </w:pPr>
            <w:r>
              <w:rPr>
                <w:rFonts w:hint="eastAsia" w:ascii="宋体" w:hAnsi="宋体" w:cs="宋体"/>
                <w:szCs w:val="21"/>
                <w:highlight w:val="none"/>
              </w:rPr>
              <w:t>5.</w:t>
            </w:r>
            <w:r>
              <w:rPr>
                <w:rFonts w:hint="eastAsia" w:ascii="宋体" w:hAnsi="宋体" w:cs="宋体"/>
                <w:kern w:val="0"/>
                <w:szCs w:val="21"/>
                <w:highlight w:val="none"/>
              </w:rPr>
              <w:t>供应商</w:t>
            </w:r>
            <w:r>
              <w:rPr>
                <w:rFonts w:hint="eastAsia" w:ascii="宋体" w:hAnsi="宋体" w:cs="宋体"/>
                <w:szCs w:val="21"/>
                <w:highlight w:val="none"/>
                <w:lang w:val="zh-CN"/>
              </w:rPr>
              <w:t>和其他利害关系人认为本次报价活动违反法律、法规和规章规定的，有权向有关行政监督部门投诉。对发现在本次竞谈过程中存在的任何违规、违纪情况也可以向云南能源投资股份有限公司纪委办公室进行电话举报0871-63135805。</w:t>
            </w:r>
          </w:p>
        </w:tc>
      </w:tr>
    </w:tbl>
    <w:p w14:paraId="13C81480">
      <w:pPr>
        <w:pStyle w:val="142"/>
        <w:numPr>
          <w:ilvl w:val="255"/>
          <w:numId w:val="0"/>
        </w:numPr>
        <w:tabs>
          <w:tab w:val="left" w:pos="3005"/>
        </w:tabs>
        <w:spacing w:line="360" w:lineRule="auto"/>
        <w:ind w:left="316"/>
        <w:outlineLvl w:val="2"/>
        <w:rPr>
          <w:rFonts w:ascii="宋体" w:hAnsi="宋体" w:cs="宋体"/>
          <w:highlight w:val="none"/>
        </w:rPr>
      </w:pPr>
      <w:r>
        <w:rPr>
          <w:rFonts w:hint="eastAsia" w:ascii="宋体" w:hAnsi="宋体" w:cs="宋体"/>
          <w:highlight w:val="none"/>
        </w:rPr>
        <w:br w:type="page"/>
      </w:r>
    </w:p>
    <w:p w14:paraId="2678A328">
      <w:pPr>
        <w:spacing w:line="360" w:lineRule="auto"/>
        <w:outlineLvl w:val="1"/>
        <w:rPr>
          <w:rFonts w:ascii="宋体" w:hAnsi="宋体" w:cs="宋体"/>
          <w:sz w:val="28"/>
          <w:szCs w:val="28"/>
          <w:highlight w:val="none"/>
        </w:rPr>
      </w:pPr>
      <w:bookmarkStart w:id="141" w:name="_Toc36460118"/>
      <w:r>
        <w:rPr>
          <w:rFonts w:hint="eastAsia" w:ascii="宋体" w:hAnsi="宋体" w:cs="宋体"/>
          <w:b/>
          <w:sz w:val="24"/>
          <w:highlight w:val="none"/>
        </w:rPr>
        <w:t>1.适用范围</w:t>
      </w:r>
      <w:bookmarkEnd w:id="141"/>
    </w:p>
    <w:p w14:paraId="71167F0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本采购文件仅适用于本项目采购公告中所述项目。</w:t>
      </w:r>
    </w:p>
    <w:p w14:paraId="66AC5BE4">
      <w:pPr>
        <w:spacing w:line="360" w:lineRule="auto"/>
        <w:outlineLvl w:val="1"/>
        <w:rPr>
          <w:rFonts w:ascii="宋体" w:hAnsi="宋体" w:cs="宋体"/>
          <w:b/>
          <w:sz w:val="24"/>
          <w:highlight w:val="none"/>
        </w:rPr>
      </w:pPr>
      <w:bookmarkStart w:id="142" w:name="_Toc36460119"/>
      <w:r>
        <w:rPr>
          <w:rFonts w:hint="eastAsia" w:ascii="宋体" w:hAnsi="宋体" w:cs="宋体"/>
          <w:b/>
          <w:sz w:val="24"/>
          <w:highlight w:val="none"/>
        </w:rPr>
        <w:t>2.定义</w:t>
      </w:r>
      <w:bookmarkEnd w:id="142"/>
    </w:p>
    <w:p w14:paraId="1E69735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2.1 采购人：指依法提出采购项目进行采购的法人或其他组织，采购人及联系方式见前附表。</w:t>
      </w:r>
    </w:p>
    <w:p w14:paraId="1AEFA9B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2.2 供应商：指响应竞争性谈判采购，参与竞争的法人或其他组织。</w:t>
      </w:r>
    </w:p>
    <w:p w14:paraId="56DE660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2.3 成交人：指最终被授予合同的供应商。</w:t>
      </w:r>
    </w:p>
    <w:p w14:paraId="79CEAF1A">
      <w:pPr>
        <w:spacing w:line="360" w:lineRule="auto"/>
        <w:outlineLvl w:val="1"/>
        <w:rPr>
          <w:rFonts w:ascii="宋体" w:hAnsi="宋体" w:cs="宋体"/>
          <w:b/>
          <w:sz w:val="24"/>
          <w:highlight w:val="none"/>
        </w:rPr>
      </w:pPr>
      <w:bookmarkStart w:id="143" w:name="_Toc36460120"/>
      <w:r>
        <w:rPr>
          <w:rFonts w:hint="eastAsia" w:ascii="宋体" w:hAnsi="宋体" w:cs="宋体"/>
          <w:b/>
          <w:sz w:val="24"/>
          <w:highlight w:val="none"/>
        </w:rPr>
        <w:t>3.竞争性谈判费用</w:t>
      </w:r>
      <w:bookmarkEnd w:id="143"/>
    </w:p>
    <w:p w14:paraId="7887078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供应商应承担与其参加竞争性谈判有关的所有费用。不论竞争性谈判过程和结果如何，供应商应自行承担所有与参加竞争性谈判有关的费用，采购人在任何情况下均无义务和责任承担这些费用。</w:t>
      </w:r>
    </w:p>
    <w:p w14:paraId="783354C3">
      <w:pPr>
        <w:spacing w:line="360" w:lineRule="auto"/>
        <w:outlineLvl w:val="1"/>
        <w:rPr>
          <w:rFonts w:ascii="宋体" w:hAnsi="宋体" w:cs="宋体"/>
          <w:b/>
          <w:sz w:val="24"/>
          <w:highlight w:val="none"/>
        </w:rPr>
      </w:pPr>
      <w:bookmarkStart w:id="144" w:name="_Toc36460121"/>
      <w:r>
        <w:rPr>
          <w:rFonts w:hint="eastAsia" w:ascii="宋体" w:hAnsi="宋体" w:cs="宋体"/>
          <w:b/>
          <w:sz w:val="24"/>
          <w:highlight w:val="none"/>
        </w:rPr>
        <w:t>4.现场踏勘</w:t>
      </w:r>
      <w:bookmarkEnd w:id="144"/>
    </w:p>
    <w:p w14:paraId="46EE892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 xml:space="preserve">4.1 供应商须知前附表规定组织踏勘现场的，采购人按供应商须知前附表规定的时间、地点组织供应商踏勘项目现场。 </w:t>
      </w:r>
    </w:p>
    <w:p w14:paraId="5776633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4.2 供应商自行负责在踏勘现场中所发生的人员伤亡和财产损失。</w:t>
      </w:r>
    </w:p>
    <w:p w14:paraId="1EFBBCD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4.3 采购人在踏勘现场中介绍的项目场地和相关的周边环境情况，仅供供应商在编制响应文件时参考，采购人不对供应商据此作出的判断和决策负责。</w:t>
      </w:r>
    </w:p>
    <w:p w14:paraId="513E8CD1">
      <w:pPr>
        <w:spacing w:line="360" w:lineRule="auto"/>
        <w:outlineLvl w:val="1"/>
        <w:rPr>
          <w:rFonts w:ascii="宋体" w:hAnsi="宋体" w:cs="宋体"/>
          <w:b/>
          <w:sz w:val="24"/>
          <w:highlight w:val="none"/>
        </w:rPr>
      </w:pPr>
      <w:bookmarkStart w:id="145" w:name="_Toc36460122"/>
      <w:r>
        <w:rPr>
          <w:rFonts w:hint="eastAsia" w:ascii="宋体" w:hAnsi="宋体" w:cs="宋体"/>
          <w:b/>
          <w:sz w:val="24"/>
          <w:highlight w:val="none"/>
        </w:rPr>
        <w:t>5.采购文件的构成</w:t>
      </w:r>
      <w:bookmarkEnd w:id="145"/>
    </w:p>
    <w:p w14:paraId="4C60EBD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5.1 采购文件由下列文件以及在竞争性谈判过程中发出的修正和补充文件组成：</w:t>
      </w:r>
    </w:p>
    <w:p w14:paraId="01742D8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第一章 采购公告</w:t>
      </w:r>
    </w:p>
    <w:p w14:paraId="5B410ED9">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第二章 供应商须知及前附表</w:t>
      </w:r>
    </w:p>
    <w:p w14:paraId="6929598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第三章 评审办法</w:t>
      </w:r>
    </w:p>
    <w:p w14:paraId="791E1727">
      <w:pPr>
        <w:spacing w:line="360" w:lineRule="auto"/>
        <w:ind w:firstLine="480" w:firstLineChars="200"/>
        <w:outlineLvl w:val="9"/>
        <w:rPr>
          <w:rFonts w:hint="default" w:ascii="宋体" w:hAnsi="宋体" w:eastAsia="宋体" w:cs="宋体"/>
          <w:sz w:val="24"/>
          <w:szCs w:val="24"/>
          <w:highlight w:val="none"/>
          <w:lang w:val="en-US" w:eastAsia="zh-CN"/>
        </w:rPr>
      </w:pPr>
      <w:r>
        <w:rPr>
          <w:rFonts w:hint="eastAsia" w:ascii="宋体" w:hAnsi="宋体" w:cs="宋体"/>
          <w:sz w:val="24"/>
          <w:szCs w:val="24"/>
          <w:highlight w:val="none"/>
        </w:rPr>
        <w:t>第四章 合同</w:t>
      </w:r>
      <w:r>
        <w:rPr>
          <w:rFonts w:hint="eastAsia" w:ascii="宋体" w:hAnsi="宋体" w:cs="宋体"/>
          <w:sz w:val="24"/>
          <w:szCs w:val="24"/>
          <w:highlight w:val="none"/>
          <w:lang w:val="en-US" w:eastAsia="zh-CN"/>
        </w:rPr>
        <w:t>条款及格式</w:t>
      </w:r>
    </w:p>
    <w:p w14:paraId="5A0823F1">
      <w:pPr>
        <w:spacing w:line="360" w:lineRule="auto"/>
        <w:ind w:firstLine="480" w:firstLineChars="200"/>
        <w:outlineLvl w:val="9"/>
        <w:rPr>
          <w:rFonts w:hint="eastAsia" w:ascii="宋体" w:hAnsi="宋体" w:eastAsia="宋体" w:cs="宋体"/>
          <w:sz w:val="24"/>
          <w:szCs w:val="24"/>
          <w:highlight w:val="none"/>
          <w:lang w:eastAsia="zh-CN"/>
        </w:rPr>
      </w:pPr>
      <w:r>
        <w:rPr>
          <w:rFonts w:hint="eastAsia" w:ascii="宋体" w:hAnsi="宋体" w:cs="宋体"/>
          <w:sz w:val="24"/>
          <w:szCs w:val="24"/>
          <w:highlight w:val="none"/>
        </w:rPr>
        <w:t xml:space="preserve">第五章 </w:t>
      </w:r>
      <w:r>
        <w:rPr>
          <w:rFonts w:hint="eastAsia" w:ascii="宋体" w:hAnsi="宋体" w:cs="宋体"/>
          <w:sz w:val="24"/>
          <w:szCs w:val="24"/>
          <w:highlight w:val="none"/>
          <w:lang w:val="en-US" w:eastAsia="zh-CN"/>
        </w:rPr>
        <w:t>采购人要求</w:t>
      </w:r>
    </w:p>
    <w:p w14:paraId="743010C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第六章 响应文件格式</w:t>
      </w:r>
    </w:p>
    <w:p w14:paraId="430786F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5.2 供应商应认真阅读采购文件中所有的事项、格式、条款和要求等。供应商没有按照采购文件要求提交全部资料，或者响应文件没有对采购文件在各方面都做出实质性响应，可能导致其竞争性谈判被拒绝。</w:t>
      </w:r>
    </w:p>
    <w:p w14:paraId="180CCFE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5.3 响应文件一经递交成功即表示供应商确认采购文件的法律效力，并对此采购文件提出的要求做出相应的响应，承担与采购文件要求相适应的民事、经济和法律责任。</w:t>
      </w:r>
    </w:p>
    <w:p w14:paraId="6139BD7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5.4 由于供应商对采购文件的误解与疏忽或报价误差，而导致竞争性谈判失败或成交后的任何风险，其责任均由供应商自负。</w:t>
      </w:r>
    </w:p>
    <w:p w14:paraId="5C390465">
      <w:pPr>
        <w:spacing w:line="360" w:lineRule="auto"/>
        <w:outlineLvl w:val="1"/>
        <w:rPr>
          <w:rFonts w:ascii="宋体" w:hAnsi="宋体" w:cs="宋体"/>
          <w:b/>
          <w:sz w:val="24"/>
          <w:highlight w:val="none"/>
        </w:rPr>
      </w:pPr>
      <w:bookmarkStart w:id="146" w:name="_Toc36460123"/>
      <w:r>
        <w:rPr>
          <w:rFonts w:hint="eastAsia" w:ascii="宋体" w:hAnsi="宋体" w:cs="宋体"/>
          <w:b/>
          <w:sz w:val="24"/>
          <w:highlight w:val="none"/>
        </w:rPr>
        <w:t>6.采购文件的澄清、修改、补充</w:t>
      </w:r>
      <w:bookmarkEnd w:id="146"/>
    </w:p>
    <w:p w14:paraId="53167B8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6.1 任何要求对采购文件进行澄清的供应商，均应在供应商须知前附表规定的时间提出。在递交截止期前的任何时候，无论出于何种原因，采购人可主动地对采购文件进行修改、补充。</w:t>
      </w:r>
    </w:p>
    <w:p w14:paraId="34A3BC4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6.2 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3371B7F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6.3 为使供应商有充分时间对采购文件的修改部分进行研究，采购人可适当延长响应文件的递交截止时间，并以书面形式通知所有获取采购文件的供应商。</w:t>
      </w:r>
    </w:p>
    <w:p w14:paraId="0F3839EB">
      <w:pPr>
        <w:spacing w:line="360" w:lineRule="auto"/>
        <w:outlineLvl w:val="1"/>
        <w:rPr>
          <w:rFonts w:ascii="宋体" w:hAnsi="宋体" w:cs="宋体"/>
          <w:b/>
          <w:sz w:val="24"/>
          <w:highlight w:val="none"/>
        </w:rPr>
      </w:pPr>
      <w:bookmarkStart w:id="147" w:name="_Toc36460124"/>
      <w:r>
        <w:rPr>
          <w:rFonts w:hint="eastAsia" w:ascii="宋体" w:hAnsi="宋体" w:cs="宋体"/>
          <w:b/>
          <w:sz w:val="24"/>
          <w:highlight w:val="none"/>
        </w:rPr>
        <w:t>7.编制基本要求</w:t>
      </w:r>
      <w:bookmarkEnd w:id="147"/>
    </w:p>
    <w:p w14:paraId="536A292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7.1 供应商应在认真阅读，充分理解本采购文件所有内容（包括所有的澄清、修改、补充内容）的基础上，按照“第六章 响应文件格式”的要求编制完整的响应文件。</w:t>
      </w:r>
    </w:p>
    <w:p w14:paraId="6742DCF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7.2 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6BA701A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7.3 如果响应文件填报的内容不详，或没有提供采购文件中所要求的全部资料及数据，给评审造成困难，责任由供应商自行承担。</w:t>
      </w:r>
    </w:p>
    <w:p w14:paraId="6ADA152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7.4 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0863092D">
      <w:pPr>
        <w:spacing w:line="360" w:lineRule="auto"/>
        <w:outlineLvl w:val="1"/>
        <w:rPr>
          <w:rFonts w:ascii="宋体" w:hAnsi="宋体" w:cs="宋体"/>
          <w:b/>
          <w:sz w:val="24"/>
          <w:highlight w:val="none"/>
        </w:rPr>
      </w:pPr>
      <w:bookmarkStart w:id="148" w:name="_Toc36460125"/>
      <w:r>
        <w:rPr>
          <w:rFonts w:hint="eastAsia" w:ascii="宋体" w:hAnsi="宋体" w:cs="宋体"/>
          <w:b/>
          <w:sz w:val="24"/>
          <w:highlight w:val="none"/>
        </w:rPr>
        <w:t>8.语言和计量单位</w:t>
      </w:r>
      <w:bookmarkEnd w:id="148"/>
    </w:p>
    <w:p w14:paraId="5487737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8.1 响应文件及供应商与采购人之间的凡与采购有关的来往信函和文件均使用中文，若其中有其它语言的书面材料，则应附有中文译文，并以中文译文为准。</w:t>
      </w:r>
    </w:p>
    <w:p w14:paraId="4316A1D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8.2 除非采购文件中另有规定，计量单位均采用中华人民共和国法定的计量单位。</w:t>
      </w:r>
    </w:p>
    <w:p w14:paraId="66A1A8F4">
      <w:pPr>
        <w:spacing w:line="360" w:lineRule="auto"/>
        <w:outlineLvl w:val="1"/>
        <w:rPr>
          <w:rFonts w:ascii="宋体" w:hAnsi="宋体" w:cs="宋体"/>
          <w:b/>
          <w:sz w:val="24"/>
          <w:highlight w:val="none"/>
        </w:rPr>
      </w:pPr>
      <w:bookmarkStart w:id="149" w:name="_Toc36460126"/>
      <w:r>
        <w:rPr>
          <w:rFonts w:hint="eastAsia" w:ascii="宋体" w:hAnsi="宋体" w:cs="宋体"/>
          <w:b/>
          <w:sz w:val="24"/>
          <w:highlight w:val="none"/>
        </w:rPr>
        <w:t>9.报价</w:t>
      </w:r>
      <w:bookmarkEnd w:id="149"/>
    </w:p>
    <w:p w14:paraId="63DCEEE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9.1 供应商应按照采购文件规定的内容、责任范围以及技术要求条件进行报价。并按报价部分规定的格式报出分项价格和总价。</w:t>
      </w:r>
    </w:p>
    <w:p w14:paraId="5F5814A0">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9.2 供应商报价应包括供应商成交后为完成采购项目规定的全部工作需支付的一切费用和拟获得的利润，并考虑了应承担的风险。</w:t>
      </w:r>
    </w:p>
    <w:p w14:paraId="700ED26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9.3 供应商必须根据采购文件报价格式进行报价，若供应商提供免费服务，应在响应文件中说明或在报价表中填“免费”，否则视为已包含在总报价中。</w:t>
      </w:r>
    </w:p>
    <w:p w14:paraId="605EDB4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9.4 供应商不得以低于成本报价。</w:t>
      </w:r>
    </w:p>
    <w:p w14:paraId="5913B83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9.5 响应文件中标明的最终报价在合同执行过程中是固定不变的，不得以任何理由予以变更。</w:t>
      </w:r>
    </w:p>
    <w:p w14:paraId="0758D1C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9.6 采购人设有最高限价的，供应商的报价不得超过最高限价，如超过最高限价，将予以否决，最高限价在供应商须知前附表中载明。</w:t>
      </w:r>
    </w:p>
    <w:p w14:paraId="7CDBCA10">
      <w:pPr>
        <w:spacing w:line="360" w:lineRule="auto"/>
        <w:outlineLvl w:val="1"/>
        <w:rPr>
          <w:rFonts w:ascii="宋体" w:hAnsi="宋体" w:cs="宋体"/>
          <w:b/>
          <w:sz w:val="24"/>
          <w:highlight w:val="none"/>
        </w:rPr>
      </w:pPr>
      <w:bookmarkStart w:id="150" w:name="_Toc36460127"/>
      <w:r>
        <w:rPr>
          <w:rFonts w:hint="eastAsia" w:ascii="宋体" w:hAnsi="宋体" w:cs="宋体"/>
          <w:b/>
          <w:sz w:val="24"/>
          <w:highlight w:val="none"/>
        </w:rPr>
        <w:t>10.报价货币</w:t>
      </w:r>
      <w:bookmarkEnd w:id="150"/>
    </w:p>
    <w:p w14:paraId="7B3045B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采用人民币报价，供应商须知前附表有明确规定的除外。</w:t>
      </w:r>
    </w:p>
    <w:p w14:paraId="472CB1DB">
      <w:pPr>
        <w:spacing w:line="360" w:lineRule="auto"/>
        <w:outlineLvl w:val="1"/>
        <w:rPr>
          <w:rFonts w:ascii="宋体" w:hAnsi="宋体" w:cs="宋体"/>
          <w:b/>
          <w:sz w:val="24"/>
          <w:highlight w:val="none"/>
        </w:rPr>
      </w:pPr>
      <w:bookmarkStart w:id="151" w:name="_Toc36460128"/>
      <w:r>
        <w:rPr>
          <w:rFonts w:hint="eastAsia" w:ascii="宋体" w:hAnsi="宋体" w:cs="宋体"/>
          <w:b/>
          <w:sz w:val="24"/>
          <w:highlight w:val="none"/>
        </w:rPr>
        <w:t>11.响应保证金</w:t>
      </w:r>
      <w:bookmarkEnd w:id="151"/>
    </w:p>
    <w:p w14:paraId="491ED2A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11.1 应提交供应商须知前附表中规定数额和形式的响应保证金，作为其响应文件的一部分，响应保证金的有效期应满足采购有效期的要求。</w:t>
      </w:r>
    </w:p>
    <w:p w14:paraId="3C08E02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11.2 任何未按第11.1款规定提交响应保证金的，将被视为非实质性响应采购文件而予以拒绝。</w:t>
      </w:r>
    </w:p>
    <w:p w14:paraId="1951217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11.3 发生下列情况之一，响应保证金可不予退还：</w:t>
      </w:r>
    </w:p>
    <w:p w14:paraId="4DE0F280">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（1）供应商在采购有效期内撤回其响应文件；</w:t>
      </w:r>
    </w:p>
    <w:p w14:paraId="4F1BE63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（2）供应商被通知成交后，拒绝签订合同（即不按成交时规定的技术服务方案、价格等签订合同）或没有按照要求提交履约担保。</w:t>
      </w:r>
    </w:p>
    <w:p w14:paraId="4F61499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11.4 响应保证金的退还</w:t>
      </w:r>
    </w:p>
    <w:p w14:paraId="24B13C7B">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成交人与采购人签订合同后5日内，采购人向成交人及未成交供应商退还剩余保证金。</w:t>
      </w:r>
    </w:p>
    <w:p w14:paraId="58165B6A">
      <w:pPr>
        <w:spacing w:line="360" w:lineRule="auto"/>
        <w:outlineLvl w:val="1"/>
        <w:rPr>
          <w:rFonts w:ascii="宋体" w:hAnsi="宋体" w:cs="宋体"/>
          <w:b/>
          <w:sz w:val="24"/>
          <w:highlight w:val="none"/>
        </w:rPr>
      </w:pPr>
      <w:bookmarkStart w:id="152" w:name="_Toc36460129"/>
      <w:r>
        <w:rPr>
          <w:rFonts w:hint="eastAsia" w:ascii="宋体" w:hAnsi="宋体" w:cs="宋体"/>
          <w:b/>
          <w:sz w:val="24"/>
          <w:highlight w:val="none"/>
        </w:rPr>
        <w:t>12.采购有效期</w:t>
      </w:r>
      <w:bookmarkEnd w:id="152"/>
    </w:p>
    <w:p w14:paraId="20BD817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12.1 采购有效期自本采购文件规定的响应文件递交截止时间起生效，并在供应商须知前附表中规定采购有效期内保持有效。竞争性谈判有效期短于这个规定期限的响应文件将被视为非实质性响应而予以拒绝。</w:t>
      </w:r>
    </w:p>
    <w:p w14:paraId="3C3E72A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12.2 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311B03A4">
      <w:pPr>
        <w:spacing w:line="360" w:lineRule="auto"/>
        <w:outlineLvl w:val="1"/>
        <w:rPr>
          <w:rFonts w:ascii="宋体" w:hAnsi="宋体" w:cs="宋体"/>
          <w:b/>
          <w:sz w:val="24"/>
          <w:highlight w:val="none"/>
        </w:rPr>
      </w:pPr>
      <w:bookmarkStart w:id="153" w:name="_Toc36460130"/>
      <w:r>
        <w:rPr>
          <w:rFonts w:hint="eastAsia" w:ascii="宋体" w:hAnsi="宋体" w:cs="宋体"/>
          <w:b/>
          <w:sz w:val="24"/>
          <w:highlight w:val="none"/>
        </w:rPr>
        <w:t>13.响应文件递交截止时间及地点</w:t>
      </w:r>
      <w:bookmarkEnd w:id="153"/>
    </w:p>
    <w:p w14:paraId="674B83C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13.1 供应商应在不迟于供应商须知前附表中规定的响应文件递交截止时间前将响应文件递交至联系人处。</w:t>
      </w:r>
    </w:p>
    <w:p w14:paraId="6914A07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13.2 采购人将拒绝接受供应商须知前附表规定的响应文件递交截止时间后收到的任何响应文件。</w:t>
      </w:r>
    </w:p>
    <w:p w14:paraId="5DB9B3CE">
      <w:pPr>
        <w:spacing w:line="360" w:lineRule="auto"/>
        <w:outlineLvl w:val="1"/>
        <w:rPr>
          <w:rFonts w:ascii="宋体" w:hAnsi="宋体" w:cs="宋体"/>
          <w:b/>
          <w:sz w:val="24"/>
          <w:highlight w:val="none"/>
        </w:rPr>
      </w:pPr>
      <w:bookmarkStart w:id="154" w:name="_Toc36460131"/>
      <w:r>
        <w:rPr>
          <w:rFonts w:hint="eastAsia" w:ascii="宋体" w:hAnsi="宋体" w:cs="宋体"/>
          <w:b/>
          <w:sz w:val="24"/>
          <w:highlight w:val="none"/>
        </w:rPr>
        <w:t>14.响应文件的修改和撤销</w:t>
      </w:r>
      <w:bookmarkEnd w:id="154"/>
    </w:p>
    <w:p w14:paraId="0C00603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14.1 供应商在递交响应文件后，可以在规定的响应文件递交截止时间之前修改或撤回其响应文件。</w:t>
      </w:r>
    </w:p>
    <w:p w14:paraId="2C447F6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14.2 供应商不得在采购有效期内撤销响应文件。</w:t>
      </w:r>
    </w:p>
    <w:p w14:paraId="74742296">
      <w:pPr>
        <w:spacing w:line="360" w:lineRule="auto"/>
        <w:outlineLvl w:val="1"/>
        <w:rPr>
          <w:rFonts w:ascii="宋体" w:hAnsi="宋体" w:cs="宋体"/>
          <w:b/>
          <w:sz w:val="24"/>
          <w:highlight w:val="none"/>
        </w:rPr>
      </w:pPr>
      <w:bookmarkStart w:id="155" w:name="_Toc36460132"/>
      <w:r>
        <w:rPr>
          <w:rFonts w:hint="eastAsia" w:ascii="宋体" w:hAnsi="宋体" w:cs="宋体"/>
          <w:b/>
          <w:sz w:val="24"/>
          <w:highlight w:val="none"/>
        </w:rPr>
        <w:t>15.谈判小组</w:t>
      </w:r>
      <w:bookmarkEnd w:id="155"/>
    </w:p>
    <w:p w14:paraId="1BE3BD4B">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15.1 采购人将按照《</w:t>
      </w:r>
      <w:r>
        <w:rPr>
          <w:rFonts w:hint="eastAsia" w:ascii="宋体" w:hAnsi="宋体" w:cs="宋体"/>
          <w:sz w:val="24"/>
          <w:szCs w:val="24"/>
          <w:highlight w:val="none"/>
          <w:lang w:val="en-US" w:eastAsia="zh-CN"/>
        </w:rPr>
        <w:t>云南能源投资股份</w:t>
      </w:r>
      <w:r>
        <w:rPr>
          <w:rFonts w:hint="eastAsia" w:ascii="宋体" w:hAnsi="宋体" w:cs="宋体"/>
          <w:sz w:val="24"/>
          <w:szCs w:val="24"/>
          <w:highlight w:val="none"/>
        </w:rPr>
        <w:t>有限公司采购管理制度》及有关法律、法规的规定组建谈判小组。</w:t>
      </w:r>
    </w:p>
    <w:p w14:paraId="48BD685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15.2 谈判小组负责评审工作，根据采购文件的要求对响应文件进行审查、质疑、评估和比较，出具评审报告，推荐成交供应商。</w:t>
      </w:r>
    </w:p>
    <w:p w14:paraId="1A6A04AB">
      <w:pPr>
        <w:spacing w:line="360" w:lineRule="auto"/>
        <w:outlineLvl w:val="1"/>
        <w:rPr>
          <w:rFonts w:ascii="宋体" w:hAnsi="宋体" w:cs="宋体"/>
          <w:b/>
          <w:sz w:val="24"/>
          <w:highlight w:val="none"/>
        </w:rPr>
      </w:pPr>
      <w:bookmarkStart w:id="156" w:name="_Toc36460133"/>
      <w:r>
        <w:rPr>
          <w:rFonts w:hint="eastAsia" w:ascii="宋体" w:hAnsi="宋体" w:cs="宋体"/>
          <w:b/>
          <w:sz w:val="24"/>
          <w:highlight w:val="none"/>
        </w:rPr>
        <w:t>16.开启响应文件</w:t>
      </w:r>
      <w:bookmarkEnd w:id="156"/>
    </w:p>
    <w:p w14:paraId="45F6699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16.1 在供应商须知前附表规定的时间开启响应文件。</w:t>
      </w:r>
    </w:p>
    <w:p w14:paraId="00F51F1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16.2 供应商须根据供应商须知前附表规定的谈判时间及地点参加谈判。</w:t>
      </w:r>
    </w:p>
    <w:p w14:paraId="3E5F88A2">
      <w:pPr>
        <w:spacing w:line="360" w:lineRule="auto"/>
        <w:outlineLvl w:val="1"/>
        <w:rPr>
          <w:rFonts w:ascii="宋体" w:hAnsi="宋体" w:cs="宋体"/>
          <w:b/>
          <w:sz w:val="24"/>
          <w:highlight w:val="none"/>
        </w:rPr>
      </w:pPr>
      <w:bookmarkStart w:id="157" w:name="_Toc36460134"/>
      <w:r>
        <w:rPr>
          <w:rFonts w:hint="eastAsia" w:ascii="宋体" w:hAnsi="宋体" w:cs="宋体"/>
          <w:b/>
          <w:sz w:val="24"/>
          <w:highlight w:val="none"/>
        </w:rPr>
        <w:t>17</w:t>
      </w:r>
      <w:bookmarkEnd w:id="157"/>
      <w:r>
        <w:rPr>
          <w:rFonts w:hint="eastAsia" w:ascii="宋体" w:hAnsi="宋体" w:cs="宋体"/>
          <w:b/>
          <w:sz w:val="24"/>
          <w:highlight w:val="none"/>
        </w:rPr>
        <w:t>.</w:t>
      </w:r>
      <w:r>
        <w:rPr>
          <w:rFonts w:hint="eastAsia" w:ascii="宋体" w:hAnsi="宋体" w:cs="宋体"/>
          <w:b/>
          <w:kern w:val="0"/>
          <w:sz w:val="24"/>
          <w:highlight w:val="none"/>
        </w:rPr>
        <w:t>谈判与评审</w:t>
      </w:r>
    </w:p>
    <w:p w14:paraId="49C819C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17.1 谈判方式：详见“供应商须知前附表”。</w:t>
      </w:r>
    </w:p>
    <w:p w14:paraId="4F4F61D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17.2 谈判程序及原则：详见“供应商须知前附表”。</w:t>
      </w:r>
    </w:p>
    <w:p w14:paraId="2D5E1CC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17.3 评审工作：评审工作将严格按照采购文件第三章规定的评审标准和办法及国家有关法律、法规的要求由谈判小组进行。</w:t>
      </w:r>
    </w:p>
    <w:p w14:paraId="27772FFA">
      <w:pPr>
        <w:spacing w:line="360" w:lineRule="auto"/>
        <w:outlineLvl w:val="1"/>
        <w:rPr>
          <w:rFonts w:ascii="宋体" w:hAnsi="宋体" w:cs="宋体"/>
          <w:b/>
          <w:sz w:val="24"/>
          <w:highlight w:val="none"/>
        </w:rPr>
      </w:pPr>
      <w:bookmarkStart w:id="158" w:name="_Toc36460135"/>
      <w:r>
        <w:rPr>
          <w:rFonts w:hint="eastAsia" w:ascii="宋体" w:hAnsi="宋体" w:cs="宋体"/>
          <w:b/>
          <w:sz w:val="24"/>
          <w:highlight w:val="none"/>
        </w:rPr>
        <w:t>18.确定成交供应商</w:t>
      </w:r>
      <w:bookmarkEnd w:id="158"/>
    </w:p>
    <w:p w14:paraId="52082BD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采购人按谈判小组推荐的成交供应商名单确定成交供应商。</w:t>
      </w:r>
    </w:p>
    <w:p w14:paraId="4A58E971">
      <w:pPr>
        <w:spacing w:line="360" w:lineRule="auto"/>
        <w:outlineLvl w:val="1"/>
        <w:rPr>
          <w:rFonts w:ascii="宋体" w:hAnsi="宋体" w:cs="宋体"/>
          <w:b/>
          <w:sz w:val="24"/>
          <w:highlight w:val="none"/>
        </w:rPr>
      </w:pPr>
      <w:bookmarkStart w:id="159" w:name="_Toc36460137"/>
      <w:r>
        <w:rPr>
          <w:rFonts w:hint="eastAsia" w:ascii="宋体" w:hAnsi="宋体" w:cs="宋体"/>
          <w:b/>
          <w:sz w:val="24"/>
          <w:highlight w:val="none"/>
        </w:rPr>
        <w:t>19.成交通知</w:t>
      </w:r>
      <w:bookmarkEnd w:id="159"/>
    </w:p>
    <w:p w14:paraId="35715C9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19.1 采购人向成交人发出《成交通知书》，同时通知所有未成交的供应商。</w:t>
      </w:r>
    </w:p>
    <w:p w14:paraId="72BF2BC2">
      <w:pPr>
        <w:spacing w:line="360" w:lineRule="auto"/>
        <w:ind w:firstLine="480" w:firstLineChars="200"/>
        <w:outlineLvl w:val="9"/>
        <w:rPr>
          <w:rFonts w:ascii="宋体" w:hAnsi="宋体" w:cs="宋体"/>
          <w:highlight w:val="none"/>
        </w:rPr>
      </w:pPr>
      <w:r>
        <w:rPr>
          <w:rFonts w:hint="eastAsia" w:ascii="宋体" w:hAnsi="宋体" w:cs="宋体"/>
          <w:sz w:val="24"/>
          <w:szCs w:val="24"/>
          <w:highlight w:val="none"/>
        </w:rPr>
        <w:t>19.2 《成交通知书》将构成合同的组成部分。</w:t>
      </w:r>
      <w:r>
        <w:rPr>
          <w:rFonts w:hint="eastAsia" w:ascii="宋体" w:hAnsi="宋体" w:cs="宋体"/>
          <w:highlight w:val="none"/>
        </w:rPr>
        <w:t xml:space="preserve"> </w:t>
      </w:r>
    </w:p>
    <w:p w14:paraId="34C2B180">
      <w:pPr>
        <w:spacing w:line="360" w:lineRule="auto"/>
        <w:outlineLvl w:val="1"/>
        <w:rPr>
          <w:rFonts w:ascii="宋体" w:hAnsi="宋体" w:cs="宋体"/>
          <w:b/>
          <w:sz w:val="24"/>
          <w:highlight w:val="none"/>
        </w:rPr>
      </w:pPr>
      <w:bookmarkStart w:id="160" w:name="_Toc36460138"/>
      <w:r>
        <w:rPr>
          <w:rFonts w:hint="eastAsia" w:ascii="宋体" w:hAnsi="宋体" w:cs="宋体"/>
          <w:b/>
          <w:sz w:val="24"/>
          <w:highlight w:val="none"/>
        </w:rPr>
        <w:t>20.签订合同</w:t>
      </w:r>
      <w:bookmarkEnd w:id="160"/>
    </w:p>
    <w:p w14:paraId="1044F5E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20.1 成交供应商在接到《成交通知书》后，必须在规定的时间内派法定代表人或其授权人到指定地点按谈判双方最终确认的合同条款与采购人签订合同</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已在采购文件中明确的实质性内容不可调整）</w:t>
      </w:r>
      <w:r>
        <w:rPr>
          <w:rFonts w:hint="eastAsia" w:ascii="宋体" w:hAnsi="宋体" w:cs="宋体"/>
          <w:sz w:val="24"/>
          <w:szCs w:val="24"/>
          <w:highlight w:val="none"/>
        </w:rPr>
        <w:t>。</w:t>
      </w:r>
    </w:p>
    <w:p w14:paraId="312D0A1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20.2 采购文件、成交供应商的响应文件及评审过程中的有关澄清文件均为签订合同的依据。</w:t>
      </w:r>
    </w:p>
    <w:p w14:paraId="7F59699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20.3 采购文件中要求成交人提交履约担保的，成交供应商应在合同规定的时间前根据供应商须知前附表的要求向采购人提交履约担保。</w:t>
      </w:r>
    </w:p>
    <w:p w14:paraId="39F13E2C">
      <w:pPr>
        <w:pStyle w:val="45"/>
        <w:rPr>
          <w:rFonts w:ascii="宋体" w:hAnsi="宋体" w:eastAsia="宋体" w:cs="宋体"/>
          <w:highlight w:val="none"/>
        </w:rPr>
      </w:pPr>
      <w:bookmarkStart w:id="161" w:name="_Toc36460139"/>
      <w:r>
        <w:rPr>
          <w:rFonts w:hint="eastAsia" w:ascii="宋体" w:hAnsi="宋体" w:cs="宋体"/>
          <w:b/>
          <w:sz w:val="24"/>
          <w:highlight w:val="none"/>
        </w:rPr>
        <w:t>21.其他需要补充的内容</w:t>
      </w:r>
      <w:bookmarkEnd w:id="161"/>
      <w:r>
        <w:rPr>
          <w:rFonts w:hint="eastAsia" w:ascii="宋体" w:hAnsi="宋体" w:cs="宋体"/>
          <w:sz w:val="24"/>
          <w:szCs w:val="24"/>
          <w:highlight w:val="none"/>
        </w:rPr>
        <w:t>详见“供应商须知前附表”。</w:t>
      </w:r>
      <w:r>
        <w:rPr>
          <w:rFonts w:hint="eastAsia" w:ascii="宋体" w:hAnsi="宋体" w:eastAsia="宋体" w:cs="宋体"/>
          <w:szCs w:val="21"/>
          <w:highlight w:val="none"/>
        </w:rPr>
        <w:br w:type="page"/>
      </w:r>
      <w:bookmarkStart w:id="162" w:name="_Toc8114"/>
      <w:bookmarkStart w:id="163" w:name="_Toc16379"/>
      <w:bookmarkStart w:id="164" w:name="_Toc24083"/>
      <w:bookmarkStart w:id="165" w:name="_Toc12133"/>
      <w:bookmarkStart w:id="166" w:name="_Toc12050"/>
      <w:bookmarkStart w:id="167" w:name="_Toc22748"/>
      <w:bookmarkStart w:id="168" w:name="_Toc55310065"/>
      <w:bookmarkStart w:id="169" w:name="_Toc1566044170"/>
      <w:bookmarkStart w:id="170" w:name="_Toc1433109407"/>
      <w:bookmarkStart w:id="171" w:name="_Toc1185556289"/>
      <w:bookmarkStart w:id="172" w:name="_Toc26045"/>
      <w:bookmarkStart w:id="173" w:name="_Toc764417141"/>
      <w:bookmarkStart w:id="174" w:name="_Toc1279875118"/>
      <w:bookmarkStart w:id="175" w:name="_Toc58941269"/>
      <w:r>
        <w:rPr>
          <w:rFonts w:hint="eastAsia" w:ascii="宋体" w:hAnsi="宋体" w:eastAsia="宋体" w:cs="宋体"/>
          <w:highlight w:val="none"/>
        </w:rPr>
        <w:t xml:space="preserve">第三章  </w:t>
      </w:r>
      <w:bookmarkEnd w:id="162"/>
      <w:bookmarkEnd w:id="163"/>
      <w:bookmarkEnd w:id="164"/>
      <w:bookmarkEnd w:id="165"/>
      <w:bookmarkEnd w:id="166"/>
      <w:bookmarkEnd w:id="167"/>
      <w:bookmarkEnd w:id="168"/>
      <w:r>
        <w:rPr>
          <w:rFonts w:hint="eastAsia" w:ascii="宋体" w:hAnsi="宋体" w:eastAsia="宋体" w:cs="宋体"/>
          <w:highlight w:val="none"/>
        </w:rPr>
        <w:t>评审办法</w:t>
      </w:r>
      <w:bookmarkEnd w:id="169"/>
      <w:bookmarkEnd w:id="170"/>
      <w:bookmarkEnd w:id="171"/>
      <w:bookmarkEnd w:id="172"/>
      <w:bookmarkEnd w:id="173"/>
      <w:bookmarkEnd w:id="174"/>
    </w:p>
    <w:p w14:paraId="1A65ABD6">
      <w:pPr>
        <w:jc w:val="center"/>
        <w:outlineLvl w:val="9"/>
        <w:rPr>
          <w:rFonts w:hint="eastAsia" w:ascii="宋体" w:hAnsi="宋体" w:cs="宋体"/>
          <w:b/>
          <w:sz w:val="24"/>
          <w:highlight w:val="none"/>
        </w:rPr>
      </w:pPr>
      <w:r>
        <w:rPr>
          <w:rFonts w:hint="eastAsia" w:ascii="宋体" w:hAnsi="宋体" w:cs="宋体"/>
          <w:b/>
          <w:sz w:val="24"/>
          <w:highlight w:val="none"/>
        </w:rPr>
        <w:t>评审办法前附表</w:t>
      </w:r>
    </w:p>
    <w:tbl>
      <w:tblPr>
        <w:tblStyle w:val="49"/>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807"/>
        <w:gridCol w:w="1969"/>
        <w:gridCol w:w="6066"/>
      </w:tblGrid>
      <w:tr w14:paraId="6C5D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32" w:type="dxa"/>
            <w:gridSpan w:val="2"/>
            <w:vAlign w:val="center"/>
          </w:tcPr>
          <w:p w14:paraId="4AB0CB97">
            <w:pPr>
              <w:pStyle w:val="237"/>
              <w:jc w:val="center"/>
              <w:outlineLvl w:val="9"/>
              <w:rPr>
                <w:rFonts w:ascii="宋体" w:hAnsi="宋体" w:cs="宋体"/>
                <w:szCs w:val="21"/>
                <w:highlight w:val="none"/>
              </w:rPr>
            </w:pPr>
            <w:r>
              <w:rPr>
                <w:rFonts w:hint="eastAsia" w:ascii="宋体" w:hAnsi="宋体" w:cs="宋体"/>
                <w:szCs w:val="21"/>
                <w:highlight w:val="none"/>
              </w:rPr>
              <w:t>条款号</w:t>
            </w:r>
          </w:p>
        </w:tc>
        <w:tc>
          <w:tcPr>
            <w:tcW w:w="1969" w:type="dxa"/>
            <w:vAlign w:val="center"/>
          </w:tcPr>
          <w:p w14:paraId="21BC9BF8">
            <w:pPr>
              <w:pStyle w:val="237"/>
              <w:jc w:val="center"/>
              <w:outlineLvl w:val="9"/>
              <w:rPr>
                <w:rFonts w:ascii="宋体" w:hAnsi="宋体" w:cs="宋体"/>
                <w:szCs w:val="21"/>
                <w:highlight w:val="none"/>
              </w:rPr>
            </w:pPr>
            <w:r>
              <w:rPr>
                <w:rFonts w:hint="eastAsia" w:ascii="宋体" w:hAnsi="宋体" w:cs="宋体"/>
                <w:szCs w:val="21"/>
                <w:highlight w:val="none"/>
              </w:rPr>
              <w:t>审 查 内 容</w:t>
            </w:r>
          </w:p>
        </w:tc>
        <w:tc>
          <w:tcPr>
            <w:tcW w:w="6066" w:type="dxa"/>
            <w:vAlign w:val="center"/>
          </w:tcPr>
          <w:p w14:paraId="7E6CAC31">
            <w:pPr>
              <w:pStyle w:val="237"/>
              <w:jc w:val="center"/>
              <w:outlineLvl w:val="9"/>
              <w:rPr>
                <w:rFonts w:ascii="宋体" w:hAnsi="宋体" w:cs="宋体"/>
                <w:szCs w:val="21"/>
                <w:highlight w:val="none"/>
              </w:rPr>
            </w:pPr>
            <w:r>
              <w:rPr>
                <w:rFonts w:hint="eastAsia" w:ascii="宋体" w:hAnsi="宋体" w:cs="宋体"/>
                <w:szCs w:val="21"/>
                <w:highlight w:val="none"/>
              </w:rPr>
              <w:t>审 查 标 准</w:t>
            </w:r>
          </w:p>
        </w:tc>
      </w:tr>
      <w:tr w14:paraId="440E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restart"/>
            <w:vAlign w:val="center"/>
          </w:tcPr>
          <w:p w14:paraId="103DC752">
            <w:pPr>
              <w:pStyle w:val="237"/>
              <w:jc w:val="center"/>
              <w:outlineLvl w:val="9"/>
              <w:rPr>
                <w:rFonts w:ascii="宋体" w:hAnsi="宋体" w:cs="宋体"/>
                <w:szCs w:val="21"/>
                <w:highlight w:val="none"/>
              </w:rPr>
            </w:pPr>
            <w:r>
              <w:rPr>
                <w:rFonts w:hint="eastAsia" w:ascii="宋体" w:hAnsi="宋体" w:cs="宋体"/>
                <w:szCs w:val="21"/>
                <w:highlight w:val="none"/>
              </w:rPr>
              <w:t>三-1.1</w:t>
            </w:r>
          </w:p>
        </w:tc>
        <w:tc>
          <w:tcPr>
            <w:tcW w:w="807" w:type="dxa"/>
            <w:vMerge w:val="restart"/>
            <w:vAlign w:val="center"/>
          </w:tcPr>
          <w:p w14:paraId="7F00002E">
            <w:pPr>
              <w:pStyle w:val="237"/>
              <w:jc w:val="center"/>
              <w:outlineLvl w:val="9"/>
              <w:rPr>
                <w:rFonts w:ascii="宋体" w:hAnsi="宋体" w:cs="宋体"/>
                <w:szCs w:val="21"/>
                <w:highlight w:val="none"/>
              </w:rPr>
            </w:pPr>
            <w:r>
              <w:rPr>
                <w:rFonts w:hint="eastAsia" w:ascii="宋体" w:hAnsi="宋体" w:cs="宋体"/>
                <w:szCs w:val="21"/>
                <w:highlight w:val="none"/>
              </w:rPr>
              <w:t>资格评审</w:t>
            </w:r>
          </w:p>
        </w:tc>
        <w:tc>
          <w:tcPr>
            <w:tcW w:w="1969" w:type="dxa"/>
            <w:vAlign w:val="center"/>
          </w:tcPr>
          <w:p w14:paraId="45D80563">
            <w:pPr>
              <w:pStyle w:val="237"/>
              <w:jc w:val="center"/>
              <w:outlineLvl w:val="9"/>
              <w:rPr>
                <w:rFonts w:ascii="宋体" w:hAnsi="宋体" w:cs="宋体"/>
                <w:szCs w:val="21"/>
                <w:highlight w:val="none"/>
              </w:rPr>
            </w:pPr>
            <w:r>
              <w:rPr>
                <w:rFonts w:hint="eastAsia" w:ascii="宋体" w:hAnsi="宋体" w:cs="宋体"/>
                <w:szCs w:val="21"/>
                <w:highlight w:val="none"/>
              </w:rPr>
              <w:t>一般要求</w:t>
            </w:r>
          </w:p>
        </w:tc>
        <w:tc>
          <w:tcPr>
            <w:tcW w:w="6066" w:type="dxa"/>
            <w:vAlign w:val="center"/>
          </w:tcPr>
          <w:p w14:paraId="31E61646">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1989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3B2C6E91">
            <w:pPr>
              <w:pStyle w:val="237"/>
              <w:jc w:val="center"/>
              <w:outlineLvl w:val="9"/>
              <w:rPr>
                <w:rFonts w:ascii="宋体" w:hAnsi="宋体" w:cs="宋体"/>
                <w:szCs w:val="21"/>
                <w:highlight w:val="none"/>
              </w:rPr>
            </w:pPr>
          </w:p>
        </w:tc>
        <w:tc>
          <w:tcPr>
            <w:tcW w:w="807" w:type="dxa"/>
            <w:vMerge w:val="continue"/>
            <w:vAlign w:val="center"/>
          </w:tcPr>
          <w:p w14:paraId="50069863">
            <w:pPr>
              <w:pStyle w:val="237"/>
              <w:jc w:val="center"/>
              <w:outlineLvl w:val="9"/>
              <w:rPr>
                <w:rFonts w:ascii="宋体" w:hAnsi="宋体" w:cs="宋体"/>
                <w:szCs w:val="21"/>
                <w:highlight w:val="none"/>
              </w:rPr>
            </w:pPr>
          </w:p>
        </w:tc>
        <w:tc>
          <w:tcPr>
            <w:tcW w:w="1969" w:type="dxa"/>
            <w:vAlign w:val="center"/>
          </w:tcPr>
          <w:p w14:paraId="2000EFD0">
            <w:pPr>
              <w:pStyle w:val="237"/>
              <w:jc w:val="center"/>
              <w:outlineLvl w:val="9"/>
              <w:rPr>
                <w:rFonts w:ascii="宋体" w:hAnsi="宋体" w:cs="宋体"/>
                <w:szCs w:val="21"/>
                <w:highlight w:val="none"/>
              </w:rPr>
            </w:pPr>
            <w:r>
              <w:rPr>
                <w:rFonts w:hint="eastAsia" w:ascii="宋体" w:hAnsi="宋体" w:cs="宋体"/>
                <w:szCs w:val="21"/>
                <w:highlight w:val="none"/>
              </w:rPr>
              <w:t>财务要求</w:t>
            </w:r>
          </w:p>
        </w:tc>
        <w:tc>
          <w:tcPr>
            <w:tcW w:w="6066" w:type="dxa"/>
            <w:vAlign w:val="center"/>
          </w:tcPr>
          <w:p w14:paraId="2157B03C">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4D13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57CB3F4">
            <w:pPr>
              <w:pStyle w:val="237"/>
              <w:jc w:val="center"/>
              <w:outlineLvl w:val="9"/>
              <w:rPr>
                <w:rFonts w:ascii="宋体" w:hAnsi="宋体" w:cs="宋体"/>
                <w:szCs w:val="21"/>
                <w:highlight w:val="none"/>
              </w:rPr>
            </w:pPr>
          </w:p>
        </w:tc>
        <w:tc>
          <w:tcPr>
            <w:tcW w:w="807" w:type="dxa"/>
            <w:vMerge w:val="continue"/>
            <w:vAlign w:val="center"/>
          </w:tcPr>
          <w:p w14:paraId="4924E13B">
            <w:pPr>
              <w:pStyle w:val="237"/>
              <w:jc w:val="center"/>
              <w:outlineLvl w:val="9"/>
              <w:rPr>
                <w:rFonts w:ascii="宋体" w:hAnsi="宋体" w:cs="宋体"/>
                <w:szCs w:val="21"/>
                <w:highlight w:val="none"/>
              </w:rPr>
            </w:pPr>
          </w:p>
        </w:tc>
        <w:tc>
          <w:tcPr>
            <w:tcW w:w="1969" w:type="dxa"/>
            <w:vAlign w:val="center"/>
          </w:tcPr>
          <w:p w14:paraId="75A415CC">
            <w:pPr>
              <w:pStyle w:val="237"/>
              <w:jc w:val="center"/>
              <w:outlineLvl w:val="9"/>
              <w:rPr>
                <w:rFonts w:ascii="宋体" w:hAnsi="宋体" w:cs="宋体"/>
                <w:szCs w:val="21"/>
                <w:highlight w:val="none"/>
              </w:rPr>
            </w:pPr>
            <w:r>
              <w:rPr>
                <w:rFonts w:hint="eastAsia" w:ascii="宋体" w:hAnsi="宋体" w:cs="宋体"/>
                <w:szCs w:val="21"/>
                <w:highlight w:val="none"/>
              </w:rPr>
              <w:t>信誉要求</w:t>
            </w:r>
          </w:p>
        </w:tc>
        <w:tc>
          <w:tcPr>
            <w:tcW w:w="6066" w:type="dxa"/>
            <w:vAlign w:val="center"/>
          </w:tcPr>
          <w:p w14:paraId="39EE5FC1">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6617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FB8AD5D">
            <w:pPr>
              <w:pStyle w:val="237"/>
              <w:jc w:val="center"/>
              <w:outlineLvl w:val="9"/>
              <w:rPr>
                <w:rFonts w:ascii="宋体" w:hAnsi="宋体" w:cs="宋体"/>
                <w:szCs w:val="21"/>
                <w:highlight w:val="none"/>
              </w:rPr>
            </w:pPr>
          </w:p>
        </w:tc>
        <w:tc>
          <w:tcPr>
            <w:tcW w:w="807" w:type="dxa"/>
            <w:vMerge w:val="continue"/>
            <w:vAlign w:val="center"/>
          </w:tcPr>
          <w:p w14:paraId="1BAB1356">
            <w:pPr>
              <w:pStyle w:val="237"/>
              <w:jc w:val="center"/>
              <w:outlineLvl w:val="9"/>
              <w:rPr>
                <w:rFonts w:ascii="宋体" w:hAnsi="宋体" w:cs="宋体"/>
                <w:szCs w:val="21"/>
                <w:highlight w:val="none"/>
              </w:rPr>
            </w:pPr>
          </w:p>
        </w:tc>
        <w:tc>
          <w:tcPr>
            <w:tcW w:w="1969" w:type="dxa"/>
            <w:vAlign w:val="center"/>
          </w:tcPr>
          <w:p w14:paraId="34111106">
            <w:pPr>
              <w:pStyle w:val="237"/>
              <w:jc w:val="center"/>
              <w:outlineLvl w:val="9"/>
              <w:rPr>
                <w:rFonts w:ascii="宋体" w:hAnsi="宋体" w:cs="宋体"/>
                <w:szCs w:val="21"/>
                <w:highlight w:val="none"/>
              </w:rPr>
            </w:pPr>
            <w:r>
              <w:rPr>
                <w:rFonts w:hint="eastAsia" w:ascii="宋体" w:hAnsi="宋体" w:cs="宋体"/>
                <w:szCs w:val="21"/>
                <w:highlight w:val="none"/>
              </w:rPr>
              <w:t>业绩要求</w:t>
            </w:r>
          </w:p>
        </w:tc>
        <w:tc>
          <w:tcPr>
            <w:tcW w:w="6066" w:type="dxa"/>
            <w:vAlign w:val="center"/>
          </w:tcPr>
          <w:p w14:paraId="623C41AB">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BF7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D413397">
            <w:pPr>
              <w:pStyle w:val="237"/>
              <w:jc w:val="center"/>
              <w:outlineLvl w:val="9"/>
              <w:rPr>
                <w:rFonts w:ascii="宋体" w:hAnsi="宋体" w:cs="宋体"/>
                <w:szCs w:val="21"/>
                <w:highlight w:val="none"/>
              </w:rPr>
            </w:pPr>
          </w:p>
        </w:tc>
        <w:tc>
          <w:tcPr>
            <w:tcW w:w="807" w:type="dxa"/>
            <w:vMerge w:val="continue"/>
            <w:vAlign w:val="center"/>
          </w:tcPr>
          <w:p w14:paraId="39D85FF4">
            <w:pPr>
              <w:pStyle w:val="237"/>
              <w:jc w:val="center"/>
              <w:outlineLvl w:val="9"/>
              <w:rPr>
                <w:rFonts w:ascii="宋体" w:hAnsi="宋体" w:cs="宋体"/>
                <w:szCs w:val="21"/>
                <w:highlight w:val="none"/>
              </w:rPr>
            </w:pPr>
          </w:p>
        </w:tc>
        <w:tc>
          <w:tcPr>
            <w:tcW w:w="1969" w:type="dxa"/>
            <w:vAlign w:val="center"/>
          </w:tcPr>
          <w:p w14:paraId="0814DE60">
            <w:pPr>
              <w:pStyle w:val="237"/>
              <w:jc w:val="center"/>
              <w:outlineLvl w:val="9"/>
              <w:rPr>
                <w:rFonts w:ascii="宋体" w:hAnsi="宋体" w:cs="宋体"/>
                <w:szCs w:val="21"/>
                <w:highlight w:val="none"/>
              </w:rPr>
            </w:pPr>
            <w:r>
              <w:rPr>
                <w:rFonts w:hint="eastAsia" w:ascii="宋体" w:hAnsi="宋体" w:cs="宋体"/>
                <w:szCs w:val="21"/>
                <w:highlight w:val="none"/>
              </w:rPr>
              <w:t>其它要求</w:t>
            </w:r>
          </w:p>
        </w:tc>
        <w:tc>
          <w:tcPr>
            <w:tcW w:w="6066" w:type="dxa"/>
            <w:vAlign w:val="center"/>
          </w:tcPr>
          <w:p w14:paraId="04256574">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6DCB1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restart"/>
            <w:vAlign w:val="center"/>
          </w:tcPr>
          <w:p w14:paraId="1CD6BE74">
            <w:pPr>
              <w:pStyle w:val="237"/>
              <w:jc w:val="center"/>
              <w:outlineLvl w:val="9"/>
              <w:rPr>
                <w:rFonts w:ascii="宋体" w:hAnsi="宋体" w:cs="宋体"/>
                <w:szCs w:val="21"/>
                <w:highlight w:val="none"/>
              </w:rPr>
            </w:pPr>
            <w:r>
              <w:rPr>
                <w:rFonts w:hint="eastAsia" w:ascii="宋体" w:hAnsi="宋体" w:cs="宋体"/>
                <w:szCs w:val="21"/>
                <w:highlight w:val="none"/>
              </w:rPr>
              <w:t>三-1.2</w:t>
            </w:r>
          </w:p>
        </w:tc>
        <w:tc>
          <w:tcPr>
            <w:tcW w:w="807" w:type="dxa"/>
            <w:vMerge w:val="restart"/>
            <w:vAlign w:val="center"/>
          </w:tcPr>
          <w:p w14:paraId="0E95EC34">
            <w:pPr>
              <w:pStyle w:val="237"/>
              <w:jc w:val="center"/>
              <w:outlineLvl w:val="9"/>
              <w:rPr>
                <w:rFonts w:ascii="宋体" w:hAnsi="宋体" w:cs="宋体"/>
                <w:szCs w:val="21"/>
                <w:highlight w:val="none"/>
              </w:rPr>
            </w:pPr>
            <w:r>
              <w:rPr>
                <w:rFonts w:hint="eastAsia" w:ascii="宋体" w:hAnsi="宋体" w:cs="宋体"/>
                <w:szCs w:val="21"/>
                <w:highlight w:val="none"/>
              </w:rPr>
              <w:t>符合性评审</w:t>
            </w:r>
          </w:p>
        </w:tc>
        <w:tc>
          <w:tcPr>
            <w:tcW w:w="1969" w:type="dxa"/>
            <w:vAlign w:val="center"/>
          </w:tcPr>
          <w:p w14:paraId="685AFF45">
            <w:pPr>
              <w:pStyle w:val="237"/>
              <w:jc w:val="center"/>
              <w:outlineLvl w:val="9"/>
              <w:rPr>
                <w:rFonts w:ascii="宋体" w:hAnsi="宋体" w:cs="宋体"/>
                <w:szCs w:val="21"/>
                <w:highlight w:val="none"/>
              </w:rPr>
            </w:pPr>
            <w:r>
              <w:rPr>
                <w:rFonts w:hint="eastAsia" w:ascii="宋体" w:hAnsi="宋体" w:cs="宋体"/>
                <w:szCs w:val="21"/>
                <w:highlight w:val="none"/>
              </w:rPr>
              <w:t>报价一览表</w:t>
            </w:r>
          </w:p>
        </w:tc>
        <w:tc>
          <w:tcPr>
            <w:tcW w:w="6066" w:type="dxa"/>
            <w:vAlign w:val="center"/>
          </w:tcPr>
          <w:p w14:paraId="47A3C595">
            <w:pPr>
              <w:pStyle w:val="237"/>
              <w:jc w:val="left"/>
              <w:outlineLvl w:val="9"/>
              <w:rPr>
                <w:rFonts w:ascii="宋体" w:hAnsi="宋体" w:cs="宋体"/>
                <w:szCs w:val="21"/>
                <w:highlight w:val="none"/>
              </w:rPr>
            </w:pPr>
            <w:r>
              <w:rPr>
                <w:rFonts w:hint="eastAsia" w:ascii="宋体" w:hAnsi="宋体" w:cs="宋体"/>
                <w:szCs w:val="21"/>
                <w:highlight w:val="none"/>
              </w:rPr>
              <w:t>符合响应文件规定的格式，有法定代表人或其委托代理人签字或签章</w:t>
            </w:r>
          </w:p>
        </w:tc>
      </w:tr>
      <w:tr w14:paraId="4E88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1C88DA54">
            <w:pPr>
              <w:pStyle w:val="237"/>
              <w:jc w:val="center"/>
              <w:outlineLvl w:val="9"/>
              <w:rPr>
                <w:rFonts w:ascii="宋体" w:hAnsi="宋体" w:cs="宋体"/>
                <w:szCs w:val="21"/>
                <w:highlight w:val="none"/>
              </w:rPr>
            </w:pPr>
          </w:p>
        </w:tc>
        <w:tc>
          <w:tcPr>
            <w:tcW w:w="807" w:type="dxa"/>
            <w:vMerge w:val="continue"/>
            <w:vAlign w:val="center"/>
          </w:tcPr>
          <w:p w14:paraId="7519AF37">
            <w:pPr>
              <w:pStyle w:val="237"/>
              <w:jc w:val="center"/>
              <w:outlineLvl w:val="9"/>
              <w:rPr>
                <w:rFonts w:ascii="宋体" w:hAnsi="宋体" w:cs="宋体"/>
                <w:szCs w:val="21"/>
                <w:highlight w:val="none"/>
              </w:rPr>
            </w:pPr>
          </w:p>
        </w:tc>
        <w:tc>
          <w:tcPr>
            <w:tcW w:w="1969" w:type="dxa"/>
            <w:vAlign w:val="center"/>
          </w:tcPr>
          <w:p w14:paraId="7F9E576E">
            <w:pPr>
              <w:pStyle w:val="237"/>
              <w:jc w:val="center"/>
              <w:outlineLvl w:val="9"/>
              <w:rPr>
                <w:rFonts w:ascii="宋体" w:hAnsi="宋体" w:cs="宋体"/>
                <w:szCs w:val="21"/>
                <w:highlight w:val="none"/>
              </w:rPr>
            </w:pPr>
            <w:r>
              <w:rPr>
                <w:rFonts w:hint="eastAsia" w:ascii="宋体" w:hAnsi="宋体" w:cs="宋体"/>
                <w:szCs w:val="21"/>
                <w:highlight w:val="none"/>
              </w:rPr>
              <w:t>响应文件格式</w:t>
            </w:r>
          </w:p>
        </w:tc>
        <w:tc>
          <w:tcPr>
            <w:tcW w:w="6066" w:type="dxa"/>
            <w:vAlign w:val="center"/>
          </w:tcPr>
          <w:p w14:paraId="54934A11">
            <w:pPr>
              <w:pStyle w:val="237"/>
              <w:jc w:val="left"/>
              <w:outlineLvl w:val="9"/>
              <w:rPr>
                <w:rFonts w:ascii="宋体" w:hAnsi="宋体" w:cs="宋体"/>
                <w:szCs w:val="21"/>
                <w:highlight w:val="none"/>
              </w:rPr>
            </w:pPr>
            <w:r>
              <w:rPr>
                <w:rFonts w:hint="eastAsia" w:ascii="宋体" w:hAnsi="宋体" w:cs="宋体"/>
                <w:szCs w:val="21"/>
                <w:highlight w:val="none"/>
              </w:rPr>
              <w:t>符合“第六章 竞争性谈判响应文件格式”的要求</w:t>
            </w:r>
          </w:p>
        </w:tc>
      </w:tr>
      <w:tr w14:paraId="6001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1E4BBF0D">
            <w:pPr>
              <w:pStyle w:val="237"/>
              <w:jc w:val="center"/>
              <w:outlineLvl w:val="9"/>
              <w:rPr>
                <w:rFonts w:ascii="宋体" w:hAnsi="宋体" w:cs="宋体"/>
                <w:szCs w:val="21"/>
                <w:highlight w:val="none"/>
              </w:rPr>
            </w:pPr>
          </w:p>
        </w:tc>
        <w:tc>
          <w:tcPr>
            <w:tcW w:w="807" w:type="dxa"/>
            <w:vMerge w:val="continue"/>
            <w:vAlign w:val="center"/>
          </w:tcPr>
          <w:p w14:paraId="491282BA">
            <w:pPr>
              <w:pStyle w:val="237"/>
              <w:jc w:val="center"/>
              <w:outlineLvl w:val="9"/>
              <w:rPr>
                <w:rFonts w:ascii="宋体" w:hAnsi="宋体" w:cs="宋体"/>
                <w:szCs w:val="21"/>
                <w:highlight w:val="none"/>
              </w:rPr>
            </w:pPr>
          </w:p>
        </w:tc>
        <w:tc>
          <w:tcPr>
            <w:tcW w:w="1969" w:type="dxa"/>
            <w:vAlign w:val="center"/>
          </w:tcPr>
          <w:p w14:paraId="6C4CAF11">
            <w:pPr>
              <w:pStyle w:val="237"/>
              <w:jc w:val="center"/>
              <w:outlineLvl w:val="9"/>
              <w:rPr>
                <w:rFonts w:ascii="宋体" w:hAnsi="宋体" w:cs="宋体"/>
                <w:szCs w:val="21"/>
                <w:highlight w:val="none"/>
              </w:rPr>
            </w:pPr>
            <w:r>
              <w:rPr>
                <w:rFonts w:hint="eastAsia" w:ascii="宋体" w:hAnsi="宋体" w:cs="宋体"/>
                <w:szCs w:val="21"/>
                <w:highlight w:val="none"/>
              </w:rPr>
              <w:t>法定代表人身份证明书</w:t>
            </w:r>
          </w:p>
        </w:tc>
        <w:tc>
          <w:tcPr>
            <w:tcW w:w="6066" w:type="dxa"/>
            <w:vAlign w:val="center"/>
          </w:tcPr>
          <w:p w14:paraId="7327697C">
            <w:pPr>
              <w:pStyle w:val="237"/>
              <w:jc w:val="left"/>
              <w:outlineLvl w:val="9"/>
              <w:rPr>
                <w:rFonts w:ascii="宋体" w:hAnsi="宋体" w:cs="宋体"/>
                <w:szCs w:val="21"/>
                <w:highlight w:val="none"/>
              </w:rPr>
            </w:pPr>
            <w:r>
              <w:rPr>
                <w:rFonts w:hint="eastAsia" w:ascii="宋体" w:hAnsi="宋体" w:cs="宋体"/>
                <w:szCs w:val="21"/>
                <w:highlight w:val="none"/>
              </w:rPr>
              <w:t>符合响应文件规定的格式及内容，并盖单位章；响应文件正本中法定代表人身份证明书为原件</w:t>
            </w:r>
          </w:p>
        </w:tc>
      </w:tr>
      <w:tr w14:paraId="0B9D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CC1FF7E">
            <w:pPr>
              <w:pStyle w:val="237"/>
              <w:jc w:val="center"/>
              <w:outlineLvl w:val="9"/>
              <w:rPr>
                <w:rFonts w:ascii="宋体" w:hAnsi="宋体" w:cs="宋体"/>
                <w:szCs w:val="21"/>
                <w:highlight w:val="none"/>
              </w:rPr>
            </w:pPr>
          </w:p>
        </w:tc>
        <w:tc>
          <w:tcPr>
            <w:tcW w:w="807" w:type="dxa"/>
            <w:vMerge w:val="continue"/>
            <w:vAlign w:val="center"/>
          </w:tcPr>
          <w:p w14:paraId="1432ED04">
            <w:pPr>
              <w:pStyle w:val="237"/>
              <w:jc w:val="center"/>
              <w:outlineLvl w:val="9"/>
              <w:rPr>
                <w:rFonts w:ascii="宋体" w:hAnsi="宋体" w:cs="宋体"/>
                <w:szCs w:val="21"/>
                <w:highlight w:val="none"/>
              </w:rPr>
            </w:pPr>
          </w:p>
        </w:tc>
        <w:tc>
          <w:tcPr>
            <w:tcW w:w="1969" w:type="dxa"/>
            <w:vAlign w:val="center"/>
          </w:tcPr>
          <w:p w14:paraId="74B638CA">
            <w:pPr>
              <w:pStyle w:val="237"/>
              <w:jc w:val="center"/>
              <w:outlineLvl w:val="9"/>
              <w:rPr>
                <w:rFonts w:ascii="宋体" w:hAnsi="宋体" w:cs="宋体"/>
                <w:szCs w:val="21"/>
                <w:highlight w:val="none"/>
              </w:rPr>
            </w:pPr>
            <w:r>
              <w:rPr>
                <w:rFonts w:hint="eastAsia" w:ascii="宋体" w:hAnsi="宋体" w:cs="宋体"/>
                <w:szCs w:val="21"/>
                <w:highlight w:val="none"/>
              </w:rPr>
              <w:t>法定代表人授权委托书</w:t>
            </w:r>
          </w:p>
        </w:tc>
        <w:tc>
          <w:tcPr>
            <w:tcW w:w="6066" w:type="dxa"/>
            <w:vAlign w:val="center"/>
          </w:tcPr>
          <w:p w14:paraId="777803BE">
            <w:pPr>
              <w:pStyle w:val="237"/>
              <w:jc w:val="left"/>
              <w:outlineLvl w:val="9"/>
              <w:rPr>
                <w:rFonts w:ascii="宋体" w:hAnsi="宋体" w:cs="宋体"/>
                <w:szCs w:val="21"/>
                <w:highlight w:val="none"/>
              </w:rPr>
            </w:pPr>
            <w:r>
              <w:rPr>
                <w:rFonts w:hint="eastAsia" w:ascii="宋体" w:hAnsi="宋体" w:cs="宋体"/>
                <w:szCs w:val="21"/>
                <w:highlight w:val="none"/>
              </w:rPr>
              <w:t>有法定代表人及其委托代理人签字或签章，并盖单位章；符合响应文件规定的格式及内容；响应文件正本中法定代表人授权委托书为原件</w:t>
            </w:r>
          </w:p>
        </w:tc>
      </w:tr>
      <w:tr w14:paraId="241D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3AFDB21B">
            <w:pPr>
              <w:pStyle w:val="237"/>
              <w:jc w:val="center"/>
              <w:outlineLvl w:val="9"/>
              <w:rPr>
                <w:rFonts w:ascii="宋体" w:hAnsi="宋体" w:cs="宋体"/>
                <w:szCs w:val="21"/>
                <w:highlight w:val="none"/>
              </w:rPr>
            </w:pPr>
          </w:p>
        </w:tc>
        <w:tc>
          <w:tcPr>
            <w:tcW w:w="807" w:type="dxa"/>
            <w:vMerge w:val="continue"/>
            <w:vAlign w:val="center"/>
          </w:tcPr>
          <w:p w14:paraId="65FBCB6C">
            <w:pPr>
              <w:pStyle w:val="237"/>
              <w:jc w:val="center"/>
              <w:outlineLvl w:val="9"/>
              <w:rPr>
                <w:rFonts w:ascii="宋体" w:hAnsi="宋体" w:cs="宋体"/>
                <w:szCs w:val="21"/>
                <w:highlight w:val="none"/>
              </w:rPr>
            </w:pPr>
          </w:p>
        </w:tc>
        <w:tc>
          <w:tcPr>
            <w:tcW w:w="1969" w:type="dxa"/>
            <w:vAlign w:val="center"/>
          </w:tcPr>
          <w:p w14:paraId="34F3B5AC">
            <w:pPr>
              <w:pStyle w:val="237"/>
              <w:jc w:val="center"/>
              <w:outlineLvl w:val="9"/>
              <w:rPr>
                <w:rFonts w:ascii="宋体" w:hAnsi="宋体" w:cs="宋体"/>
                <w:szCs w:val="21"/>
                <w:highlight w:val="none"/>
              </w:rPr>
            </w:pPr>
            <w:r>
              <w:rPr>
                <w:rFonts w:hint="eastAsia" w:ascii="宋体" w:hAnsi="宋体" w:cs="宋体"/>
                <w:szCs w:val="21"/>
                <w:highlight w:val="none"/>
              </w:rPr>
              <w:t>投标报价</w:t>
            </w:r>
          </w:p>
        </w:tc>
        <w:tc>
          <w:tcPr>
            <w:tcW w:w="6066" w:type="dxa"/>
            <w:vAlign w:val="center"/>
          </w:tcPr>
          <w:p w14:paraId="02113BF0">
            <w:pPr>
              <w:pStyle w:val="237"/>
              <w:jc w:val="left"/>
              <w:outlineLvl w:val="9"/>
              <w:rPr>
                <w:rFonts w:ascii="宋体" w:hAnsi="宋体" w:cs="宋体"/>
                <w:szCs w:val="21"/>
                <w:highlight w:val="none"/>
              </w:rPr>
            </w:pPr>
            <w:r>
              <w:rPr>
                <w:rFonts w:hint="eastAsia" w:ascii="宋体" w:hAnsi="宋体" w:cs="宋体"/>
                <w:szCs w:val="21"/>
                <w:highlight w:val="none"/>
              </w:rPr>
              <w:t>报价完整且仅有一个报价方案</w:t>
            </w:r>
          </w:p>
        </w:tc>
      </w:tr>
      <w:tr w14:paraId="6787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64AA6B90">
            <w:pPr>
              <w:pStyle w:val="237"/>
              <w:jc w:val="center"/>
              <w:outlineLvl w:val="9"/>
              <w:rPr>
                <w:rFonts w:ascii="宋体" w:hAnsi="宋体" w:cs="宋体"/>
                <w:szCs w:val="21"/>
                <w:highlight w:val="none"/>
              </w:rPr>
            </w:pPr>
          </w:p>
        </w:tc>
        <w:tc>
          <w:tcPr>
            <w:tcW w:w="807" w:type="dxa"/>
            <w:vMerge w:val="continue"/>
            <w:vAlign w:val="center"/>
          </w:tcPr>
          <w:p w14:paraId="27F06621">
            <w:pPr>
              <w:pStyle w:val="237"/>
              <w:jc w:val="center"/>
              <w:outlineLvl w:val="9"/>
              <w:rPr>
                <w:rFonts w:ascii="宋体" w:hAnsi="宋体" w:cs="宋体"/>
                <w:szCs w:val="21"/>
                <w:highlight w:val="none"/>
              </w:rPr>
            </w:pPr>
          </w:p>
        </w:tc>
        <w:tc>
          <w:tcPr>
            <w:tcW w:w="1969" w:type="dxa"/>
            <w:vAlign w:val="center"/>
          </w:tcPr>
          <w:p w14:paraId="2BEAD91A">
            <w:pPr>
              <w:pStyle w:val="237"/>
              <w:jc w:val="center"/>
              <w:outlineLvl w:val="9"/>
              <w:rPr>
                <w:rFonts w:ascii="宋体" w:hAnsi="宋体" w:cs="宋体"/>
                <w:szCs w:val="21"/>
                <w:highlight w:val="none"/>
              </w:rPr>
            </w:pPr>
            <w:r>
              <w:rPr>
                <w:rFonts w:hint="eastAsia" w:ascii="宋体" w:hAnsi="宋体" w:cs="宋体"/>
                <w:szCs w:val="21"/>
                <w:highlight w:val="none"/>
              </w:rPr>
              <w:t>服务期限</w:t>
            </w:r>
          </w:p>
        </w:tc>
        <w:tc>
          <w:tcPr>
            <w:tcW w:w="6066" w:type="dxa"/>
            <w:vAlign w:val="center"/>
          </w:tcPr>
          <w:p w14:paraId="3B462CBA">
            <w:pPr>
              <w:pStyle w:val="237"/>
              <w:jc w:val="left"/>
              <w:outlineLvl w:val="9"/>
              <w:rPr>
                <w:rFonts w:ascii="宋体" w:hAnsi="宋体" w:cs="宋体"/>
                <w:szCs w:val="21"/>
                <w:highlight w:val="none"/>
              </w:rPr>
            </w:pPr>
            <w:r>
              <w:rPr>
                <w:rFonts w:hint="eastAsia" w:ascii="宋体" w:hAnsi="宋体" w:cs="宋体"/>
                <w:szCs w:val="21"/>
                <w:highlight w:val="none"/>
              </w:rPr>
              <w:t>符合项目服务期限要求</w:t>
            </w:r>
          </w:p>
        </w:tc>
      </w:tr>
      <w:tr w14:paraId="6896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389C15CD">
            <w:pPr>
              <w:pStyle w:val="237"/>
              <w:jc w:val="center"/>
              <w:outlineLvl w:val="9"/>
              <w:rPr>
                <w:rFonts w:ascii="宋体" w:hAnsi="宋体" w:cs="宋体"/>
                <w:szCs w:val="21"/>
                <w:highlight w:val="none"/>
              </w:rPr>
            </w:pPr>
          </w:p>
        </w:tc>
        <w:tc>
          <w:tcPr>
            <w:tcW w:w="807" w:type="dxa"/>
            <w:vMerge w:val="continue"/>
            <w:vAlign w:val="center"/>
          </w:tcPr>
          <w:p w14:paraId="26D8305C">
            <w:pPr>
              <w:pStyle w:val="237"/>
              <w:jc w:val="center"/>
              <w:outlineLvl w:val="9"/>
              <w:rPr>
                <w:rFonts w:ascii="宋体" w:hAnsi="宋体" w:cs="宋体"/>
                <w:szCs w:val="21"/>
                <w:highlight w:val="none"/>
              </w:rPr>
            </w:pPr>
          </w:p>
        </w:tc>
        <w:tc>
          <w:tcPr>
            <w:tcW w:w="1969" w:type="dxa"/>
            <w:vMerge w:val="restart"/>
            <w:vAlign w:val="center"/>
          </w:tcPr>
          <w:p w14:paraId="1C442F67">
            <w:pPr>
              <w:pStyle w:val="237"/>
              <w:jc w:val="center"/>
              <w:outlineLvl w:val="9"/>
              <w:rPr>
                <w:rFonts w:ascii="宋体" w:hAnsi="宋体" w:cs="宋体"/>
                <w:szCs w:val="21"/>
                <w:highlight w:val="none"/>
              </w:rPr>
            </w:pPr>
            <w:r>
              <w:rPr>
                <w:rFonts w:hint="eastAsia" w:ascii="宋体" w:hAnsi="宋体" w:cs="宋体"/>
                <w:szCs w:val="21"/>
                <w:highlight w:val="none"/>
              </w:rPr>
              <w:t>实质性条否决件</w:t>
            </w:r>
          </w:p>
        </w:tc>
        <w:tc>
          <w:tcPr>
            <w:tcW w:w="6066" w:type="dxa"/>
            <w:vAlign w:val="center"/>
          </w:tcPr>
          <w:p w14:paraId="57FCC371">
            <w:pPr>
              <w:pStyle w:val="237"/>
              <w:jc w:val="left"/>
              <w:outlineLvl w:val="9"/>
              <w:rPr>
                <w:rFonts w:ascii="宋体" w:hAnsi="宋体" w:cs="宋体"/>
                <w:szCs w:val="21"/>
                <w:highlight w:val="none"/>
              </w:rPr>
            </w:pPr>
            <w:r>
              <w:rPr>
                <w:rFonts w:hint="eastAsia" w:ascii="宋体" w:hAnsi="宋体" w:cs="宋体"/>
                <w:szCs w:val="21"/>
                <w:highlight w:val="none"/>
              </w:rPr>
              <w:t>关键内容字迹潦草、表达不清、未按要求填写而导致非唯一理解的</w:t>
            </w:r>
          </w:p>
        </w:tc>
      </w:tr>
      <w:tr w14:paraId="7610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1A59B0A2">
            <w:pPr>
              <w:pStyle w:val="237"/>
              <w:jc w:val="center"/>
              <w:outlineLvl w:val="9"/>
              <w:rPr>
                <w:rFonts w:ascii="宋体" w:hAnsi="宋体" w:cs="宋体"/>
                <w:szCs w:val="21"/>
                <w:highlight w:val="none"/>
              </w:rPr>
            </w:pPr>
          </w:p>
        </w:tc>
        <w:tc>
          <w:tcPr>
            <w:tcW w:w="807" w:type="dxa"/>
            <w:vMerge w:val="continue"/>
            <w:vAlign w:val="center"/>
          </w:tcPr>
          <w:p w14:paraId="2611C702">
            <w:pPr>
              <w:pStyle w:val="237"/>
              <w:jc w:val="center"/>
              <w:outlineLvl w:val="9"/>
              <w:rPr>
                <w:rFonts w:ascii="宋体" w:hAnsi="宋体" w:cs="宋体"/>
                <w:szCs w:val="21"/>
                <w:highlight w:val="none"/>
              </w:rPr>
            </w:pPr>
          </w:p>
        </w:tc>
        <w:tc>
          <w:tcPr>
            <w:tcW w:w="1969" w:type="dxa"/>
            <w:vMerge w:val="continue"/>
            <w:vAlign w:val="center"/>
          </w:tcPr>
          <w:p w14:paraId="71BB884A">
            <w:pPr>
              <w:pStyle w:val="237"/>
              <w:jc w:val="center"/>
              <w:outlineLvl w:val="9"/>
              <w:rPr>
                <w:rFonts w:ascii="宋体" w:hAnsi="宋体" w:cs="宋体"/>
                <w:szCs w:val="21"/>
                <w:highlight w:val="none"/>
              </w:rPr>
            </w:pPr>
          </w:p>
        </w:tc>
        <w:tc>
          <w:tcPr>
            <w:tcW w:w="6066" w:type="dxa"/>
            <w:vAlign w:val="center"/>
          </w:tcPr>
          <w:p w14:paraId="3C7B1317">
            <w:pPr>
              <w:pStyle w:val="237"/>
              <w:jc w:val="left"/>
              <w:outlineLvl w:val="9"/>
              <w:rPr>
                <w:rFonts w:ascii="宋体" w:hAnsi="宋体" w:cs="宋体"/>
                <w:szCs w:val="21"/>
                <w:highlight w:val="none"/>
              </w:rPr>
            </w:pPr>
            <w:r>
              <w:rPr>
                <w:rFonts w:hint="eastAsia" w:ascii="宋体" w:hAnsi="宋体" w:cs="宋体"/>
                <w:szCs w:val="21"/>
                <w:highlight w:val="none"/>
              </w:rPr>
              <w:t>未响应其它采购文件中规定的实质性内容的</w:t>
            </w:r>
          </w:p>
        </w:tc>
      </w:tr>
      <w:tr w14:paraId="7B71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29BE2689">
            <w:pPr>
              <w:pStyle w:val="237"/>
              <w:jc w:val="center"/>
              <w:outlineLvl w:val="9"/>
              <w:rPr>
                <w:rFonts w:ascii="宋体" w:hAnsi="宋体" w:cs="宋体"/>
                <w:szCs w:val="21"/>
                <w:highlight w:val="none"/>
              </w:rPr>
            </w:pPr>
          </w:p>
        </w:tc>
        <w:tc>
          <w:tcPr>
            <w:tcW w:w="807" w:type="dxa"/>
            <w:vMerge w:val="continue"/>
            <w:vAlign w:val="center"/>
          </w:tcPr>
          <w:p w14:paraId="6DE012BB">
            <w:pPr>
              <w:pStyle w:val="237"/>
              <w:jc w:val="center"/>
              <w:outlineLvl w:val="9"/>
              <w:rPr>
                <w:rFonts w:ascii="宋体" w:hAnsi="宋体" w:cs="宋体"/>
                <w:szCs w:val="21"/>
                <w:highlight w:val="none"/>
              </w:rPr>
            </w:pPr>
          </w:p>
        </w:tc>
        <w:tc>
          <w:tcPr>
            <w:tcW w:w="1969" w:type="dxa"/>
            <w:vAlign w:val="center"/>
          </w:tcPr>
          <w:p w14:paraId="129D7638">
            <w:pPr>
              <w:pStyle w:val="237"/>
              <w:jc w:val="center"/>
              <w:outlineLvl w:val="9"/>
              <w:rPr>
                <w:rFonts w:ascii="宋体" w:hAnsi="宋体" w:cs="宋体"/>
                <w:szCs w:val="21"/>
                <w:highlight w:val="none"/>
              </w:rPr>
            </w:pPr>
            <w:r>
              <w:rPr>
                <w:rFonts w:hint="eastAsia" w:ascii="宋体" w:hAnsi="宋体" w:cs="宋体"/>
                <w:szCs w:val="21"/>
                <w:highlight w:val="none"/>
              </w:rPr>
              <w:t>其它否决条件</w:t>
            </w:r>
          </w:p>
        </w:tc>
        <w:tc>
          <w:tcPr>
            <w:tcW w:w="6066" w:type="dxa"/>
            <w:vAlign w:val="center"/>
          </w:tcPr>
          <w:p w14:paraId="366F961E">
            <w:pPr>
              <w:pStyle w:val="237"/>
              <w:jc w:val="left"/>
              <w:outlineLvl w:val="9"/>
              <w:rPr>
                <w:rFonts w:ascii="宋体" w:hAnsi="宋体" w:cs="宋体"/>
                <w:szCs w:val="21"/>
                <w:highlight w:val="none"/>
              </w:rPr>
            </w:pPr>
            <w:r>
              <w:rPr>
                <w:rFonts w:hint="eastAsia" w:ascii="宋体" w:hAnsi="宋体" w:cs="宋体"/>
                <w:szCs w:val="21"/>
                <w:highlight w:val="none"/>
              </w:rPr>
              <w:t>1.不同供应商的响应申请文件由同一单位或者个人编制；</w:t>
            </w:r>
          </w:p>
          <w:p w14:paraId="7927607F">
            <w:pPr>
              <w:pStyle w:val="237"/>
              <w:jc w:val="left"/>
              <w:outlineLvl w:val="9"/>
              <w:rPr>
                <w:rFonts w:ascii="宋体" w:hAnsi="宋体" w:cs="宋体"/>
                <w:szCs w:val="21"/>
                <w:highlight w:val="none"/>
              </w:rPr>
            </w:pPr>
            <w:r>
              <w:rPr>
                <w:rFonts w:hint="eastAsia" w:ascii="宋体" w:hAnsi="宋体" w:cs="宋体"/>
                <w:szCs w:val="21"/>
                <w:highlight w:val="none"/>
              </w:rPr>
              <w:t>2.不同供应商委托同一单位或者个人办理谈判事宜；</w:t>
            </w:r>
          </w:p>
          <w:p w14:paraId="402BE20C">
            <w:pPr>
              <w:pStyle w:val="237"/>
              <w:jc w:val="left"/>
              <w:outlineLvl w:val="9"/>
              <w:rPr>
                <w:rFonts w:ascii="宋体" w:hAnsi="宋体" w:cs="宋体"/>
                <w:szCs w:val="21"/>
                <w:highlight w:val="none"/>
              </w:rPr>
            </w:pPr>
            <w:r>
              <w:rPr>
                <w:rFonts w:hint="eastAsia" w:ascii="宋体" w:hAnsi="宋体" w:cs="宋体"/>
                <w:szCs w:val="21"/>
                <w:highlight w:val="none"/>
              </w:rPr>
              <w:t>3.不同供应商的响应文件载明的项目管理成员或者联系人员为同一人；</w:t>
            </w:r>
          </w:p>
          <w:p w14:paraId="1B2DD710">
            <w:pPr>
              <w:pStyle w:val="237"/>
              <w:jc w:val="left"/>
              <w:outlineLvl w:val="9"/>
              <w:rPr>
                <w:rFonts w:ascii="宋体" w:hAnsi="宋体" w:cs="宋体"/>
                <w:szCs w:val="21"/>
                <w:highlight w:val="none"/>
              </w:rPr>
            </w:pPr>
            <w:r>
              <w:rPr>
                <w:rFonts w:hint="eastAsia" w:ascii="宋体" w:hAnsi="宋体" w:cs="宋体"/>
                <w:szCs w:val="21"/>
                <w:highlight w:val="none"/>
              </w:rPr>
              <w:t>4.不同供应商的响应文件异常一致或者谈判报价呈规律性差异；</w:t>
            </w:r>
          </w:p>
          <w:p w14:paraId="68AFAABE">
            <w:pPr>
              <w:pStyle w:val="237"/>
              <w:jc w:val="left"/>
              <w:outlineLvl w:val="9"/>
              <w:rPr>
                <w:rFonts w:ascii="宋体" w:hAnsi="宋体" w:cs="宋体"/>
                <w:szCs w:val="21"/>
                <w:highlight w:val="none"/>
              </w:rPr>
            </w:pPr>
            <w:r>
              <w:rPr>
                <w:rFonts w:hint="eastAsia" w:ascii="宋体" w:hAnsi="宋体" w:cs="宋体"/>
                <w:szCs w:val="21"/>
                <w:highlight w:val="none"/>
              </w:rPr>
              <w:t>5.不同供应商的响应文件相互混装；</w:t>
            </w:r>
          </w:p>
          <w:p w14:paraId="322754D2">
            <w:pPr>
              <w:pStyle w:val="237"/>
              <w:jc w:val="left"/>
              <w:outlineLvl w:val="9"/>
              <w:rPr>
                <w:rFonts w:ascii="宋体" w:hAnsi="宋体" w:cs="宋体"/>
                <w:szCs w:val="21"/>
                <w:highlight w:val="none"/>
              </w:rPr>
            </w:pPr>
            <w:r>
              <w:rPr>
                <w:rFonts w:hint="eastAsia" w:ascii="宋体" w:hAnsi="宋体" w:cs="宋体"/>
                <w:szCs w:val="21"/>
                <w:highlight w:val="none"/>
              </w:rPr>
              <w:t>6.法律、法规和采购文件规定的其他无效情形。</w:t>
            </w:r>
          </w:p>
        </w:tc>
      </w:tr>
      <w:tr w14:paraId="6CAA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025" w:type="dxa"/>
            <w:vAlign w:val="center"/>
          </w:tcPr>
          <w:p w14:paraId="60D928FD">
            <w:pPr>
              <w:pStyle w:val="237"/>
              <w:jc w:val="center"/>
              <w:outlineLvl w:val="9"/>
              <w:rPr>
                <w:rFonts w:ascii="宋体" w:hAnsi="宋体" w:cs="宋体"/>
                <w:szCs w:val="21"/>
                <w:highlight w:val="none"/>
              </w:rPr>
            </w:pPr>
            <w:r>
              <w:rPr>
                <w:rFonts w:hint="eastAsia" w:ascii="宋体" w:hAnsi="宋体" w:cs="宋体"/>
                <w:szCs w:val="21"/>
                <w:highlight w:val="none"/>
              </w:rPr>
              <w:t>三-3</w:t>
            </w:r>
          </w:p>
        </w:tc>
        <w:tc>
          <w:tcPr>
            <w:tcW w:w="807" w:type="dxa"/>
            <w:vAlign w:val="center"/>
          </w:tcPr>
          <w:p w14:paraId="0C4052A5">
            <w:pPr>
              <w:pStyle w:val="237"/>
              <w:jc w:val="center"/>
              <w:outlineLvl w:val="9"/>
              <w:rPr>
                <w:rFonts w:ascii="宋体" w:hAnsi="宋体" w:cs="宋体"/>
                <w:szCs w:val="21"/>
                <w:highlight w:val="none"/>
              </w:rPr>
            </w:pPr>
            <w:r>
              <w:rPr>
                <w:rFonts w:hint="eastAsia" w:ascii="宋体" w:hAnsi="宋体" w:cs="宋体"/>
                <w:szCs w:val="21"/>
                <w:highlight w:val="none"/>
              </w:rPr>
              <w:t>详细评审</w:t>
            </w:r>
          </w:p>
        </w:tc>
        <w:tc>
          <w:tcPr>
            <w:tcW w:w="1969" w:type="dxa"/>
            <w:vAlign w:val="center"/>
          </w:tcPr>
          <w:p w14:paraId="2F1AF10E">
            <w:pPr>
              <w:pStyle w:val="237"/>
              <w:jc w:val="center"/>
              <w:outlineLvl w:val="9"/>
              <w:rPr>
                <w:rFonts w:ascii="宋体" w:hAnsi="宋体" w:cs="宋体"/>
                <w:szCs w:val="21"/>
                <w:highlight w:val="none"/>
              </w:rPr>
            </w:pPr>
            <w:r>
              <w:rPr>
                <w:rFonts w:hint="eastAsia" w:ascii="宋体" w:hAnsi="宋体" w:cs="宋体"/>
                <w:szCs w:val="21"/>
                <w:highlight w:val="none"/>
              </w:rPr>
              <w:t>评分分值组成</w:t>
            </w:r>
          </w:p>
          <w:p w14:paraId="1C0CB3C2">
            <w:pPr>
              <w:pStyle w:val="237"/>
              <w:jc w:val="center"/>
              <w:outlineLvl w:val="9"/>
              <w:rPr>
                <w:rFonts w:hint="default" w:ascii="宋体" w:hAnsi="宋体" w:eastAsia="宋体" w:cs="宋体"/>
                <w:szCs w:val="21"/>
                <w:highlight w:val="none"/>
                <w:lang w:val="en-US" w:eastAsia="zh-CN"/>
              </w:rPr>
            </w:pPr>
            <w:r>
              <w:rPr>
                <w:rFonts w:hint="eastAsia" w:ascii="宋体" w:hAnsi="宋体" w:cs="宋体"/>
                <w:szCs w:val="21"/>
                <w:highlight w:val="none"/>
              </w:rPr>
              <w:t>（总分100分）</w:t>
            </w:r>
          </w:p>
        </w:tc>
        <w:tc>
          <w:tcPr>
            <w:tcW w:w="6066" w:type="dxa"/>
            <w:vAlign w:val="center"/>
          </w:tcPr>
          <w:p w14:paraId="06B036E6">
            <w:pPr>
              <w:pStyle w:val="237"/>
              <w:jc w:val="left"/>
              <w:outlineLvl w:val="9"/>
              <w:rPr>
                <w:rFonts w:ascii="宋体" w:hAnsi="宋体" w:cs="宋体"/>
                <w:szCs w:val="21"/>
                <w:highlight w:val="none"/>
              </w:rPr>
            </w:pPr>
            <w:r>
              <w:rPr>
                <w:rFonts w:hint="eastAsia" w:ascii="宋体" w:hAnsi="宋体" w:cs="宋体"/>
                <w:szCs w:val="21"/>
                <w:highlight w:val="none"/>
              </w:rPr>
              <w:t>综合评分满分100分，根据以下评分项得分按权重比例进行加权计算，即：综合评分=A+B+C，其中：</w:t>
            </w:r>
          </w:p>
          <w:p w14:paraId="2963DE9A">
            <w:pPr>
              <w:pStyle w:val="237"/>
              <w:jc w:val="left"/>
              <w:outlineLvl w:val="9"/>
              <w:rPr>
                <w:rFonts w:ascii="宋体" w:hAnsi="宋体" w:cs="宋体"/>
                <w:szCs w:val="21"/>
                <w:highlight w:val="none"/>
              </w:rPr>
            </w:pPr>
            <w:r>
              <w:rPr>
                <w:rFonts w:hint="eastAsia" w:ascii="宋体" w:hAnsi="宋体" w:cs="宋体"/>
                <w:szCs w:val="21"/>
                <w:highlight w:val="none"/>
              </w:rPr>
              <w:t>A=商务部分评分×10%，</w:t>
            </w:r>
          </w:p>
          <w:p w14:paraId="04EA11E6">
            <w:pPr>
              <w:pStyle w:val="237"/>
              <w:jc w:val="left"/>
              <w:outlineLvl w:val="9"/>
              <w:rPr>
                <w:rFonts w:ascii="宋体" w:hAnsi="宋体" w:cs="宋体"/>
                <w:szCs w:val="21"/>
                <w:highlight w:val="none"/>
              </w:rPr>
            </w:pPr>
            <w:r>
              <w:rPr>
                <w:rFonts w:hint="eastAsia" w:ascii="宋体" w:hAnsi="宋体" w:cs="宋体"/>
                <w:szCs w:val="21"/>
                <w:highlight w:val="none"/>
              </w:rPr>
              <w:t>B=技术部分评分×40%，</w:t>
            </w:r>
          </w:p>
          <w:p w14:paraId="6B377D0E">
            <w:pPr>
              <w:pStyle w:val="237"/>
              <w:jc w:val="left"/>
              <w:outlineLvl w:val="9"/>
              <w:rPr>
                <w:rFonts w:ascii="宋体" w:hAnsi="宋体" w:cs="宋体"/>
                <w:szCs w:val="21"/>
                <w:highlight w:val="none"/>
              </w:rPr>
            </w:pPr>
            <w:r>
              <w:rPr>
                <w:rFonts w:hint="eastAsia" w:ascii="宋体" w:hAnsi="宋体" w:cs="宋体"/>
                <w:szCs w:val="21"/>
                <w:highlight w:val="none"/>
              </w:rPr>
              <w:t>C=最终报价部分评分×50%。</w:t>
            </w:r>
          </w:p>
        </w:tc>
      </w:tr>
    </w:tbl>
    <w:p w14:paraId="65DD2697">
      <w:pPr>
        <w:outlineLvl w:val="9"/>
        <w:rPr>
          <w:rFonts w:ascii="宋体" w:hAnsi="宋体" w:cs="宋体"/>
          <w:highlight w:val="none"/>
        </w:rPr>
      </w:pPr>
      <w:r>
        <w:rPr>
          <w:rFonts w:hint="eastAsia" w:ascii="宋体" w:hAnsi="宋体" w:cs="宋体"/>
          <w:highlight w:val="none"/>
        </w:rPr>
        <w:br w:type="page"/>
      </w:r>
    </w:p>
    <w:p w14:paraId="28D4247E">
      <w:pPr>
        <w:spacing w:line="360" w:lineRule="auto"/>
        <w:outlineLvl w:val="9"/>
        <w:rPr>
          <w:rFonts w:ascii="宋体" w:hAnsi="宋体" w:cs="宋体"/>
          <w:b/>
          <w:sz w:val="24"/>
          <w:highlight w:val="none"/>
        </w:rPr>
      </w:pPr>
      <w:r>
        <w:rPr>
          <w:rFonts w:hint="eastAsia" w:ascii="宋体" w:hAnsi="宋体" w:cs="宋体"/>
          <w:b/>
          <w:sz w:val="24"/>
          <w:highlight w:val="none"/>
        </w:rPr>
        <w:t>一、总则</w:t>
      </w:r>
    </w:p>
    <w:p w14:paraId="63B6DA8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1.评审依据</w:t>
      </w:r>
    </w:p>
    <w:p w14:paraId="74F7539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 《</w:t>
      </w:r>
      <w:r>
        <w:rPr>
          <w:rFonts w:hint="eastAsia" w:ascii="宋体" w:hAnsi="宋体" w:cs="宋体"/>
          <w:sz w:val="24"/>
          <w:szCs w:val="24"/>
          <w:highlight w:val="none"/>
          <w:lang w:val="en-US" w:eastAsia="zh-CN"/>
        </w:rPr>
        <w:t>云南能源投资股份</w:t>
      </w:r>
      <w:r>
        <w:rPr>
          <w:rFonts w:hint="eastAsia" w:ascii="宋体" w:hAnsi="宋体" w:cs="宋体"/>
          <w:sz w:val="24"/>
          <w:szCs w:val="24"/>
          <w:highlight w:val="none"/>
        </w:rPr>
        <w:t>有限公司采购管理制度》及相关法律法规；</w:t>
      </w:r>
    </w:p>
    <w:p w14:paraId="6F09061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 采购文件及其有效的补充文件。</w:t>
      </w:r>
    </w:p>
    <w:p w14:paraId="568700F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2.评审原则</w:t>
      </w:r>
    </w:p>
    <w:p w14:paraId="1FAE469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评审活动遵循“公平、公正、科学、择优”的原则。</w:t>
      </w:r>
    </w:p>
    <w:p w14:paraId="2B6A4907">
      <w:pPr>
        <w:spacing w:line="360" w:lineRule="auto"/>
        <w:outlineLvl w:val="9"/>
        <w:rPr>
          <w:rFonts w:ascii="宋体" w:hAnsi="宋体" w:cs="宋体"/>
          <w:b/>
          <w:sz w:val="24"/>
          <w:highlight w:val="none"/>
        </w:rPr>
      </w:pPr>
      <w:bookmarkStart w:id="176" w:name="_Toc36460142"/>
      <w:r>
        <w:rPr>
          <w:rFonts w:hint="eastAsia" w:ascii="宋体" w:hAnsi="宋体" w:cs="宋体"/>
          <w:b/>
          <w:sz w:val="24"/>
          <w:highlight w:val="none"/>
        </w:rPr>
        <w:t>二、评审方法</w:t>
      </w:r>
      <w:bookmarkEnd w:id="176"/>
    </w:p>
    <w:p w14:paraId="78569740">
      <w:pPr>
        <w:spacing w:line="360" w:lineRule="auto"/>
        <w:ind w:firstLine="480" w:firstLineChars="200"/>
        <w:outlineLvl w:val="9"/>
        <w:rPr>
          <w:rFonts w:ascii="宋体" w:hAnsi="宋体" w:cs="宋体"/>
          <w:sz w:val="24"/>
          <w:szCs w:val="24"/>
          <w:highlight w:val="none"/>
        </w:rPr>
      </w:pPr>
      <w:bookmarkStart w:id="177" w:name="_Toc36460143"/>
      <w:r>
        <w:rPr>
          <w:rFonts w:hint="eastAsia" w:ascii="宋体" w:hAnsi="宋体" w:cs="宋体"/>
          <w:sz w:val="24"/>
          <w:szCs w:val="24"/>
          <w:highlight w:val="none"/>
        </w:rPr>
        <w:t>本项目采用综合评分法。</w:t>
      </w:r>
    </w:p>
    <w:p w14:paraId="32ECD823">
      <w:pPr>
        <w:spacing w:line="360" w:lineRule="auto"/>
        <w:outlineLvl w:val="9"/>
        <w:rPr>
          <w:rFonts w:ascii="宋体" w:hAnsi="宋体" w:cs="宋体"/>
          <w:b/>
          <w:sz w:val="24"/>
          <w:highlight w:val="none"/>
        </w:rPr>
      </w:pPr>
      <w:r>
        <w:rPr>
          <w:rFonts w:hint="eastAsia" w:ascii="宋体" w:hAnsi="宋体" w:cs="宋体"/>
          <w:b/>
          <w:sz w:val="24"/>
          <w:highlight w:val="none"/>
        </w:rPr>
        <w:t>三、评审程序</w:t>
      </w:r>
      <w:bookmarkEnd w:id="177"/>
    </w:p>
    <w:p w14:paraId="706A236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谈判小组评审包括初步评审和详细评审两部分。</w:t>
      </w:r>
    </w:p>
    <w:p w14:paraId="201F7B99">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1.初步评审：初步评审依次分别进行资格评审及符合性评审。</w:t>
      </w:r>
    </w:p>
    <w:p w14:paraId="6A8CD5B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谈判小组对响应文件进行初步评审，评审内容如下：</w:t>
      </w:r>
    </w:p>
    <w:p w14:paraId="50B2B0D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 资格评审：详见本章“评审办法前附表”。</w:t>
      </w:r>
    </w:p>
    <w:p w14:paraId="2FF2E78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 符合性评审：详见本章“评审办法前附表”。</w:t>
      </w:r>
    </w:p>
    <w:p w14:paraId="0287241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如资格评审、符合性评审不满足“评审办法前附表”中的任何一项，初步审查将视为不合格，供应商只有通过初步评审，才能进入详细评审。</w:t>
      </w:r>
    </w:p>
    <w:p w14:paraId="38B6CC4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2.谈判过程</w:t>
      </w:r>
    </w:p>
    <w:p w14:paraId="709392C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2.1 谈判小组与所有通过初步评审的供应商分别进行谈判。</w:t>
      </w:r>
    </w:p>
    <w:p w14:paraId="17AA686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2.2 谈判小组所有成员集中与单一供应商分别进行谈判，并给予所有参加谈判的供应商平等的谈判机会。在谈判中，谈判的任何一方不得透露与谈判有关的其他供应商的价格、折扣和其他信息。供应商在谈判中做出的承诺构成响应文件的组成部分。</w:t>
      </w:r>
    </w:p>
    <w:p w14:paraId="398F378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2.3 采购文件有实质性变动的，谈判小组将以书面形式通知所有参加谈判的供应商。但不得对涉及竞争的公平、公正性内容进行修改、变动。</w:t>
      </w:r>
    </w:p>
    <w:p w14:paraId="68C8353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2.4 为有助于对响应文件的详细审查、评价和比较，谈判小组可要求对供应商分别进行技术询问、澄清，有关要求和答复均现场进行。</w:t>
      </w:r>
    </w:p>
    <w:p w14:paraId="0F7F6D0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2.5 谈判小组对供应商提交的澄清、说明有疑问的，可以要求供应商进一步澄清、说明。谈判小组要求供应商澄清、说明或者更正响应文件应当以书面形式提交。供应商的澄清、说明或者更正应当由法定代表人或其授权代表签字或者加盖公章。</w:t>
      </w:r>
    </w:p>
    <w:p w14:paraId="577FC37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2.6 进入第二轮谈判的供应商代表按谈判申请文件递交顺序进行单独谈判。</w:t>
      </w:r>
    </w:p>
    <w:p w14:paraId="1EC7099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2.7 谈判结束后，谈判小组应要求所有供应商在规定时间内提交最终报价。最终报价是供应商响应文件的有效组成部分。</w:t>
      </w:r>
    </w:p>
    <w:p w14:paraId="3F11135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3.详细评审：详细评审包括商务部分、技术部分和最终报价部分评审。</w:t>
      </w:r>
    </w:p>
    <w:p w14:paraId="0FA958B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3.1 商务部分评审，响应人综合实力比较，详见“附表1：商务部分评审表”。</w:t>
      </w:r>
    </w:p>
    <w:p w14:paraId="2E0A615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3.2 技术评审，主要包括技术方案对比，详见“附表2：技术部分评审表”。</w:t>
      </w:r>
    </w:p>
    <w:p w14:paraId="6FC9ABE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3.3 价格评审，详见“附表3：最终报价部分评审表”。</w:t>
      </w:r>
    </w:p>
    <w:p w14:paraId="1E042388">
      <w:pPr>
        <w:spacing w:line="360" w:lineRule="auto"/>
        <w:ind w:firstLine="480" w:firstLineChars="200"/>
        <w:outlineLvl w:val="9"/>
        <w:rPr>
          <w:rFonts w:ascii="宋体" w:hAnsi="宋体" w:cs="宋体"/>
          <w:sz w:val="24"/>
          <w:szCs w:val="24"/>
          <w:highlight w:val="none"/>
        </w:rPr>
      </w:pPr>
      <w:bookmarkStart w:id="178" w:name="_Toc386046234"/>
      <w:bookmarkStart w:id="179" w:name="_Toc386358396"/>
      <w:r>
        <w:rPr>
          <w:rFonts w:hint="eastAsia" w:ascii="宋体" w:hAnsi="宋体" w:cs="宋体"/>
          <w:sz w:val="24"/>
          <w:szCs w:val="24"/>
          <w:highlight w:val="none"/>
        </w:rPr>
        <w:t>综合得分按下面公式计算</w:t>
      </w:r>
      <w:bookmarkEnd w:id="178"/>
      <w:r>
        <w:rPr>
          <w:rFonts w:hint="eastAsia" w:ascii="宋体" w:hAnsi="宋体" w:cs="宋体"/>
          <w:sz w:val="24"/>
          <w:szCs w:val="24"/>
          <w:highlight w:val="none"/>
        </w:rPr>
        <w:t>。</w:t>
      </w:r>
      <w:bookmarkEnd w:id="179"/>
    </w:p>
    <w:p w14:paraId="42071AF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商务部分A：满分100分，权重</w:t>
      </w:r>
      <w:r>
        <w:rPr>
          <w:rFonts w:hint="eastAsia" w:ascii="宋体" w:hAnsi="宋体" w:cs="宋体"/>
          <w:sz w:val="24"/>
          <w:szCs w:val="24"/>
          <w:highlight w:val="none"/>
          <w:u w:val="single"/>
        </w:rPr>
        <w:t xml:space="preserve"> 10 </w:t>
      </w:r>
      <w:r>
        <w:rPr>
          <w:rFonts w:hint="eastAsia" w:ascii="宋体" w:hAnsi="宋体" w:cs="宋体"/>
          <w:sz w:val="24"/>
          <w:szCs w:val="24"/>
          <w:highlight w:val="none"/>
        </w:rPr>
        <w:t>%；</w:t>
      </w:r>
    </w:p>
    <w:p w14:paraId="54A0DC8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技术部分B：满分100分，权重</w:t>
      </w:r>
      <w:r>
        <w:rPr>
          <w:rFonts w:hint="eastAsia" w:ascii="宋体" w:hAnsi="宋体" w:cs="宋体"/>
          <w:sz w:val="24"/>
          <w:szCs w:val="24"/>
          <w:highlight w:val="none"/>
          <w:u w:val="single"/>
        </w:rPr>
        <w:t xml:space="preserve"> 40 </w:t>
      </w:r>
      <w:r>
        <w:rPr>
          <w:rFonts w:hint="eastAsia" w:ascii="宋体" w:hAnsi="宋体" w:cs="宋体"/>
          <w:sz w:val="24"/>
          <w:szCs w:val="24"/>
          <w:highlight w:val="none"/>
        </w:rPr>
        <w:t>%；</w:t>
      </w:r>
    </w:p>
    <w:p w14:paraId="2DA3B0C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最终报价部分C：满分100分，权重</w:t>
      </w:r>
      <w:r>
        <w:rPr>
          <w:rFonts w:hint="eastAsia" w:ascii="宋体" w:hAnsi="宋体" w:cs="宋体"/>
          <w:sz w:val="24"/>
          <w:szCs w:val="24"/>
          <w:highlight w:val="none"/>
          <w:u w:val="single"/>
        </w:rPr>
        <w:t xml:space="preserve"> 50 </w:t>
      </w:r>
      <w:r>
        <w:rPr>
          <w:rFonts w:hint="eastAsia" w:ascii="宋体" w:hAnsi="宋体" w:cs="宋体"/>
          <w:sz w:val="24"/>
          <w:szCs w:val="24"/>
          <w:highlight w:val="none"/>
        </w:rPr>
        <w:t>%；</w:t>
      </w:r>
    </w:p>
    <w:p w14:paraId="57C310E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综合得分=商务部分评分×10%+技术部分评分×40%+最终报价部分评分×50%（满分为100分）</w:t>
      </w:r>
    </w:p>
    <w:p w14:paraId="5A0DF120">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4.评审报告</w:t>
      </w:r>
    </w:p>
    <w:p w14:paraId="633DFE7C">
      <w:pPr>
        <w:spacing w:line="360" w:lineRule="auto"/>
        <w:ind w:firstLine="480" w:firstLineChars="200"/>
        <w:outlineLvl w:val="9"/>
        <w:rPr>
          <w:rFonts w:ascii="宋体" w:hAnsi="宋体" w:cs="宋体"/>
          <w:sz w:val="24"/>
          <w:szCs w:val="24"/>
          <w:highlight w:val="none"/>
        </w:rPr>
      </w:pPr>
      <w:bookmarkStart w:id="180" w:name="_Toc36460144"/>
      <w:r>
        <w:rPr>
          <w:rFonts w:hint="eastAsia" w:ascii="宋体" w:hAnsi="宋体" w:cs="宋体"/>
          <w:sz w:val="24"/>
          <w:szCs w:val="24"/>
          <w:highlight w:val="none"/>
        </w:rPr>
        <w:t>4.1 在评审各阶段的结论，如评委有不同意见，按少数服从多数的原则得出最终评审结论。</w:t>
      </w:r>
    </w:p>
    <w:p w14:paraId="16ED96B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4.2 如果有效投标不足三个，谈判小组认为剩余有效投标具有竞争性的，则谈判继续。如果因有效投标不足三个使得投标明显缺乏竞争的，谈判小组可以建议采购人重新采购。</w:t>
      </w:r>
    </w:p>
    <w:p w14:paraId="5B54FD3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4.3 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47BC5188">
      <w:pPr>
        <w:spacing w:line="360" w:lineRule="auto"/>
        <w:outlineLvl w:val="9"/>
        <w:rPr>
          <w:rFonts w:ascii="宋体" w:hAnsi="宋体" w:cs="宋体"/>
          <w:b/>
          <w:sz w:val="24"/>
          <w:highlight w:val="none"/>
        </w:rPr>
      </w:pPr>
      <w:r>
        <w:rPr>
          <w:rFonts w:hint="eastAsia" w:ascii="宋体" w:hAnsi="宋体" w:cs="宋体"/>
          <w:b/>
          <w:sz w:val="24"/>
          <w:highlight w:val="none"/>
        </w:rPr>
        <w:t>四、推荐成交供应商</w:t>
      </w:r>
      <w:bookmarkEnd w:id="180"/>
    </w:p>
    <w:p w14:paraId="24A5840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谈判小组对各供应商技术、商务、价格进行了全面评审和评分，根据综合评分由高到低的顺序，推荐</w:t>
      </w:r>
      <w:r>
        <w:rPr>
          <w:rFonts w:hint="eastAsia" w:ascii="宋体" w:hAnsi="宋体" w:cs="宋体"/>
          <w:sz w:val="24"/>
          <w:szCs w:val="24"/>
          <w:highlight w:val="none"/>
          <w:lang w:val="en-US" w:eastAsia="zh-CN"/>
        </w:rPr>
        <w:t>2</w:t>
      </w:r>
      <w:r>
        <w:rPr>
          <w:rFonts w:hint="eastAsia" w:ascii="宋体" w:hAnsi="宋体" w:cs="宋体"/>
          <w:sz w:val="24"/>
          <w:szCs w:val="24"/>
          <w:highlight w:val="none"/>
        </w:rPr>
        <w:t>至3名候选成交供应商。若</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候选人出现综合评分相等时，以</w:t>
      </w:r>
      <w:r>
        <w:rPr>
          <w:rFonts w:hint="eastAsia" w:ascii="宋体" w:hAnsi="宋体" w:cs="宋体"/>
          <w:sz w:val="24"/>
          <w:szCs w:val="24"/>
          <w:highlight w:val="none"/>
          <w:lang w:val="en-US" w:eastAsia="zh-CN"/>
        </w:rPr>
        <w:t>最终</w:t>
      </w:r>
      <w:r>
        <w:rPr>
          <w:rFonts w:hint="eastAsia" w:ascii="宋体" w:hAnsi="宋体" w:cs="宋体"/>
          <w:sz w:val="24"/>
          <w:szCs w:val="24"/>
          <w:highlight w:val="none"/>
        </w:rPr>
        <w:t>报价低的优先；若</w:t>
      </w:r>
      <w:r>
        <w:rPr>
          <w:rFonts w:hint="eastAsia" w:ascii="宋体" w:hAnsi="宋体" w:cs="宋体"/>
          <w:sz w:val="24"/>
          <w:szCs w:val="24"/>
          <w:highlight w:val="none"/>
          <w:lang w:val="en-US" w:eastAsia="zh-CN"/>
        </w:rPr>
        <w:t>最终</w:t>
      </w:r>
      <w:r>
        <w:rPr>
          <w:rFonts w:hint="eastAsia" w:ascii="宋体" w:hAnsi="宋体" w:cs="宋体"/>
          <w:sz w:val="24"/>
          <w:szCs w:val="24"/>
          <w:highlight w:val="none"/>
        </w:rPr>
        <w:t>报价也相等，以技术得分高的优先；若技术得分也相等，则由评标委员会投票决定，票数多者优先。</w:t>
      </w:r>
    </w:p>
    <w:p w14:paraId="7908410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附表1：商务部分评审表</w:t>
      </w:r>
    </w:p>
    <w:p w14:paraId="6D0B889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附表2：技术部分评审表</w:t>
      </w:r>
    </w:p>
    <w:p w14:paraId="206B006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附表3：最终报价部分评审表</w:t>
      </w:r>
    </w:p>
    <w:p w14:paraId="15FDBF98">
      <w:pPr>
        <w:spacing w:line="440" w:lineRule="exact"/>
        <w:ind w:firstLine="420" w:firstLineChars="200"/>
        <w:outlineLvl w:val="9"/>
        <w:rPr>
          <w:rFonts w:ascii="宋体" w:hAnsi="宋体" w:cs="宋体"/>
          <w:highlight w:val="none"/>
        </w:rPr>
      </w:pPr>
      <w:r>
        <w:rPr>
          <w:rFonts w:hint="eastAsia" w:ascii="宋体" w:hAnsi="宋体" w:cs="宋体"/>
          <w:highlight w:val="none"/>
        </w:rPr>
        <w:br w:type="page"/>
      </w:r>
    </w:p>
    <w:p w14:paraId="05BDF6F3">
      <w:pPr>
        <w:jc w:val="center"/>
        <w:outlineLvl w:val="9"/>
        <w:rPr>
          <w:rFonts w:ascii="宋体" w:hAnsi="宋体" w:cs="宋体"/>
          <w:b/>
          <w:sz w:val="24"/>
          <w:highlight w:val="none"/>
        </w:rPr>
      </w:pPr>
      <w:r>
        <w:rPr>
          <w:rFonts w:hint="eastAsia" w:ascii="宋体" w:hAnsi="宋体" w:cs="宋体"/>
          <w:b/>
          <w:sz w:val="24"/>
          <w:highlight w:val="none"/>
        </w:rPr>
        <w:t>附表1：商务部分评审表（满分：100分，权重 10 %）</w:t>
      </w:r>
    </w:p>
    <w:tbl>
      <w:tblPr>
        <w:tblStyle w:val="49"/>
        <w:tblW w:w="9279" w:type="dxa"/>
        <w:jc w:val="center"/>
        <w:shd w:val="clear" w:color="auto" w:fill="auto"/>
        <w:tblLayout w:type="fixed"/>
        <w:tblCellMar>
          <w:top w:w="0" w:type="dxa"/>
          <w:left w:w="10" w:type="dxa"/>
          <w:bottom w:w="0" w:type="dxa"/>
          <w:right w:w="10" w:type="dxa"/>
        </w:tblCellMar>
      </w:tblPr>
      <w:tblGrid>
        <w:gridCol w:w="665"/>
        <w:gridCol w:w="1632"/>
        <w:gridCol w:w="816"/>
        <w:gridCol w:w="5352"/>
        <w:gridCol w:w="814"/>
      </w:tblGrid>
      <w:tr w14:paraId="2DFEF334">
        <w:tblPrEx>
          <w:shd w:val="clear" w:color="auto" w:fill="auto"/>
        </w:tblPrEx>
        <w:trPr>
          <w:trHeight w:val="919"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042C93F">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64F2EE5">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评价因素</w:t>
            </w: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7FC5AD0">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分值</w:t>
            </w:r>
          </w:p>
        </w:tc>
        <w:tc>
          <w:tcPr>
            <w:tcW w:w="535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7DDDF271">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E4D5B89">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得分</w:t>
            </w:r>
          </w:p>
        </w:tc>
      </w:tr>
      <w:tr w14:paraId="669A70B1">
        <w:trPr>
          <w:trHeight w:val="64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05894B3">
            <w:pPr>
              <w:pStyle w:val="237"/>
              <w:jc w:val="center"/>
              <w:outlineLvl w:val="9"/>
              <w:rPr>
                <w:rFonts w:hint="eastAsia" w:ascii="宋体" w:hAnsi="宋体" w:eastAsia="宋体" w:cs="宋体"/>
                <w:szCs w:val="21"/>
                <w:highlight w:val="none"/>
                <w:lang w:eastAsia="zh-CN"/>
              </w:rPr>
            </w:pPr>
            <w:r>
              <w:rPr>
                <w:rFonts w:hint="eastAsia" w:ascii="宋体" w:hAnsi="宋体" w:cs="宋体"/>
                <w:szCs w:val="21"/>
                <w:highlight w:val="none"/>
                <w:lang w:val="en-US" w:eastAsia="zh-CN"/>
              </w:rPr>
              <w:t>1</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6A44F7D">
            <w:pPr>
              <w:pStyle w:val="237"/>
              <w:jc w:val="center"/>
              <w:outlineLvl w:val="9"/>
              <w:rPr>
                <w:rFonts w:hint="default" w:ascii="宋体" w:hAnsi="宋体" w:eastAsia="宋体" w:cs="宋体"/>
                <w:szCs w:val="21"/>
                <w:highlight w:val="none"/>
              </w:rPr>
            </w:pPr>
            <w:r>
              <w:rPr>
                <w:rFonts w:hint="eastAsia" w:ascii="宋体" w:hAnsi="宋体" w:cs="宋体"/>
                <w:szCs w:val="21"/>
                <w:highlight w:val="none"/>
                <w:lang w:val="en-US" w:eastAsia="zh-CN"/>
              </w:rPr>
              <w:t>企业</w:t>
            </w:r>
            <w:r>
              <w:rPr>
                <w:rFonts w:hint="eastAsia" w:ascii="宋体" w:hAnsi="宋体" w:eastAsia="宋体" w:cs="宋体"/>
                <w:szCs w:val="21"/>
                <w:highlight w:val="none"/>
              </w:rPr>
              <w:t>综</w:t>
            </w:r>
            <w:r>
              <w:rPr>
                <w:rFonts w:hint="eastAsia" w:ascii="宋体" w:hAnsi="宋体" w:eastAsia="宋体" w:cs="宋体"/>
                <w:szCs w:val="21"/>
                <w:highlight w:val="none"/>
                <w:lang w:val="en-US" w:eastAsia="zh-CN"/>
              </w:rPr>
              <w:t>合实力</w:t>
            </w: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316678B">
            <w:pPr>
              <w:pStyle w:val="237"/>
              <w:jc w:val="center"/>
              <w:outlineLvl w:val="9"/>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4</w:t>
            </w:r>
            <w:r>
              <w:rPr>
                <w:rFonts w:hint="eastAsia" w:ascii="宋体" w:hAnsi="宋体" w:eastAsia="宋体" w:cs="宋体"/>
                <w:szCs w:val="21"/>
                <w:highlight w:val="none"/>
                <w:lang w:val="en-US" w:eastAsia="zh-CN"/>
              </w:rPr>
              <w:t>0</w:t>
            </w:r>
          </w:p>
        </w:tc>
        <w:tc>
          <w:tcPr>
            <w:tcW w:w="535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center"/>
          </w:tcPr>
          <w:p w14:paraId="3E3DF5E1">
            <w:pPr>
              <w:pStyle w:val="237"/>
              <w:jc w:val="left"/>
              <w:outlineLvl w:val="9"/>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根据投标单位规模，项目经验、项目从业人员、所获荣誉等综合实力进行评审。</w:t>
            </w:r>
          </w:p>
          <w:p w14:paraId="24AC25F7">
            <w:pPr>
              <w:pStyle w:val="237"/>
              <w:jc w:val="left"/>
              <w:outlineLvl w:val="9"/>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综合实力横向对比评价最优计</w:t>
            </w:r>
            <w:r>
              <w:rPr>
                <w:rFonts w:hint="eastAsia" w:ascii="宋体" w:hAnsi="宋体" w:cs="宋体"/>
                <w:szCs w:val="21"/>
                <w:highlight w:val="none"/>
                <w:lang w:val="en-US" w:eastAsia="zh-CN"/>
              </w:rPr>
              <w:t>27</w:t>
            </w:r>
            <w:r>
              <w:rPr>
                <w:rFonts w:hint="eastAsia" w:ascii="宋体" w:hAnsi="宋体" w:eastAsia="宋体" w:cs="宋体"/>
                <w:szCs w:val="21"/>
                <w:highlight w:val="none"/>
                <w:lang w:val="en-US" w:eastAsia="zh-CN"/>
              </w:rPr>
              <w:t>-</w:t>
            </w:r>
            <w:r>
              <w:rPr>
                <w:rFonts w:hint="eastAsia" w:ascii="宋体" w:hAnsi="宋体" w:cs="宋体"/>
                <w:szCs w:val="21"/>
                <w:highlight w:val="none"/>
                <w:lang w:val="en-US" w:eastAsia="zh-CN"/>
              </w:rPr>
              <w:t>4</w:t>
            </w:r>
            <w:r>
              <w:rPr>
                <w:rFonts w:hint="eastAsia" w:ascii="宋体" w:hAnsi="宋体" w:eastAsia="宋体" w:cs="宋体"/>
                <w:szCs w:val="21"/>
                <w:highlight w:val="none"/>
                <w:lang w:val="en-US" w:eastAsia="zh-CN"/>
              </w:rPr>
              <w:t>0分，</w:t>
            </w:r>
          </w:p>
          <w:p w14:paraId="76F7E0EC">
            <w:pPr>
              <w:pStyle w:val="237"/>
              <w:jc w:val="left"/>
              <w:outlineLvl w:val="9"/>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综合实力横向对比评价一般计1</w:t>
            </w:r>
            <w:r>
              <w:rPr>
                <w:rFonts w:hint="eastAsia" w:ascii="宋体" w:hAnsi="宋体" w:cs="宋体"/>
                <w:szCs w:val="21"/>
                <w:highlight w:val="none"/>
                <w:lang w:val="en-US" w:eastAsia="zh-CN"/>
              </w:rPr>
              <w:t>4</w:t>
            </w:r>
            <w:r>
              <w:rPr>
                <w:rFonts w:hint="eastAsia" w:ascii="宋体" w:hAnsi="宋体" w:eastAsia="宋体" w:cs="宋体"/>
                <w:szCs w:val="21"/>
                <w:highlight w:val="none"/>
                <w:lang w:val="en-US" w:eastAsia="zh-CN"/>
              </w:rPr>
              <w:t>-</w:t>
            </w:r>
            <w:r>
              <w:rPr>
                <w:rFonts w:hint="eastAsia" w:ascii="宋体" w:hAnsi="宋体" w:cs="宋体"/>
                <w:szCs w:val="21"/>
                <w:highlight w:val="none"/>
                <w:lang w:val="en-US" w:eastAsia="zh-CN"/>
              </w:rPr>
              <w:t>26</w:t>
            </w:r>
            <w:r>
              <w:rPr>
                <w:rFonts w:hint="eastAsia" w:ascii="宋体" w:hAnsi="宋体" w:eastAsia="宋体" w:cs="宋体"/>
                <w:szCs w:val="21"/>
                <w:highlight w:val="none"/>
                <w:lang w:val="en-US" w:eastAsia="zh-CN"/>
              </w:rPr>
              <w:t>分，</w:t>
            </w:r>
          </w:p>
          <w:p w14:paraId="7E51E0D6">
            <w:pPr>
              <w:pStyle w:val="237"/>
              <w:jc w:val="left"/>
              <w:outlineLvl w:val="9"/>
              <w:rPr>
                <w:rFonts w:hint="eastAsia" w:ascii="宋体" w:hAnsi="宋体" w:eastAsia="宋体" w:cs="宋体"/>
                <w:szCs w:val="21"/>
                <w:highlight w:val="none"/>
              </w:rPr>
            </w:pPr>
            <w:r>
              <w:rPr>
                <w:rFonts w:hint="eastAsia" w:ascii="宋体" w:hAnsi="宋体" w:eastAsia="宋体" w:cs="宋体"/>
                <w:szCs w:val="21"/>
                <w:highlight w:val="none"/>
                <w:lang w:val="en-US" w:eastAsia="zh-CN"/>
              </w:rPr>
              <w:t>综合实力横向对比评价较差计0-1</w:t>
            </w:r>
            <w:r>
              <w:rPr>
                <w:rFonts w:hint="eastAsia" w:ascii="宋体" w:hAnsi="宋体" w:cs="宋体"/>
                <w:szCs w:val="21"/>
                <w:highlight w:val="none"/>
                <w:lang w:val="en-US" w:eastAsia="zh-CN"/>
              </w:rPr>
              <w:t>3</w:t>
            </w:r>
            <w:r>
              <w:rPr>
                <w:rFonts w:hint="eastAsia" w:ascii="宋体" w:hAnsi="宋体" w:eastAsia="宋体" w:cs="宋体"/>
                <w:szCs w:val="21"/>
                <w:highlight w:val="none"/>
                <w:lang w:val="en-US" w:eastAsia="zh-CN"/>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EF77C48">
            <w:pPr>
              <w:pStyle w:val="237"/>
              <w:jc w:val="center"/>
              <w:outlineLvl w:val="9"/>
              <w:rPr>
                <w:rFonts w:hint="eastAsia" w:ascii="宋体" w:hAnsi="宋体" w:eastAsia="宋体" w:cs="宋体"/>
                <w:szCs w:val="21"/>
                <w:highlight w:val="none"/>
              </w:rPr>
            </w:pPr>
          </w:p>
        </w:tc>
      </w:tr>
      <w:tr w14:paraId="7C31F556">
        <w:trPr>
          <w:trHeight w:val="64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03B395A">
            <w:pPr>
              <w:pStyle w:val="237"/>
              <w:jc w:val="center"/>
              <w:outlineLvl w:val="9"/>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2</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181BE99">
            <w:pPr>
              <w:pStyle w:val="237"/>
              <w:jc w:val="center"/>
              <w:outlineLvl w:val="9"/>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企业</w:t>
            </w:r>
            <w:r>
              <w:rPr>
                <w:rFonts w:hint="eastAsia" w:ascii="宋体" w:hAnsi="宋体" w:eastAsia="宋体" w:cs="宋体"/>
                <w:szCs w:val="21"/>
                <w:highlight w:val="none"/>
              </w:rPr>
              <w:t>业绩</w:t>
            </w: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9830F14">
            <w:pPr>
              <w:pStyle w:val="237"/>
              <w:jc w:val="center"/>
              <w:outlineLvl w:val="9"/>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3</w:t>
            </w:r>
            <w:r>
              <w:rPr>
                <w:rFonts w:hint="eastAsia" w:ascii="宋体" w:hAnsi="宋体" w:eastAsia="宋体" w:cs="宋体"/>
                <w:szCs w:val="21"/>
                <w:highlight w:val="none"/>
                <w:lang w:val="en-US" w:eastAsia="zh-CN"/>
              </w:rPr>
              <w:t>0</w:t>
            </w:r>
          </w:p>
        </w:tc>
        <w:tc>
          <w:tcPr>
            <w:tcW w:w="535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top"/>
          </w:tcPr>
          <w:p w14:paraId="3A2693E5">
            <w:pPr>
              <w:pStyle w:val="237"/>
              <w:jc w:val="left"/>
              <w:outlineLvl w:val="9"/>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投标单位</w:t>
            </w:r>
            <w:r>
              <w:rPr>
                <w:rFonts w:hint="eastAsia" w:ascii="宋体" w:hAnsi="宋体" w:cs="宋体"/>
                <w:szCs w:val="21"/>
                <w:highlight w:val="none"/>
                <w:lang w:val="en-US" w:eastAsia="zh-CN"/>
              </w:rPr>
              <w:t>在满足自</w:t>
            </w:r>
            <w:r>
              <w:rPr>
                <w:rFonts w:hint="eastAsia" w:ascii="宋体" w:hAnsi="宋体" w:eastAsia="宋体" w:cs="宋体"/>
                <w:szCs w:val="21"/>
                <w:highlight w:val="none"/>
              </w:rPr>
              <w:t>2023 年 1 月 1 日至今（以合同签订时间为准）至少具</w:t>
            </w:r>
            <w:r>
              <w:rPr>
                <w:rFonts w:hint="default" w:ascii="宋体" w:hAnsi="宋体" w:cs="宋体"/>
                <w:szCs w:val="21"/>
                <w:highlight w:val="none"/>
                <w:u w:val="single"/>
              </w:rPr>
              <w:t xml:space="preserve"> 1项装机容量50MW及以上规模风电项目监理</w:t>
            </w:r>
            <w:r>
              <w:rPr>
                <w:rFonts w:hint="eastAsia" w:ascii="宋体" w:hAnsi="宋体" w:cs="宋体"/>
                <w:szCs w:val="21"/>
                <w:highlight w:val="none"/>
                <w:lang w:val="en-US" w:eastAsia="zh-CN"/>
              </w:rPr>
              <w:t>相关</w:t>
            </w:r>
            <w:r>
              <w:rPr>
                <w:rFonts w:hint="eastAsia" w:ascii="宋体" w:hAnsi="宋体" w:eastAsia="宋体" w:cs="宋体"/>
                <w:szCs w:val="21"/>
                <w:highlight w:val="none"/>
              </w:rPr>
              <w:t>业绩（</w:t>
            </w:r>
            <w:r>
              <w:rPr>
                <w:rFonts w:hint="eastAsia" w:ascii="宋体" w:hAnsi="宋体" w:eastAsia="宋体" w:cs="宋体"/>
                <w:szCs w:val="21"/>
                <w:highlight w:val="none"/>
                <w:lang w:val="en-US" w:eastAsia="zh-CN"/>
              </w:rPr>
              <w:t>合同扫描件须至少包含：合同买卖双方盖章页、合同签订时间和业绩要求中的关键信息页，如提供的业绩证明材料不能清晰分辨上述业绩要求内容，按无效业绩处理</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的</w:t>
            </w:r>
            <w:r>
              <w:rPr>
                <w:rFonts w:hint="eastAsia" w:ascii="宋体" w:hAnsi="宋体" w:cs="宋体"/>
                <w:szCs w:val="21"/>
                <w:highlight w:val="none"/>
                <w:lang w:val="en-US" w:eastAsia="zh-CN"/>
              </w:rPr>
              <w:t>基础上：</w:t>
            </w:r>
            <w:r>
              <w:rPr>
                <w:rFonts w:hint="eastAsia" w:ascii="宋体" w:hAnsi="宋体" w:eastAsia="宋体" w:cs="宋体"/>
                <w:szCs w:val="21"/>
                <w:highlight w:val="none"/>
              </w:rPr>
              <w:t>每增加一项</w:t>
            </w:r>
            <w:r>
              <w:rPr>
                <w:rFonts w:hint="eastAsia" w:ascii="宋体" w:hAnsi="宋体" w:cs="宋体"/>
                <w:szCs w:val="21"/>
                <w:highlight w:val="none"/>
                <w:lang w:val="en-US" w:eastAsia="zh-CN"/>
              </w:rPr>
              <w:t>相关</w:t>
            </w:r>
            <w:r>
              <w:rPr>
                <w:rFonts w:hint="eastAsia" w:ascii="宋体" w:hAnsi="宋体" w:eastAsia="宋体" w:cs="宋体"/>
                <w:szCs w:val="21"/>
                <w:highlight w:val="none"/>
              </w:rPr>
              <w:t>业绩加</w:t>
            </w:r>
            <w:r>
              <w:rPr>
                <w:rFonts w:hint="eastAsia" w:ascii="宋体" w:hAnsi="宋体" w:cs="宋体"/>
                <w:szCs w:val="21"/>
                <w:highlight w:val="none"/>
                <w:lang w:val="en-US" w:eastAsia="zh-CN"/>
              </w:rPr>
              <w:t>10</w:t>
            </w:r>
            <w:r>
              <w:rPr>
                <w:rFonts w:hint="eastAsia" w:ascii="宋体" w:hAnsi="宋体" w:eastAsia="宋体" w:cs="宋体"/>
                <w:szCs w:val="21"/>
                <w:highlight w:val="none"/>
              </w:rPr>
              <w:t>分，最高加至</w:t>
            </w:r>
            <w:r>
              <w:rPr>
                <w:rFonts w:hint="eastAsia" w:ascii="宋体" w:hAnsi="宋体" w:cs="宋体"/>
                <w:szCs w:val="21"/>
                <w:highlight w:val="none"/>
                <w:lang w:val="en-US" w:eastAsia="zh-CN"/>
              </w:rPr>
              <w:t>3</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8B99ED1">
            <w:pPr>
              <w:pStyle w:val="237"/>
              <w:jc w:val="center"/>
              <w:outlineLvl w:val="9"/>
              <w:rPr>
                <w:rFonts w:hint="eastAsia" w:ascii="宋体" w:hAnsi="宋体" w:eastAsia="宋体" w:cs="宋体"/>
                <w:szCs w:val="21"/>
                <w:highlight w:val="none"/>
              </w:rPr>
            </w:pPr>
          </w:p>
        </w:tc>
      </w:tr>
      <w:tr w14:paraId="2586FF17">
        <w:trPr>
          <w:trHeight w:val="64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DAEF4B6">
            <w:pPr>
              <w:pStyle w:val="237"/>
              <w:jc w:val="center"/>
              <w:outlineLvl w:val="9"/>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E0A4831">
            <w:pPr>
              <w:pStyle w:val="237"/>
              <w:jc w:val="center"/>
              <w:outlineLvl w:val="9"/>
              <w:rPr>
                <w:rFonts w:hint="default" w:ascii="宋体" w:hAnsi="宋体" w:eastAsia="宋体" w:cs="宋体"/>
                <w:szCs w:val="21"/>
                <w:highlight w:val="none"/>
                <w:lang w:val="en-US" w:eastAsia="zh-CN"/>
              </w:rPr>
            </w:pPr>
            <w:r>
              <w:rPr>
                <w:rFonts w:hint="eastAsia" w:ascii="宋体" w:hAnsi="宋体" w:cs="宋体"/>
                <w:szCs w:val="21"/>
                <w:highlight w:val="none"/>
              </w:rPr>
              <w:t>人员配备情况</w:t>
            </w: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7B85ACD">
            <w:pPr>
              <w:pStyle w:val="237"/>
              <w:jc w:val="center"/>
              <w:outlineLvl w:val="9"/>
              <w:rPr>
                <w:rFonts w:hint="default" w:ascii="宋体" w:hAnsi="宋体" w:cs="宋体"/>
                <w:szCs w:val="21"/>
                <w:highlight w:val="none"/>
                <w:lang w:val="en-US" w:eastAsia="zh-CN"/>
              </w:rPr>
            </w:pPr>
            <w:r>
              <w:rPr>
                <w:rFonts w:hint="eastAsia" w:ascii="宋体" w:hAnsi="宋体" w:cs="宋体"/>
                <w:szCs w:val="21"/>
                <w:highlight w:val="none"/>
                <w:lang w:val="en-US" w:eastAsia="zh-CN"/>
              </w:rPr>
              <w:t>30</w:t>
            </w:r>
          </w:p>
        </w:tc>
        <w:tc>
          <w:tcPr>
            <w:tcW w:w="535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top"/>
          </w:tcPr>
          <w:p w14:paraId="330B8059">
            <w:pPr>
              <w:pStyle w:val="237"/>
              <w:jc w:val="left"/>
              <w:outlineLvl w:val="9"/>
              <w:rPr>
                <w:rFonts w:hint="eastAsia" w:ascii="宋体" w:hAnsi="宋体" w:cs="宋体"/>
                <w:szCs w:val="21"/>
                <w:highlight w:val="none"/>
              </w:rPr>
            </w:pPr>
            <w:r>
              <w:rPr>
                <w:rFonts w:hint="eastAsia" w:ascii="宋体" w:hAnsi="宋体" w:cs="宋体"/>
                <w:szCs w:val="21"/>
                <w:highlight w:val="none"/>
              </w:rPr>
              <w:t>（1）第一档次（</w:t>
            </w:r>
            <w:r>
              <w:rPr>
                <w:rFonts w:hint="eastAsia" w:ascii="宋体" w:hAnsi="宋体" w:cs="宋体"/>
                <w:szCs w:val="21"/>
                <w:highlight w:val="none"/>
                <w:lang w:eastAsia="zh-CN"/>
              </w:rPr>
              <w:t>2</w:t>
            </w:r>
            <w:r>
              <w:rPr>
                <w:rFonts w:hint="eastAsia" w:ascii="宋体" w:hAnsi="宋体" w:cs="宋体"/>
                <w:szCs w:val="21"/>
                <w:highlight w:val="none"/>
                <w:lang w:val="en-US" w:eastAsia="zh-CN"/>
              </w:rPr>
              <w:t>1</w:t>
            </w:r>
            <w:r>
              <w:rPr>
                <w:rFonts w:hint="eastAsia" w:ascii="宋体" w:hAnsi="宋体" w:cs="宋体"/>
                <w:szCs w:val="21"/>
                <w:highlight w:val="none"/>
              </w:rPr>
              <w:t>-</w:t>
            </w:r>
            <w:r>
              <w:rPr>
                <w:rFonts w:hint="eastAsia" w:ascii="宋体" w:hAnsi="宋体" w:cs="宋体"/>
                <w:szCs w:val="21"/>
                <w:highlight w:val="none"/>
                <w:lang w:eastAsia="zh-CN"/>
              </w:rPr>
              <w:t>3</w:t>
            </w:r>
            <w:r>
              <w:rPr>
                <w:rFonts w:hint="eastAsia" w:ascii="宋体" w:hAnsi="宋体" w:cs="宋体"/>
                <w:szCs w:val="21"/>
                <w:highlight w:val="none"/>
                <w:lang w:val="en-US" w:eastAsia="zh-CN"/>
              </w:rPr>
              <w:t>0</w:t>
            </w:r>
            <w:r>
              <w:rPr>
                <w:rFonts w:hint="eastAsia" w:ascii="宋体" w:hAnsi="宋体" w:cs="宋体"/>
                <w:szCs w:val="21"/>
                <w:highlight w:val="none"/>
              </w:rPr>
              <w:t>分）：</w:t>
            </w:r>
            <w:r>
              <w:rPr>
                <w:rFonts w:hint="eastAsia" w:ascii="宋体" w:hAnsi="宋体" w:cs="宋体"/>
                <w:szCs w:val="21"/>
                <w:highlight w:val="none"/>
                <w:lang w:eastAsia="zh-CN"/>
              </w:rPr>
              <w:t>供应商</w:t>
            </w:r>
            <w:r>
              <w:rPr>
                <w:rFonts w:hint="eastAsia" w:ascii="宋体" w:hAnsi="宋体" w:cs="宋体"/>
                <w:szCs w:val="21"/>
                <w:highlight w:val="none"/>
              </w:rPr>
              <w:t>拟派监理组织机构人员专业配置满足专业要求，</w:t>
            </w:r>
            <w:r>
              <w:rPr>
                <w:rFonts w:hint="eastAsia" w:ascii="宋体" w:hAnsi="宋体" w:cs="宋体"/>
                <w:szCs w:val="21"/>
                <w:highlight w:val="none"/>
                <w:lang w:val="en-US" w:eastAsia="zh-CN"/>
              </w:rPr>
              <w:t>年龄结构</w:t>
            </w:r>
            <w:r>
              <w:rPr>
                <w:rFonts w:hint="eastAsia" w:ascii="宋体" w:hAnsi="宋体" w:cs="宋体"/>
                <w:szCs w:val="21"/>
                <w:highlight w:val="none"/>
              </w:rPr>
              <w:t>合理，工作经验丰富，专业配置具有针对性，进场计划合理，在工地时间满足监理工作需要；</w:t>
            </w:r>
          </w:p>
          <w:p w14:paraId="086BA97F">
            <w:pPr>
              <w:pStyle w:val="237"/>
              <w:jc w:val="left"/>
              <w:outlineLvl w:val="9"/>
              <w:rPr>
                <w:rFonts w:hint="eastAsia" w:ascii="宋体" w:hAnsi="宋体" w:cs="宋体"/>
                <w:szCs w:val="21"/>
                <w:highlight w:val="none"/>
              </w:rPr>
            </w:pPr>
            <w:r>
              <w:rPr>
                <w:rFonts w:hint="eastAsia" w:ascii="宋体" w:hAnsi="宋体" w:cs="宋体"/>
                <w:szCs w:val="21"/>
                <w:highlight w:val="none"/>
              </w:rPr>
              <w:t>（2）第二档次（</w:t>
            </w:r>
            <w:r>
              <w:rPr>
                <w:rFonts w:hint="eastAsia" w:ascii="宋体" w:hAnsi="宋体" w:cs="宋体"/>
                <w:szCs w:val="21"/>
                <w:highlight w:val="none"/>
                <w:lang w:eastAsia="zh-CN"/>
              </w:rPr>
              <w:t>1</w:t>
            </w:r>
            <w:r>
              <w:rPr>
                <w:rFonts w:hint="eastAsia" w:ascii="宋体" w:hAnsi="宋体" w:cs="宋体"/>
                <w:szCs w:val="21"/>
                <w:highlight w:val="none"/>
                <w:lang w:val="en-US" w:eastAsia="zh-CN"/>
              </w:rPr>
              <w:t>1</w:t>
            </w:r>
            <w:r>
              <w:rPr>
                <w:rFonts w:hint="eastAsia" w:ascii="宋体" w:hAnsi="宋体" w:cs="宋体"/>
                <w:szCs w:val="21"/>
                <w:highlight w:val="none"/>
              </w:rPr>
              <w:t>-2</w:t>
            </w:r>
            <w:r>
              <w:rPr>
                <w:rFonts w:hint="eastAsia" w:ascii="宋体" w:hAnsi="宋体" w:cs="宋体"/>
                <w:szCs w:val="21"/>
                <w:highlight w:val="none"/>
                <w:lang w:val="en-US" w:eastAsia="zh-CN"/>
              </w:rPr>
              <w:t>0</w:t>
            </w:r>
            <w:r>
              <w:rPr>
                <w:rFonts w:hint="eastAsia" w:ascii="宋体" w:hAnsi="宋体" w:cs="宋体"/>
                <w:szCs w:val="21"/>
                <w:highlight w:val="none"/>
              </w:rPr>
              <w:t>分）：</w:t>
            </w:r>
            <w:r>
              <w:rPr>
                <w:rFonts w:hint="eastAsia" w:ascii="宋体" w:hAnsi="宋体" w:cs="宋体"/>
                <w:szCs w:val="21"/>
                <w:highlight w:val="none"/>
                <w:lang w:eastAsia="zh-CN"/>
              </w:rPr>
              <w:t>供应商</w:t>
            </w:r>
            <w:r>
              <w:rPr>
                <w:rFonts w:hint="eastAsia" w:ascii="宋体" w:hAnsi="宋体" w:cs="宋体"/>
                <w:szCs w:val="21"/>
                <w:highlight w:val="none"/>
              </w:rPr>
              <w:t>拟派监理组织机构人员专业配置基本满足专业要求，</w:t>
            </w:r>
            <w:r>
              <w:rPr>
                <w:rFonts w:hint="eastAsia" w:ascii="宋体" w:hAnsi="宋体" w:cs="宋体"/>
                <w:szCs w:val="21"/>
                <w:highlight w:val="none"/>
                <w:lang w:val="en-US" w:eastAsia="zh-CN"/>
              </w:rPr>
              <w:t>年龄结构</w:t>
            </w:r>
            <w:r>
              <w:rPr>
                <w:rFonts w:hint="eastAsia" w:ascii="宋体" w:hAnsi="宋体" w:cs="宋体"/>
                <w:szCs w:val="21"/>
                <w:highlight w:val="none"/>
              </w:rPr>
              <w:t>基本合理，工作经验一般，专业配置针对性一般，进场计划一般，在工地时间基本满足监理工作需要；</w:t>
            </w:r>
          </w:p>
          <w:p w14:paraId="3D52D392">
            <w:pPr>
              <w:pStyle w:val="237"/>
              <w:jc w:val="left"/>
              <w:outlineLvl w:val="9"/>
              <w:rPr>
                <w:rFonts w:hint="eastAsia" w:ascii="宋体" w:hAnsi="宋体" w:cs="宋体"/>
                <w:szCs w:val="21"/>
                <w:highlight w:val="none"/>
              </w:rPr>
            </w:pPr>
            <w:r>
              <w:rPr>
                <w:rFonts w:hint="eastAsia" w:ascii="宋体" w:hAnsi="宋体" w:cs="宋体"/>
                <w:szCs w:val="21"/>
                <w:highlight w:val="none"/>
              </w:rPr>
              <w:t>（3）第三档次（</w:t>
            </w:r>
            <w:r>
              <w:rPr>
                <w:rFonts w:hint="eastAsia" w:ascii="宋体" w:hAnsi="宋体" w:cs="宋体"/>
                <w:szCs w:val="21"/>
                <w:highlight w:val="none"/>
                <w:lang w:eastAsia="zh-CN"/>
              </w:rPr>
              <w:t>1</w:t>
            </w:r>
            <w:r>
              <w:rPr>
                <w:rFonts w:hint="eastAsia" w:ascii="宋体" w:hAnsi="宋体" w:cs="宋体"/>
                <w:szCs w:val="21"/>
                <w:highlight w:val="none"/>
                <w:lang w:val="en-US" w:eastAsia="zh-CN"/>
              </w:rPr>
              <w:t>-10</w:t>
            </w:r>
            <w:r>
              <w:rPr>
                <w:rFonts w:hint="eastAsia" w:ascii="宋体" w:hAnsi="宋体" w:cs="宋体"/>
                <w:szCs w:val="21"/>
                <w:highlight w:val="none"/>
              </w:rPr>
              <w:t>分）：</w:t>
            </w:r>
            <w:r>
              <w:rPr>
                <w:rFonts w:hint="eastAsia" w:ascii="宋体" w:hAnsi="宋体" w:cs="宋体"/>
                <w:szCs w:val="21"/>
                <w:highlight w:val="none"/>
                <w:lang w:eastAsia="zh-CN"/>
              </w:rPr>
              <w:t>供应商</w:t>
            </w:r>
            <w:r>
              <w:rPr>
                <w:rFonts w:hint="eastAsia" w:ascii="宋体" w:hAnsi="宋体" w:cs="宋体"/>
                <w:szCs w:val="21"/>
                <w:highlight w:val="none"/>
              </w:rPr>
              <w:t>拟派监理组织机构人员专业配置不满足专业要求，</w:t>
            </w:r>
            <w:r>
              <w:rPr>
                <w:rFonts w:hint="eastAsia" w:ascii="宋体" w:hAnsi="宋体" w:cs="宋体"/>
                <w:szCs w:val="21"/>
                <w:highlight w:val="none"/>
                <w:lang w:val="en-US" w:eastAsia="zh-CN"/>
              </w:rPr>
              <w:t>年龄结构不合理，</w:t>
            </w:r>
            <w:r>
              <w:rPr>
                <w:rFonts w:hint="eastAsia" w:ascii="宋体" w:hAnsi="宋体" w:cs="宋体"/>
                <w:szCs w:val="21"/>
                <w:highlight w:val="none"/>
              </w:rPr>
              <w:t>无工作经验，专业配置无针对性，进场计划差，在工地时间不能满足监理工作需要。</w:t>
            </w:r>
          </w:p>
          <w:p w14:paraId="7903D86E">
            <w:pPr>
              <w:pStyle w:val="237"/>
              <w:jc w:val="left"/>
              <w:outlineLvl w:val="9"/>
              <w:rPr>
                <w:rFonts w:hint="eastAsia" w:ascii="宋体" w:hAnsi="宋体" w:eastAsia="宋体" w:cs="宋体"/>
                <w:szCs w:val="21"/>
                <w:highlight w:val="none"/>
                <w:lang w:val="en-US" w:eastAsia="zh-CN"/>
              </w:rPr>
            </w:pPr>
            <w:r>
              <w:rPr>
                <w:rFonts w:hint="eastAsia" w:ascii="宋体" w:hAnsi="宋体" w:cs="宋体"/>
                <w:szCs w:val="21"/>
                <w:highlight w:val="none"/>
              </w:rPr>
              <w:t>注：拟派监理组织机构人员须为本投标单位人员，</w:t>
            </w:r>
            <w:r>
              <w:rPr>
                <w:rFonts w:hint="eastAsia" w:ascii="宋体" w:hAnsi="宋体" w:cs="宋体"/>
                <w:szCs w:val="21"/>
                <w:highlight w:val="none"/>
                <w:lang w:val="en-US" w:eastAsia="zh-CN"/>
              </w:rPr>
              <w:t>需</w:t>
            </w:r>
            <w:r>
              <w:rPr>
                <w:rFonts w:hint="eastAsia" w:ascii="宋体" w:hAnsi="宋体" w:cs="宋体"/>
                <w:szCs w:val="21"/>
                <w:highlight w:val="none"/>
              </w:rPr>
              <w:t>提供劳动合同</w:t>
            </w:r>
            <w:r>
              <w:rPr>
                <w:rFonts w:hint="eastAsia" w:ascii="宋体" w:hAnsi="宋体" w:cs="宋体"/>
                <w:szCs w:val="21"/>
                <w:highlight w:val="none"/>
                <w:lang w:val="en-US" w:eastAsia="zh-CN"/>
              </w:rPr>
              <w:t>或</w:t>
            </w:r>
            <w:r>
              <w:rPr>
                <w:rFonts w:hint="eastAsia" w:ascii="宋体" w:hAnsi="宋体" w:cs="宋体"/>
                <w:szCs w:val="21"/>
                <w:highlight w:val="none"/>
              </w:rPr>
              <w:t>近</w:t>
            </w:r>
            <w:r>
              <w:rPr>
                <w:rFonts w:hint="eastAsia" w:ascii="宋体" w:hAnsi="宋体" w:cs="宋体"/>
                <w:szCs w:val="21"/>
                <w:highlight w:val="none"/>
                <w:lang w:eastAsia="zh-CN"/>
              </w:rPr>
              <w:t>6</w:t>
            </w:r>
            <w:r>
              <w:rPr>
                <w:rFonts w:hint="eastAsia" w:ascii="宋体" w:hAnsi="宋体" w:cs="宋体"/>
                <w:szCs w:val="21"/>
                <w:highlight w:val="none"/>
              </w:rPr>
              <w:t>个月的社保缴费证明材料。</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C8AB2BC">
            <w:pPr>
              <w:pStyle w:val="237"/>
              <w:jc w:val="center"/>
              <w:outlineLvl w:val="9"/>
              <w:rPr>
                <w:rFonts w:hint="eastAsia" w:ascii="宋体" w:hAnsi="宋体" w:eastAsia="宋体" w:cs="宋体"/>
                <w:szCs w:val="21"/>
                <w:highlight w:val="none"/>
              </w:rPr>
            </w:pPr>
          </w:p>
        </w:tc>
      </w:tr>
      <w:tr w14:paraId="1775673B">
        <w:tblPrEx>
          <w:shd w:val="clear" w:color="auto" w:fill="auto"/>
        </w:tblPrEx>
        <w:trPr>
          <w:trHeight w:val="1360" w:hRule="atLeast"/>
          <w:jc w:val="center"/>
        </w:trPr>
        <w:tc>
          <w:tcPr>
            <w:tcW w:w="2297"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DFCCF57">
            <w:pPr>
              <w:pStyle w:val="237"/>
              <w:jc w:val="center"/>
              <w:outlineLvl w:val="9"/>
              <w:rPr>
                <w:rFonts w:hint="eastAsia" w:ascii="宋体" w:hAnsi="宋体" w:eastAsia="宋体" w:cs="宋体"/>
                <w:szCs w:val="21"/>
                <w:highlight w:val="none"/>
              </w:rPr>
            </w:pPr>
            <w:r>
              <w:rPr>
                <w:rFonts w:hint="eastAsia" w:ascii="宋体" w:hAnsi="宋体" w:eastAsia="宋体" w:cs="宋体"/>
                <w:szCs w:val="21"/>
                <w:highlight w:val="none"/>
              </w:rPr>
              <w:t>总计</w:t>
            </w:r>
          </w:p>
        </w:tc>
        <w:tc>
          <w:tcPr>
            <w:tcW w:w="816"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0814DE38">
            <w:pPr>
              <w:pStyle w:val="237"/>
              <w:jc w:val="center"/>
              <w:outlineLvl w:val="9"/>
              <w:rPr>
                <w:rFonts w:hint="eastAsia" w:ascii="宋体" w:hAnsi="宋体" w:eastAsia="宋体" w:cs="宋体"/>
                <w:szCs w:val="21"/>
                <w:highlight w:val="none"/>
              </w:rPr>
            </w:pPr>
            <w:r>
              <w:rPr>
                <w:rFonts w:hint="eastAsia" w:ascii="宋体" w:hAnsi="宋体" w:eastAsia="宋体" w:cs="宋体"/>
                <w:szCs w:val="21"/>
                <w:highlight w:val="none"/>
              </w:rPr>
              <w:t>100</w:t>
            </w:r>
          </w:p>
        </w:tc>
        <w:tc>
          <w:tcPr>
            <w:tcW w:w="5352"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12B49F4">
            <w:pPr>
              <w:pStyle w:val="237"/>
              <w:jc w:val="center"/>
              <w:outlineLvl w:val="9"/>
              <w:rPr>
                <w:rFonts w:hint="eastAsia" w:ascii="宋体" w:hAnsi="宋体" w:eastAsia="宋体" w:cs="宋体"/>
                <w:szCs w:val="21"/>
                <w:highlight w:val="none"/>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2399E09C">
            <w:pPr>
              <w:pStyle w:val="237"/>
              <w:jc w:val="center"/>
              <w:outlineLvl w:val="9"/>
              <w:rPr>
                <w:rFonts w:hint="eastAsia" w:ascii="宋体" w:hAnsi="宋体" w:eastAsia="宋体" w:cs="宋体"/>
                <w:szCs w:val="21"/>
                <w:highlight w:val="none"/>
              </w:rPr>
            </w:pPr>
          </w:p>
        </w:tc>
      </w:tr>
    </w:tbl>
    <w:p w14:paraId="5C292ADE">
      <w:pPr>
        <w:pStyle w:val="2"/>
        <w:outlineLvl w:val="9"/>
        <w:rPr>
          <w:rFonts w:hAnsi="宋体" w:eastAsia="宋体" w:cs="宋体"/>
          <w:b/>
          <w:bCs/>
          <w:sz w:val="32"/>
          <w:szCs w:val="32"/>
          <w:highlight w:val="none"/>
        </w:rPr>
      </w:pPr>
      <w:r>
        <w:rPr>
          <w:rFonts w:hint="eastAsia" w:hAnsi="宋体" w:eastAsia="宋体" w:cs="宋体"/>
          <w:szCs w:val="20"/>
          <w:highlight w:val="none"/>
        </w:rPr>
        <w:br w:type="page"/>
      </w:r>
    </w:p>
    <w:p w14:paraId="0393FA94">
      <w:pPr>
        <w:spacing w:line="360" w:lineRule="auto"/>
        <w:jc w:val="center"/>
        <w:outlineLvl w:val="9"/>
        <w:rPr>
          <w:rFonts w:hint="eastAsia" w:ascii="宋体" w:hAnsi="宋体" w:eastAsia="宋体" w:cs="宋体"/>
          <w:b/>
          <w:sz w:val="24"/>
          <w:highlight w:val="none"/>
        </w:rPr>
      </w:pPr>
      <w:r>
        <w:rPr>
          <w:rFonts w:hint="eastAsia" w:ascii="宋体" w:hAnsi="宋体" w:eastAsia="宋体" w:cs="宋体"/>
          <w:b/>
          <w:sz w:val="24"/>
          <w:highlight w:val="none"/>
        </w:rPr>
        <w:t>附表2：技术部分评审表（满分：100分，权重 40 %）</w:t>
      </w:r>
    </w:p>
    <w:tbl>
      <w:tblPr>
        <w:tblStyle w:val="49"/>
        <w:tblW w:w="9090" w:type="dxa"/>
        <w:jc w:val="center"/>
        <w:tblLayout w:type="fixed"/>
        <w:tblCellMar>
          <w:top w:w="0" w:type="dxa"/>
          <w:left w:w="10" w:type="dxa"/>
          <w:bottom w:w="0" w:type="dxa"/>
          <w:right w:w="10" w:type="dxa"/>
        </w:tblCellMar>
      </w:tblPr>
      <w:tblGrid>
        <w:gridCol w:w="642"/>
        <w:gridCol w:w="2018"/>
        <w:gridCol w:w="802"/>
        <w:gridCol w:w="4814"/>
        <w:gridCol w:w="814"/>
      </w:tblGrid>
      <w:tr w14:paraId="6067F385">
        <w:trPr>
          <w:trHeight w:val="919"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0087530">
            <w:pPr>
              <w:pStyle w:val="237"/>
              <w:jc w:val="center"/>
              <w:outlineLvl w:val="9"/>
              <w:rPr>
                <w:rFonts w:ascii="宋体" w:hAnsi="宋体" w:cs="宋体"/>
                <w:b/>
                <w:bCs/>
                <w:szCs w:val="21"/>
                <w:highlight w:val="none"/>
              </w:rPr>
            </w:pPr>
            <w:r>
              <w:rPr>
                <w:rFonts w:hint="eastAsia" w:ascii="宋体" w:hAnsi="宋体" w:cs="宋体"/>
                <w:b/>
                <w:bCs/>
                <w:szCs w:val="21"/>
                <w:highlight w:val="none"/>
              </w:rPr>
              <w:t>序号</w:t>
            </w:r>
          </w:p>
        </w:tc>
        <w:tc>
          <w:tcPr>
            <w:tcW w:w="201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0054667">
            <w:pPr>
              <w:pStyle w:val="237"/>
              <w:jc w:val="center"/>
              <w:outlineLvl w:val="9"/>
              <w:rPr>
                <w:rFonts w:ascii="宋体" w:hAnsi="宋体" w:cs="宋体"/>
                <w:b/>
                <w:bCs/>
                <w:szCs w:val="21"/>
                <w:highlight w:val="none"/>
              </w:rPr>
            </w:pPr>
            <w:r>
              <w:rPr>
                <w:rFonts w:hint="eastAsia" w:ascii="宋体" w:hAnsi="宋体" w:cs="宋体"/>
                <w:b/>
                <w:bCs/>
                <w:szCs w:val="21"/>
                <w:highlight w:val="none"/>
              </w:rPr>
              <w:t>评价因素</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99D5B7C">
            <w:pPr>
              <w:pStyle w:val="237"/>
              <w:jc w:val="center"/>
              <w:outlineLvl w:val="9"/>
              <w:rPr>
                <w:rFonts w:ascii="宋体" w:hAnsi="宋体" w:cs="宋体"/>
                <w:b/>
                <w:bCs/>
                <w:szCs w:val="21"/>
                <w:highlight w:val="none"/>
              </w:rPr>
            </w:pPr>
            <w:r>
              <w:rPr>
                <w:rFonts w:hint="eastAsia" w:ascii="宋体" w:hAnsi="宋体" w:cs="宋体"/>
                <w:b/>
                <w:bCs/>
                <w:szCs w:val="21"/>
                <w:highlight w:val="none"/>
              </w:rPr>
              <w:t>分值</w:t>
            </w:r>
          </w:p>
        </w:tc>
        <w:tc>
          <w:tcPr>
            <w:tcW w:w="4814"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3958939A">
            <w:pPr>
              <w:pStyle w:val="237"/>
              <w:jc w:val="center"/>
              <w:outlineLvl w:val="9"/>
              <w:rPr>
                <w:rFonts w:ascii="宋体" w:hAnsi="宋体" w:cs="宋体"/>
                <w:b/>
                <w:bCs/>
                <w:szCs w:val="21"/>
                <w:highlight w:val="none"/>
              </w:rPr>
            </w:pPr>
            <w:r>
              <w:rPr>
                <w:rFonts w:hint="eastAsia" w:ascii="宋体" w:hAnsi="宋体" w:cs="宋体"/>
                <w:b/>
                <w:bCs/>
                <w:szCs w:val="21"/>
                <w:highlight w:val="none"/>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DBE50DF">
            <w:pPr>
              <w:pStyle w:val="237"/>
              <w:jc w:val="center"/>
              <w:outlineLvl w:val="9"/>
              <w:rPr>
                <w:rFonts w:ascii="宋体" w:hAnsi="宋体" w:cs="宋体"/>
                <w:b/>
                <w:bCs/>
                <w:szCs w:val="21"/>
                <w:highlight w:val="none"/>
              </w:rPr>
            </w:pPr>
            <w:r>
              <w:rPr>
                <w:rFonts w:hint="eastAsia" w:ascii="宋体" w:hAnsi="宋体" w:cs="宋体"/>
                <w:b/>
                <w:bCs/>
                <w:szCs w:val="21"/>
                <w:highlight w:val="none"/>
              </w:rPr>
              <w:t>得分</w:t>
            </w:r>
          </w:p>
        </w:tc>
      </w:tr>
      <w:tr w14:paraId="3FA10AB4">
        <w:trPr>
          <w:trHeight w:val="90"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BAA2E79">
            <w:pPr>
              <w:pStyle w:val="237"/>
              <w:jc w:val="center"/>
              <w:outlineLvl w:val="9"/>
              <w:rPr>
                <w:rFonts w:ascii="宋体" w:hAnsi="宋体" w:cs="宋体"/>
                <w:szCs w:val="21"/>
                <w:highlight w:val="none"/>
              </w:rPr>
            </w:pPr>
            <w:r>
              <w:rPr>
                <w:rFonts w:hint="eastAsia" w:ascii="宋体" w:hAnsi="宋体" w:cs="宋体"/>
                <w:szCs w:val="21"/>
                <w:highlight w:val="none"/>
              </w:rPr>
              <w:t>1</w:t>
            </w:r>
          </w:p>
        </w:tc>
        <w:tc>
          <w:tcPr>
            <w:tcW w:w="201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749DB85">
            <w:pPr>
              <w:pStyle w:val="237"/>
              <w:jc w:val="center"/>
              <w:outlineLvl w:val="9"/>
              <w:rPr>
                <w:rFonts w:ascii="宋体" w:hAnsi="宋体" w:cs="宋体"/>
                <w:szCs w:val="21"/>
                <w:highlight w:val="none"/>
              </w:rPr>
            </w:pPr>
            <w:r>
              <w:rPr>
                <w:rFonts w:hint="eastAsia" w:ascii="宋体" w:hAnsi="宋体" w:cs="宋体"/>
                <w:szCs w:val="21"/>
                <w:highlight w:val="none"/>
              </w:rPr>
              <w:t>现场监理办公、检测、</w:t>
            </w:r>
            <w:r>
              <w:rPr>
                <w:rFonts w:hint="eastAsia" w:ascii="宋体" w:hAnsi="宋体" w:cs="宋体"/>
                <w:szCs w:val="21"/>
                <w:highlight w:val="none"/>
                <w:lang w:val="en-US" w:eastAsia="zh-CN"/>
              </w:rPr>
              <w:t>试</w:t>
            </w:r>
            <w:r>
              <w:rPr>
                <w:rFonts w:hint="eastAsia" w:ascii="宋体" w:hAnsi="宋体" w:cs="宋体"/>
                <w:szCs w:val="21"/>
                <w:highlight w:val="none"/>
              </w:rPr>
              <w:t>验、测量设备</w:t>
            </w:r>
            <w:r>
              <w:rPr>
                <w:rFonts w:hint="eastAsia" w:ascii="宋体" w:hAnsi="宋体" w:cs="宋体"/>
                <w:szCs w:val="21"/>
                <w:highlight w:val="none"/>
                <w:lang w:val="en-US" w:eastAsia="zh-CN"/>
              </w:rPr>
              <w:t>配置</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06D4D7B">
            <w:pPr>
              <w:pStyle w:val="237"/>
              <w:jc w:val="center"/>
              <w:outlineLvl w:val="9"/>
              <w:rPr>
                <w:rFonts w:ascii="宋体" w:hAnsi="宋体" w:cs="宋体"/>
                <w:szCs w:val="21"/>
                <w:highlight w:val="none"/>
              </w:rPr>
            </w:pPr>
            <w:r>
              <w:rPr>
                <w:rFonts w:hint="eastAsia" w:ascii="宋体" w:hAnsi="宋体" w:cs="宋体"/>
                <w:szCs w:val="21"/>
                <w:highlight w:val="none"/>
                <w:lang w:val="en-US" w:eastAsia="zh-CN"/>
              </w:rPr>
              <w:t>25</w:t>
            </w:r>
          </w:p>
        </w:tc>
        <w:tc>
          <w:tcPr>
            <w:tcW w:w="481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tcPr>
          <w:p w14:paraId="11495551">
            <w:pPr>
              <w:pStyle w:val="237"/>
              <w:jc w:val="left"/>
              <w:outlineLvl w:val="9"/>
              <w:rPr>
                <w:rFonts w:hint="eastAsia" w:ascii="宋体" w:hAnsi="宋体" w:cs="宋体"/>
                <w:szCs w:val="21"/>
                <w:highlight w:val="none"/>
              </w:rPr>
            </w:pPr>
            <w:r>
              <w:rPr>
                <w:rFonts w:hint="eastAsia" w:ascii="宋体" w:hAnsi="宋体" w:cs="宋体"/>
                <w:szCs w:val="21"/>
                <w:highlight w:val="none"/>
              </w:rPr>
              <w:t>（1）第一档次（</w:t>
            </w:r>
            <w:r>
              <w:rPr>
                <w:rFonts w:hint="eastAsia" w:ascii="宋体" w:hAnsi="宋体" w:cs="宋体"/>
                <w:szCs w:val="21"/>
                <w:highlight w:val="none"/>
                <w:lang w:eastAsia="zh-CN"/>
              </w:rPr>
              <w:t>1</w:t>
            </w:r>
            <w:r>
              <w:rPr>
                <w:rFonts w:hint="eastAsia" w:ascii="宋体" w:hAnsi="宋体" w:cs="宋体"/>
                <w:szCs w:val="21"/>
                <w:highlight w:val="none"/>
                <w:lang w:val="en-US" w:eastAsia="zh-CN"/>
              </w:rPr>
              <w:t>8</w:t>
            </w:r>
            <w:r>
              <w:rPr>
                <w:rFonts w:hint="eastAsia" w:ascii="宋体" w:hAnsi="宋体" w:cs="宋体"/>
                <w:szCs w:val="21"/>
                <w:highlight w:val="none"/>
              </w:rPr>
              <w:t>-</w:t>
            </w:r>
            <w:r>
              <w:rPr>
                <w:rFonts w:hint="eastAsia" w:ascii="宋体" w:hAnsi="宋体" w:cs="宋体"/>
                <w:szCs w:val="21"/>
                <w:highlight w:val="none"/>
                <w:lang w:eastAsia="zh-CN"/>
              </w:rPr>
              <w:t>2</w:t>
            </w:r>
            <w:r>
              <w:rPr>
                <w:rFonts w:hint="eastAsia" w:ascii="宋体" w:hAnsi="宋体" w:cs="宋体"/>
                <w:szCs w:val="21"/>
                <w:highlight w:val="none"/>
                <w:lang w:val="en-US" w:eastAsia="zh-CN"/>
              </w:rPr>
              <w:t>5</w:t>
            </w:r>
            <w:r>
              <w:rPr>
                <w:rFonts w:hint="eastAsia" w:ascii="宋体" w:hAnsi="宋体" w:cs="宋体"/>
                <w:szCs w:val="21"/>
                <w:highlight w:val="none"/>
              </w:rPr>
              <w:t>分）：</w:t>
            </w:r>
            <w:r>
              <w:rPr>
                <w:rFonts w:hint="eastAsia" w:ascii="宋体" w:hAnsi="宋体" w:cs="宋体"/>
                <w:szCs w:val="21"/>
                <w:highlight w:val="none"/>
                <w:lang w:eastAsia="zh-CN"/>
              </w:rPr>
              <w:t>供应商</w:t>
            </w:r>
            <w:r>
              <w:rPr>
                <w:rFonts w:hint="eastAsia" w:ascii="宋体" w:hAnsi="宋体" w:cs="宋体"/>
                <w:szCs w:val="21"/>
                <w:highlight w:val="none"/>
              </w:rPr>
              <w:t>现场拟投入监理办公、检测、</w:t>
            </w:r>
            <w:r>
              <w:rPr>
                <w:rFonts w:hint="eastAsia" w:ascii="宋体" w:hAnsi="宋体" w:cs="宋体"/>
                <w:szCs w:val="21"/>
                <w:highlight w:val="none"/>
                <w:lang w:val="en-US" w:eastAsia="zh-CN"/>
              </w:rPr>
              <w:t>试</w:t>
            </w:r>
            <w:r>
              <w:rPr>
                <w:rFonts w:hint="eastAsia" w:ascii="宋体" w:hAnsi="宋体" w:cs="宋体"/>
                <w:szCs w:val="21"/>
                <w:highlight w:val="none"/>
              </w:rPr>
              <w:t>验、测量等设备齐全，完全满足项目需要的；</w:t>
            </w:r>
          </w:p>
          <w:p w14:paraId="6BB62485">
            <w:pPr>
              <w:pStyle w:val="237"/>
              <w:jc w:val="left"/>
              <w:outlineLvl w:val="9"/>
              <w:rPr>
                <w:rFonts w:hint="eastAsia" w:ascii="宋体" w:hAnsi="宋体" w:cs="宋体"/>
                <w:szCs w:val="21"/>
                <w:highlight w:val="none"/>
              </w:rPr>
            </w:pPr>
            <w:r>
              <w:rPr>
                <w:rFonts w:hint="eastAsia" w:ascii="宋体" w:hAnsi="宋体" w:cs="宋体"/>
                <w:szCs w:val="21"/>
                <w:highlight w:val="none"/>
              </w:rPr>
              <w:t>（2）第二档次（</w:t>
            </w:r>
            <w:r>
              <w:rPr>
                <w:rFonts w:hint="eastAsia" w:ascii="宋体" w:hAnsi="宋体" w:cs="宋体"/>
                <w:szCs w:val="21"/>
                <w:highlight w:val="none"/>
                <w:lang w:eastAsia="zh-CN"/>
              </w:rPr>
              <w:t>9</w:t>
            </w:r>
            <w:r>
              <w:rPr>
                <w:rFonts w:hint="eastAsia" w:ascii="宋体" w:hAnsi="宋体" w:cs="宋体"/>
                <w:szCs w:val="21"/>
                <w:highlight w:val="none"/>
              </w:rPr>
              <w:t>-</w:t>
            </w:r>
            <w:r>
              <w:rPr>
                <w:rFonts w:hint="eastAsia" w:ascii="宋体" w:hAnsi="宋体" w:cs="宋体"/>
                <w:szCs w:val="21"/>
                <w:highlight w:val="none"/>
                <w:lang w:val="en-US" w:eastAsia="zh-CN"/>
              </w:rPr>
              <w:t>1</w:t>
            </w:r>
            <w:r>
              <w:rPr>
                <w:rFonts w:hint="eastAsia" w:ascii="宋体" w:hAnsi="宋体" w:cs="宋体"/>
                <w:szCs w:val="21"/>
                <w:highlight w:val="none"/>
                <w:lang w:eastAsia="zh-CN"/>
              </w:rPr>
              <w:t>7</w:t>
            </w:r>
            <w:r>
              <w:rPr>
                <w:rFonts w:hint="eastAsia" w:ascii="宋体" w:hAnsi="宋体" w:cs="宋体"/>
                <w:szCs w:val="21"/>
                <w:highlight w:val="none"/>
              </w:rPr>
              <w:t>分）：</w:t>
            </w:r>
            <w:r>
              <w:rPr>
                <w:rFonts w:hint="eastAsia" w:ascii="宋体" w:hAnsi="宋体" w:cs="宋体"/>
                <w:szCs w:val="21"/>
                <w:highlight w:val="none"/>
                <w:lang w:eastAsia="zh-CN"/>
              </w:rPr>
              <w:t>供应商</w:t>
            </w:r>
            <w:r>
              <w:rPr>
                <w:rFonts w:hint="eastAsia" w:ascii="宋体" w:hAnsi="宋体" w:cs="宋体"/>
                <w:szCs w:val="21"/>
                <w:highlight w:val="none"/>
              </w:rPr>
              <w:t>现场拟投入监理办公、检测、</w:t>
            </w:r>
            <w:r>
              <w:rPr>
                <w:rFonts w:hint="eastAsia" w:ascii="宋体" w:hAnsi="宋体" w:cs="宋体"/>
                <w:szCs w:val="21"/>
                <w:highlight w:val="none"/>
                <w:lang w:val="en-US" w:eastAsia="zh-CN"/>
              </w:rPr>
              <w:t>试</w:t>
            </w:r>
            <w:r>
              <w:rPr>
                <w:rFonts w:hint="eastAsia" w:ascii="宋体" w:hAnsi="宋体" w:cs="宋体"/>
                <w:szCs w:val="21"/>
                <w:highlight w:val="none"/>
              </w:rPr>
              <w:t>验、测量等设备一般，基本满足项目需要的；</w:t>
            </w:r>
          </w:p>
          <w:p w14:paraId="4C320F67">
            <w:pPr>
              <w:pStyle w:val="237"/>
              <w:jc w:val="left"/>
              <w:outlineLvl w:val="9"/>
              <w:rPr>
                <w:rFonts w:ascii="宋体" w:hAnsi="宋体" w:cs="宋体"/>
                <w:szCs w:val="21"/>
                <w:highlight w:val="none"/>
              </w:rPr>
            </w:pPr>
            <w:r>
              <w:rPr>
                <w:rFonts w:hint="eastAsia" w:ascii="宋体" w:hAnsi="宋体" w:cs="宋体"/>
                <w:szCs w:val="21"/>
                <w:highlight w:val="none"/>
              </w:rPr>
              <w:t>（3）第三档次（</w:t>
            </w:r>
            <w:r>
              <w:rPr>
                <w:rFonts w:hint="eastAsia" w:ascii="宋体" w:hAnsi="宋体" w:cs="宋体"/>
                <w:szCs w:val="21"/>
                <w:highlight w:val="none"/>
                <w:lang w:eastAsia="zh-CN"/>
              </w:rPr>
              <w:t>1</w:t>
            </w:r>
            <w:r>
              <w:rPr>
                <w:rFonts w:hint="eastAsia" w:ascii="宋体" w:hAnsi="宋体" w:cs="宋体"/>
                <w:szCs w:val="21"/>
                <w:highlight w:val="none"/>
              </w:rPr>
              <w:t>-</w:t>
            </w:r>
            <w:r>
              <w:rPr>
                <w:rFonts w:hint="eastAsia" w:ascii="宋体" w:hAnsi="宋体" w:cs="宋体"/>
                <w:szCs w:val="21"/>
                <w:highlight w:val="none"/>
                <w:lang w:eastAsia="zh-CN"/>
              </w:rPr>
              <w:t>8</w:t>
            </w:r>
            <w:r>
              <w:rPr>
                <w:rFonts w:hint="eastAsia" w:ascii="宋体" w:hAnsi="宋体" w:cs="宋体"/>
                <w:szCs w:val="21"/>
                <w:highlight w:val="none"/>
              </w:rPr>
              <w:t>分）：</w:t>
            </w:r>
            <w:r>
              <w:rPr>
                <w:rFonts w:hint="eastAsia" w:ascii="宋体" w:hAnsi="宋体" w:cs="宋体"/>
                <w:szCs w:val="21"/>
                <w:highlight w:val="none"/>
                <w:lang w:eastAsia="zh-CN"/>
              </w:rPr>
              <w:t>供应商</w:t>
            </w:r>
            <w:r>
              <w:rPr>
                <w:rFonts w:hint="eastAsia" w:ascii="宋体" w:hAnsi="宋体" w:cs="宋体"/>
                <w:szCs w:val="21"/>
                <w:highlight w:val="none"/>
              </w:rPr>
              <w:t>现场拟投入监理办公、检测、</w:t>
            </w:r>
            <w:r>
              <w:rPr>
                <w:rFonts w:hint="eastAsia" w:ascii="宋体" w:hAnsi="宋体" w:cs="宋体"/>
                <w:szCs w:val="21"/>
                <w:highlight w:val="none"/>
                <w:lang w:val="en-US" w:eastAsia="zh-CN"/>
              </w:rPr>
              <w:t>试</w:t>
            </w:r>
            <w:r>
              <w:rPr>
                <w:rFonts w:hint="eastAsia" w:ascii="宋体" w:hAnsi="宋体" w:cs="宋体"/>
                <w:szCs w:val="21"/>
                <w:highlight w:val="none"/>
              </w:rPr>
              <w:t>验、测量设等备情况差，基本不能满足项目需要的。</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A8AC45D">
            <w:pPr>
              <w:pStyle w:val="237"/>
              <w:jc w:val="center"/>
              <w:outlineLvl w:val="9"/>
              <w:rPr>
                <w:rFonts w:ascii="宋体" w:hAnsi="宋体" w:cs="宋体"/>
                <w:szCs w:val="21"/>
                <w:highlight w:val="none"/>
              </w:rPr>
            </w:pPr>
          </w:p>
        </w:tc>
      </w:tr>
      <w:tr w14:paraId="254CD355">
        <w:trPr>
          <w:trHeight w:val="865"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7B287C8">
            <w:pPr>
              <w:pStyle w:val="237"/>
              <w:jc w:val="center"/>
              <w:outlineLvl w:val="9"/>
              <w:rPr>
                <w:rFonts w:ascii="宋体" w:hAnsi="宋体" w:cs="宋体"/>
                <w:szCs w:val="21"/>
                <w:highlight w:val="none"/>
              </w:rPr>
            </w:pPr>
            <w:r>
              <w:rPr>
                <w:rFonts w:hint="eastAsia" w:ascii="宋体" w:hAnsi="宋体" w:cs="宋体"/>
                <w:szCs w:val="21"/>
                <w:highlight w:val="none"/>
              </w:rPr>
              <w:t>2</w:t>
            </w:r>
          </w:p>
        </w:tc>
        <w:tc>
          <w:tcPr>
            <w:tcW w:w="201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F65BB64">
            <w:pPr>
              <w:pStyle w:val="237"/>
              <w:jc w:val="center"/>
              <w:outlineLvl w:val="9"/>
              <w:rPr>
                <w:rFonts w:ascii="宋体" w:hAnsi="宋体" w:cs="宋体"/>
                <w:szCs w:val="21"/>
                <w:highlight w:val="none"/>
              </w:rPr>
            </w:pPr>
            <w:r>
              <w:rPr>
                <w:rFonts w:hint="eastAsia" w:ascii="宋体" w:hAnsi="宋体" w:cs="宋体"/>
                <w:szCs w:val="21"/>
                <w:highlight w:val="none"/>
              </w:rPr>
              <w:t>项目监理大纲</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FE38625">
            <w:pPr>
              <w:pStyle w:val="237"/>
              <w:jc w:val="center"/>
              <w:outlineLvl w:val="9"/>
              <w:rPr>
                <w:rFonts w:ascii="宋体" w:hAnsi="宋体" w:cs="宋体"/>
                <w:szCs w:val="21"/>
                <w:highlight w:val="none"/>
              </w:rPr>
            </w:pPr>
            <w:r>
              <w:rPr>
                <w:rFonts w:hint="eastAsia" w:ascii="宋体" w:hAnsi="宋体" w:cs="宋体"/>
                <w:szCs w:val="21"/>
                <w:highlight w:val="none"/>
                <w:lang w:val="en-US" w:eastAsia="zh-CN"/>
              </w:rPr>
              <w:t>25</w:t>
            </w:r>
          </w:p>
        </w:tc>
        <w:tc>
          <w:tcPr>
            <w:tcW w:w="481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tcPr>
          <w:p w14:paraId="1DE0500F">
            <w:pPr>
              <w:pStyle w:val="237"/>
              <w:jc w:val="left"/>
              <w:outlineLvl w:val="9"/>
              <w:rPr>
                <w:rFonts w:hint="eastAsia" w:ascii="宋体" w:hAnsi="宋体" w:cs="宋体"/>
                <w:szCs w:val="21"/>
                <w:highlight w:val="none"/>
              </w:rPr>
            </w:pPr>
            <w:r>
              <w:rPr>
                <w:rFonts w:hint="eastAsia" w:ascii="宋体" w:hAnsi="宋体" w:cs="宋体"/>
                <w:szCs w:val="21"/>
                <w:highlight w:val="none"/>
              </w:rPr>
              <w:t>（1）第一档次（</w:t>
            </w:r>
            <w:r>
              <w:rPr>
                <w:rFonts w:hint="eastAsia" w:ascii="宋体" w:hAnsi="宋体" w:cs="宋体"/>
                <w:szCs w:val="21"/>
                <w:highlight w:val="none"/>
                <w:lang w:val="en-US" w:eastAsia="zh-CN"/>
              </w:rPr>
              <w:t>1</w:t>
            </w:r>
            <w:r>
              <w:rPr>
                <w:rFonts w:hint="eastAsia" w:ascii="宋体" w:hAnsi="宋体" w:cs="宋体"/>
                <w:szCs w:val="21"/>
                <w:highlight w:val="none"/>
                <w:lang w:eastAsia="zh-CN"/>
              </w:rPr>
              <w:t>8</w:t>
            </w:r>
            <w:r>
              <w:rPr>
                <w:rFonts w:hint="eastAsia" w:ascii="宋体" w:hAnsi="宋体" w:cs="宋体"/>
                <w:szCs w:val="21"/>
                <w:highlight w:val="none"/>
              </w:rPr>
              <w:t>-</w:t>
            </w:r>
            <w:r>
              <w:rPr>
                <w:rFonts w:hint="eastAsia" w:ascii="宋体" w:hAnsi="宋体" w:cs="宋体"/>
                <w:szCs w:val="21"/>
                <w:highlight w:val="none"/>
                <w:lang w:eastAsia="zh-CN"/>
              </w:rPr>
              <w:t>2</w:t>
            </w:r>
            <w:r>
              <w:rPr>
                <w:rFonts w:hint="eastAsia" w:ascii="宋体" w:hAnsi="宋体" w:cs="宋体"/>
                <w:szCs w:val="21"/>
                <w:highlight w:val="none"/>
                <w:lang w:val="en-US" w:eastAsia="zh-CN"/>
              </w:rPr>
              <w:t>5</w:t>
            </w:r>
            <w:r>
              <w:rPr>
                <w:rFonts w:hint="eastAsia" w:ascii="宋体" w:hAnsi="宋体" w:cs="宋体"/>
                <w:szCs w:val="21"/>
                <w:highlight w:val="none"/>
              </w:rPr>
              <w:t>分）：</w:t>
            </w:r>
            <w:r>
              <w:rPr>
                <w:rFonts w:hint="eastAsia" w:ascii="宋体" w:hAnsi="宋体" w:cs="宋体"/>
                <w:szCs w:val="21"/>
                <w:highlight w:val="none"/>
                <w:lang w:eastAsia="zh-CN"/>
              </w:rPr>
              <w:t>供应商</w:t>
            </w:r>
            <w:r>
              <w:rPr>
                <w:rFonts w:hint="eastAsia" w:ascii="宋体" w:hAnsi="宋体" w:cs="宋体"/>
                <w:szCs w:val="21"/>
                <w:highlight w:val="none"/>
              </w:rPr>
              <w:t>根据本项目编制的监理大纲内容合理、齐全、详细，符合规范要求，具有针对性、可操作性；</w:t>
            </w:r>
          </w:p>
          <w:p w14:paraId="385232A4">
            <w:pPr>
              <w:pStyle w:val="237"/>
              <w:jc w:val="left"/>
              <w:outlineLvl w:val="9"/>
              <w:rPr>
                <w:rFonts w:hint="eastAsia" w:ascii="宋体" w:hAnsi="宋体" w:cs="宋体"/>
                <w:szCs w:val="21"/>
                <w:highlight w:val="none"/>
              </w:rPr>
            </w:pPr>
            <w:r>
              <w:rPr>
                <w:rFonts w:hint="eastAsia" w:ascii="宋体" w:hAnsi="宋体" w:cs="宋体"/>
                <w:szCs w:val="21"/>
                <w:highlight w:val="none"/>
              </w:rPr>
              <w:t>（2）第二档次（</w:t>
            </w:r>
            <w:r>
              <w:rPr>
                <w:rFonts w:hint="eastAsia" w:ascii="宋体" w:hAnsi="宋体" w:cs="宋体"/>
                <w:szCs w:val="21"/>
                <w:highlight w:val="none"/>
                <w:lang w:eastAsia="zh-CN"/>
              </w:rPr>
              <w:t>9</w:t>
            </w:r>
            <w:r>
              <w:rPr>
                <w:rFonts w:hint="eastAsia" w:ascii="宋体" w:hAnsi="宋体" w:cs="宋体"/>
                <w:szCs w:val="21"/>
                <w:highlight w:val="none"/>
              </w:rPr>
              <w:t>-</w:t>
            </w:r>
            <w:r>
              <w:rPr>
                <w:rFonts w:hint="eastAsia" w:ascii="宋体" w:hAnsi="宋体" w:cs="宋体"/>
                <w:szCs w:val="21"/>
                <w:highlight w:val="none"/>
                <w:lang w:val="en-US" w:eastAsia="zh-CN"/>
              </w:rPr>
              <w:t>1</w:t>
            </w:r>
            <w:r>
              <w:rPr>
                <w:rFonts w:hint="eastAsia" w:ascii="宋体" w:hAnsi="宋体" w:cs="宋体"/>
                <w:szCs w:val="21"/>
                <w:highlight w:val="none"/>
                <w:lang w:eastAsia="zh-CN"/>
              </w:rPr>
              <w:t>7</w:t>
            </w:r>
            <w:r>
              <w:rPr>
                <w:rFonts w:hint="eastAsia" w:ascii="宋体" w:hAnsi="宋体" w:cs="宋体"/>
                <w:szCs w:val="21"/>
                <w:highlight w:val="none"/>
              </w:rPr>
              <w:t>分）：</w:t>
            </w:r>
            <w:r>
              <w:rPr>
                <w:rFonts w:hint="eastAsia" w:ascii="宋体" w:hAnsi="宋体" w:cs="宋体"/>
                <w:szCs w:val="21"/>
                <w:highlight w:val="none"/>
                <w:lang w:eastAsia="zh-CN"/>
              </w:rPr>
              <w:t>供应商</w:t>
            </w:r>
            <w:r>
              <w:rPr>
                <w:rFonts w:hint="eastAsia" w:ascii="宋体" w:hAnsi="宋体" w:cs="宋体"/>
                <w:szCs w:val="21"/>
                <w:highlight w:val="none"/>
              </w:rPr>
              <w:t>根据本项目编制的监理大纲内容一般、基本齐全，具有一定的针对性和可操作性；</w:t>
            </w:r>
          </w:p>
          <w:p w14:paraId="15FD1FA2">
            <w:pPr>
              <w:pStyle w:val="237"/>
              <w:jc w:val="left"/>
              <w:outlineLvl w:val="9"/>
              <w:rPr>
                <w:rFonts w:ascii="宋体" w:hAnsi="宋体" w:cs="宋体"/>
                <w:szCs w:val="21"/>
                <w:highlight w:val="none"/>
              </w:rPr>
            </w:pPr>
            <w:r>
              <w:rPr>
                <w:rFonts w:hint="eastAsia" w:ascii="宋体" w:hAnsi="宋体" w:cs="宋体"/>
                <w:szCs w:val="21"/>
                <w:highlight w:val="none"/>
              </w:rPr>
              <w:t>（3）第三档次（</w:t>
            </w:r>
            <w:r>
              <w:rPr>
                <w:rFonts w:hint="eastAsia" w:ascii="宋体" w:hAnsi="宋体" w:cs="宋体"/>
                <w:szCs w:val="21"/>
                <w:highlight w:val="none"/>
                <w:lang w:eastAsia="zh-CN"/>
              </w:rPr>
              <w:t>1</w:t>
            </w:r>
            <w:r>
              <w:rPr>
                <w:rFonts w:hint="eastAsia" w:ascii="宋体" w:hAnsi="宋体" w:cs="宋体"/>
                <w:szCs w:val="21"/>
                <w:highlight w:val="none"/>
              </w:rPr>
              <w:t>-</w:t>
            </w:r>
            <w:r>
              <w:rPr>
                <w:rFonts w:hint="eastAsia" w:ascii="宋体" w:hAnsi="宋体" w:cs="宋体"/>
                <w:szCs w:val="21"/>
                <w:highlight w:val="none"/>
                <w:lang w:eastAsia="zh-CN"/>
              </w:rPr>
              <w:t>8</w:t>
            </w:r>
            <w:r>
              <w:rPr>
                <w:rFonts w:hint="eastAsia" w:ascii="宋体" w:hAnsi="宋体" w:cs="宋体"/>
                <w:szCs w:val="21"/>
                <w:highlight w:val="none"/>
              </w:rPr>
              <w:t>分）：</w:t>
            </w:r>
            <w:r>
              <w:rPr>
                <w:rFonts w:hint="eastAsia" w:ascii="宋体" w:hAnsi="宋体" w:cs="宋体"/>
                <w:szCs w:val="21"/>
                <w:highlight w:val="none"/>
                <w:lang w:eastAsia="zh-CN"/>
              </w:rPr>
              <w:t>供应商</w:t>
            </w:r>
            <w:r>
              <w:rPr>
                <w:rFonts w:hint="eastAsia" w:ascii="宋体" w:hAnsi="宋体" w:cs="宋体"/>
                <w:szCs w:val="21"/>
                <w:highlight w:val="none"/>
              </w:rPr>
              <w:t>编制的监理大纲内容差，内容不齐全，无针对性和可操作性。</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53C7C95">
            <w:pPr>
              <w:pStyle w:val="237"/>
              <w:jc w:val="center"/>
              <w:outlineLvl w:val="9"/>
              <w:rPr>
                <w:rFonts w:ascii="宋体" w:hAnsi="宋体" w:cs="宋体"/>
                <w:szCs w:val="21"/>
                <w:highlight w:val="none"/>
              </w:rPr>
            </w:pPr>
          </w:p>
        </w:tc>
      </w:tr>
      <w:tr w14:paraId="74346B66">
        <w:trPr>
          <w:trHeight w:val="865"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0D74FA2">
            <w:pPr>
              <w:pStyle w:val="237"/>
              <w:jc w:val="center"/>
              <w:outlineLvl w:val="9"/>
              <w:rPr>
                <w:rFonts w:ascii="宋体" w:hAnsi="宋体" w:cs="宋体"/>
                <w:szCs w:val="21"/>
                <w:highlight w:val="none"/>
              </w:rPr>
            </w:pPr>
            <w:r>
              <w:rPr>
                <w:rFonts w:hint="eastAsia" w:ascii="宋体" w:hAnsi="宋体" w:cs="宋体"/>
                <w:szCs w:val="21"/>
                <w:highlight w:val="none"/>
              </w:rPr>
              <w:t>3</w:t>
            </w:r>
          </w:p>
        </w:tc>
        <w:tc>
          <w:tcPr>
            <w:tcW w:w="201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44FF371">
            <w:pPr>
              <w:pStyle w:val="237"/>
              <w:jc w:val="center"/>
              <w:outlineLvl w:val="9"/>
              <w:rPr>
                <w:rFonts w:ascii="宋体" w:hAnsi="宋体" w:cs="宋体"/>
                <w:szCs w:val="21"/>
                <w:highlight w:val="none"/>
              </w:rPr>
            </w:pPr>
            <w:r>
              <w:rPr>
                <w:rFonts w:hint="eastAsia" w:ascii="宋体" w:hAnsi="宋体" w:cs="宋体"/>
                <w:szCs w:val="21"/>
                <w:highlight w:val="none"/>
              </w:rPr>
              <w:t>质量、进度、投资、安全目标及控制方案及措施</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22C03A9">
            <w:pPr>
              <w:pStyle w:val="237"/>
              <w:jc w:val="center"/>
              <w:outlineLvl w:val="9"/>
              <w:rPr>
                <w:rFonts w:ascii="宋体" w:hAnsi="宋体" w:cs="宋体"/>
                <w:szCs w:val="21"/>
                <w:highlight w:val="none"/>
              </w:rPr>
            </w:pPr>
            <w:r>
              <w:rPr>
                <w:rFonts w:hint="eastAsia" w:ascii="宋体" w:hAnsi="宋体" w:cs="宋体"/>
                <w:szCs w:val="21"/>
                <w:highlight w:val="none"/>
                <w:lang w:val="en-US" w:eastAsia="zh-CN"/>
              </w:rPr>
              <w:t>30</w:t>
            </w:r>
          </w:p>
        </w:tc>
        <w:tc>
          <w:tcPr>
            <w:tcW w:w="481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center"/>
          </w:tcPr>
          <w:p w14:paraId="61958C7E">
            <w:pPr>
              <w:pStyle w:val="237"/>
              <w:jc w:val="left"/>
              <w:outlineLvl w:val="9"/>
              <w:rPr>
                <w:rFonts w:hint="eastAsia" w:ascii="宋体" w:hAnsi="宋体" w:cs="宋体"/>
                <w:szCs w:val="21"/>
                <w:highlight w:val="none"/>
              </w:rPr>
            </w:pPr>
            <w:r>
              <w:rPr>
                <w:rFonts w:hint="eastAsia" w:ascii="宋体" w:hAnsi="宋体" w:cs="宋体"/>
                <w:szCs w:val="21"/>
                <w:highlight w:val="none"/>
              </w:rPr>
              <w:t>（1）第一档次（</w:t>
            </w:r>
            <w:r>
              <w:rPr>
                <w:rFonts w:hint="eastAsia" w:ascii="宋体" w:hAnsi="宋体" w:cs="宋体"/>
                <w:szCs w:val="21"/>
                <w:highlight w:val="none"/>
                <w:lang w:eastAsia="zh-CN"/>
              </w:rPr>
              <w:t>2</w:t>
            </w:r>
            <w:r>
              <w:rPr>
                <w:rFonts w:hint="eastAsia" w:ascii="宋体" w:hAnsi="宋体" w:cs="宋体"/>
                <w:szCs w:val="21"/>
                <w:highlight w:val="none"/>
                <w:lang w:val="en-US" w:eastAsia="zh-CN"/>
              </w:rPr>
              <w:t>1</w:t>
            </w:r>
            <w:r>
              <w:rPr>
                <w:rFonts w:hint="eastAsia" w:ascii="宋体" w:hAnsi="宋体" w:cs="宋体"/>
                <w:szCs w:val="21"/>
                <w:highlight w:val="none"/>
              </w:rPr>
              <w:t>-</w:t>
            </w:r>
            <w:r>
              <w:rPr>
                <w:rFonts w:hint="eastAsia" w:ascii="宋体" w:hAnsi="宋体" w:cs="宋体"/>
                <w:szCs w:val="21"/>
                <w:highlight w:val="none"/>
                <w:lang w:eastAsia="zh-CN"/>
              </w:rPr>
              <w:t>3</w:t>
            </w:r>
            <w:r>
              <w:rPr>
                <w:rFonts w:hint="eastAsia" w:ascii="宋体" w:hAnsi="宋体" w:cs="宋体"/>
                <w:szCs w:val="21"/>
                <w:highlight w:val="none"/>
                <w:lang w:val="en-US" w:eastAsia="zh-CN"/>
              </w:rPr>
              <w:t>0</w:t>
            </w:r>
            <w:r>
              <w:rPr>
                <w:rFonts w:hint="eastAsia" w:ascii="宋体" w:hAnsi="宋体" w:cs="宋体"/>
                <w:szCs w:val="21"/>
                <w:highlight w:val="none"/>
              </w:rPr>
              <w:t>分）：</w:t>
            </w:r>
            <w:r>
              <w:rPr>
                <w:rFonts w:hint="eastAsia" w:ascii="宋体" w:hAnsi="宋体" w:cs="宋体"/>
                <w:szCs w:val="21"/>
                <w:highlight w:val="none"/>
                <w:lang w:eastAsia="zh-CN"/>
              </w:rPr>
              <w:t>供应商</w:t>
            </w:r>
            <w:r>
              <w:rPr>
                <w:rFonts w:hint="eastAsia" w:ascii="宋体" w:hAnsi="宋体" w:cs="宋体"/>
                <w:szCs w:val="21"/>
                <w:highlight w:val="none"/>
              </w:rPr>
              <w:t>编制的质量、进度、投资、安全目标及控制方案完善、合理，内容齐全，有针对性、可行性，措施详细合理，可操作性强；</w:t>
            </w:r>
          </w:p>
          <w:p w14:paraId="012B236C">
            <w:pPr>
              <w:pStyle w:val="237"/>
              <w:jc w:val="left"/>
              <w:outlineLvl w:val="9"/>
              <w:rPr>
                <w:rFonts w:hint="eastAsia" w:ascii="宋体" w:hAnsi="宋体" w:cs="宋体"/>
                <w:szCs w:val="21"/>
                <w:highlight w:val="none"/>
              </w:rPr>
            </w:pPr>
            <w:r>
              <w:rPr>
                <w:rFonts w:hint="eastAsia" w:ascii="宋体" w:hAnsi="宋体" w:cs="宋体"/>
                <w:szCs w:val="21"/>
                <w:highlight w:val="none"/>
              </w:rPr>
              <w:t>（2）第二档次（</w:t>
            </w:r>
            <w:r>
              <w:rPr>
                <w:rFonts w:hint="eastAsia" w:ascii="宋体" w:hAnsi="宋体" w:cs="宋体"/>
                <w:szCs w:val="21"/>
                <w:highlight w:val="none"/>
                <w:lang w:eastAsia="zh-CN"/>
              </w:rPr>
              <w:t>1</w:t>
            </w:r>
            <w:r>
              <w:rPr>
                <w:rFonts w:hint="eastAsia" w:ascii="宋体" w:hAnsi="宋体" w:cs="宋体"/>
                <w:szCs w:val="21"/>
                <w:highlight w:val="none"/>
                <w:lang w:val="en-US" w:eastAsia="zh-CN"/>
              </w:rPr>
              <w:t>1</w:t>
            </w:r>
            <w:r>
              <w:rPr>
                <w:rFonts w:hint="eastAsia" w:ascii="宋体" w:hAnsi="宋体" w:cs="宋体"/>
                <w:szCs w:val="21"/>
                <w:highlight w:val="none"/>
              </w:rPr>
              <w:t>-</w:t>
            </w:r>
            <w:r>
              <w:rPr>
                <w:rFonts w:hint="eastAsia" w:ascii="宋体" w:hAnsi="宋体" w:cs="宋体"/>
                <w:szCs w:val="21"/>
                <w:highlight w:val="none"/>
                <w:lang w:eastAsia="zh-CN"/>
              </w:rPr>
              <w:t>2</w:t>
            </w:r>
            <w:r>
              <w:rPr>
                <w:rFonts w:hint="eastAsia" w:ascii="宋体" w:hAnsi="宋体" w:cs="宋体"/>
                <w:szCs w:val="21"/>
                <w:highlight w:val="none"/>
                <w:lang w:val="en-US" w:eastAsia="zh-CN"/>
              </w:rPr>
              <w:t>0</w:t>
            </w:r>
            <w:r>
              <w:rPr>
                <w:rFonts w:hint="eastAsia" w:ascii="宋体" w:hAnsi="宋体" w:cs="宋体"/>
                <w:szCs w:val="21"/>
                <w:highlight w:val="none"/>
              </w:rPr>
              <w:t>分）：</w:t>
            </w:r>
            <w:r>
              <w:rPr>
                <w:rFonts w:hint="eastAsia" w:ascii="宋体" w:hAnsi="宋体" w:cs="宋体"/>
                <w:szCs w:val="21"/>
                <w:highlight w:val="none"/>
                <w:lang w:eastAsia="zh-CN"/>
              </w:rPr>
              <w:t>供应商</w:t>
            </w:r>
            <w:r>
              <w:rPr>
                <w:rFonts w:hint="eastAsia" w:ascii="宋体" w:hAnsi="宋体" w:cs="宋体"/>
                <w:szCs w:val="21"/>
                <w:highlight w:val="none"/>
              </w:rPr>
              <w:t>编制的质量、进度、投资、安全目标及控制方案基本完善、基本合理，内容基本齐全，针对性、可行性一般，措施详细基本合理，可操作性一般；</w:t>
            </w:r>
          </w:p>
          <w:p w14:paraId="1F15FD22">
            <w:pPr>
              <w:pStyle w:val="237"/>
              <w:jc w:val="left"/>
              <w:outlineLvl w:val="9"/>
              <w:rPr>
                <w:rFonts w:ascii="宋体" w:hAnsi="宋体" w:cs="宋体"/>
                <w:szCs w:val="21"/>
                <w:highlight w:val="none"/>
              </w:rPr>
            </w:pPr>
            <w:r>
              <w:rPr>
                <w:rFonts w:hint="eastAsia" w:ascii="宋体" w:hAnsi="宋体" w:cs="宋体"/>
                <w:szCs w:val="21"/>
                <w:highlight w:val="none"/>
              </w:rPr>
              <w:t>（3）第三档次（</w:t>
            </w:r>
            <w:r>
              <w:rPr>
                <w:rFonts w:hint="eastAsia" w:ascii="宋体" w:hAnsi="宋体" w:cs="宋体"/>
                <w:szCs w:val="21"/>
                <w:highlight w:val="none"/>
                <w:lang w:eastAsia="zh-CN"/>
              </w:rPr>
              <w:t>1</w:t>
            </w:r>
            <w:r>
              <w:rPr>
                <w:rFonts w:hint="eastAsia" w:ascii="宋体" w:hAnsi="宋体" w:cs="宋体"/>
                <w:szCs w:val="21"/>
                <w:highlight w:val="none"/>
              </w:rPr>
              <w:t>-</w:t>
            </w:r>
            <w:r>
              <w:rPr>
                <w:rFonts w:hint="eastAsia" w:ascii="宋体" w:hAnsi="宋体" w:cs="宋体"/>
                <w:szCs w:val="21"/>
                <w:highlight w:val="none"/>
                <w:lang w:val="en-US" w:eastAsia="zh-CN"/>
              </w:rPr>
              <w:t>10</w:t>
            </w:r>
            <w:r>
              <w:rPr>
                <w:rFonts w:hint="eastAsia" w:ascii="宋体" w:hAnsi="宋体" w:cs="宋体"/>
                <w:szCs w:val="21"/>
                <w:highlight w:val="none"/>
              </w:rPr>
              <w:t>分）：</w:t>
            </w:r>
            <w:r>
              <w:rPr>
                <w:rFonts w:hint="eastAsia" w:ascii="宋体" w:hAnsi="宋体" w:cs="宋体"/>
                <w:szCs w:val="21"/>
                <w:highlight w:val="none"/>
                <w:lang w:eastAsia="zh-CN"/>
              </w:rPr>
              <w:t>供应商</w:t>
            </w:r>
            <w:r>
              <w:rPr>
                <w:rFonts w:hint="eastAsia" w:ascii="宋体" w:hAnsi="宋体" w:cs="宋体"/>
                <w:szCs w:val="21"/>
                <w:highlight w:val="none"/>
              </w:rPr>
              <w:t>编制的质量、进度、投资、安全目标及控制方案不完善、基本合理，内容不齐全，针对性、可行性差，措施详细不合理，可操作性差。</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6CBCA57">
            <w:pPr>
              <w:pStyle w:val="237"/>
              <w:jc w:val="center"/>
              <w:outlineLvl w:val="9"/>
              <w:rPr>
                <w:rFonts w:ascii="宋体" w:hAnsi="宋体" w:cs="宋体"/>
                <w:szCs w:val="21"/>
                <w:highlight w:val="none"/>
              </w:rPr>
            </w:pPr>
          </w:p>
        </w:tc>
      </w:tr>
      <w:tr w14:paraId="13A58D9F">
        <w:trPr>
          <w:trHeight w:val="418" w:hRule="atLeast"/>
          <w:jc w:val="center"/>
        </w:trPr>
        <w:tc>
          <w:tcPr>
            <w:tcW w:w="642"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68BF434F">
            <w:pPr>
              <w:pStyle w:val="237"/>
              <w:jc w:val="center"/>
              <w:outlineLvl w:val="9"/>
              <w:rPr>
                <w:rFonts w:ascii="宋体" w:hAnsi="宋体" w:cs="宋体"/>
                <w:szCs w:val="21"/>
                <w:highlight w:val="none"/>
              </w:rPr>
            </w:pPr>
            <w:r>
              <w:rPr>
                <w:rFonts w:hint="eastAsia" w:ascii="宋体" w:hAnsi="宋体" w:cs="宋体"/>
                <w:szCs w:val="21"/>
                <w:highlight w:val="none"/>
              </w:rPr>
              <w:t>4</w:t>
            </w:r>
          </w:p>
        </w:tc>
        <w:tc>
          <w:tcPr>
            <w:tcW w:w="2018"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223D4108">
            <w:pPr>
              <w:pStyle w:val="237"/>
              <w:jc w:val="center"/>
              <w:outlineLvl w:val="9"/>
              <w:rPr>
                <w:rFonts w:ascii="宋体" w:hAnsi="宋体" w:cs="宋体"/>
                <w:szCs w:val="21"/>
                <w:highlight w:val="none"/>
              </w:rPr>
            </w:pPr>
            <w:r>
              <w:rPr>
                <w:rFonts w:hint="eastAsia" w:ascii="宋体" w:hAnsi="宋体" w:cs="宋体"/>
                <w:highlight w:val="none"/>
              </w:rPr>
              <w:t>工程重点部位旁站点选设</w:t>
            </w:r>
          </w:p>
        </w:tc>
        <w:tc>
          <w:tcPr>
            <w:tcW w:w="802"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2A6BC0CE">
            <w:pPr>
              <w:pStyle w:val="237"/>
              <w:jc w:val="center"/>
              <w:outlineLvl w:val="9"/>
              <w:rPr>
                <w:rFonts w:ascii="宋体" w:hAnsi="宋体" w:cs="宋体"/>
                <w:szCs w:val="21"/>
                <w:highlight w:val="none"/>
              </w:rPr>
            </w:pPr>
            <w:r>
              <w:rPr>
                <w:rFonts w:hint="eastAsia" w:ascii="宋体" w:hAnsi="宋体" w:cs="宋体"/>
                <w:szCs w:val="21"/>
                <w:highlight w:val="none"/>
                <w:lang w:val="en-US" w:eastAsia="zh-CN"/>
              </w:rPr>
              <w:t>20</w:t>
            </w:r>
          </w:p>
        </w:tc>
        <w:tc>
          <w:tcPr>
            <w:tcW w:w="4814" w:type="dxa"/>
            <w:tcBorders>
              <w:top w:val="single" w:color="auto"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97F40F6">
            <w:pPr>
              <w:pStyle w:val="237"/>
              <w:jc w:val="left"/>
              <w:outlineLvl w:val="9"/>
              <w:rPr>
                <w:rFonts w:hint="eastAsia" w:ascii="宋体" w:hAnsi="宋体" w:cs="宋体"/>
                <w:szCs w:val="21"/>
                <w:highlight w:val="none"/>
              </w:rPr>
            </w:pPr>
            <w:r>
              <w:rPr>
                <w:rFonts w:hint="eastAsia" w:ascii="宋体" w:hAnsi="宋体" w:cs="宋体"/>
                <w:szCs w:val="21"/>
                <w:highlight w:val="none"/>
              </w:rPr>
              <w:t>（1）第一档次（</w:t>
            </w:r>
            <w:r>
              <w:rPr>
                <w:rFonts w:hint="eastAsia" w:ascii="宋体" w:hAnsi="宋体" w:cs="宋体"/>
                <w:szCs w:val="21"/>
                <w:highlight w:val="none"/>
                <w:lang w:eastAsia="zh-CN"/>
              </w:rPr>
              <w:t>1</w:t>
            </w:r>
            <w:r>
              <w:rPr>
                <w:rFonts w:hint="eastAsia" w:ascii="宋体" w:hAnsi="宋体" w:cs="宋体"/>
                <w:szCs w:val="21"/>
                <w:highlight w:val="none"/>
                <w:lang w:val="en-US" w:eastAsia="zh-CN"/>
              </w:rPr>
              <w:t>5</w:t>
            </w:r>
            <w:r>
              <w:rPr>
                <w:rFonts w:hint="eastAsia" w:ascii="宋体" w:hAnsi="宋体" w:cs="宋体"/>
                <w:szCs w:val="21"/>
                <w:highlight w:val="none"/>
              </w:rPr>
              <w:t>-</w:t>
            </w:r>
            <w:r>
              <w:rPr>
                <w:rFonts w:hint="eastAsia" w:ascii="宋体" w:hAnsi="宋体" w:cs="宋体"/>
                <w:szCs w:val="21"/>
                <w:highlight w:val="none"/>
                <w:lang w:eastAsia="zh-CN"/>
              </w:rPr>
              <w:t>2</w:t>
            </w:r>
            <w:r>
              <w:rPr>
                <w:rFonts w:hint="eastAsia" w:ascii="宋体" w:hAnsi="宋体" w:cs="宋体"/>
                <w:szCs w:val="21"/>
                <w:highlight w:val="none"/>
                <w:lang w:val="en-US" w:eastAsia="zh-CN"/>
              </w:rPr>
              <w:t>0</w:t>
            </w:r>
            <w:r>
              <w:rPr>
                <w:rFonts w:hint="eastAsia" w:ascii="宋体" w:hAnsi="宋体" w:cs="宋体"/>
                <w:szCs w:val="21"/>
                <w:highlight w:val="none"/>
              </w:rPr>
              <w:t>分）：工程重点部位旁站点选设符合监理有关规定，合理，切合实际，有针对性；</w:t>
            </w:r>
          </w:p>
          <w:p w14:paraId="3EA597B5">
            <w:pPr>
              <w:pStyle w:val="237"/>
              <w:jc w:val="left"/>
              <w:outlineLvl w:val="9"/>
              <w:rPr>
                <w:rFonts w:hint="eastAsia" w:ascii="宋体" w:hAnsi="宋体" w:cs="宋体"/>
                <w:szCs w:val="21"/>
                <w:highlight w:val="none"/>
              </w:rPr>
            </w:pPr>
            <w:r>
              <w:rPr>
                <w:rFonts w:hint="eastAsia" w:ascii="宋体" w:hAnsi="宋体" w:cs="宋体"/>
                <w:szCs w:val="21"/>
                <w:highlight w:val="none"/>
              </w:rPr>
              <w:t>（2）第二档次（</w:t>
            </w:r>
            <w:r>
              <w:rPr>
                <w:rFonts w:hint="eastAsia" w:ascii="宋体" w:hAnsi="宋体" w:cs="宋体"/>
                <w:szCs w:val="21"/>
                <w:highlight w:val="none"/>
                <w:lang w:val="en-US" w:eastAsia="zh-CN"/>
              </w:rPr>
              <w:t>8</w:t>
            </w:r>
            <w:r>
              <w:rPr>
                <w:rFonts w:hint="eastAsia" w:ascii="宋体" w:hAnsi="宋体" w:cs="宋体"/>
                <w:szCs w:val="21"/>
                <w:highlight w:val="none"/>
              </w:rPr>
              <w:t>-</w:t>
            </w:r>
            <w:r>
              <w:rPr>
                <w:rFonts w:hint="eastAsia" w:ascii="宋体" w:hAnsi="宋体" w:cs="宋体"/>
                <w:szCs w:val="21"/>
                <w:highlight w:val="none"/>
                <w:lang w:eastAsia="zh-CN"/>
              </w:rPr>
              <w:t>1</w:t>
            </w:r>
            <w:r>
              <w:rPr>
                <w:rFonts w:hint="eastAsia" w:ascii="宋体" w:hAnsi="宋体" w:cs="宋体"/>
                <w:szCs w:val="21"/>
                <w:highlight w:val="none"/>
                <w:lang w:val="en-US" w:eastAsia="zh-CN"/>
              </w:rPr>
              <w:t>4</w:t>
            </w:r>
            <w:r>
              <w:rPr>
                <w:rFonts w:hint="eastAsia" w:ascii="宋体" w:hAnsi="宋体" w:cs="宋体"/>
                <w:szCs w:val="21"/>
                <w:highlight w:val="none"/>
              </w:rPr>
              <w:t>分）：工程重点部位旁站点选设符合监理有关规定，基本合理，符合实际，有一定针对性；</w:t>
            </w:r>
          </w:p>
          <w:p w14:paraId="3316E1AF">
            <w:pPr>
              <w:pStyle w:val="237"/>
              <w:jc w:val="left"/>
              <w:outlineLvl w:val="9"/>
              <w:rPr>
                <w:rFonts w:ascii="宋体" w:hAnsi="宋体" w:cs="宋体"/>
                <w:szCs w:val="21"/>
                <w:highlight w:val="none"/>
              </w:rPr>
            </w:pPr>
            <w:r>
              <w:rPr>
                <w:rFonts w:hint="eastAsia" w:ascii="宋体" w:hAnsi="宋体" w:cs="宋体"/>
                <w:szCs w:val="21"/>
                <w:highlight w:val="none"/>
              </w:rPr>
              <w:t>（3）第三档次（</w:t>
            </w:r>
            <w:r>
              <w:rPr>
                <w:rFonts w:hint="eastAsia" w:ascii="宋体" w:hAnsi="宋体" w:cs="宋体"/>
                <w:szCs w:val="21"/>
                <w:highlight w:val="none"/>
                <w:lang w:val="en-US" w:eastAsia="zh-CN"/>
              </w:rPr>
              <w:t>1</w:t>
            </w:r>
            <w:r>
              <w:rPr>
                <w:rFonts w:hint="eastAsia" w:ascii="宋体" w:hAnsi="宋体" w:cs="宋体"/>
                <w:szCs w:val="21"/>
                <w:highlight w:val="none"/>
              </w:rPr>
              <w:t>-</w:t>
            </w:r>
            <w:r>
              <w:rPr>
                <w:rFonts w:hint="eastAsia" w:ascii="宋体" w:hAnsi="宋体" w:cs="宋体"/>
                <w:szCs w:val="21"/>
                <w:highlight w:val="none"/>
                <w:lang w:val="en-US" w:eastAsia="zh-CN"/>
              </w:rPr>
              <w:t>7</w:t>
            </w:r>
            <w:r>
              <w:rPr>
                <w:rFonts w:hint="eastAsia" w:ascii="宋体" w:hAnsi="宋体" w:cs="宋体"/>
                <w:szCs w:val="21"/>
                <w:highlight w:val="none"/>
              </w:rPr>
              <w:t>分）：工程重点部位旁站点选设符合监理有关规定，但不符合本项目实际，不合理，无针对性。</w:t>
            </w:r>
          </w:p>
        </w:tc>
        <w:tc>
          <w:tcPr>
            <w:tcW w:w="814"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BAB16A9">
            <w:pPr>
              <w:pStyle w:val="237"/>
              <w:jc w:val="center"/>
              <w:outlineLvl w:val="9"/>
              <w:rPr>
                <w:rFonts w:ascii="宋体" w:hAnsi="宋体" w:cs="宋体"/>
                <w:szCs w:val="21"/>
                <w:highlight w:val="none"/>
              </w:rPr>
            </w:pPr>
          </w:p>
          <w:p w14:paraId="4A2154F5">
            <w:pPr>
              <w:pStyle w:val="237"/>
              <w:jc w:val="center"/>
              <w:outlineLvl w:val="9"/>
              <w:rPr>
                <w:rFonts w:ascii="宋体" w:hAnsi="宋体" w:cs="宋体"/>
                <w:szCs w:val="21"/>
                <w:highlight w:val="none"/>
              </w:rPr>
            </w:pPr>
          </w:p>
        </w:tc>
      </w:tr>
      <w:tr w14:paraId="34C24E27">
        <w:trPr>
          <w:trHeight w:val="1360" w:hRule="atLeast"/>
          <w:jc w:val="center"/>
        </w:trPr>
        <w:tc>
          <w:tcPr>
            <w:tcW w:w="2660"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4B65C43A">
            <w:pPr>
              <w:pStyle w:val="237"/>
              <w:jc w:val="center"/>
              <w:outlineLvl w:val="9"/>
              <w:rPr>
                <w:rFonts w:ascii="宋体" w:hAnsi="宋体" w:cs="宋体"/>
                <w:szCs w:val="21"/>
                <w:highlight w:val="none"/>
              </w:rPr>
            </w:pPr>
            <w:r>
              <w:rPr>
                <w:rFonts w:hint="eastAsia" w:ascii="宋体" w:hAnsi="宋体" w:cs="宋体"/>
                <w:szCs w:val="21"/>
                <w:highlight w:val="none"/>
              </w:rPr>
              <w:t>总计</w:t>
            </w:r>
          </w:p>
        </w:tc>
        <w:tc>
          <w:tcPr>
            <w:tcW w:w="802"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7105C4B">
            <w:pPr>
              <w:pStyle w:val="237"/>
              <w:jc w:val="center"/>
              <w:outlineLvl w:val="9"/>
              <w:rPr>
                <w:rFonts w:ascii="宋体" w:hAnsi="宋体" w:cs="宋体"/>
                <w:szCs w:val="21"/>
                <w:highlight w:val="none"/>
              </w:rPr>
            </w:pPr>
            <w:r>
              <w:rPr>
                <w:rFonts w:hint="eastAsia" w:ascii="宋体" w:hAnsi="宋体" w:cs="宋体"/>
                <w:szCs w:val="21"/>
                <w:highlight w:val="none"/>
              </w:rPr>
              <w:t>100</w:t>
            </w:r>
          </w:p>
        </w:tc>
        <w:tc>
          <w:tcPr>
            <w:tcW w:w="4814"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13A4057">
            <w:pPr>
              <w:pStyle w:val="237"/>
              <w:jc w:val="center"/>
              <w:outlineLvl w:val="9"/>
              <w:rPr>
                <w:rFonts w:ascii="宋体" w:hAnsi="宋体" w:cs="宋体"/>
                <w:szCs w:val="21"/>
                <w:highlight w:val="none"/>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51AAC774">
            <w:pPr>
              <w:pStyle w:val="237"/>
              <w:jc w:val="center"/>
              <w:outlineLvl w:val="9"/>
              <w:rPr>
                <w:rFonts w:ascii="宋体" w:hAnsi="宋体" w:cs="宋体"/>
                <w:szCs w:val="21"/>
                <w:highlight w:val="none"/>
              </w:rPr>
            </w:pPr>
          </w:p>
        </w:tc>
      </w:tr>
    </w:tbl>
    <w:p w14:paraId="3F60043B">
      <w:pPr>
        <w:widowControl/>
        <w:jc w:val="left"/>
        <w:outlineLvl w:val="9"/>
        <w:rPr>
          <w:highlight w:val="none"/>
        </w:rPr>
      </w:pPr>
    </w:p>
    <w:p w14:paraId="271D13F2">
      <w:pPr>
        <w:pStyle w:val="2"/>
        <w:outlineLvl w:val="9"/>
        <w:rPr>
          <w:rFonts w:hAnsi="宋体" w:eastAsia="宋体" w:cs="宋体"/>
          <w:b/>
          <w:bCs/>
          <w:sz w:val="32"/>
          <w:szCs w:val="32"/>
          <w:highlight w:val="none"/>
        </w:rPr>
      </w:pPr>
      <w:r>
        <w:rPr>
          <w:rFonts w:hint="eastAsia" w:hAnsi="宋体" w:eastAsia="宋体" w:cs="宋体"/>
          <w:szCs w:val="20"/>
          <w:highlight w:val="none"/>
        </w:rPr>
        <w:br w:type="page"/>
      </w:r>
    </w:p>
    <w:p w14:paraId="048C8CF9">
      <w:pPr>
        <w:spacing w:line="360" w:lineRule="auto"/>
        <w:jc w:val="center"/>
        <w:outlineLvl w:val="9"/>
        <w:rPr>
          <w:rFonts w:ascii="宋体" w:hAnsi="宋体" w:cs="宋体"/>
          <w:highlight w:val="none"/>
        </w:rPr>
      </w:pPr>
      <w:bookmarkStart w:id="181" w:name="_Toc5710542"/>
      <w:r>
        <w:rPr>
          <w:rFonts w:hint="eastAsia" w:ascii="宋体" w:hAnsi="宋体" w:cs="宋体"/>
          <w:b/>
          <w:sz w:val="24"/>
          <w:highlight w:val="none"/>
        </w:rPr>
        <w:t>附表3：最终报价部分评审表（满分：100分，权重 50%  ）</w:t>
      </w:r>
      <w:bookmarkEnd w:id="181"/>
    </w:p>
    <w:tbl>
      <w:tblPr>
        <w:tblStyle w:val="49"/>
        <w:tblW w:w="90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12"/>
        <w:gridCol w:w="1658"/>
        <w:gridCol w:w="6190"/>
      </w:tblGrid>
      <w:tr w14:paraId="34B60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25D73BF0">
            <w:pPr>
              <w:widowControl/>
              <w:jc w:val="center"/>
              <w:outlineLvl w:val="9"/>
              <w:rPr>
                <w:rFonts w:ascii="宋体" w:hAnsi="宋体" w:cs="宋体"/>
                <w:b/>
                <w:bCs/>
                <w:kern w:val="0"/>
                <w:sz w:val="22"/>
                <w:szCs w:val="22"/>
                <w:highlight w:val="none"/>
              </w:rPr>
            </w:pPr>
            <w:r>
              <w:rPr>
                <w:rFonts w:hint="eastAsia" w:ascii="宋体" w:hAnsi="宋体" w:cs="宋体"/>
                <w:b/>
                <w:bCs/>
                <w:kern w:val="0"/>
                <w:sz w:val="22"/>
                <w:szCs w:val="22"/>
                <w:highlight w:val="none"/>
              </w:rPr>
              <w:t>序号</w:t>
            </w:r>
          </w:p>
        </w:tc>
        <w:tc>
          <w:tcPr>
            <w:tcW w:w="1658" w:type="dxa"/>
            <w:tcBorders>
              <w:top w:val="single" w:color="000000" w:sz="2" w:space="0"/>
              <w:left w:val="single" w:color="000000" w:sz="2" w:space="0"/>
              <w:bottom w:val="single" w:color="000000" w:sz="2" w:space="0"/>
              <w:right w:val="single" w:color="000000" w:sz="2" w:space="0"/>
            </w:tcBorders>
            <w:vAlign w:val="center"/>
          </w:tcPr>
          <w:p w14:paraId="7400BD33">
            <w:pPr>
              <w:widowControl/>
              <w:jc w:val="center"/>
              <w:outlineLvl w:val="9"/>
              <w:rPr>
                <w:rFonts w:ascii="宋体" w:hAnsi="宋体" w:cs="宋体"/>
                <w:b/>
                <w:bCs/>
                <w:kern w:val="0"/>
                <w:sz w:val="22"/>
                <w:szCs w:val="22"/>
                <w:highlight w:val="none"/>
              </w:rPr>
            </w:pPr>
            <w:r>
              <w:rPr>
                <w:rFonts w:hint="eastAsia" w:ascii="宋体" w:hAnsi="宋体" w:cs="宋体"/>
                <w:b/>
                <w:bCs/>
                <w:kern w:val="0"/>
                <w:sz w:val="22"/>
                <w:szCs w:val="22"/>
                <w:highlight w:val="none"/>
              </w:rPr>
              <w:t>项目</w:t>
            </w:r>
          </w:p>
        </w:tc>
        <w:tc>
          <w:tcPr>
            <w:tcW w:w="6190" w:type="dxa"/>
            <w:tcBorders>
              <w:top w:val="single" w:color="000000" w:sz="2" w:space="0"/>
              <w:left w:val="single" w:color="000000" w:sz="2" w:space="0"/>
              <w:bottom w:val="single" w:color="000000" w:sz="2" w:space="0"/>
              <w:right w:val="single" w:color="000000" w:sz="2" w:space="0"/>
            </w:tcBorders>
            <w:vAlign w:val="center"/>
          </w:tcPr>
          <w:p w14:paraId="220AB056">
            <w:pPr>
              <w:widowControl/>
              <w:jc w:val="center"/>
              <w:outlineLvl w:val="9"/>
              <w:rPr>
                <w:rFonts w:ascii="宋体" w:hAnsi="宋体" w:cs="宋体"/>
                <w:b/>
                <w:bCs/>
                <w:kern w:val="0"/>
                <w:sz w:val="22"/>
                <w:szCs w:val="22"/>
                <w:highlight w:val="none"/>
              </w:rPr>
            </w:pPr>
            <w:r>
              <w:rPr>
                <w:rFonts w:hint="eastAsia" w:ascii="宋体" w:hAnsi="宋体" w:cs="宋体"/>
                <w:b/>
                <w:bCs/>
                <w:kern w:val="0"/>
                <w:sz w:val="22"/>
                <w:szCs w:val="22"/>
                <w:highlight w:val="none"/>
              </w:rPr>
              <w:t>评分标准</w:t>
            </w:r>
          </w:p>
        </w:tc>
      </w:tr>
      <w:tr w14:paraId="5A078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6BAC201C">
            <w:pPr>
              <w:widowControl/>
              <w:jc w:val="center"/>
              <w:outlineLvl w:val="9"/>
              <w:rPr>
                <w:rFonts w:ascii="宋体" w:hAnsi="宋体" w:cs="宋体"/>
                <w:kern w:val="0"/>
                <w:sz w:val="22"/>
                <w:szCs w:val="22"/>
                <w:highlight w:val="none"/>
              </w:rPr>
            </w:pPr>
            <w:r>
              <w:rPr>
                <w:rFonts w:hint="eastAsia" w:ascii="宋体" w:hAnsi="宋体" w:cs="宋体"/>
                <w:kern w:val="0"/>
                <w:sz w:val="22"/>
                <w:szCs w:val="22"/>
                <w:highlight w:val="none"/>
              </w:rPr>
              <w:t>1</w:t>
            </w:r>
          </w:p>
        </w:tc>
        <w:tc>
          <w:tcPr>
            <w:tcW w:w="1658" w:type="dxa"/>
            <w:tcBorders>
              <w:top w:val="single" w:color="000000" w:sz="2" w:space="0"/>
              <w:left w:val="single" w:color="000000" w:sz="2" w:space="0"/>
              <w:bottom w:val="single" w:color="000000" w:sz="2" w:space="0"/>
              <w:right w:val="single" w:color="000000" w:sz="2" w:space="0"/>
            </w:tcBorders>
            <w:vAlign w:val="center"/>
          </w:tcPr>
          <w:p w14:paraId="2AF54515">
            <w:pPr>
              <w:widowControl/>
              <w:jc w:val="center"/>
              <w:outlineLvl w:val="9"/>
              <w:rPr>
                <w:rFonts w:ascii="宋体" w:hAnsi="宋体" w:cs="宋体"/>
                <w:kern w:val="0"/>
                <w:sz w:val="22"/>
                <w:szCs w:val="22"/>
                <w:highlight w:val="none"/>
              </w:rPr>
            </w:pPr>
            <w:r>
              <w:rPr>
                <w:rFonts w:hint="eastAsia" w:ascii="宋体" w:hAnsi="宋体" w:cs="宋体"/>
                <w:kern w:val="0"/>
                <w:sz w:val="22"/>
                <w:szCs w:val="22"/>
                <w:highlight w:val="none"/>
              </w:rPr>
              <w:t>评审基准价</w:t>
            </w:r>
          </w:p>
        </w:tc>
        <w:tc>
          <w:tcPr>
            <w:tcW w:w="6190" w:type="dxa"/>
            <w:tcBorders>
              <w:top w:val="single" w:color="000000" w:sz="2" w:space="0"/>
              <w:left w:val="single" w:color="000000" w:sz="2" w:space="0"/>
              <w:bottom w:val="single" w:color="000000" w:sz="2" w:space="0"/>
              <w:right w:val="single" w:color="000000" w:sz="2" w:space="0"/>
            </w:tcBorders>
            <w:vAlign w:val="center"/>
          </w:tcPr>
          <w:p w14:paraId="58303F81">
            <w:pPr>
              <w:adjustRightInd w:val="0"/>
              <w:snapToGrid w:val="0"/>
              <w:outlineLvl w:val="9"/>
              <w:rPr>
                <w:rFonts w:ascii="宋体" w:hAnsi="宋体" w:cs="宋体"/>
                <w:szCs w:val="21"/>
                <w:highlight w:val="none"/>
              </w:rPr>
            </w:pPr>
            <w:r>
              <w:rPr>
                <w:rFonts w:hint="eastAsia" w:ascii="宋体" w:hAnsi="宋体" w:cs="宋体"/>
                <w:szCs w:val="21"/>
                <w:highlight w:val="none"/>
              </w:rPr>
              <w:t>合格</w:t>
            </w:r>
            <w:r>
              <w:rPr>
                <w:rFonts w:hint="eastAsia" w:ascii="宋体" w:hAnsi="宋体" w:cs="宋体"/>
                <w:szCs w:val="21"/>
                <w:highlight w:val="none"/>
                <w:lang w:eastAsia="zh-CN"/>
              </w:rPr>
              <w:t>供应商</w:t>
            </w:r>
            <w:r>
              <w:rPr>
                <w:rFonts w:hint="eastAsia" w:ascii="宋体" w:hAnsi="宋体" w:cs="宋体"/>
                <w:szCs w:val="21"/>
                <w:highlight w:val="none"/>
              </w:rPr>
              <w:t>数大于 5 家（含 5 家）时，评标基准价为去掉1个最高报价和1个最低报价后，其他</w:t>
            </w:r>
            <w:r>
              <w:rPr>
                <w:rFonts w:hint="eastAsia" w:ascii="宋体" w:hAnsi="宋体" w:cs="宋体"/>
                <w:szCs w:val="21"/>
                <w:highlight w:val="none"/>
                <w:lang w:eastAsia="zh-CN"/>
              </w:rPr>
              <w:t>供应商</w:t>
            </w:r>
            <w:r>
              <w:rPr>
                <w:rFonts w:hint="eastAsia" w:ascii="宋体" w:hAnsi="宋体" w:cs="宋体"/>
                <w:szCs w:val="21"/>
                <w:highlight w:val="none"/>
              </w:rPr>
              <w:t>投标报价的算术平均值；合格</w:t>
            </w:r>
            <w:r>
              <w:rPr>
                <w:rFonts w:hint="eastAsia" w:ascii="宋体" w:hAnsi="宋体" w:cs="宋体"/>
                <w:szCs w:val="21"/>
                <w:highlight w:val="none"/>
                <w:lang w:eastAsia="zh-CN"/>
              </w:rPr>
              <w:t>供应商</w:t>
            </w:r>
            <w:r>
              <w:rPr>
                <w:rFonts w:hint="eastAsia" w:ascii="宋体" w:hAnsi="宋体" w:cs="宋体"/>
                <w:szCs w:val="21"/>
                <w:highlight w:val="none"/>
              </w:rPr>
              <w:t>数少于 5 家时，评标基准价为所有有效</w:t>
            </w:r>
            <w:r>
              <w:rPr>
                <w:rFonts w:hint="eastAsia" w:ascii="宋体" w:hAnsi="宋体" w:cs="宋体"/>
                <w:szCs w:val="21"/>
                <w:highlight w:val="none"/>
                <w:lang w:eastAsia="zh-CN"/>
              </w:rPr>
              <w:t>供应商</w:t>
            </w:r>
            <w:r>
              <w:rPr>
                <w:rFonts w:hint="eastAsia" w:ascii="宋体" w:hAnsi="宋体" w:cs="宋体"/>
                <w:szCs w:val="21"/>
                <w:highlight w:val="none"/>
              </w:rPr>
              <w:t>投标报价的算术平均值。</w:t>
            </w:r>
          </w:p>
          <w:p w14:paraId="686094EA">
            <w:pPr>
              <w:widowControl/>
              <w:outlineLvl w:val="9"/>
              <w:rPr>
                <w:rFonts w:ascii="宋体" w:hAnsi="宋体" w:cs="宋体"/>
                <w:kern w:val="0"/>
                <w:sz w:val="22"/>
                <w:szCs w:val="22"/>
                <w:highlight w:val="none"/>
              </w:rPr>
            </w:pPr>
            <w:r>
              <w:rPr>
                <w:rFonts w:hint="eastAsia" w:ascii="宋体" w:hAnsi="宋体" w:cs="宋体"/>
                <w:szCs w:val="21"/>
                <w:highlight w:val="none"/>
              </w:rPr>
              <w:t>偏差率：（投标报价-评标基准价）/评标基准价*100%。</w:t>
            </w:r>
          </w:p>
        </w:tc>
      </w:tr>
      <w:tr w14:paraId="3944E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4FA6E534">
            <w:pPr>
              <w:widowControl/>
              <w:jc w:val="center"/>
              <w:outlineLvl w:val="9"/>
              <w:rPr>
                <w:rFonts w:ascii="宋体" w:hAnsi="宋体" w:cs="宋体"/>
                <w:kern w:val="0"/>
                <w:sz w:val="22"/>
                <w:szCs w:val="22"/>
                <w:highlight w:val="none"/>
              </w:rPr>
            </w:pPr>
            <w:r>
              <w:rPr>
                <w:rFonts w:hint="eastAsia" w:ascii="宋体" w:hAnsi="宋体" w:cs="宋体"/>
                <w:kern w:val="0"/>
                <w:sz w:val="22"/>
                <w:szCs w:val="22"/>
                <w:highlight w:val="none"/>
              </w:rPr>
              <w:t>2</w:t>
            </w:r>
          </w:p>
        </w:tc>
        <w:tc>
          <w:tcPr>
            <w:tcW w:w="1658" w:type="dxa"/>
            <w:tcBorders>
              <w:top w:val="single" w:color="000000" w:sz="2" w:space="0"/>
              <w:left w:val="single" w:color="000000" w:sz="2" w:space="0"/>
              <w:bottom w:val="single" w:color="000000" w:sz="2" w:space="0"/>
              <w:right w:val="single" w:color="000000" w:sz="2" w:space="0"/>
            </w:tcBorders>
            <w:vAlign w:val="center"/>
          </w:tcPr>
          <w:p w14:paraId="692345E2">
            <w:pPr>
              <w:widowControl/>
              <w:jc w:val="center"/>
              <w:outlineLvl w:val="9"/>
              <w:rPr>
                <w:rFonts w:ascii="宋体" w:hAnsi="宋体" w:cs="宋体"/>
                <w:kern w:val="0"/>
                <w:sz w:val="22"/>
                <w:szCs w:val="22"/>
                <w:highlight w:val="none"/>
              </w:rPr>
            </w:pPr>
            <w:r>
              <w:rPr>
                <w:rFonts w:hint="eastAsia" w:ascii="宋体" w:hAnsi="宋体" w:cs="宋体"/>
                <w:kern w:val="0"/>
                <w:sz w:val="22"/>
                <w:szCs w:val="22"/>
                <w:highlight w:val="none"/>
              </w:rPr>
              <w:t>最终报价得分</w:t>
            </w:r>
          </w:p>
        </w:tc>
        <w:tc>
          <w:tcPr>
            <w:tcW w:w="6190" w:type="dxa"/>
            <w:tcBorders>
              <w:top w:val="single" w:color="000000" w:sz="2" w:space="0"/>
              <w:left w:val="single" w:color="000000" w:sz="2" w:space="0"/>
              <w:bottom w:val="single" w:color="000000" w:sz="2" w:space="0"/>
              <w:right w:val="single" w:color="000000" w:sz="2" w:space="0"/>
            </w:tcBorders>
            <w:vAlign w:val="center"/>
          </w:tcPr>
          <w:p w14:paraId="2BB29537">
            <w:pPr>
              <w:adjustRightInd w:val="0"/>
              <w:snapToGrid w:val="0"/>
              <w:outlineLvl w:val="9"/>
              <w:rPr>
                <w:rFonts w:ascii="宋体" w:hAnsi="宋体" w:cs="宋体"/>
                <w:kern w:val="0"/>
                <w:sz w:val="22"/>
                <w:szCs w:val="22"/>
                <w:highlight w:val="none"/>
              </w:rPr>
            </w:pPr>
            <w:r>
              <w:rPr>
                <w:rFonts w:hint="eastAsia" w:ascii="宋体" w:hAnsi="宋体" w:cs="宋体"/>
                <w:szCs w:val="21"/>
                <w:highlight w:val="none"/>
              </w:rPr>
              <w:t>当投标报价等于评标基准价时得报价基本分90分；低于评标基准价 10% 以内（含 10% ），每低于评标基准价1%加1分，最多得满分100分；低于评标基准价10%以外，从满分100分起扣，每超1%扣1分，扣完为止；高于基准价，从基本分90分起扣，每高于评标基准价 1%扣 1分，扣完为止。按内插法计算。</w:t>
            </w:r>
          </w:p>
        </w:tc>
      </w:tr>
    </w:tbl>
    <w:p w14:paraId="63C5A010">
      <w:pPr>
        <w:outlineLvl w:val="9"/>
        <w:rPr>
          <w:rFonts w:ascii="宋体" w:hAnsi="宋体" w:cs="宋体"/>
          <w:highlight w:val="none"/>
        </w:rPr>
      </w:pPr>
    </w:p>
    <w:p w14:paraId="74A24CA9">
      <w:pPr>
        <w:pStyle w:val="2"/>
        <w:outlineLvl w:val="9"/>
        <w:rPr>
          <w:rFonts w:hAnsi="宋体" w:eastAsia="宋体" w:cs="宋体"/>
          <w:szCs w:val="20"/>
          <w:highlight w:val="none"/>
        </w:rPr>
      </w:pPr>
    </w:p>
    <w:p w14:paraId="3D43BDD2">
      <w:pPr>
        <w:widowControl/>
        <w:jc w:val="left"/>
        <w:outlineLvl w:val="9"/>
        <w:rPr>
          <w:rFonts w:ascii="宋体" w:hAnsi="宋体" w:cs="宋体"/>
          <w:b/>
          <w:bCs/>
          <w:sz w:val="32"/>
          <w:szCs w:val="32"/>
          <w:highlight w:val="none"/>
        </w:rPr>
        <w:sectPr>
          <w:footerReference r:id="rId4"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pPr>
    </w:p>
    <w:p w14:paraId="0FDBC34B">
      <w:pPr>
        <w:pStyle w:val="45"/>
        <w:rPr>
          <w:rFonts w:ascii="宋体" w:hAnsi="宋体" w:eastAsia="宋体" w:cs="宋体"/>
          <w:highlight w:val="none"/>
        </w:rPr>
      </w:pPr>
      <w:bookmarkStart w:id="182" w:name="_Toc1938972028"/>
      <w:bookmarkStart w:id="183" w:name="_Toc1147281322"/>
      <w:bookmarkStart w:id="184" w:name="_Toc11768"/>
      <w:bookmarkStart w:id="185" w:name="_Toc1638203663"/>
      <w:bookmarkStart w:id="186" w:name="_Toc711475705"/>
      <w:bookmarkStart w:id="187" w:name="_Toc1251320955"/>
      <w:r>
        <w:rPr>
          <w:rFonts w:hint="eastAsia" w:ascii="宋体" w:hAnsi="宋体" w:eastAsia="宋体" w:cs="宋体"/>
          <w:highlight w:val="none"/>
        </w:rPr>
        <w:t>第四章  合同条款及格式</w:t>
      </w:r>
      <w:bookmarkEnd w:id="182"/>
      <w:bookmarkEnd w:id="183"/>
      <w:bookmarkEnd w:id="184"/>
      <w:bookmarkEnd w:id="185"/>
      <w:bookmarkEnd w:id="186"/>
      <w:bookmarkEnd w:id="187"/>
    </w:p>
    <w:bookmarkEnd w:id="175"/>
    <w:p w14:paraId="649CD198">
      <w:pPr>
        <w:rPr>
          <w:rFonts w:hint="eastAsia" w:ascii="宋体" w:hAnsi="宋体" w:eastAsia="宋体" w:cs="宋体"/>
          <w:szCs w:val="20"/>
          <w:highlight w:val="none"/>
        </w:rPr>
      </w:pPr>
      <w:r>
        <w:rPr>
          <w:rFonts w:hint="eastAsia" w:ascii="宋体" w:hAnsi="宋体" w:eastAsia="宋体" w:cs="宋体"/>
          <w:szCs w:val="20"/>
          <w:highlight w:val="none"/>
        </w:rPr>
        <w:t>采购文件内本章合同条款及格式仅作为参考，本章节中未明确内容将在合同谈判中明确，采购人保留最终修订合同的权利，最终本合同以实际签订为准。</w:t>
      </w:r>
    </w:p>
    <w:p w14:paraId="4841E2B3">
      <w:pPr>
        <w:rPr>
          <w:rFonts w:hint="eastAsia" w:ascii="宋体" w:hAnsi="宋体" w:eastAsia="宋体" w:cs="宋体"/>
          <w:color w:val="auto"/>
          <w:sz w:val="24"/>
          <w:szCs w:val="24"/>
          <w:highlight w:val="none"/>
        </w:rPr>
      </w:pPr>
    </w:p>
    <w:p w14:paraId="227120AB">
      <w:pPr>
        <w:pStyle w:val="48"/>
        <w:rPr>
          <w:rFonts w:hint="eastAsia" w:ascii="宋体" w:hAnsi="宋体" w:eastAsia="宋体" w:cs="宋体"/>
          <w:color w:val="auto"/>
          <w:sz w:val="24"/>
          <w:highlight w:val="none"/>
        </w:rPr>
      </w:pPr>
    </w:p>
    <w:p w14:paraId="3CA4F5E1">
      <w:pPr>
        <w:pStyle w:val="48"/>
        <w:rPr>
          <w:rFonts w:hint="eastAsia" w:ascii="宋体" w:hAnsi="宋体" w:eastAsia="宋体" w:cs="宋体"/>
          <w:color w:val="auto"/>
          <w:sz w:val="24"/>
          <w:highlight w:val="none"/>
        </w:rPr>
      </w:pPr>
    </w:p>
    <w:p w14:paraId="330E6822">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60681202">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126B223D">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5A8C817D">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32A42ECF">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3CA18C70">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3E4481C6">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6E8A09C7">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44AC07C0">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2D04E3D4">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743772C6">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7A5128CF">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7FF0C823">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43C188A8">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05D9F920">
      <w:pPr>
        <w:pStyle w:val="23"/>
        <w:overflowPunct w:val="0"/>
        <w:spacing w:before="15" w:line="360" w:lineRule="auto"/>
        <w:ind w:right="116"/>
        <w:jc w:val="center"/>
        <w:rPr>
          <w:rFonts w:hint="default" w:ascii="Cambria" w:hAnsi="宋体" w:eastAsia="宋体" w:cs="Times New Roman"/>
          <w:b/>
          <w:bCs/>
          <w:kern w:val="0"/>
          <w:sz w:val="32"/>
          <w:szCs w:val="24"/>
          <w:highlight w:val="none"/>
        </w:rPr>
      </w:pPr>
      <w:r>
        <w:rPr>
          <w:rFonts w:hint="default" w:ascii="Cambria" w:hAnsi="宋体" w:eastAsia="宋体" w:cs="Times New Roman"/>
          <w:b/>
          <w:bCs/>
          <w:kern w:val="0"/>
          <w:sz w:val="32"/>
          <w:szCs w:val="24"/>
          <w:highlight w:val="none"/>
        </w:rPr>
        <w:t>合同协议书</w:t>
      </w:r>
    </w:p>
    <w:p w14:paraId="2B9D5D25">
      <w:pPr>
        <w:pStyle w:val="23"/>
        <w:tabs>
          <w:tab w:val="left" w:pos="2457"/>
          <w:tab w:val="left" w:pos="3592"/>
          <w:tab w:val="left" w:pos="8115"/>
        </w:tabs>
        <w:overflowPunct w:val="0"/>
        <w:spacing w:line="360" w:lineRule="auto"/>
        <w:ind w:firstLine="420" w:firstLineChars="200"/>
        <w:rPr>
          <w:rFonts w:hint="default" w:hAnsi="宋体"/>
          <w:sz w:val="21"/>
          <w:szCs w:val="24"/>
          <w:highlight w:val="none"/>
          <w:u w:val="single" w:color="000000"/>
        </w:rPr>
      </w:pPr>
    </w:p>
    <w:p w14:paraId="52FB0AEE">
      <w:pPr>
        <w:pStyle w:val="23"/>
        <w:tabs>
          <w:tab w:val="left" w:pos="2457"/>
          <w:tab w:val="left" w:pos="3592"/>
          <w:tab w:val="left" w:pos="8115"/>
        </w:tabs>
        <w:overflowPunct w:val="0"/>
        <w:spacing w:line="360" w:lineRule="auto"/>
        <w:ind w:firstLine="420" w:firstLineChars="200"/>
        <w:rPr>
          <w:rFonts w:hint="default" w:hAnsi="宋体"/>
          <w:sz w:val="21"/>
          <w:szCs w:val="24"/>
          <w:highlight w:val="none"/>
        </w:rPr>
      </w:pPr>
      <w:r>
        <w:rPr>
          <w:rFonts w:hint="default" w:hAnsi="宋体"/>
          <w:sz w:val="21"/>
          <w:szCs w:val="24"/>
          <w:highlight w:val="none"/>
          <w:u w:val="single" w:color="000000"/>
        </w:rPr>
        <w:t xml:space="preserve"> </w:t>
      </w:r>
      <w:r>
        <w:rPr>
          <w:rFonts w:hint="default" w:hAnsi="宋体"/>
          <w:sz w:val="21"/>
          <w:szCs w:val="24"/>
          <w:highlight w:val="none"/>
          <w:u w:val="single" w:color="000000"/>
        </w:rPr>
        <w:tab/>
      </w:r>
      <w:r>
        <w:rPr>
          <w:rFonts w:hint="default" w:hAnsi="宋体"/>
          <w:sz w:val="21"/>
          <w:szCs w:val="24"/>
          <w:highlight w:val="none"/>
        </w:rPr>
        <w:t>（</w:t>
      </w:r>
      <w:r>
        <w:rPr>
          <w:rFonts w:hint="default" w:hAnsi="宋体"/>
          <w:spacing w:val="-3"/>
          <w:sz w:val="21"/>
          <w:szCs w:val="24"/>
          <w:highlight w:val="none"/>
        </w:rPr>
        <w:t>委</w:t>
      </w:r>
      <w:r>
        <w:rPr>
          <w:rFonts w:hint="default" w:hAnsi="宋体"/>
          <w:sz w:val="21"/>
          <w:szCs w:val="24"/>
          <w:highlight w:val="none"/>
        </w:rPr>
        <w:t>托人</w:t>
      </w:r>
      <w:r>
        <w:rPr>
          <w:rFonts w:hint="default" w:hAnsi="宋体"/>
          <w:spacing w:val="-3"/>
          <w:sz w:val="21"/>
          <w:szCs w:val="24"/>
          <w:highlight w:val="none"/>
        </w:rPr>
        <w:t>名</w:t>
      </w:r>
      <w:r>
        <w:rPr>
          <w:rFonts w:hint="default" w:hAnsi="宋体"/>
          <w:sz w:val="21"/>
          <w:szCs w:val="24"/>
          <w:highlight w:val="none"/>
        </w:rPr>
        <w:t>称，</w:t>
      </w:r>
      <w:r>
        <w:rPr>
          <w:rFonts w:hint="default" w:hAnsi="宋体"/>
          <w:spacing w:val="-3"/>
          <w:sz w:val="21"/>
          <w:szCs w:val="24"/>
          <w:highlight w:val="none"/>
        </w:rPr>
        <w:t>以</w:t>
      </w:r>
      <w:r>
        <w:rPr>
          <w:rFonts w:hint="default" w:hAnsi="宋体"/>
          <w:sz w:val="21"/>
          <w:szCs w:val="24"/>
          <w:highlight w:val="none"/>
        </w:rPr>
        <w:t>下简</w:t>
      </w:r>
      <w:r>
        <w:rPr>
          <w:rFonts w:hint="default" w:hAnsi="宋体"/>
          <w:spacing w:val="-3"/>
          <w:sz w:val="21"/>
          <w:szCs w:val="24"/>
          <w:highlight w:val="none"/>
        </w:rPr>
        <w:t>称</w:t>
      </w:r>
      <w:r>
        <w:rPr>
          <w:rFonts w:hint="default" w:hAnsi="宋体"/>
          <w:sz w:val="21"/>
          <w:szCs w:val="24"/>
          <w:highlight w:val="none"/>
        </w:rPr>
        <w:t>“委</w:t>
      </w:r>
      <w:r>
        <w:rPr>
          <w:rFonts w:hint="default" w:hAnsi="宋体"/>
          <w:spacing w:val="-3"/>
          <w:sz w:val="21"/>
          <w:szCs w:val="24"/>
          <w:highlight w:val="none"/>
        </w:rPr>
        <w:t>托</w:t>
      </w:r>
      <w:r>
        <w:rPr>
          <w:rFonts w:hint="default" w:hAnsi="宋体"/>
          <w:sz w:val="21"/>
          <w:szCs w:val="24"/>
          <w:highlight w:val="none"/>
        </w:rPr>
        <w:t>人”）</w:t>
      </w:r>
      <w:r>
        <w:rPr>
          <w:rFonts w:hint="default" w:hAnsi="宋体"/>
          <w:spacing w:val="-3"/>
          <w:sz w:val="21"/>
          <w:szCs w:val="24"/>
          <w:highlight w:val="none"/>
        </w:rPr>
        <w:t>为</w:t>
      </w:r>
      <w:r>
        <w:rPr>
          <w:rFonts w:hint="default" w:hAnsi="宋体"/>
          <w:sz w:val="21"/>
          <w:szCs w:val="24"/>
          <w:highlight w:val="none"/>
        </w:rPr>
        <w:t>实施</w:t>
      </w:r>
      <w:r>
        <w:rPr>
          <w:rFonts w:hint="default" w:hAnsi="宋体"/>
          <w:sz w:val="21"/>
          <w:szCs w:val="24"/>
          <w:highlight w:val="none"/>
          <w:u w:val="single" w:color="000000"/>
        </w:rPr>
        <w:t xml:space="preserve"> </w:t>
      </w:r>
      <w:r>
        <w:rPr>
          <w:rFonts w:hint="default" w:hAnsi="宋体"/>
          <w:sz w:val="21"/>
          <w:szCs w:val="24"/>
          <w:highlight w:val="none"/>
          <w:u w:val="single" w:color="000000"/>
        </w:rPr>
        <w:tab/>
      </w:r>
      <w:r>
        <w:rPr>
          <w:rFonts w:hint="default" w:hAnsi="宋体"/>
          <w:sz w:val="21"/>
          <w:szCs w:val="24"/>
          <w:highlight w:val="none"/>
        </w:rPr>
        <w:t>（</w:t>
      </w:r>
      <w:r>
        <w:rPr>
          <w:rFonts w:hint="default" w:hAnsi="宋体"/>
          <w:spacing w:val="-3"/>
          <w:sz w:val="21"/>
          <w:szCs w:val="24"/>
          <w:highlight w:val="none"/>
        </w:rPr>
        <w:t>项</w:t>
      </w:r>
      <w:r>
        <w:rPr>
          <w:rFonts w:hint="default" w:hAnsi="宋体"/>
          <w:sz w:val="21"/>
          <w:szCs w:val="24"/>
          <w:highlight w:val="none"/>
        </w:rPr>
        <w:t>目 名称</w:t>
      </w:r>
      <w:r>
        <w:rPr>
          <w:rFonts w:hint="default" w:hAnsi="宋体"/>
          <w:spacing w:val="-104"/>
          <w:sz w:val="21"/>
          <w:szCs w:val="24"/>
          <w:highlight w:val="none"/>
        </w:rPr>
        <w:t>）</w:t>
      </w:r>
      <w:r>
        <w:rPr>
          <w:rFonts w:hint="default" w:hAnsi="宋体"/>
          <w:sz w:val="21"/>
          <w:szCs w:val="24"/>
          <w:highlight w:val="none"/>
        </w:rPr>
        <w:t>，已接</w:t>
      </w:r>
      <w:r>
        <w:rPr>
          <w:rFonts w:hint="default" w:hAnsi="宋体"/>
          <w:spacing w:val="-1"/>
          <w:sz w:val="21"/>
          <w:szCs w:val="24"/>
          <w:highlight w:val="none"/>
        </w:rPr>
        <w:t>受</w:t>
      </w:r>
      <w:r>
        <w:rPr>
          <w:rFonts w:hint="default" w:hAnsi="宋体"/>
          <w:sz w:val="21"/>
          <w:szCs w:val="24"/>
          <w:highlight w:val="none"/>
          <w:u w:val="single" w:color="000000"/>
        </w:rPr>
        <w:t xml:space="preserve"> </w:t>
      </w:r>
      <w:r>
        <w:rPr>
          <w:rFonts w:hint="default" w:hAnsi="宋体"/>
          <w:sz w:val="21"/>
          <w:szCs w:val="24"/>
          <w:highlight w:val="none"/>
          <w:u w:val="single" w:color="000000"/>
        </w:rPr>
        <w:tab/>
      </w:r>
      <w:r>
        <w:rPr>
          <w:rFonts w:hint="default" w:hAnsi="宋体"/>
          <w:sz w:val="21"/>
          <w:szCs w:val="24"/>
          <w:highlight w:val="none"/>
          <w:u w:val="single" w:color="000000"/>
        </w:rPr>
        <w:tab/>
      </w:r>
      <w:r>
        <w:rPr>
          <w:rFonts w:hint="default" w:hAnsi="宋体"/>
          <w:sz w:val="21"/>
          <w:szCs w:val="24"/>
          <w:highlight w:val="none"/>
        </w:rPr>
        <w:t>（监理人名称，以下简称</w:t>
      </w:r>
      <w:r>
        <w:rPr>
          <w:rFonts w:hint="default" w:hAnsi="宋体"/>
          <w:spacing w:val="-1"/>
          <w:sz w:val="21"/>
          <w:szCs w:val="24"/>
          <w:highlight w:val="none"/>
        </w:rPr>
        <w:t>“</w:t>
      </w:r>
      <w:r>
        <w:rPr>
          <w:rFonts w:hint="default" w:hAnsi="宋体"/>
          <w:sz w:val="21"/>
          <w:szCs w:val="24"/>
          <w:highlight w:val="none"/>
        </w:rPr>
        <w:t>监理人</w:t>
      </w:r>
      <w:r>
        <w:rPr>
          <w:rFonts w:hint="default" w:hAnsi="宋体"/>
          <w:spacing w:val="-1"/>
          <w:sz w:val="21"/>
          <w:szCs w:val="24"/>
          <w:highlight w:val="none"/>
        </w:rPr>
        <w:t>”</w:t>
      </w:r>
      <w:r>
        <w:rPr>
          <w:rFonts w:hint="default" w:hAnsi="宋体"/>
          <w:sz w:val="21"/>
          <w:szCs w:val="24"/>
          <w:highlight w:val="none"/>
        </w:rPr>
        <w:t>）对该项目监理投标。委托人和监理人共同达成如下协议。</w:t>
      </w:r>
    </w:p>
    <w:p w14:paraId="3779A977">
      <w:pPr>
        <w:pStyle w:val="142"/>
        <w:numPr>
          <w:ilvl w:val="0"/>
          <w:numId w:val="9"/>
        </w:numPr>
        <w:tabs>
          <w:tab w:val="left" w:pos="785"/>
        </w:tabs>
        <w:overflowPunct w:val="0"/>
        <w:spacing w:line="360" w:lineRule="auto"/>
        <w:ind w:left="0" w:firstLine="408" w:firstLineChars="200"/>
        <w:rPr>
          <w:rFonts w:hint="default" w:hAnsi="宋体"/>
          <w:spacing w:val="-3"/>
          <w:sz w:val="21"/>
          <w:szCs w:val="24"/>
          <w:highlight w:val="none"/>
        </w:rPr>
      </w:pPr>
      <w:r>
        <w:rPr>
          <w:rFonts w:hint="default" w:hAnsi="宋体"/>
          <w:spacing w:val="-3"/>
          <w:sz w:val="21"/>
          <w:szCs w:val="24"/>
          <w:highlight w:val="none"/>
        </w:rPr>
        <w:t>本协议书与下列文件一起构成合同文件：</w:t>
      </w:r>
    </w:p>
    <w:p w14:paraId="344E72FD">
      <w:pPr>
        <w:pStyle w:val="23"/>
        <w:overflowPunct w:val="0"/>
        <w:spacing w:line="360" w:lineRule="auto"/>
        <w:ind w:firstLine="420" w:firstLineChars="200"/>
        <w:rPr>
          <w:rFonts w:hint="default" w:hAnsi="宋体"/>
          <w:sz w:val="21"/>
          <w:szCs w:val="24"/>
          <w:highlight w:val="none"/>
        </w:rPr>
      </w:pPr>
      <w:r>
        <w:rPr>
          <w:rFonts w:hint="default" w:hAnsi="宋体"/>
          <w:sz w:val="21"/>
          <w:szCs w:val="24"/>
          <w:highlight w:val="none"/>
        </w:rPr>
        <w:t>（1）中标通知书；</w:t>
      </w:r>
    </w:p>
    <w:p w14:paraId="298F798E">
      <w:pPr>
        <w:pStyle w:val="23"/>
        <w:overflowPunct w:val="0"/>
        <w:spacing w:line="360" w:lineRule="auto"/>
        <w:ind w:firstLine="420" w:firstLineChars="200"/>
        <w:rPr>
          <w:rFonts w:hint="default" w:hAnsi="宋体"/>
          <w:sz w:val="21"/>
          <w:szCs w:val="24"/>
          <w:highlight w:val="none"/>
        </w:rPr>
      </w:pPr>
      <w:r>
        <w:rPr>
          <w:rFonts w:hint="default" w:hAnsi="宋体"/>
          <w:sz w:val="21"/>
          <w:szCs w:val="24"/>
          <w:highlight w:val="none"/>
        </w:rPr>
        <w:t>（2）投标函及投标函附录；</w:t>
      </w:r>
    </w:p>
    <w:p w14:paraId="659CAF5B">
      <w:pPr>
        <w:pStyle w:val="23"/>
        <w:overflowPunct w:val="0"/>
        <w:spacing w:line="360" w:lineRule="auto"/>
        <w:ind w:firstLine="420" w:firstLineChars="200"/>
        <w:rPr>
          <w:rFonts w:hint="default" w:hAnsi="宋体"/>
          <w:sz w:val="21"/>
          <w:szCs w:val="24"/>
          <w:highlight w:val="none"/>
        </w:rPr>
      </w:pPr>
      <w:r>
        <w:rPr>
          <w:rFonts w:hint="default" w:hAnsi="宋体"/>
          <w:sz w:val="21"/>
          <w:szCs w:val="24"/>
          <w:highlight w:val="none"/>
        </w:rPr>
        <w:t>（3）专用合同条款；</w:t>
      </w:r>
    </w:p>
    <w:p w14:paraId="1D9932DC">
      <w:pPr>
        <w:pStyle w:val="23"/>
        <w:overflowPunct w:val="0"/>
        <w:spacing w:line="360" w:lineRule="auto"/>
        <w:ind w:firstLine="420" w:firstLineChars="200"/>
        <w:rPr>
          <w:rFonts w:hint="default" w:hAnsi="宋体"/>
          <w:sz w:val="21"/>
          <w:szCs w:val="24"/>
          <w:highlight w:val="none"/>
        </w:rPr>
      </w:pPr>
      <w:r>
        <w:rPr>
          <w:rFonts w:hint="default" w:hAnsi="宋体"/>
          <w:sz w:val="21"/>
          <w:szCs w:val="24"/>
          <w:highlight w:val="none"/>
        </w:rPr>
        <w:t>（4）通用合同条款；</w:t>
      </w:r>
    </w:p>
    <w:p w14:paraId="0A707E19">
      <w:pPr>
        <w:pStyle w:val="23"/>
        <w:overflowPunct w:val="0"/>
        <w:spacing w:line="360" w:lineRule="auto"/>
        <w:ind w:firstLine="420" w:firstLineChars="200"/>
        <w:rPr>
          <w:rFonts w:hint="default" w:hAnsi="宋体"/>
          <w:sz w:val="21"/>
          <w:szCs w:val="24"/>
          <w:highlight w:val="none"/>
        </w:rPr>
      </w:pPr>
      <w:r>
        <w:rPr>
          <w:rFonts w:hint="default" w:hAnsi="宋体"/>
          <w:sz w:val="21"/>
          <w:szCs w:val="24"/>
          <w:highlight w:val="none"/>
        </w:rPr>
        <w:t>（5）委托人要求；</w:t>
      </w:r>
    </w:p>
    <w:p w14:paraId="479C092C">
      <w:pPr>
        <w:pStyle w:val="23"/>
        <w:overflowPunct w:val="0"/>
        <w:spacing w:line="360" w:lineRule="auto"/>
        <w:ind w:firstLine="420" w:firstLineChars="200"/>
        <w:rPr>
          <w:rFonts w:hint="default" w:hAnsi="宋体"/>
          <w:sz w:val="21"/>
          <w:szCs w:val="24"/>
          <w:highlight w:val="none"/>
        </w:rPr>
      </w:pPr>
      <w:r>
        <w:rPr>
          <w:rFonts w:hint="default" w:hAnsi="宋体"/>
          <w:sz w:val="21"/>
          <w:szCs w:val="24"/>
          <w:highlight w:val="none"/>
        </w:rPr>
        <w:t>（6）监理报酬清单；</w:t>
      </w:r>
    </w:p>
    <w:p w14:paraId="2B0BDD13">
      <w:pPr>
        <w:pStyle w:val="23"/>
        <w:overflowPunct w:val="0"/>
        <w:spacing w:line="360" w:lineRule="auto"/>
        <w:ind w:firstLine="420" w:firstLineChars="200"/>
        <w:rPr>
          <w:rFonts w:hint="default" w:hAnsi="宋体"/>
          <w:sz w:val="21"/>
          <w:szCs w:val="24"/>
          <w:highlight w:val="none"/>
        </w:rPr>
      </w:pPr>
      <w:r>
        <w:rPr>
          <w:rFonts w:hint="default" w:hAnsi="宋体"/>
          <w:sz w:val="21"/>
          <w:szCs w:val="24"/>
          <w:highlight w:val="none"/>
        </w:rPr>
        <w:t>（7）监理大纲；</w:t>
      </w:r>
    </w:p>
    <w:p w14:paraId="56363C1D">
      <w:pPr>
        <w:pStyle w:val="23"/>
        <w:overflowPunct w:val="0"/>
        <w:spacing w:line="360" w:lineRule="auto"/>
        <w:ind w:firstLine="420" w:firstLineChars="200"/>
        <w:rPr>
          <w:rFonts w:hint="default" w:hAnsi="宋体"/>
          <w:sz w:val="21"/>
          <w:szCs w:val="24"/>
          <w:highlight w:val="none"/>
        </w:rPr>
      </w:pPr>
      <w:r>
        <w:rPr>
          <w:rFonts w:hint="default" w:hAnsi="宋体"/>
          <w:sz w:val="21"/>
          <w:szCs w:val="24"/>
          <w:highlight w:val="none"/>
        </w:rPr>
        <w:t>（8）其他合同文件。</w:t>
      </w:r>
    </w:p>
    <w:p w14:paraId="1DC6E05D">
      <w:pPr>
        <w:pStyle w:val="142"/>
        <w:numPr>
          <w:ilvl w:val="0"/>
          <w:numId w:val="9"/>
        </w:numPr>
        <w:tabs>
          <w:tab w:val="left" w:pos="785"/>
        </w:tabs>
        <w:overflowPunct w:val="0"/>
        <w:spacing w:line="360" w:lineRule="auto"/>
        <w:ind w:left="0" w:firstLine="400" w:firstLineChars="200"/>
        <w:rPr>
          <w:rFonts w:hint="default" w:hAnsi="宋体"/>
          <w:spacing w:val="-4"/>
          <w:sz w:val="21"/>
          <w:szCs w:val="24"/>
          <w:highlight w:val="none"/>
        </w:rPr>
      </w:pPr>
      <w:r>
        <w:rPr>
          <w:rFonts w:hint="default" w:hAnsi="宋体"/>
          <w:spacing w:val="-5"/>
          <w:sz w:val="21"/>
          <w:szCs w:val="24"/>
          <w:highlight w:val="none"/>
        </w:rPr>
        <w:t>上述合同文件互相补充和解释。如果合同文件之间存在矛盾或不一致之处，以上述文件</w:t>
      </w:r>
      <w:r>
        <w:rPr>
          <w:rFonts w:hint="default" w:hAnsi="宋体"/>
          <w:spacing w:val="-4"/>
          <w:sz w:val="21"/>
          <w:szCs w:val="24"/>
          <w:highlight w:val="none"/>
        </w:rPr>
        <w:t>的排列顺序在先者为准。</w:t>
      </w:r>
    </w:p>
    <w:p w14:paraId="2A13DE9E">
      <w:pPr>
        <w:pStyle w:val="142"/>
        <w:numPr>
          <w:ilvl w:val="0"/>
          <w:numId w:val="9"/>
        </w:numPr>
        <w:tabs>
          <w:tab w:val="left" w:pos="785"/>
          <w:tab w:val="left" w:pos="4984"/>
          <w:tab w:val="left" w:pos="6768"/>
        </w:tabs>
        <w:overflowPunct w:val="0"/>
        <w:spacing w:line="360" w:lineRule="auto"/>
        <w:ind w:left="0" w:firstLine="408" w:firstLineChars="200"/>
        <w:rPr>
          <w:rFonts w:hint="default" w:hAnsi="宋体"/>
          <w:spacing w:val="-106"/>
          <w:sz w:val="21"/>
          <w:szCs w:val="24"/>
          <w:highlight w:val="none"/>
        </w:rPr>
      </w:pPr>
      <w:r>
        <w:rPr>
          <w:rFonts w:hint="default" w:hAnsi="宋体"/>
          <w:spacing w:val="-3"/>
          <w:sz w:val="21"/>
          <w:szCs w:val="24"/>
          <w:highlight w:val="none"/>
        </w:rPr>
        <w:t>签</w:t>
      </w:r>
      <w:r>
        <w:rPr>
          <w:rFonts w:hint="default" w:hAnsi="宋体"/>
          <w:sz w:val="21"/>
          <w:szCs w:val="24"/>
          <w:highlight w:val="none"/>
        </w:rPr>
        <w:t>约</w:t>
      </w:r>
      <w:r>
        <w:rPr>
          <w:rFonts w:hint="default" w:hAnsi="宋体"/>
          <w:spacing w:val="-3"/>
          <w:sz w:val="21"/>
          <w:szCs w:val="24"/>
          <w:highlight w:val="none"/>
        </w:rPr>
        <w:t>合</w:t>
      </w:r>
      <w:r>
        <w:rPr>
          <w:rFonts w:hint="default" w:hAnsi="宋体"/>
          <w:sz w:val="21"/>
          <w:szCs w:val="24"/>
          <w:highlight w:val="none"/>
        </w:rPr>
        <w:t>同</w:t>
      </w:r>
      <w:r>
        <w:rPr>
          <w:rFonts w:hint="default" w:hAnsi="宋体"/>
          <w:spacing w:val="-3"/>
          <w:sz w:val="21"/>
          <w:szCs w:val="24"/>
          <w:highlight w:val="none"/>
        </w:rPr>
        <w:t>价</w:t>
      </w:r>
      <w:r>
        <w:rPr>
          <w:rFonts w:hint="default" w:hAnsi="宋体"/>
          <w:sz w:val="21"/>
          <w:szCs w:val="24"/>
          <w:highlight w:val="none"/>
        </w:rPr>
        <w:t>：</w:t>
      </w:r>
      <w:r>
        <w:rPr>
          <w:rFonts w:hint="default" w:hAnsi="宋体"/>
          <w:spacing w:val="-3"/>
          <w:sz w:val="21"/>
          <w:szCs w:val="24"/>
          <w:highlight w:val="none"/>
        </w:rPr>
        <w:t>人</w:t>
      </w:r>
      <w:r>
        <w:rPr>
          <w:rFonts w:hint="default" w:hAnsi="宋体"/>
          <w:sz w:val="21"/>
          <w:szCs w:val="24"/>
          <w:highlight w:val="none"/>
        </w:rPr>
        <w:t>民</w:t>
      </w:r>
      <w:r>
        <w:rPr>
          <w:rFonts w:hint="default" w:hAnsi="宋体"/>
          <w:spacing w:val="-3"/>
          <w:sz w:val="21"/>
          <w:szCs w:val="24"/>
          <w:highlight w:val="none"/>
        </w:rPr>
        <w:t>币（</w:t>
      </w:r>
      <w:r>
        <w:rPr>
          <w:rFonts w:hint="default" w:hAnsi="宋体"/>
          <w:sz w:val="21"/>
          <w:szCs w:val="24"/>
          <w:highlight w:val="none"/>
        </w:rPr>
        <w:t>大写</w:t>
      </w:r>
      <w:r>
        <w:rPr>
          <w:rFonts w:hint="default" w:hAnsi="宋体"/>
          <w:spacing w:val="-3"/>
          <w:sz w:val="21"/>
          <w:szCs w:val="24"/>
          <w:highlight w:val="none"/>
        </w:rPr>
        <w:t>）</w:t>
      </w:r>
      <w:r>
        <w:rPr>
          <w:rFonts w:hint="default" w:hAnsi="宋体"/>
          <w:spacing w:val="-3"/>
          <w:sz w:val="21"/>
          <w:szCs w:val="24"/>
          <w:highlight w:val="none"/>
          <w:u w:val="single" w:color="000000"/>
        </w:rPr>
        <w:t xml:space="preserve"> </w:t>
      </w:r>
      <w:r>
        <w:rPr>
          <w:rFonts w:hint="default" w:hAnsi="宋体"/>
          <w:spacing w:val="-3"/>
          <w:sz w:val="21"/>
          <w:szCs w:val="24"/>
          <w:highlight w:val="none"/>
          <w:u w:val="single" w:color="000000"/>
        </w:rPr>
        <w:tab/>
      </w:r>
      <w:r>
        <w:rPr>
          <w:rFonts w:hint="default" w:hAnsi="宋体"/>
          <w:spacing w:val="-3"/>
          <w:sz w:val="21"/>
          <w:szCs w:val="24"/>
          <w:highlight w:val="none"/>
        </w:rPr>
        <w:t>（¥</w:t>
      </w:r>
      <w:r>
        <w:rPr>
          <w:rFonts w:hint="default" w:hAnsi="宋体"/>
          <w:spacing w:val="-3"/>
          <w:sz w:val="21"/>
          <w:szCs w:val="24"/>
          <w:highlight w:val="none"/>
          <w:u w:val="single" w:color="000000"/>
        </w:rPr>
        <w:t xml:space="preserve"> </w:t>
      </w:r>
      <w:r>
        <w:rPr>
          <w:rFonts w:hint="default" w:hAnsi="宋体"/>
          <w:spacing w:val="-3"/>
          <w:sz w:val="21"/>
          <w:szCs w:val="24"/>
          <w:highlight w:val="none"/>
          <w:u w:val="single" w:color="000000"/>
        </w:rPr>
        <w:tab/>
      </w:r>
      <w:r>
        <w:rPr>
          <w:rFonts w:hint="default" w:hAnsi="宋体"/>
          <w:spacing w:val="-106"/>
          <w:sz w:val="21"/>
          <w:szCs w:val="24"/>
          <w:highlight w:val="none"/>
        </w:rPr>
        <w:t>）。</w:t>
      </w:r>
    </w:p>
    <w:p w14:paraId="018AFF26">
      <w:pPr>
        <w:pStyle w:val="142"/>
        <w:numPr>
          <w:ilvl w:val="0"/>
          <w:numId w:val="9"/>
        </w:numPr>
        <w:tabs>
          <w:tab w:val="left" w:pos="785"/>
          <w:tab w:val="left" w:pos="3304"/>
        </w:tabs>
        <w:overflowPunct w:val="0"/>
        <w:spacing w:line="360" w:lineRule="auto"/>
        <w:ind w:left="0" w:firstLine="408" w:firstLineChars="200"/>
        <w:rPr>
          <w:rFonts w:hint="default" w:hAnsi="宋体"/>
          <w:sz w:val="21"/>
          <w:szCs w:val="24"/>
          <w:highlight w:val="none"/>
        </w:rPr>
      </w:pPr>
      <w:r>
        <w:rPr>
          <w:rFonts w:hint="default" w:hAnsi="宋体"/>
          <w:spacing w:val="-3"/>
          <w:sz w:val="21"/>
          <w:szCs w:val="24"/>
          <w:highlight w:val="none"/>
        </w:rPr>
        <w:t>总</w:t>
      </w:r>
      <w:r>
        <w:rPr>
          <w:rFonts w:hint="default" w:hAnsi="宋体"/>
          <w:sz w:val="21"/>
          <w:szCs w:val="24"/>
          <w:highlight w:val="none"/>
        </w:rPr>
        <w:t>监</w:t>
      </w:r>
      <w:r>
        <w:rPr>
          <w:rFonts w:hint="default" w:hAnsi="宋体"/>
          <w:spacing w:val="-3"/>
          <w:sz w:val="21"/>
          <w:szCs w:val="24"/>
          <w:highlight w:val="none"/>
        </w:rPr>
        <w:t>理</w:t>
      </w:r>
      <w:r>
        <w:rPr>
          <w:rFonts w:hint="default" w:hAnsi="宋体"/>
          <w:sz w:val="21"/>
          <w:szCs w:val="24"/>
          <w:highlight w:val="none"/>
        </w:rPr>
        <w:t>工</w:t>
      </w:r>
      <w:r>
        <w:rPr>
          <w:rFonts w:hint="default" w:hAnsi="宋体"/>
          <w:spacing w:val="-3"/>
          <w:sz w:val="21"/>
          <w:szCs w:val="24"/>
          <w:highlight w:val="none"/>
        </w:rPr>
        <w:t>程</w:t>
      </w:r>
      <w:r>
        <w:rPr>
          <w:rFonts w:hint="default" w:hAnsi="宋体"/>
          <w:sz w:val="21"/>
          <w:szCs w:val="24"/>
          <w:highlight w:val="none"/>
        </w:rPr>
        <w:t>师：</w:t>
      </w:r>
      <w:r>
        <w:rPr>
          <w:rFonts w:hint="default" w:hAnsi="宋体"/>
          <w:sz w:val="21"/>
          <w:szCs w:val="24"/>
          <w:highlight w:val="none"/>
          <w:u w:val="single" w:color="000000"/>
        </w:rPr>
        <w:t xml:space="preserve"> </w:t>
      </w:r>
      <w:r>
        <w:rPr>
          <w:rFonts w:hint="default" w:hAnsi="宋体"/>
          <w:sz w:val="21"/>
          <w:szCs w:val="24"/>
          <w:highlight w:val="none"/>
          <w:u w:val="single" w:color="000000"/>
        </w:rPr>
        <w:tab/>
      </w:r>
      <w:r>
        <w:rPr>
          <w:rFonts w:hint="default" w:hAnsi="宋体"/>
          <w:sz w:val="21"/>
          <w:szCs w:val="24"/>
          <w:highlight w:val="none"/>
        </w:rPr>
        <w:t>。</w:t>
      </w:r>
    </w:p>
    <w:p w14:paraId="77BD4479">
      <w:pPr>
        <w:pStyle w:val="142"/>
        <w:numPr>
          <w:ilvl w:val="0"/>
          <w:numId w:val="9"/>
        </w:numPr>
        <w:tabs>
          <w:tab w:val="left" w:pos="785"/>
          <w:tab w:val="left" w:pos="6348"/>
        </w:tabs>
        <w:overflowPunct w:val="0"/>
        <w:spacing w:line="360" w:lineRule="auto"/>
        <w:ind w:left="0" w:firstLine="408" w:firstLineChars="200"/>
        <w:rPr>
          <w:rFonts w:hint="default" w:hAnsi="宋体"/>
          <w:sz w:val="21"/>
          <w:szCs w:val="24"/>
          <w:highlight w:val="none"/>
        </w:rPr>
      </w:pPr>
      <w:r>
        <w:rPr>
          <w:rFonts w:hint="default" w:hAnsi="宋体"/>
          <w:spacing w:val="-3"/>
          <w:sz w:val="21"/>
          <w:szCs w:val="24"/>
          <w:highlight w:val="none"/>
        </w:rPr>
        <w:t>监</w:t>
      </w:r>
      <w:r>
        <w:rPr>
          <w:rFonts w:hint="default" w:hAnsi="宋体"/>
          <w:sz w:val="21"/>
          <w:szCs w:val="24"/>
          <w:highlight w:val="none"/>
        </w:rPr>
        <w:t>理</w:t>
      </w:r>
      <w:r>
        <w:rPr>
          <w:rFonts w:hint="default" w:hAnsi="宋体"/>
          <w:spacing w:val="-3"/>
          <w:sz w:val="21"/>
          <w:szCs w:val="24"/>
          <w:highlight w:val="none"/>
        </w:rPr>
        <w:t>工</w:t>
      </w:r>
      <w:r>
        <w:rPr>
          <w:rFonts w:hint="default" w:hAnsi="宋体"/>
          <w:sz w:val="21"/>
          <w:szCs w:val="24"/>
          <w:highlight w:val="none"/>
        </w:rPr>
        <w:t>作</w:t>
      </w:r>
      <w:r>
        <w:rPr>
          <w:rFonts w:hint="default" w:hAnsi="宋体"/>
          <w:spacing w:val="-3"/>
          <w:sz w:val="21"/>
          <w:szCs w:val="24"/>
          <w:highlight w:val="none"/>
        </w:rPr>
        <w:t>质</w:t>
      </w:r>
      <w:r>
        <w:rPr>
          <w:rFonts w:hint="default" w:hAnsi="宋体"/>
          <w:sz w:val="21"/>
          <w:szCs w:val="24"/>
          <w:highlight w:val="none"/>
        </w:rPr>
        <w:t>量</w:t>
      </w:r>
      <w:r>
        <w:rPr>
          <w:rFonts w:hint="default" w:hAnsi="宋体"/>
          <w:spacing w:val="-3"/>
          <w:sz w:val="21"/>
          <w:szCs w:val="24"/>
          <w:highlight w:val="none"/>
        </w:rPr>
        <w:t>符</w:t>
      </w:r>
      <w:r>
        <w:rPr>
          <w:rFonts w:hint="default" w:hAnsi="宋体"/>
          <w:sz w:val="21"/>
          <w:szCs w:val="24"/>
          <w:highlight w:val="none"/>
        </w:rPr>
        <w:t>合</w:t>
      </w:r>
      <w:r>
        <w:rPr>
          <w:rFonts w:hint="default" w:hAnsi="宋体"/>
          <w:spacing w:val="-3"/>
          <w:sz w:val="21"/>
          <w:szCs w:val="24"/>
          <w:highlight w:val="none"/>
        </w:rPr>
        <w:t>的标</w:t>
      </w:r>
      <w:r>
        <w:rPr>
          <w:rFonts w:hint="default" w:hAnsi="宋体"/>
          <w:sz w:val="21"/>
          <w:szCs w:val="24"/>
          <w:highlight w:val="none"/>
        </w:rPr>
        <w:t>准和</w:t>
      </w:r>
      <w:r>
        <w:rPr>
          <w:rFonts w:hint="default" w:hAnsi="宋体"/>
          <w:spacing w:val="-3"/>
          <w:sz w:val="21"/>
          <w:szCs w:val="24"/>
          <w:highlight w:val="none"/>
        </w:rPr>
        <w:t>要</w:t>
      </w:r>
      <w:r>
        <w:rPr>
          <w:rFonts w:hint="default" w:hAnsi="宋体"/>
          <w:sz w:val="21"/>
          <w:szCs w:val="24"/>
          <w:highlight w:val="none"/>
        </w:rPr>
        <w:t>求</w:t>
      </w:r>
      <w:r>
        <w:rPr>
          <w:rFonts w:hint="default" w:hAnsi="宋体"/>
          <w:spacing w:val="-3"/>
          <w:sz w:val="21"/>
          <w:szCs w:val="24"/>
          <w:highlight w:val="none"/>
        </w:rPr>
        <w:t>：</w:t>
      </w:r>
      <w:r>
        <w:rPr>
          <w:rFonts w:hint="default" w:hAnsi="宋体"/>
          <w:spacing w:val="-3"/>
          <w:sz w:val="21"/>
          <w:szCs w:val="24"/>
          <w:highlight w:val="none"/>
          <w:u w:val="single" w:color="000000"/>
        </w:rPr>
        <w:t xml:space="preserve"> </w:t>
      </w:r>
      <w:r>
        <w:rPr>
          <w:rFonts w:hint="default" w:hAnsi="宋体"/>
          <w:spacing w:val="-3"/>
          <w:sz w:val="21"/>
          <w:szCs w:val="24"/>
          <w:highlight w:val="none"/>
          <w:u w:val="single" w:color="000000"/>
        </w:rPr>
        <w:tab/>
      </w:r>
      <w:r>
        <w:rPr>
          <w:rFonts w:hint="default" w:hAnsi="宋体"/>
          <w:sz w:val="21"/>
          <w:szCs w:val="24"/>
          <w:highlight w:val="none"/>
        </w:rPr>
        <w:t>。</w:t>
      </w:r>
    </w:p>
    <w:p w14:paraId="7DC354BA">
      <w:pPr>
        <w:pStyle w:val="142"/>
        <w:numPr>
          <w:ilvl w:val="0"/>
          <w:numId w:val="9"/>
        </w:numPr>
        <w:tabs>
          <w:tab w:val="left" w:pos="785"/>
        </w:tabs>
        <w:overflowPunct w:val="0"/>
        <w:spacing w:line="360" w:lineRule="auto"/>
        <w:ind w:left="0" w:firstLine="408" w:firstLineChars="200"/>
        <w:rPr>
          <w:rFonts w:hint="default" w:hAnsi="宋体"/>
          <w:spacing w:val="-3"/>
          <w:sz w:val="21"/>
          <w:szCs w:val="24"/>
          <w:highlight w:val="none"/>
        </w:rPr>
      </w:pPr>
      <w:r>
        <w:rPr>
          <w:rFonts w:hint="default" w:hAnsi="宋体"/>
          <w:spacing w:val="-3"/>
          <w:sz w:val="21"/>
          <w:szCs w:val="24"/>
          <w:highlight w:val="none"/>
        </w:rPr>
        <w:t>监理人承诺按合同约定承担工程的监理工作。</w:t>
      </w:r>
    </w:p>
    <w:p w14:paraId="3684BCD0">
      <w:pPr>
        <w:pStyle w:val="142"/>
        <w:numPr>
          <w:ilvl w:val="0"/>
          <w:numId w:val="9"/>
        </w:numPr>
        <w:tabs>
          <w:tab w:val="left" w:pos="785"/>
        </w:tabs>
        <w:overflowPunct w:val="0"/>
        <w:spacing w:line="360" w:lineRule="auto"/>
        <w:ind w:left="0" w:firstLine="408" w:firstLineChars="200"/>
        <w:rPr>
          <w:rFonts w:hint="default" w:hAnsi="宋体"/>
          <w:spacing w:val="-3"/>
          <w:sz w:val="21"/>
          <w:szCs w:val="24"/>
          <w:highlight w:val="none"/>
        </w:rPr>
      </w:pPr>
      <w:r>
        <w:rPr>
          <w:rFonts w:hint="default" w:hAnsi="宋体"/>
          <w:spacing w:val="-3"/>
          <w:sz w:val="21"/>
          <w:szCs w:val="24"/>
          <w:highlight w:val="none"/>
        </w:rPr>
        <w:t>委托人承诺按合同约定的条件、时间和方式向监理人支付合同价款。</w:t>
      </w:r>
    </w:p>
    <w:p w14:paraId="3AFEEE9D">
      <w:pPr>
        <w:pStyle w:val="142"/>
        <w:numPr>
          <w:ilvl w:val="0"/>
          <w:numId w:val="9"/>
        </w:numPr>
        <w:tabs>
          <w:tab w:val="left" w:pos="785"/>
          <w:tab w:val="left" w:pos="4718"/>
        </w:tabs>
        <w:overflowPunct w:val="0"/>
        <w:spacing w:line="360" w:lineRule="auto"/>
        <w:ind w:left="0" w:firstLine="420" w:firstLineChars="200"/>
        <w:rPr>
          <w:rFonts w:hint="default" w:hAnsi="宋体"/>
          <w:sz w:val="21"/>
          <w:szCs w:val="24"/>
          <w:highlight w:val="none"/>
        </w:rPr>
      </w:pPr>
      <w:r>
        <w:rPr>
          <w:rFonts w:hint="default" w:hAnsi="宋体"/>
          <w:sz w:val="21"/>
          <w:szCs w:val="24"/>
          <w:highlight w:val="none"/>
        </w:rPr>
        <w:t>监理人计划开始监理日期：</w:t>
      </w:r>
      <w:r>
        <w:rPr>
          <w:rFonts w:hint="default" w:hAnsi="宋体"/>
          <w:sz w:val="21"/>
          <w:szCs w:val="24"/>
          <w:highlight w:val="none"/>
          <w:u w:val="single" w:color="000000"/>
        </w:rPr>
        <w:t xml:space="preserve"> </w:t>
      </w:r>
      <w:r>
        <w:rPr>
          <w:rFonts w:hint="default" w:hAnsi="宋体"/>
          <w:sz w:val="21"/>
          <w:szCs w:val="24"/>
          <w:highlight w:val="none"/>
          <w:u w:val="single" w:color="000000"/>
        </w:rPr>
        <w:tab/>
      </w:r>
      <w:r>
        <w:rPr>
          <w:rFonts w:hint="default" w:hAnsi="宋体"/>
          <w:sz w:val="21"/>
          <w:szCs w:val="24"/>
          <w:highlight w:val="none"/>
        </w:rPr>
        <w:t>，实际日期按照委托人在开始监理通知中载明的开始监理日期为准。监理服务期限为</w:t>
      </w:r>
      <w:r>
        <w:rPr>
          <w:rFonts w:hint="default" w:hAnsi="宋体"/>
          <w:sz w:val="21"/>
          <w:szCs w:val="24"/>
          <w:highlight w:val="none"/>
          <w:u w:val="single"/>
        </w:rPr>
        <w:t xml:space="preserve">       </w:t>
      </w:r>
      <w:r>
        <w:rPr>
          <w:rFonts w:hint="default" w:hAnsi="宋体"/>
          <w:sz w:val="21"/>
          <w:szCs w:val="24"/>
          <w:highlight w:val="none"/>
        </w:rPr>
        <w:t>天。</w:t>
      </w:r>
    </w:p>
    <w:p w14:paraId="3831C51F">
      <w:pPr>
        <w:pStyle w:val="142"/>
        <w:numPr>
          <w:ilvl w:val="0"/>
          <w:numId w:val="9"/>
        </w:numPr>
        <w:tabs>
          <w:tab w:val="left" w:pos="785"/>
          <w:tab w:val="left" w:pos="3199"/>
          <w:tab w:val="left" w:pos="5614"/>
        </w:tabs>
        <w:overflowPunct w:val="0"/>
        <w:spacing w:line="360" w:lineRule="auto"/>
        <w:ind w:left="0" w:firstLine="408" w:firstLineChars="200"/>
        <w:rPr>
          <w:rFonts w:hint="default" w:hAnsi="宋体"/>
          <w:sz w:val="21"/>
          <w:szCs w:val="24"/>
          <w:highlight w:val="none"/>
        </w:rPr>
      </w:pPr>
      <w:r>
        <w:rPr>
          <w:rFonts w:hint="default" w:hAnsi="宋体"/>
          <w:spacing w:val="-3"/>
          <w:sz w:val="21"/>
          <w:szCs w:val="24"/>
          <w:highlight w:val="none"/>
        </w:rPr>
        <w:t>本合同协议书自双方盖章并经双方法定代表人过委托代理人签字之日生效。</w:t>
      </w:r>
    </w:p>
    <w:p w14:paraId="535755D1">
      <w:pPr>
        <w:pStyle w:val="142"/>
        <w:numPr>
          <w:ilvl w:val="0"/>
          <w:numId w:val="9"/>
        </w:numPr>
        <w:tabs>
          <w:tab w:val="left" w:pos="785"/>
          <w:tab w:val="left" w:pos="3199"/>
          <w:tab w:val="left" w:pos="5614"/>
        </w:tabs>
        <w:overflowPunct w:val="0"/>
        <w:spacing w:line="360" w:lineRule="auto"/>
        <w:ind w:left="0" w:firstLine="408" w:firstLineChars="200"/>
        <w:rPr>
          <w:rFonts w:hint="default" w:hAnsi="宋体"/>
          <w:spacing w:val="-3"/>
          <w:sz w:val="21"/>
          <w:szCs w:val="24"/>
          <w:highlight w:val="none"/>
        </w:rPr>
      </w:pPr>
      <w:r>
        <w:rPr>
          <w:rFonts w:hint="default" w:hAnsi="宋体"/>
          <w:spacing w:val="-3"/>
          <w:sz w:val="21"/>
          <w:szCs w:val="24"/>
          <w:highlight w:val="none"/>
        </w:rPr>
        <w:t>本</w:t>
      </w:r>
      <w:r>
        <w:rPr>
          <w:rFonts w:hint="default" w:hAnsi="宋体"/>
          <w:sz w:val="21"/>
          <w:szCs w:val="24"/>
          <w:highlight w:val="none"/>
        </w:rPr>
        <w:t>合</w:t>
      </w:r>
      <w:r>
        <w:rPr>
          <w:rFonts w:hint="default" w:hAnsi="宋体"/>
          <w:spacing w:val="-3"/>
          <w:sz w:val="21"/>
          <w:szCs w:val="24"/>
          <w:highlight w:val="none"/>
        </w:rPr>
        <w:t>同</w:t>
      </w:r>
      <w:r>
        <w:rPr>
          <w:rFonts w:hint="default" w:hAnsi="宋体"/>
          <w:sz w:val="21"/>
          <w:szCs w:val="24"/>
          <w:highlight w:val="none"/>
        </w:rPr>
        <w:t>协</w:t>
      </w:r>
      <w:r>
        <w:rPr>
          <w:rFonts w:hint="default" w:hAnsi="宋体"/>
          <w:spacing w:val="-3"/>
          <w:sz w:val="21"/>
          <w:szCs w:val="24"/>
          <w:highlight w:val="none"/>
        </w:rPr>
        <w:t>议</w:t>
      </w:r>
      <w:r>
        <w:rPr>
          <w:rFonts w:hint="default" w:hAnsi="宋体"/>
          <w:sz w:val="21"/>
          <w:szCs w:val="24"/>
          <w:highlight w:val="none"/>
        </w:rPr>
        <w:t>书</w:t>
      </w:r>
      <w:r>
        <w:rPr>
          <w:rFonts w:hint="default" w:hAnsi="宋体"/>
          <w:spacing w:val="-3"/>
          <w:sz w:val="21"/>
          <w:szCs w:val="24"/>
          <w:highlight w:val="none"/>
        </w:rPr>
        <w:t>一</w:t>
      </w:r>
      <w:r>
        <w:rPr>
          <w:rFonts w:hint="default" w:hAnsi="宋体"/>
          <w:sz w:val="21"/>
          <w:szCs w:val="24"/>
          <w:highlight w:val="none"/>
        </w:rPr>
        <w:t>式</w:t>
      </w:r>
      <w:r>
        <w:rPr>
          <w:rFonts w:hint="default" w:hAnsi="宋体"/>
          <w:sz w:val="21"/>
          <w:szCs w:val="24"/>
          <w:highlight w:val="none"/>
          <w:u w:val="single"/>
        </w:rPr>
        <w:t xml:space="preserve"> 捌 </w:t>
      </w:r>
      <w:r>
        <w:rPr>
          <w:rFonts w:hint="default" w:hAnsi="宋体"/>
          <w:spacing w:val="-3"/>
          <w:sz w:val="21"/>
          <w:szCs w:val="24"/>
          <w:highlight w:val="none"/>
        </w:rPr>
        <w:t>份</w:t>
      </w:r>
      <w:r>
        <w:rPr>
          <w:rFonts w:hint="default" w:hAnsi="宋体"/>
          <w:sz w:val="21"/>
          <w:szCs w:val="24"/>
          <w:highlight w:val="none"/>
        </w:rPr>
        <w:t>，</w:t>
      </w:r>
      <w:r>
        <w:rPr>
          <w:rFonts w:hint="default" w:hAnsi="宋体"/>
          <w:spacing w:val="-3"/>
          <w:sz w:val="21"/>
          <w:szCs w:val="24"/>
          <w:highlight w:val="none"/>
        </w:rPr>
        <w:t>合</w:t>
      </w:r>
      <w:r>
        <w:rPr>
          <w:rFonts w:hint="default" w:hAnsi="宋体"/>
          <w:sz w:val="21"/>
          <w:szCs w:val="24"/>
          <w:highlight w:val="none"/>
        </w:rPr>
        <w:t>同</w:t>
      </w:r>
      <w:r>
        <w:rPr>
          <w:rFonts w:hint="default" w:hAnsi="宋体"/>
          <w:spacing w:val="-3"/>
          <w:sz w:val="21"/>
          <w:szCs w:val="24"/>
          <w:highlight w:val="none"/>
        </w:rPr>
        <w:t>双</w:t>
      </w:r>
      <w:r>
        <w:rPr>
          <w:rFonts w:hint="default" w:hAnsi="宋体"/>
          <w:sz w:val="21"/>
          <w:szCs w:val="24"/>
          <w:highlight w:val="none"/>
        </w:rPr>
        <w:t>方</w:t>
      </w:r>
      <w:r>
        <w:rPr>
          <w:rFonts w:hint="default" w:hAnsi="宋体"/>
          <w:spacing w:val="-3"/>
          <w:sz w:val="21"/>
          <w:szCs w:val="24"/>
          <w:highlight w:val="none"/>
        </w:rPr>
        <w:t>各</w:t>
      </w:r>
      <w:r>
        <w:rPr>
          <w:rFonts w:hint="default" w:hAnsi="宋体"/>
          <w:sz w:val="21"/>
          <w:szCs w:val="24"/>
          <w:highlight w:val="none"/>
        </w:rPr>
        <w:t>执</w:t>
      </w:r>
      <w:r>
        <w:rPr>
          <w:rFonts w:hint="default" w:hAnsi="宋体"/>
          <w:sz w:val="21"/>
          <w:szCs w:val="24"/>
          <w:highlight w:val="none"/>
          <w:u w:val="single"/>
        </w:rPr>
        <w:t xml:space="preserve"> 肆 </w:t>
      </w:r>
      <w:r>
        <w:rPr>
          <w:rFonts w:hint="default" w:hAnsi="宋体"/>
          <w:spacing w:val="-3"/>
          <w:sz w:val="21"/>
          <w:szCs w:val="24"/>
          <w:highlight w:val="none"/>
        </w:rPr>
        <w:t>份。</w:t>
      </w:r>
    </w:p>
    <w:p w14:paraId="0DF129DA">
      <w:pPr>
        <w:pStyle w:val="142"/>
        <w:numPr>
          <w:ilvl w:val="0"/>
          <w:numId w:val="9"/>
        </w:numPr>
        <w:tabs>
          <w:tab w:val="left" w:pos="890"/>
        </w:tabs>
        <w:overflowPunct w:val="0"/>
        <w:spacing w:line="360" w:lineRule="auto"/>
        <w:ind w:left="0" w:firstLine="408" w:firstLineChars="200"/>
        <w:rPr>
          <w:rFonts w:hint="default" w:hAnsi="宋体"/>
          <w:spacing w:val="-3"/>
          <w:sz w:val="21"/>
          <w:szCs w:val="24"/>
          <w:highlight w:val="none"/>
        </w:rPr>
      </w:pPr>
      <w:r>
        <w:rPr>
          <w:rFonts w:hint="default" w:hAnsi="宋体"/>
          <w:spacing w:val="-3"/>
          <w:sz w:val="21"/>
          <w:szCs w:val="24"/>
          <w:highlight w:val="none"/>
        </w:rPr>
        <w:t>合同未尽事宜，双方另行签订补充协议。补充协议是合同的组成部分。</w:t>
      </w:r>
    </w:p>
    <w:p w14:paraId="506A2D18">
      <w:pPr>
        <w:pStyle w:val="23"/>
        <w:overflowPunct w:val="0"/>
        <w:spacing w:line="360" w:lineRule="auto"/>
        <w:rPr>
          <w:rFonts w:hint="default" w:hAnsi="宋体"/>
          <w:sz w:val="20"/>
          <w:szCs w:val="24"/>
          <w:highlight w:val="none"/>
        </w:rPr>
      </w:pPr>
      <w:r>
        <w:rPr>
          <w:rFonts w:hint="default" w:hAnsi="宋体"/>
          <w:sz w:val="20"/>
          <w:szCs w:val="24"/>
          <w:highlight w:val="none"/>
        </w:rPr>
        <w:t>（本页无正文，为签署页）</w:t>
      </w:r>
    </w:p>
    <w:p w14:paraId="245DB063">
      <w:pPr>
        <w:pStyle w:val="23"/>
        <w:overflowPunct w:val="0"/>
        <w:spacing w:line="360" w:lineRule="auto"/>
        <w:rPr>
          <w:rFonts w:hint="default" w:hAnsi="宋体"/>
          <w:sz w:val="20"/>
          <w:szCs w:val="24"/>
          <w:highlight w:val="none"/>
        </w:rPr>
      </w:pPr>
    </w:p>
    <w:tbl>
      <w:tblPr>
        <w:tblStyle w:val="49"/>
        <w:tblW w:w="8340" w:type="dxa"/>
        <w:tblInd w:w="0" w:type="dxa"/>
        <w:tblLayout w:type="fixed"/>
        <w:tblCellMar>
          <w:top w:w="0" w:type="dxa"/>
          <w:left w:w="0" w:type="dxa"/>
          <w:bottom w:w="0" w:type="dxa"/>
          <w:right w:w="0" w:type="dxa"/>
        </w:tblCellMar>
      </w:tblPr>
      <w:tblGrid>
        <w:gridCol w:w="4127"/>
        <w:gridCol w:w="4213"/>
      </w:tblGrid>
      <w:tr w14:paraId="602B251D">
        <w:trPr>
          <w:trHeight w:val="454" w:hRule="atLeast"/>
        </w:trPr>
        <w:tc>
          <w:tcPr>
            <w:tcW w:w="4127" w:type="dxa"/>
            <w:tcBorders>
              <w:top w:val="nil"/>
              <w:left w:val="nil"/>
              <w:bottom w:val="nil"/>
              <w:right w:val="nil"/>
            </w:tcBorders>
            <w:noWrap/>
            <w:tcMar>
              <w:top w:w="15" w:type="dxa"/>
              <w:left w:w="15" w:type="dxa"/>
              <w:right w:w="15" w:type="dxa"/>
            </w:tcMar>
            <w:vAlign w:val="center"/>
          </w:tcPr>
          <w:p w14:paraId="11635E92">
            <w:pPr>
              <w:keepNext w:val="0"/>
              <w:keepLines w:val="0"/>
              <w:pageBreakBefore w:val="0"/>
              <w:widowControl w:val="0"/>
              <w:kinsoku/>
              <w:wordWrap/>
              <w:overflowPunct/>
              <w:topLinePunct w:val="0"/>
              <w:autoSpaceDE/>
              <w:autoSpaceDN/>
              <w:bidi w:val="0"/>
              <w:adjustRightInd/>
              <w:snapToGrid/>
              <w:spacing w:before="100" w:beforeAutospacing="0" w:after="100" w:line="240" w:lineRule="auto"/>
              <w:textAlignment w:val="auto"/>
              <w:rPr>
                <w:rFonts w:hint="eastAsia" w:ascii="宋体" w:hAnsi="宋体" w:eastAsia="宋体" w:cs="宋体"/>
                <w:bCs/>
                <w:color w:val="000000" w:themeColor="text1"/>
                <w:sz w:val="21"/>
                <w:szCs w:val="21"/>
                <w:highlight w:val="none"/>
                <w:lang w:eastAsia="zh-TW"/>
                <w14:textFill>
                  <w14:solidFill>
                    <w14:schemeClr w14:val="tx1"/>
                  </w14:solidFill>
                </w14:textFill>
              </w:rPr>
            </w:pPr>
            <w:r>
              <w:rPr>
                <w:rFonts w:hint="eastAsia" w:ascii="宋体" w:hAnsi="宋体" w:cs="宋体"/>
                <w:bCs/>
                <w:color w:val="000000" w:themeColor="text1"/>
                <w:sz w:val="21"/>
                <w:szCs w:val="21"/>
                <w:highlight w:val="none"/>
                <w:lang w:eastAsia="zh-CN"/>
                <w14:textFill>
                  <w14:solidFill>
                    <w14:schemeClr w14:val="tx1"/>
                  </w14:solidFill>
                </w14:textFill>
              </w:rPr>
              <w:t>委托人</w:t>
            </w:r>
            <w:r>
              <w:rPr>
                <w:rFonts w:hint="eastAsia" w:ascii="宋体" w:hAnsi="宋体" w:eastAsia="宋体" w:cs="宋体"/>
                <w:bCs/>
                <w:color w:val="000000" w:themeColor="text1"/>
                <w:sz w:val="21"/>
                <w:szCs w:val="21"/>
                <w:highlight w:val="none"/>
                <w:lang w:eastAsia="zh-TW"/>
                <w14:textFill>
                  <w14:solidFill>
                    <w14:schemeClr w14:val="tx1"/>
                  </w14:solidFill>
                </w14:textFill>
              </w:rPr>
              <w:t>：（盖章/合同专用章）</w:t>
            </w:r>
          </w:p>
        </w:tc>
        <w:tc>
          <w:tcPr>
            <w:tcW w:w="4213" w:type="dxa"/>
            <w:tcBorders>
              <w:top w:val="nil"/>
              <w:left w:val="nil"/>
              <w:bottom w:val="nil"/>
              <w:right w:val="nil"/>
            </w:tcBorders>
            <w:noWrap/>
            <w:tcMar>
              <w:top w:w="15" w:type="dxa"/>
              <w:left w:w="15" w:type="dxa"/>
              <w:right w:w="15" w:type="dxa"/>
            </w:tcMar>
            <w:vAlign w:val="center"/>
          </w:tcPr>
          <w:p w14:paraId="43BC99F9">
            <w:pPr>
              <w:keepNext w:val="0"/>
              <w:keepLines w:val="0"/>
              <w:pageBreakBefore w:val="0"/>
              <w:widowControl w:val="0"/>
              <w:kinsoku/>
              <w:wordWrap/>
              <w:overflowPunct/>
              <w:topLinePunct w:val="0"/>
              <w:autoSpaceDE/>
              <w:autoSpaceDN/>
              <w:bidi w:val="0"/>
              <w:adjustRightInd/>
              <w:snapToGrid/>
              <w:spacing w:before="100" w:beforeAutospacing="0" w:after="100" w:line="240" w:lineRule="auto"/>
              <w:textAlignment w:val="auto"/>
              <w:rPr>
                <w:rFonts w:hint="eastAsia" w:ascii="宋体" w:hAnsi="宋体" w:eastAsia="宋体" w:cs="宋体"/>
                <w:bCs/>
                <w:color w:val="000000" w:themeColor="text1"/>
                <w:sz w:val="21"/>
                <w:szCs w:val="21"/>
                <w:highlight w:val="none"/>
                <w:lang w:eastAsia="zh-TW"/>
                <w14:textFill>
                  <w14:solidFill>
                    <w14:schemeClr w14:val="tx1"/>
                  </w14:solidFill>
                </w14:textFill>
              </w:rPr>
            </w:pPr>
            <w:r>
              <w:rPr>
                <w:rFonts w:hint="eastAsia" w:ascii="宋体" w:hAnsi="宋体" w:cs="宋体"/>
                <w:bCs/>
                <w:color w:val="000000" w:themeColor="text1"/>
                <w:sz w:val="21"/>
                <w:szCs w:val="21"/>
                <w:highlight w:val="none"/>
                <w:lang w:eastAsia="zh-CN"/>
                <w14:textFill>
                  <w14:solidFill>
                    <w14:schemeClr w14:val="tx1"/>
                  </w14:solidFill>
                </w14:textFill>
              </w:rPr>
              <w:t>监理人</w:t>
            </w:r>
            <w:r>
              <w:rPr>
                <w:rFonts w:hint="eastAsia" w:ascii="宋体" w:hAnsi="宋体" w:eastAsia="宋体" w:cs="宋体"/>
                <w:bCs/>
                <w:color w:val="000000" w:themeColor="text1"/>
                <w:sz w:val="21"/>
                <w:szCs w:val="21"/>
                <w:highlight w:val="none"/>
                <w:lang w:eastAsia="zh-TW"/>
                <w14:textFill>
                  <w14:solidFill>
                    <w14:schemeClr w14:val="tx1"/>
                  </w14:solidFill>
                </w14:textFill>
              </w:rPr>
              <w:t>：（盖章/合同专用章）</w:t>
            </w:r>
          </w:p>
        </w:tc>
      </w:tr>
      <w:tr w14:paraId="0937F1D6">
        <w:trPr>
          <w:trHeight w:val="454" w:hRule="atLeast"/>
        </w:trPr>
        <w:tc>
          <w:tcPr>
            <w:tcW w:w="4127" w:type="dxa"/>
            <w:tcBorders>
              <w:top w:val="nil"/>
              <w:left w:val="nil"/>
              <w:bottom w:val="nil"/>
              <w:right w:val="nil"/>
            </w:tcBorders>
            <w:noWrap/>
            <w:tcMar>
              <w:top w:w="15" w:type="dxa"/>
              <w:left w:w="15" w:type="dxa"/>
              <w:right w:w="15" w:type="dxa"/>
            </w:tcMar>
            <w:vAlign w:val="center"/>
          </w:tcPr>
          <w:p w14:paraId="1EC5FC67">
            <w:pPr>
              <w:keepNext w:val="0"/>
              <w:keepLines w:val="0"/>
              <w:pageBreakBefore w:val="0"/>
              <w:widowControl w:val="0"/>
              <w:kinsoku/>
              <w:wordWrap/>
              <w:overflowPunct/>
              <w:topLinePunct w:val="0"/>
              <w:autoSpaceDE/>
              <w:autoSpaceDN/>
              <w:bidi w:val="0"/>
              <w:adjustRightInd/>
              <w:snapToGrid/>
              <w:spacing w:before="100" w:beforeAutospacing="0" w:after="100" w:line="240" w:lineRule="auto"/>
              <w:textAlignment w:val="auto"/>
              <w:rPr>
                <w:rFonts w:hint="eastAsia" w:ascii="宋体" w:hAnsi="宋体" w:eastAsia="宋体" w:cs="宋体"/>
                <w:bCs/>
                <w:color w:val="000000" w:themeColor="text1"/>
                <w:sz w:val="21"/>
                <w:szCs w:val="21"/>
                <w:highlight w:val="none"/>
                <w:lang w:eastAsia="zh-TW"/>
                <w14:textFill>
                  <w14:solidFill>
                    <w14:schemeClr w14:val="tx1"/>
                  </w14:solidFill>
                </w14:textFill>
              </w:rPr>
            </w:pPr>
          </w:p>
        </w:tc>
        <w:tc>
          <w:tcPr>
            <w:tcW w:w="4213" w:type="dxa"/>
            <w:tcBorders>
              <w:top w:val="nil"/>
              <w:left w:val="nil"/>
              <w:bottom w:val="nil"/>
              <w:right w:val="nil"/>
            </w:tcBorders>
            <w:noWrap/>
            <w:tcMar>
              <w:top w:w="15" w:type="dxa"/>
              <w:left w:w="15" w:type="dxa"/>
              <w:right w:w="15" w:type="dxa"/>
            </w:tcMar>
            <w:vAlign w:val="center"/>
          </w:tcPr>
          <w:p w14:paraId="27D2EF91">
            <w:pPr>
              <w:keepNext w:val="0"/>
              <w:keepLines w:val="0"/>
              <w:pageBreakBefore w:val="0"/>
              <w:widowControl w:val="0"/>
              <w:kinsoku/>
              <w:wordWrap/>
              <w:overflowPunct/>
              <w:topLinePunct w:val="0"/>
              <w:autoSpaceDE/>
              <w:autoSpaceDN/>
              <w:bidi w:val="0"/>
              <w:adjustRightInd/>
              <w:snapToGrid/>
              <w:spacing w:before="100" w:beforeAutospacing="0" w:after="100" w:line="240" w:lineRule="auto"/>
              <w:textAlignment w:val="auto"/>
              <w:rPr>
                <w:rFonts w:hint="eastAsia" w:ascii="宋体" w:hAnsi="宋体" w:eastAsia="宋体" w:cs="宋体"/>
                <w:bCs/>
                <w:color w:val="000000" w:themeColor="text1"/>
                <w:sz w:val="21"/>
                <w:szCs w:val="21"/>
                <w:highlight w:val="none"/>
                <w:lang w:eastAsia="zh-TW"/>
                <w14:textFill>
                  <w14:solidFill>
                    <w14:schemeClr w14:val="tx1"/>
                  </w14:solidFill>
                </w14:textFill>
              </w:rPr>
            </w:pPr>
          </w:p>
        </w:tc>
      </w:tr>
      <w:tr w14:paraId="2C0724EB">
        <w:trPr>
          <w:trHeight w:val="454" w:hRule="atLeast"/>
        </w:trPr>
        <w:tc>
          <w:tcPr>
            <w:tcW w:w="4127" w:type="dxa"/>
            <w:tcBorders>
              <w:top w:val="nil"/>
              <w:left w:val="nil"/>
              <w:bottom w:val="nil"/>
              <w:right w:val="nil"/>
            </w:tcBorders>
            <w:noWrap/>
            <w:tcMar>
              <w:top w:w="15" w:type="dxa"/>
              <w:left w:w="15" w:type="dxa"/>
              <w:right w:w="15" w:type="dxa"/>
            </w:tcMar>
            <w:vAlign w:val="center"/>
          </w:tcPr>
          <w:p w14:paraId="4F4C4CDF">
            <w:pPr>
              <w:keepNext w:val="0"/>
              <w:keepLines w:val="0"/>
              <w:pageBreakBefore w:val="0"/>
              <w:widowControl w:val="0"/>
              <w:kinsoku/>
              <w:wordWrap/>
              <w:overflowPunct/>
              <w:topLinePunct w:val="0"/>
              <w:autoSpaceDE/>
              <w:autoSpaceDN/>
              <w:bidi w:val="0"/>
              <w:adjustRightInd/>
              <w:snapToGrid/>
              <w:spacing w:before="100" w:beforeAutospacing="0" w:after="100" w:line="240" w:lineRule="auto"/>
              <w:textAlignment w:val="auto"/>
              <w:rPr>
                <w:rFonts w:hint="default"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TW"/>
                <w14:textFill>
                  <w14:solidFill>
                    <w14:schemeClr w14:val="tx1"/>
                  </w14:solidFill>
                </w14:textFill>
              </w:rPr>
              <w:t>法定代表人或其委托代理人</w:t>
            </w:r>
            <w:r>
              <w:rPr>
                <w:rFonts w:hint="eastAsia" w:ascii="宋体" w:hAnsi="宋体" w:cs="宋体"/>
                <w:bCs/>
                <w:color w:val="000000" w:themeColor="text1"/>
                <w:sz w:val="21"/>
                <w:szCs w:val="21"/>
                <w:highlight w:val="none"/>
                <w:lang w:eastAsia="zh-CN"/>
                <w14:textFill>
                  <w14:solidFill>
                    <w14:schemeClr w14:val="tx1"/>
                  </w14:solidFill>
                </w14:textFill>
              </w:rPr>
              <w:t>：（签字）</w:t>
            </w:r>
          </w:p>
        </w:tc>
        <w:tc>
          <w:tcPr>
            <w:tcW w:w="4213" w:type="dxa"/>
            <w:tcBorders>
              <w:top w:val="nil"/>
              <w:left w:val="nil"/>
              <w:bottom w:val="nil"/>
              <w:right w:val="nil"/>
            </w:tcBorders>
            <w:noWrap/>
            <w:tcMar>
              <w:top w:w="15" w:type="dxa"/>
              <w:left w:w="15" w:type="dxa"/>
              <w:right w:w="15" w:type="dxa"/>
            </w:tcMar>
            <w:vAlign w:val="center"/>
          </w:tcPr>
          <w:p w14:paraId="58AB9198">
            <w:pPr>
              <w:keepNext w:val="0"/>
              <w:keepLines w:val="0"/>
              <w:pageBreakBefore w:val="0"/>
              <w:widowControl w:val="0"/>
              <w:kinsoku/>
              <w:wordWrap/>
              <w:overflowPunct/>
              <w:topLinePunct w:val="0"/>
              <w:autoSpaceDE/>
              <w:autoSpaceDN/>
              <w:bidi w:val="0"/>
              <w:adjustRightInd/>
              <w:snapToGrid/>
              <w:spacing w:before="100" w:beforeAutospacing="0" w:after="100" w:line="240" w:lineRule="auto"/>
              <w:textAlignment w:val="auto"/>
              <w:rPr>
                <w:rFonts w:hint="eastAsia" w:ascii="宋体" w:hAnsi="宋体" w:eastAsia="宋体" w:cs="宋体"/>
                <w:bCs/>
                <w:color w:val="000000" w:themeColor="text1"/>
                <w:sz w:val="21"/>
                <w:szCs w:val="21"/>
                <w:highlight w:val="none"/>
                <w:lang w:eastAsia="zh-TW"/>
                <w14:textFill>
                  <w14:solidFill>
                    <w14:schemeClr w14:val="tx1"/>
                  </w14:solidFill>
                </w14:textFill>
              </w:rPr>
            </w:pPr>
            <w:r>
              <w:rPr>
                <w:rFonts w:hint="eastAsia" w:ascii="宋体" w:hAnsi="宋体" w:eastAsia="宋体" w:cs="宋体"/>
                <w:bCs/>
                <w:color w:val="000000" w:themeColor="text1"/>
                <w:sz w:val="21"/>
                <w:szCs w:val="21"/>
                <w:highlight w:val="none"/>
                <w:lang w:eastAsia="zh-TW"/>
                <w14:textFill>
                  <w14:solidFill>
                    <w14:schemeClr w14:val="tx1"/>
                  </w14:solidFill>
                </w14:textFill>
              </w:rPr>
              <w:t>法定代表人或其委托代理人</w:t>
            </w:r>
            <w:r>
              <w:rPr>
                <w:rFonts w:hint="eastAsia" w:ascii="宋体" w:hAnsi="宋体" w:cs="宋体"/>
                <w:bCs/>
                <w:color w:val="000000" w:themeColor="text1"/>
                <w:sz w:val="21"/>
                <w:szCs w:val="21"/>
                <w:highlight w:val="none"/>
                <w:lang w:eastAsia="zh-CN"/>
                <w14:textFill>
                  <w14:solidFill>
                    <w14:schemeClr w14:val="tx1"/>
                  </w14:solidFill>
                </w14:textFill>
              </w:rPr>
              <w:t>：（签字）</w:t>
            </w:r>
          </w:p>
        </w:tc>
      </w:tr>
      <w:tr w14:paraId="0BF8E8D3">
        <w:trPr>
          <w:trHeight w:val="454" w:hRule="atLeast"/>
        </w:trPr>
        <w:tc>
          <w:tcPr>
            <w:tcW w:w="4127" w:type="dxa"/>
            <w:tcBorders>
              <w:top w:val="nil"/>
              <w:left w:val="nil"/>
              <w:bottom w:val="nil"/>
              <w:right w:val="nil"/>
            </w:tcBorders>
            <w:noWrap/>
            <w:tcMar>
              <w:top w:w="15" w:type="dxa"/>
              <w:left w:w="15" w:type="dxa"/>
              <w:right w:w="15" w:type="dxa"/>
            </w:tcMar>
            <w:vAlign w:val="center"/>
          </w:tcPr>
          <w:p w14:paraId="35563C72">
            <w:pPr>
              <w:keepNext w:val="0"/>
              <w:keepLines w:val="0"/>
              <w:pageBreakBefore w:val="0"/>
              <w:widowControl w:val="0"/>
              <w:kinsoku/>
              <w:wordWrap/>
              <w:overflowPunct/>
              <w:topLinePunct w:val="0"/>
              <w:autoSpaceDE/>
              <w:autoSpaceDN/>
              <w:bidi w:val="0"/>
              <w:adjustRightInd/>
              <w:snapToGrid/>
              <w:spacing w:before="100" w:beforeAutospacing="0" w:after="100" w:line="240" w:lineRule="auto"/>
              <w:textAlignment w:val="auto"/>
              <w:rPr>
                <w:rFonts w:hint="eastAsia" w:ascii="宋体" w:hAnsi="宋体" w:eastAsia="宋体" w:cs="宋体"/>
                <w:bCs/>
                <w:color w:val="000000" w:themeColor="text1"/>
                <w:sz w:val="21"/>
                <w:szCs w:val="21"/>
                <w:highlight w:val="none"/>
                <w:lang w:eastAsia="zh-TW"/>
                <w14:textFill>
                  <w14:solidFill>
                    <w14:schemeClr w14:val="tx1"/>
                  </w14:solidFill>
                </w14:textFill>
              </w:rPr>
            </w:pPr>
          </w:p>
        </w:tc>
        <w:tc>
          <w:tcPr>
            <w:tcW w:w="4213" w:type="dxa"/>
            <w:tcBorders>
              <w:top w:val="nil"/>
              <w:left w:val="nil"/>
              <w:bottom w:val="nil"/>
              <w:right w:val="nil"/>
            </w:tcBorders>
            <w:noWrap/>
            <w:tcMar>
              <w:top w:w="15" w:type="dxa"/>
              <w:left w:w="15" w:type="dxa"/>
              <w:right w:w="15" w:type="dxa"/>
            </w:tcMar>
            <w:vAlign w:val="center"/>
          </w:tcPr>
          <w:p w14:paraId="39692340">
            <w:pPr>
              <w:keepNext w:val="0"/>
              <w:keepLines w:val="0"/>
              <w:pageBreakBefore w:val="0"/>
              <w:widowControl w:val="0"/>
              <w:kinsoku/>
              <w:wordWrap/>
              <w:overflowPunct/>
              <w:topLinePunct w:val="0"/>
              <w:autoSpaceDE/>
              <w:autoSpaceDN/>
              <w:bidi w:val="0"/>
              <w:adjustRightInd/>
              <w:snapToGrid/>
              <w:spacing w:before="100" w:beforeAutospacing="0" w:after="100" w:line="240" w:lineRule="auto"/>
              <w:textAlignment w:val="auto"/>
              <w:rPr>
                <w:rFonts w:hint="eastAsia" w:ascii="宋体" w:hAnsi="宋体" w:eastAsia="宋体" w:cs="宋体"/>
                <w:bCs/>
                <w:color w:val="000000" w:themeColor="text1"/>
                <w:sz w:val="21"/>
                <w:szCs w:val="21"/>
                <w:highlight w:val="none"/>
                <w:lang w:eastAsia="zh-TW"/>
                <w14:textFill>
                  <w14:solidFill>
                    <w14:schemeClr w14:val="tx1"/>
                  </w14:solidFill>
                </w14:textFill>
              </w:rPr>
            </w:pPr>
          </w:p>
        </w:tc>
      </w:tr>
    </w:tbl>
    <w:p w14:paraId="43828538">
      <w:pPr>
        <w:pStyle w:val="23"/>
        <w:tabs>
          <w:tab w:val="left" w:pos="2620"/>
          <w:tab w:val="left" w:pos="4512"/>
          <w:tab w:val="left" w:pos="7344"/>
        </w:tabs>
        <w:overflowPunct w:val="0"/>
        <w:spacing w:before="43" w:line="360" w:lineRule="auto"/>
        <w:ind w:left="100"/>
        <w:rPr>
          <w:rFonts w:hint="default" w:hAnsi="宋体"/>
          <w:sz w:val="21"/>
          <w:szCs w:val="24"/>
          <w:highlight w:val="none"/>
        </w:rPr>
      </w:pPr>
    </w:p>
    <w:p w14:paraId="10EF7D8D">
      <w:pPr>
        <w:pStyle w:val="23"/>
        <w:tabs>
          <w:tab w:val="left" w:pos="1045"/>
          <w:tab w:val="left" w:pos="1991"/>
          <w:tab w:val="left" w:pos="3090"/>
          <w:tab w:val="left" w:pos="4406"/>
          <w:tab w:val="left" w:pos="5246"/>
          <w:tab w:val="left" w:pos="6401"/>
          <w:tab w:val="left" w:pos="7661"/>
        </w:tabs>
        <w:overflowPunct w:val="0"/>
        <w:spacing w:before="37" w:line="360" w:lineRule="auto"/>
        <w:ind w:left="100"/>
        <w:rPr>
          <w:rFonts w:hint="default" w:hAnsi="宋体"/>
          <w:sz w:val="21"/>
          <w:szCs w:val="24"/>
          <w:highlight w:val="none"/>
        </w:rPr>
      </w:pPr>
    </w:p>
    <w:p w14:paraId="668CD581">
      <w:pPr>
        <w:keepNext w:val="0"/>
        <w:keepLines w:val="0"/>
        <w:pageBreakBefore w:val="0"/>
        <w:widowControl w:val="0"/>
        <w:kinsoku/>
        <w:wordWrap/>
        <w:overflowPunct/>
        <w:topLinePunct w:val="0"/>
        <w:autoSpaceDE/>
        <w:autoSpaceDN/>
        <w:bidi w:val="0"/>
        <w:adjustRightInd/>
        <w:snapToGrid/>
        <w:spacing w:beforeAutospacing="0" w:after="200" w:line="360" w:lineRule="auto"/>
        <w:jc w:val="center"/>
        <w:textAlignment w:val="auto"/>
        <w:rPr>
          <w:rFonts w:hint="eastAsia" w:ascii="宋体" w:hAnsi="宋体" w:eastAsia="宋体" w:cs="宋体"/>
          <w:bCs/>
          <w:color w:val="000000" w:themeColor="text1"/>
          <w:szCs w:val="21"/>
          <w:highlight w:val="none"/>
          <w:lang w:eastAsia="zh-TW"/>
          <w14:textFill>
            <w14:solidFill>
              <w14:schemeClr w14:val="tx1"/>
            </w14:solidFill>
          </w14:textFill>
        </w:rPr>
      </w:pPr>
      <w:r>
        <w:rPr>
          <w:rFonts w:hint="eastAsia" w:ascii="宋体" w:hAnsi="宋体" w:eastAsia="宋体" w:cs="宋体"/>
          <w:bCs/>
          <w:color w:val="000000" w:themeColor="text1"/>
          <w:szCs w:val="21"/>
          <w:highlight w:val="none"/>
          <w:lang w:eastAsia="zh-TW"/>
          <w14:textFill>
            <w14:solidFill>
              <w14:schemeClr w14:val="tx1"/>
            </w14:solidFill>
          </w14:textFill>
        </w:rPr>
        <w:t>合同签订日期：202</w:t>
      </w:r>
      <w:r>
        <w:rPr>
          <w:rFonts w:hint="default" w:ascii="宋体" w:hAnsi="宋体" w:cs="宋体"/>
          <w:bCs/>
          <w:color w:val="000000" w:themeColor="text1"/>
          <w:szCs w:val="21"/>
          <w:highlight w:val="none"/>
          <w:lang w:eastAsia="zh-CN"/>
          <w14:textFill>
            <w14:solidFill>
              <w14:schemeClr w14:val="tx1"/>
            </w14:solidFill>
          </w14:textFill>
        </w:rPr>
        <w:t>6</w:t>
      </w:r>
      <w:r>
        <w:rPr>
          <w:rFonts w:hint="eastAsia" w:ascii="宋体" w:hAnsi="宋体" w:eastAsia="宋体" w:cs="宋体"/>
          <w:bCs/>
          <w:color w:val="000000" w:themeColor="text1"/>
          <w:szCs w:val="21"/>
          <w:highlight w:val="none"/>
          <w:lang w:eastAsia="zh-TW"/>
          <w14:textFill>
            <w14:solidFill>
              <w14:schemeClr w14:val="tx1"/>
            </w14:solidFill>
          </w14:textFill>
        </w:rPr>
        <w:t>年 月  日</w:t>
      </w:r>
    </w:p>
    <w:p w14:paraId="02448A1E">
      <w:pPr>
        <w:keepNext w:val="0"/>
        <w:keepLines w:val="0"/>
        <w:pageBreakBefore w:val="0"/>
        <w:widowControl w:val="0"/>
        <w:kinsoku/>
        <w:wordWrap/>
        <w:overflowPunct/>
        <w:topLinePunct w:val="0"/>
        <w:autoSpaceDE/>
        <w:autoSpaceDN/>
        <w:bidi w:val="0"/>
        <w:adjustRightInd/>
        <w:snapToGrid/>
        <w:spacing w:beforeAutospacing="0" w:after="200" w:line="360" w:lineRule="auto"/>
        <w:ind w:left="0" w:leftChars="0" w:firstLine="0" w:firstLineChars="0"/>
        <w:jc w:val="center"/>
        <w:textAlignment w:val="auto"/>
        <w:rPr>
          <w:rFonts w:hint="eastAsia" w:ascii="宋体" w:hAnsi="宋体" w:eastAsia="宋体" w:cs="宋体"/>
          <w:bCs/>
          <w:color w:val="000000" w:themeColor="text1"/>
          <w:szCs w:val="21"/>
          <w:highlight w:val="none"/>
          <w:lang w:eastAsia="zh-TW"/>
          <w14:textFill>
            <w14:solidFill>
              <w14:schemeClr w14:val="tx1"/>
            </w14:solidFill>
          </w14:textFill>
        </w:rPr>
      </w:pPr>
      <w:r>
        <w:rPr>
          <w:rFonts w:hint="eastAsia" w:ascii="宋体" w:hAnsi="宋体" w:eastAsia="宋体" w:cs="宋体"/>
          <w:bCs/>
          <w:color w:val="000000" w:themeColor="text1"/>
          <w:szCs w:val="21"/>
          <w:highlight w:val="none"/>
          <w:lang w:eastAsia="zh-TW"/>
          <w14:textFill>
            <w14:solidFill>
              <w14:schemeClr w14:val="tx1"/>
            </w14:solidFill>
          </w14:textFill>
        </w:rPr>
        <w:t>合同签订地点：</w:t>
      </w:r>
    </w:p>
    <w:p w14:paraId="569C1C3C">
      <w:pPr>
        <w:pStyle w:val="23"/>
        <w:overflowPunct w:val="0"/>
        <w:spacing w:before="123" w:line="360" w:lineRule="auto"/>
        <w:ind w:left="102"/>
        <w:jc w:val="center"/>
        <w:outlineLvl w:val="1"/>
        <w:rPr>
          <w:rFonts w:hint="default" w:hAnsi="宋体"/>
          <w:b/>
          <w:sz w:val="32"/>
          <w:szCs w:val="24"/>
          <w:highlight w:val="none"/>
        </w:rPr>
      </w:pPr>
      <w:r>
        <w:rPr>
          <w:rFonts w:hint="eastAsia" w:ascii="宋体" w:hAnsi="宋体" w:eastAsia="宋体" w:cs="宋体"/>
          <w:color w:val="auto"/>
          <w:sz w:val="32"/>
          <w:szCs w:val="32"/>
          <w:highlight w:val="none"/>
        </w:rPr>
        <w:br w:type="page"/>
      </w:r>
      <w:bookmarkStart w:id="188" w:name="_Toc146500018"/>
      <w:r>
        <w:rPr>
          <w:rFonts w:hint="default" w:hAnsi="宋体"/>
          <w:b/>
          <w:sz w:val="32"/>
          <w:szCs w:val="24"/>
          <w:highlight w:val="none"/>
        </w:rPr>
        <w:t>第一节</w:t>
      </w:r>
      <w:r>
        <w:rPr>
          <w:rFonts w:hint="eastAsia" w:hAnsi="宋体"/>
          <w:b/>
          <w:sz w:val="32"/>
          <w:szCs w:val="24"/>
          <w:highlight w:val="none"/>
          <w:lang w:val="en-US" w:eastAsia="zh-CN"/>
        </w:rPr>
        <w:t xml:space="preserve"> </w:t>
      </w:r>
      <w:r>
        <w:rPr>
          <w:rFonts w:hint="default" w:hAnsi="宋体"/>
          <w:b/>
          <w:sz w:val="32"/>
          <w:szCs w:val="24"/>
          <w:highlight w:val="none"/>
        </w:rPr>
        <w:t>通用合同条款</w:t>
      </w:r>
      <w:bookmarkEnd w:id="188"/>
    </w:p>
    <w:p w14:paraId="29474912">
      <w:pPr>
        <w:pStyle w:val="23"/>
        <w:overflowPunct w:val="0"/>
        <w:spacing w:before="1" w:line="360" w:lineRule="auto"/>
        <w:outlineLvl w:val="1"/>
        <w:rPr>
          <w:rFonts w:hint="default" w:hAnsi="宋体"/>
          <w:b/>
          <w:sz w:val="29"/>
          <w:szCs w:val="24"/>
          <w:highlight w:val="none"/>
        </w:rPr>
      </w:pPr>
    </w:p>
    <w:p w14:paraId="4A705DE4">
      <w:pPr>
        <w:numPr>
          <w:ilvl w:val="0"/>
          <w:numId w:val="0"/>
        </w:numPr>
        <w:overflowPunct w:val="0"/>
        <w:ind w:left="0" w:firstLineChars="0"/>
        <w:jc w:val="both"/>
        <w:outlineLvl w:val="1"/>
        <w:rPr>
          <w:rFonts w:hint="default" w:ascii="宋体" w:hAnsi="宋体" w:eastAsia="宋体"/>
          <w:sz w:val="28"/>
          <w:szCs w:val="24"/>
          <w:highlight w:val="none"/>
        </w:rPr>
      </w:pPr>
      <w:bookmarkStart w:id="189" w:name="bookmark95"/>
      <w:bookmarkEnd w:id="189"/>
      <w:bookmarkStart w:id="190" w:name="_Toc650909280"/>
      <w:bookmarkStart w:id="191" w:name="_Toc146500019"/>
      <w:bookmarkStart w:id="192" w:name="_Toc10908"/>
      <w:bookmarkStart w:id="193" w:name="_Toc12923"/>
      <w:r>
        <w:rPr>
          <w:rFonts w:hint="default" w:ascii="Times New Roman" w:hAnsi="Times New Roman" w:eastAsia="Times New Roman" w:cs="Times New Roman"/>
          <w:b/>
          <w:bCs/>
          <w:w w:val="99"/>
          <w:kern w:val="2"/>
          <w:sz w:val="32"/>
          <w:szCs w:val="24"/>
          <w:highlight w:val="none"/>
          <w:u w:val="none" w:color="auto"/>
          <w:lang w:val="en-US" w:eastAsia="zh-CN" w:bidi="ar-SA"/>
        </w:rPr>
        <w:t>1.</w:t>
      </w:r>
      <w:r>
        <w:rPr>
          <w:rFonts w:hint="default" w:ascii="宋体" w:hAnsi="宋体" w:eastAsia="宋体"/>
          <w:sz w:val="28"/>
          <w:szCs w:val="24"/>
          <w:highlight w:val="none"/>
        </w:rPr>
        <w:t>一般约定</w:t>
      </w:r>
      <w:bookmarkEnd w:id="190"/>
      <w:bookmarkEnd w:id="191"/>
      <w:bookmarkEnd w:id="192"/>
      <w:bookmarkEnd w:id="193"/>
    </w:p>
    <w:p w14:paraId="75F013C2">
      <w:pPr>
        <w:numPr>
          <w:ilvl w:val="1"/>
          <w:numId w:val="0"/>
        </w:numPr>
        <w:overflowPunct w:val="0"/>
        <w:ind w:left="0"/>
        <w:jc w:val="left"/>
        <w:outlineLvl w:val="1"/>
        <w:rPr>
          <w:rFonts w:hint="default" w:hAnsi="宋体"/>
          <w:b/>
          <w:sz w:val="24"/>
          <w:szCs w:val="24"/>
          <w:highlight w:val="none"/>
        </w:rPr>
      </w:pPr>
      <w:bookmarkStart w:id="194" w:name="bookmark96"/>
      <w:bookmarkEnd w:id="194"/>
      <w:bookmarkStart w:id="195" w:name="_Toc146500020"/>
      <w:r>
        <w:rPr>
          <w:rFonts w:hint="default" w:ascii="Times New Roman" w:hAnsi="Times New Roman" w:eastAsia="Times New Roman" w:cs="Times New Roman"/>
          <w:b/>
          <w:kern w:val="0"/>
          <w:sz w:val="28"/>
          <w:szCs w:val="24"/>
          <w:highlight w:val="none"/>
          <w:u w:val="none" w:color="auto"/>
          <w:lang w:val="en-US" w:eastAsia="zh-CN" w:bidi="ar-SA"/>
        </w:rPr>
        <w:t>1.1</w:t>
      </w:r>
      <w:r>
        <w:rPr>
          <w:rFonts w:hint="default" w:hAnsi="宋体"/>
          <w:b/>
          <w:sz w:val="24"/>
          <w:szCs w:val="24"/>
          <w:highlight w:val="none"/>
        </w:rPr>
        <w:t>词语定义</w:t>
      </w:r>
      <w:bookmarkEnd w:id="195"/>
    </w:p>
    <w:p w14:paraId="21F89B6F">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通用合同条款、专用合同条款中的下列词语应具有本款所赋予的含义。</w:t>
      </w:r>
    </w:p>
    <w:p w14:paraId="39BC026A">
      <w:pPr>
        <w:numPr>
          <w:ilvl w:val="2"/>
          <w:numId w:val="0"/>
        </w:numPr>
        <w:overflowPunct w:val="0"/>
        <w:ind w:left="0" w:firstLineChars="200"/>
        <w:outlineLvl w:val="1"/>
        <w:rPr>
          <w:rFonts w:hint="default" w:hAnsi="宋体"/>
          <w:b/>
          <w:sz w:val="21"/>
          <w:szCs w:val="24"/>
          <w:highlight w:val="none"/>
        </w:rPr>
      </w:pPr>
      <w:r>
        <w:rPr>
          <w:rFonts w:hint="default" w:ascii="Times New Roman" w:hAnsi="Times New Roman" w:eastAsia="Times New Roman" w:cs="Times New Roman"/>
          <w:b/>
          <w:spacing w:val="-8"/>
          <w:kern w:val="0"/>
          <w:sz w:val="21"/>
          <w:szCs w:val="24"/>
          <w:highlight w:val="none"/>
          <w:u w:val="none" w:color="auto"/>
          <w:lang w:val="en-US" w:eastAsia="zh-CN" w:bidi="ar-SA"/>
        </w:rPr>
        <w:t>1.1.1</w:t>
      </w:r>
      <w:r>
        <w:rPr>
          <w:rFonts w:hint="default" w:hAnsi="宋体"/>
          <w:b/>
          <w:sz w:val="21"/>
          <w:szCs w:val="24"/>
          <w:highlight w:val="none"/>
        </w:rPr>
        <w:t>合同</w:t>
      </w:r>
    </w:p>
    <w:p w14:paraId="3272D7D7">
      <w:pPr>
        <w:pStyle w:val="142"/>
        <w:numPr>
          <w:ilvl w:val="3"/>
          <w:numId w:val="0"/>
        </w:numPr>
        <w:tabs>
          <w:tab w:val="left" w:pos="1207"/>
        </w:tabs>
        <w:overflowPunct w:val="0"/>
        <w:spacing w:line="360" w:lineRule="auto"/>
        <w:ind w:left="0" w:firstLine="408" w:firstLineChars="200"/>
        <w:jc w:val="both"/>
        <w:outlineLvl w:val="1"/>
        <w:rPr>
          <w:rFonts w:hint="default" w:hAnsi="宋体"/>
          <w:spacing w:val="-3"/>
          <w:sz w:val="21"/>
          <w:szCs w:val="24"/>
          <w:highlight w:val="none"/>
        </w:rPr>
      </w:pPr>
      <w:r>
        <w:rPr>
          <w:rFonts w:hint="default" w:ascii="Times New Roman" w:hAnsi="Times New Roman" w:eastAsia="Times New Roman" w:cs="Times New Roman"/>
          <w:spacing w:val="-3"/>
          <w:kern w:val="2"/>
          <w:sz w:val="21"/>
          <w:szCs w:val="24"/>
          <w:highlight w:val="none"/>
          <w:u w:val="none" w:color="auto"/>
          <w:lang w:val="en-US" w:eastAsia="zh-CN" w:bidi="ar-SA"/>
        </w:rPr>
        <w:t>1.1.1.1</w:t>
      </w:r>
      <w:r>
        <w:rPr>
          <w:rFonts w:hint="default" w:hAnsi="宋体"/>
          <w:sz w:val="21"/>
          <w:szCs w:val="24"/>
          <w:highlight w:val="none"/>
        </w:rPr>
        <w:t>合同文件（或称合同</w:t>
      </w:r>
      <w:r>
        <w:rPr>
          <w:rFonts w:hint="default" w:hAnsi="宋体"/>
          <w:spacing w:val="-104"/>
          <w:sz w:val="21"/>
          <w:szCs w:val="24"/>
          <w:highlight w:val="none"/>
        </w:rPr>
        <w:t>）</w:t>
      </w:r>
      <w:r>
        <w:rPr>
          <w:rFonts w:hint="default" w:hAnsi="宋体"/>
          <w:sz w:val="21"/>
          <w:szCs w:val="24"/>
          <w:highlight w:val="none"/>
        </w:rPr>
        <w:t>：指合同协议书、中标通知书、投标函和投标函附录、专用</w:t>
      </w:r>
      <w:r>
        <w:rPr>
          <w:rFonts w:hint="default" w:hAnsi="宋体"/>
          <w:spacing w:val="-3"/>
          <w:sz w:val="21"/>
          <w:szCs w:val="24"/>
          <w:highlight w:val="none"/>
        </w:rPr>
        <w:t>合同条款、通用合同条款、委托人要求、监理报酬清单、监理大纲，以及其他构成合同组成部分的文件。</w:t>
      </w:r>
    </w:p>
    <w:p w14:paraId="089F69B0">
      <w:pPr>
        <w:pStyle w:val="142"/>
        <w:numPr>
          <w:ilvl w:val="3"/>
          <w:numId w:val="0"/>
        </w:numPr>
        <w:tabs>
          <w:tab w:val="left" w:pos="1205"/>
        </w:tabs>
        <w:overflowPunct w:val="0"/>
        <w:spacing w:line="360" w:lineRule="auto"/>
        <w:ind w:left="0" w:firstLine="408" w:firstLineChars="200"/>
        <w:outlineLvl w:val="1"/>
        <w:rPr>
          <w:rFonts w:hint="default" w:hAnsi="宋体"/>
          <w:spacing w:val="-3"/>
          <w:sz w:val="21"/>
          <w:szCs w:val="24"/>
          <w:highlight w:val="none"/>
        </w:rPr>
      </w:pPr>
      <w:r>
        <w:rPr>
          <w:rFonts w:hint="default" w:ascii="Times New Roman" w:hAnsi="Times New Roman" w:eastAsia="Times New Roman" w:cs="Times New Roman"/>
          <w:spacing w:val="-3"/>
          <w:kern w:val="2"/>
          <w:sz w:val="21"/>
          <w:szCs w:val="24"/>
          <w:highlight w:val="none"/>
          <w:u w:val="none" w:color="auto"/>
          <w:lang w:val="en-US" w:eastAsia="zh-CN" w:bidi="ar-SA"/>
        </w:rPr>
        <w:t>1.1.1.2</w:t>
      </w:r>
      <w:r>
        <w:rPr>
          <w:rFonts w:hint="default" w:hAnsi="宋体"/>
          <w:spacing w:val="-3"/>
          <w:sz w:val="21"/>
          <w:szCs w:val="24"/>
          <w:highlight w:val="none"/>
        </w:rPr>
        <w:t>合同协议书：指委托人和监理人共同签署的合同协议书。</w:t>
      </w:r>
    </w:p>
    <w:p w14:paraId="7B3D665E">
      <w:pPr>
        <w:pStyle w:val="142"/>
        <w:numPr>
          <w:ilvl w:val="3"/>
          <w:numId w:val="0"/>
        </w:numPr>
        <w:tabs>
          <w:tab w:val="left" w:pos="1205"/>
        </w:tabs>
        <w:overflowPunct w:val="0"/>
        <w:spacing w:line="360" w:lineRule="auto"/>
        <w:ind w:left="0" w:firstLine="408" w:firstLineChars="200"/>
        <w:outlineLvl w:val="1"/>
        <w:rPr>
          <w:rFonts w:hint="default" w:hAnsi="宋体"/>
          <w:spacing w:val="-3"/>
          <w:sz w:val="21"/>
          <w:szCs w:val="24"/>
          <w:highlight w:val="none"/>
        </w:rPr>
      </w:pPr>
      <w:r>
        <w:rPr>
          <w:rFonts w:hint="default" w:ascii="Times New Roman" w:hAnsi="Times New Roman" w:eastAsia="Times New Roman" w:cs="Times New Roman"/>
          <w:spacing w:val="-3"/>
          <w:kern w:val="2"/>
          <w:sz w:val="21"/>
          <w:szCs w:val="24"/>
          <w:highlight w:val="none"/>
          <w:u w:val="none" w:color="auto"/>
          <w:lang w:val="en-US" w:eastAsia="zh-CN" w:bidi="ar-SA"/>
        </w:rPr>
        <w:t>1.1.1.3</w:t>
      </w:r>
      <w:r>
        <w:rPr>
          <w:rFonts w:hint="default" w:hAnsi="宋体"/>
          <w:spacing w:val="-3"/>
          <w:sz w:val="21"/>
          <w:szCs w:val="24"/>
          <w:highlight w:val="none"/>
        </w:rPr>
        <w:t>中标通知书：指委托人通知监理人中标的函件。</w:t>
      </w:r>
    </w:p>
    <w:p w14:paraId="4A98D45A">
      <w:pPr>
        <w:pStyle w:val="142"/>
        <w:numPr>
          <w:ilvl w:val="3"/>
          <w:numId w:val="0"/>
        </w:numPr>
        <w:tabs>
          <w:tab w:val="left" w:pos="1205"/>
        </w:tabs>
        <w:overflowPunct w:val="0"/>
        <w:spacing w:line="360" w:lineRule="auto"/>
        <w:ind w:left="0" w:firstLine="412" w:firstLineChars="200"/>
        <w:outlineLvl w:val="1"/>
        <w:rPr>
          <w:rFonts w:hint="default" w:hAnsi="宋体"/>
          <w:spacing w:val="-2"/>
          <w:sz w:val="21"/>
          <w:szCs w:val="24"/>
          <w:highlight w:val="none"/>
        </w:rPr>
      </w:pPr>
      <w:r>
        <w:rPr>
          <w:rFonts w:hint="default" w:ascii="Times New Roman" w:hAnsi="Times New Roman" w:eastAsia="Times New Roman" w:cs="Times New Roman"/>
          <w:spacing w:val="-2"/>
          <w:kern w:val="2"/>
          <w:sz w:val="21"/>
          <w:szCs w:val="24"/>
          <w:highlight w:val="none"/>
          <w:u w:val="none" w:color="auto"/>
          <w:lang w:val="en-US" w:eastAsia="zh-CN" w:bidi="ar-SA"/>
        </w:rPr>
        <w:t>1.1.1.4</w:t>
      </w:r>
      <w:r>
        <w:rPr>
          <w:rFonts w:hint="default" w:hAnsi="宋体"/>
          <w:spacing w:val="-3"/>
          <w:sz w:val="21"/>
          <w:szCs w:val="24"/>
          <w:highlight w:val="none"/>
        </w:rPr>
        <w:t>投标函：指由监理人填写并签署的，名为“</w:t>
      </w:r>
      <w:r>
        <w:rPr>
          <w:rFonts w:hint="default" w:hAnsi="宋体"/>
          <w:spacing w:val="-2"/>
          <w:sz w:val="21"/>
          <w:szCs w:val="24"/>
          <w:highlight w:val="none"/>
        </w:rPr>
        <w:t>投标函</w:t>
      </w:r>
      <w:r>
        <w:rPr>
          <w:rFonts w:hint="default" w:hAnsi="宋体"/>
          <w:spacing w:val="-3"/>
          <w:sz w:val="21"/>
          <w:szCs w:val="24"/>
          <w:highlight w:val="none"/>
        </w:rPr>
        <w:t>”</w:t>
      </w:r>
      <w:r>
        <w:rPr>
          <w:rFonts w:hint="default" w:hAnsi="宋体"/>
          <w:spacing w:val="-2"/>
          <w:sz w:val="21"/>
          <w:szCs w:val="24"/>
          <w:highlight w:val="none"/>
        </w:rPr>
        <w:t>的函件。</w:t>
      </w:r>
    </w:p>
    <w:p w14:paraId="41F57AE2">
      <w:pPr>
        <w:pStyle w:val="142"/>
        <w:numPr>
          <w:ilvl w:val="3"/>
          <w:numId w:val="0"/>
        </w:numPr>
        <w:tabs>
          <w:tab w:val="left" w:pos="1205"/>
        </w:tabs>
        <w:overflowPunct w:val="0"/>
        <w:spacing w:line="360" w:lineRule="auto"/>
        <w:ind w:left="0" w:firstLine="408" w:firstLineChars="200"/>
        <w:outlineLvl w:val="1"/>
        <w:rPr>
          <w:rFonts w:hint="default" w:hAnsi="宋体"/>
          <w:spacing w:val="-3"/>
          <w:sz w:val="21"/>
          <w:szCs w:val="24"/>
          <w:highlight w:val="none"/>
        </w:rPr>
      </w:pPr>
      <w:r>
        <w:rPr>
          <w:rFonts w:hint="default" w:ascii="Times New Roman" w:hAnsi="Times New Roman" w:eastAsia="Times New Roman" w:cs="Times New Roman"/>
          <w:spacing w:val="-3"/>
          <w:kern w:val="2"/>
          <w:sz w:val="21"/>
          <w:szCs w:val="24"/>
          <w:highlight w:val="none"/>
          <w:u w:val="none" w:color="auto"/>
          <w:lang w:val="en-US" w:eastAsia="zh-CN" w:bidi="ar-SA"/>
        </w:rPr>
        <w:t>1.1.1.5</w:t>
      </w:r>
      <w:r>
        <w:rPr>
          <w:rFonts w:hint="default" w:hAnsi="宋体"/>
          <w:spacing w:val="-3"/>
          <w:sz w:val="21"/>
          <w:szCs w:val="24"/>
          <w:highlight w:val="none"/>
        </w:rPr>
        <w:t>投标函附录：指由监理人填写并签署的、附在投标函后，名为“投标函附录”的函件。</w:t>
      </w:r>
    </w:p>
    <w:p w14:paraId="2F8A5588">
      <w:pPr>
        <w:pStyle w:val="142"/>
        <w:numPr>
          <w:ilvl w:val="3"/>
          <w:numId w:val="0"/>
        </w:numPr>
        <w:tabs>
          <w:tab w:val="left" w:pos="1205"/>
        </w:tabs>
        <w:overflowPunct w:val="0"/>
        <w:spacing w:line="360" w:lineRule="auto"/>
        <w:ind w:left="0" w:firstLine="412" w:firstLineChars="200"/>
        <w:outlineLvl w:val="1"/>
        <w:rPr>
          <w:rFonts w:hint="default" w:hAnsi="宋体"/>
          <w:spacing w:val="-2"/>
          <w:sz w:val="21"/>
          <w:szCs w:val="24"/>
          <w:highlight w:val="none"/>
        </w:rPr>
      </w:pPr>
      <w:r>
        <w:rPr>
          <w:rFonts w:hint="default" w:ascii="Times New Roman" w:hAnsi="Times New Roman" w:eastAsia="Times New Roman" w:cs="Times New Roman"/>
          <w:spacing w:val="-2"/>
          <w:kern w:val="2"/>
          <w:sz w:val="21"/>
          <w:szCs w:val="24"/>
          <w:highlight w:val="none"/>
          <w:u w:val="none" w:color="auto"/>
          <w:lang w:val="en-US" w:eastAsia="zh-CN" w:bidi="ar-SA"/>
        </w:rPr>
        <w:t>1.1.1.6</w:t>
      </w:r>
      <w:r>
        <w:rPr>
          <w:rFonts w:hint="default" w:hAnsi="宋体"/>
          <w:spacing w:val="-3"/>
          <w:sz w:val="21"/>
          <w:szCs w:val="24"/>
          <w:highlight w:val="none"/>
        </w:rPr>
        <w:t>委托人要求：指合同文件中名为“委托人要求</w:t>
      </w:r>
      <w:r>
        <w:rPr>
          <w:rFonts w:hint="default" w:hAnsi="宋体"/>
          <w:sz w:val="21"/>
          <w:szCs w:val="24"/>
          <w:highlight w:val="none"/>
        </w:rPr>
        <w:t>”</w:t>
      </w:r>
      <w:r>
        <w:rPr>
          <w:rFonts w:hint="default" w:hAnsi="宋体"/>
          <w:spacing w:val="-2"/>
          <w:sz w:val="21"/>
          <w:szCs w:val="24"/>
          <w:highlight w:val="none"/>
        </w:rPr>
        <w:t>的文件。</w:t>
      </w:r>
    </w:p>
    <w:p w14:paraId="19CA933D">
      <w:pPr>
        <w:pStyle w:val="142"/>
        <w:numPr>
          <w:ilvl w:val="3"/>
          <w:numId w:val="0"/>
        </w:numPr>
        <w:tabs>
          <w:tab w:val="left" w:pos="1205"/>
        </w:tabs>
        <w:overflowPunct w:val="0"/>
        <w:spacing w:line="360" w:lineRule="auto"/>
        <w:ind w:left="0" w:firstLine="408" w:firstLineChars="200"/>
        <w:outlineLvl w:val="1"/>
        <w:rPr>
          <w:rFonts w:hint="default" w:hAnsi="宋体"/>
          <w:spacing w:val="-3"/>
          <w:sz w:val="21"/>
          <w:szCs w:val="24"/>
          <w:highlight w:val="none"/>
        </w:rPr>
      </w:pPr>
      <w:r>
        <w:rPr>
          <w:rFonts w:hint="default" w:ascii="Times New Roman" w:hAnsi="Times New Roman" w:eastAsia="Times New Roman" w:cs="Times New Roman"/>
          <w:spacing w:val="-3"/>
          <w:kern w:val="2"/>
          <w:sz w:val="21"/>
          <w:szCs w:val="24"/>
          <w:highlight w:val="none"/>
          <w:u w:val="none" w:color="auto"/>
          <w:lang w:val="en-US" w:eastAsia="zh-CN" w:bidi="ar-SA"/>
        </w:rPr>
        <w:t>1.1.1.7</w:t>
      </w:r>
      <w:r>
        <w:rPr>
          <w:rFonts w:hint="default" w:hAnsi="宋体"/>
          <w:spacing w:val="-3"/>
          <w:sz w:val="21"/>
          <w:szCs w:val="24"/>
          <w:highlight w:val="none"/>
        </w:rPr>
        <w:t>监理大纲：指监理人在投标文件中的监理大纲。</w:t>
      </w:r>
    </w:p>
    <w:p w14:paraId="5DE2660D">
      <w:pPr>
        <w:pStyle w:val="142"/>
        <w:numPr>
          <w:ilvl w:val="3"/>
          <w:numId w:val="0"/>
        </w:numPr>
        <w:tabs>
          <w:tab w:val="left" w:pos="1205"/>
        </w:tabs>
        <w:overflowPunct w:val="0"/>
        <w:spacing w:line="360" w:lineRule="auto"/>
        <w:ind w:left="0" w:firstLine="408" w:firstLineChars="200"/>
        <w:outlineLvl w:val="1"/>
        <w:rPr>
          <w:rFonts w:hint="default" w:hAnsi="宋体"/>
          <w:spacing w:val="-3"/>
          <w:sz w:val="21"/>
          <w:szCs w:val="24"/>
          <w:highlight w:val="none"/>
        </w:rPr>
      </w:pPr>
      <w:r>
        <w:rPr>
          <w:rFonts w:hint="default" w:ascii="Times New Roman" w:hAnsi="Times New Roman" w:eastAsia="Times New Roman" w:cs="Times New Roman"/>
          <w:spacing w:val="-3"/>
          <w:kern w:val="2"/>
          <w:sz w:val="21"/>
          <w:szCs w:val="24"/>
          <w:highlight w:val="none"/>
          <w:u w:val="none" w:color="auto"/>
          <w:lang w:val="en-US" w:eastAsia="zh-CN" w:bidi="ar-SA"/>
        </w:rPr>
        <w:t>1.1.1.8</w:t>
      </w:r>
      <w:r>
        <w:rPr>
          <w:rFonts w:hint="default" w:hAnsi="宋体"/>
          <w:spacing w:val="-3"/>
          <w:sz w:val="21"/>
          <w:szCs w:val="24"/>
          <w:highlight w:val="none"/>
        </w:rPr>
        <w:t>监理报酬清单：指监理人投标文件中的监理报酬清单。</w:t>
      </w:r>
    </w:p>
    <w:p w14:paraId="6E0EA0DD">
      <w:pPr>
        <w:pStyle w:val="142"/>
        <w:numPr>
          <w:ilvl w:val="3"/>
          <w:numId w:val="0"/>
        </w:numPr>
        <w:tabs>
          <w:tab w:val="left" w:pos="1205"/>
        </w:tabs>
        <w:overflowPunct w:val="0"/>
        <w:spacing w:line="360" w:lineRule="auto"/>
        <w:ind w:left="0" w:firstLine="408" w:firstLineChars="200"/>
        <w:outlineLvl w:val="1"/>
        <w:rPr>
          <w:rFonts w:hint="default" w:hAnsi="宋体"/>
          <w:spacing w:val="-3"/>
          <w:sz w:val="21"/>
          <w:szCs w:val="24"/>
          <w:highlight w:val="none"/>
        </w:rPr>
      </w:pPr>
      <w:r>
        <w:rPr>
          <w:rFonts w:hint="default" w:ascii="Times New Roman" w:hAnsi="Times New Roman" w:eastAsia="Times New Roman" w:cs="Times New Roman"/>
          <w:spacing w:val="-3"/>
          <w:kern w:val="2"/>
          <w:sz w:val="21"/>
          <w:szCs w:val="24"/>
          <w:highlight w:val="none"/>
          <w:u w:val="none" w:color="auto"/>
          <w:lang w:val="en-US" w:eastAsia="zh-CN" w:bidi="ar-SA"/>
        </w:rPr>
        <w:t>1.1.1.9</w:t>
      </w:r>
      <w:r>
        <w:rPr>
          <w:rFonts w:hint="default" w:hAnsi="宋体"/>
          <w:spacing w:val="-3"/>
          <w:sz w:val="21"/>
          <w:szCs w:val="24"/>
          <w:highlight w:val="none"/>
        </w:rPr>
        <w:t>其他合同文件：指经合同双方当事人确认构成合同文件的其他文件。</w:t>
      </w:r>
    </w:p>
    <w:p w14:paraId="3050A114">
      <w:pPr>
        <w:numPr>
          <w:ilvl w:val="2"/>
          <w:numId w:val="0"/>
        </w:numPr>
        <w:overflowPunct w:val="0"/>
        <w:ind w:left="0" w:firstLineChars="200"/>
        <w:outlineLvl w:val="1"/>
        <w:rPr>
          <w:rFonts w:hint="default" w:hAnsi="宋体"/>
          <w:b/>
          <w:sz w:val="21"/>
          <w:szCs w:val="24"/>
          <w:highlight w:val="none"/>
        </w:rPr>
      </w:pPr>
      <w:r>
        <w:rPr>
          <w:rFonts w:hint="default" w:ascii="Times New Roman" w:hAnsi="Times New Roman" w:eastAsia="Times New Roman" w:cs="Times New Roman"/>
          <w:b/>
          <w:spacing w:val="-8"/>
          <w:kern w:val="0"/>
          <w:sz w:val="21"/>
          <w:szCs w:val="24"/>
          <w:highlight w:val="none"/>
          <w:u w:val="none" w:color="auto"/>
          <w:lang w:val="en-US" w:eastAsia="zh-CN" w:bidi="ar-SA"/>
        </w:rPr>
        <w:t>1.1.2</w:t>
      </w:r>
      <w:r>
        <w:rPr>
          <w:rFonts w:hint="default" w:hAnsi="宋体"/>
          <w:b/>
          <w:sz w:val="21"/>
          <w:szCs w:val="24"/>
          <w:highlight w:val="none"/>
        </w:rPr>
        <w:t>合同当事人和人员</w:t>
      </w:r>
    </w:p>
    <w:p w14:paraId="02199169">
      <w:pPr>
        <w:pStyle w:val="142"/>
        <w:numPr>
          <w:ilvl w:val="3"/>
          <w:numId w:val="10"/>
        </w:numPr>
        <w:tabs>
          <w:tab w:val="left" w:pos="1205"/>
        </w:tabs>
        <w:overflowPunct w:val="0"/>
        <w:spacing w:line="360" w:lineRule="auto"/>
        <w:ind w:left="0" w:firstLine="408" w:firstLineChars="200"/>
        <w:outlineLvl w:val="1"/>
        <w:rPr>
          <w:rFonts w:hint="default" w:hAnsi="宋体"/>
          <w:spacing w:val="-3"/>
          <w:sz w:val="21"/>
          <w:szCs w:val="24"/>
          <w:highlight w:val="none"/>
        </w:rPr>
      </w:pPr>
      <w:r>
        <w:rPr>
          <w:rFonts w:hint="default" w:hAnsi="宋体"/>
          <w:spacing w:val="-3"/>
          <w:sz w:val="21"/>
          <w:szCs w:val="24"/>
          <w:highlight w:val="none"/>
        </w:rPr>
        <w:t>合同当事人：指委托人和</w:t>
      </w:r>
      <w:r>
        <w:rPr>
          <w:rFonts w:hint="default" w:hAnsi="宋体"/>
          <w:sz w:val="21"/>
          <w:szCs w:val="24"/>
          <w:highlight w:val="none"/>
        </w:rPr>
        <w:t>（</w:t>
      </w:r>
      <w:r>
        <w:rPr>
          <w:rFonts w:hint="default" w:hAnsi="宋体"/>
          <w:spacing w:val="-3"/>
          <w:sz w:val="21"/>
          <w:szCs w:val="24"/>
          <w:highlight w:val="none"/>
        </w:rPr>
        <w:t>或</w:t>
      </w:r>
      <w:r>
        <w:rPr>
          <w:rFonts w:hint="default" w:hAnsi="宋体"/>
          <w:sz w:val="21"/>
          <w:szCs w:val="24"/>
          <w:highlight w:val="none"/>
        </w:rPr>
        <w:t>）</w:t>
      </w:r>
      <w:r>
        <w:rPr>
          <w:rFonts w:hint="default" w:hAnsi="宋体"/>
          <w:spacing w:val="-3"/>
          <w:sz w:val="21"/>
          <w:szCs w:val="24"/>
          <w:highlight w:val="none"/>
        </w:rPr>
        <w:t>监理人。</w:t>
      </w:r>
    </w:p>
    <w:p w14:paraId="26EBE2DA">
      <w:pPr>
        <w:pStyle w:val="142"/>
        <w:numPr>
          <w:ilvl w:val="3"/>
          <w:numId w:val="10"/>
        </w:numPr>
        <w:tabs>
          <w:tab w:val="left" w:pos="1205"/>
        </w:tabs>
        <w:overflowPunct w:val="0"/>
        <w:spacing w:line="360" w:lineRule="auto"/>
        <w:ind w:left="0" w:firstLine="408" w:firstLineChars="200"/>
        <w:outlineLvl w:val="1"/>
        <w:rPr>
          <w:rFonts w:hint="default" w:hAnsi="宋体"/>
          <w:spacing w:val="-3"/>
          <w:sz w:val="21"/>
          <w:szCs w:val="24"/>
          <w:highlight w:val="none"/>
        </w:rPr>
      </w:pPr>
      <w:r>
        <w:rPr>
          <w:rFonts w:hint="default" w:hAnsi="宋体"/>
          <w:spacing w:val="-3"/>
          <w:sz w:val="21"/>
          <w:szCs w:val="24"/>
          <w:highlight w:val="none"/>
        </w:rPr>
        <w:t>委托人：指与监理人签订合同协议书的当事人，及其合法继承人。</w:t>
      </w:r>
    </w:p>
    <w:p w14:paraId="7956A9A5">
      <w:pPr>
        <w:pStyle w:val="142"/>
        <w:numPr>
          <w:ilvl w:val="3"/>
          <w:numId w:val="10"/>
        </w:numPr>
        <w:tabs>
          <w:tab w:val="left" w:pos="1205"/>
        </w:tabs>
        <w:overflowPunct w:val="0"/>
        <w:spacing w:line="360" w:lineRule="auto"/>
        <w:ind w:left="0" w:firstLine="408" w:firstLineChars="200"/>
        <w:outlineLvl w:val="1"/>
        <w:rPr>
          <w:rFonts w:hint="default" w:hAnsi="宋体"/>
          <w:spacing w:val="-3"/>
          <w:sz w:val="21"/>
          <w:szCs w:val="24"/>
          <w:highlight w:val="none"/>
        </w:rPr>
      </w:pPr>
      <w:r>
        <w:rPr>
          <w:rFonts w:hint="default" w:hAnsi="宋体"/>
          <w:spacing w:val="-3"/>
          <w:sz w:val="21"/>
          <w:szCs w:val="24"/>
          <w:highlight w:val="none"/>
        </w:rPr>
        <w:t>监理人：指与委托人签订合同协议书的当事人，及其合法继承人。</w:t>
      </w:r>
    </w:p>
    <w:p w14:paraId="0060F51E">
      <w:pPr>
        <w:pStyle w:val="142"/>
        <w:numPr>
          <w:ilvl w:val="3"/>
          <w:numId w:val="10"/>
        </w:numPr>
        <w:tabs>
          <w:tab w:val="left" w:pos="1205"/>
        </w:tabs>
        <w:overflowPunct w:val="0"/>
        <w:spacing w:line="360" w:lineRule="auto"/>
        <w:ind w:left="0" w:firstLine="396" w:firstLineChars="200"/>
        <w:outlineLvl w:val="1"/>
        <w:rPr>
          <w:rFonts w:hint="default" w:hAnsi="宋体"/>
          <w:spacing w:val="-4"/>
          <w:sz w:val="21"/>
          <w:szCs w:val="24"/>
          <w:highlight w:val="none"/>
        </w:rPr>
      </w:pPr>
      <w:r>
        <w:rPr>
          <w:rFonts w:hint="default" w:hAnsi="宋体"/>
          <w:spacing w:val="-6"/>
          <w:sz w:val="21"/>
          <w:szCs w:val="24"/>
          <w:highlight w:val="none"/>
        </w:rPr>
        <w:t>委托人代表：指由委托人任命，并在授权范围和期限内代表委托人行使权利和履行</w:t>
      </w:r>
      <w:r>
        <w:rPr>
          <w:rFonts w:hint="default" w:hAnsi="宋体"/>
          <w:spacing w:val="-4"/>
          <w:sz w:val="21"/>
          <w:szCs w:val="24"/>
          <w:highlight w:val="none"/>
        </w:rPr>
        <w:t>义务的全权负责人。</w:t>
      </w:r>
    </w:p>
    <w:p w14:paraId="23EA1CB1">
      <w:pPr>
        <w:pStyle w:val="142"/>
        <w:numPr>
          <w:ilvl w:val="3"/>
          <w:numId w:val="10"/>
        </w:numPr>
        <w:tabs>
          <w:tab w:val="left" w:pos="1205"/>
        </w:tabs>
        <w:overflowPunct w:val="0"/>
        <w:spacing w:line="360" w:lineRule="auto"/>
        <w:ind w:left="0" w:firstLine="412" w:firstLineChars="200"/>
        <w:outlineLvl w:val="1"/>
        <w:rPr>
          <w:rFonts w:hint="default" w:hAnsi="宋体"/>
          <w:spacing w:val="-2"/>
          <w:sz w:val="21"/>
          <w:szCs w:val="24"/>
          <w:highlight w:val="none"/>
        </w:rPr>
      </w:pPr>
      <w:r>
        <w:rPr>
          <w:rFonts w:hint="default" w:hAnsi="宋体"/>
          <w:spacing w:val="-2"/>
          <w:sz w:val="21"/>
          <w:szCs w:val="24"/>
          <w:highlight w:val="none"/>
        </w:rPr>
        <w:t>总监理工程师：指由监理人任命，代表监理人行使权利和履行义务的全权负责人。</w:t>
      </w:r>
    </w:p>
    <w:p w14:paraId="33346CD7">
      <w:pPr>
        <w:pStyle w:val="142"/>
        <w:numPr>
          <w:ilvl w:val="3"/>
          <w:numId w:val="10"/>
        </w:numPr>
        <w:tabs>
          <w:tab w:val="left" w:pos="1205"/>
        </w:tabs>
        <w:overflowPunct w:val="0"/>
        <w:spacing w:line="360" w:lineRule="auto"/>
        <w:ind w:left="0" w:firstLine="400" w:firstLineChars="200"/>
        <w:outlineLvl w:val="1"/>
        <w:rPr>
          <w:rFonts w:hint="default" w:hAnsi="宋体"/>
          <w:spacing w:val="-5"/>
          <w:sz w:val="21"/>
          <w:szCs w:val="24"/>
          <w:highlight w:val="none"/>
        </w:rPr>
      </w:pPr>
      <w:r>
        <w:rPr>
          <w:rFonts w:hint="default" w:hAnsi="宋体"/>
          <w:spacing w:val="-5"/>
          <w:sz w:val="21"/>
          <w:szCs w:val="24"/>
          <w:highlight w:val="none"/>
        </w:rPr>
        <w:t>承包人：指在本工程监理范围内，与委托人签订勘察、设计、施工承包合同的当事人。</w:t>
      </w:r>
    </w:p>
    <w:p w14:paraId="79CB202B">
      <w:pPr>
        <w:numPr>
          <w:ilvl w:val="2"/>
          <w:numId w:val="0"/>
        </w:numPr>
        <w:overflowPunct w:val="0"/>
        <w:ind w:left="0" w:firstLineChars="200"/>
        <w:outlineLvl w:val="1"/>
        <w:rPr>
          <w:rFonts w:hint="default" w:hAnsi="宋体"/>
          <w:b/>
          <w:sz w:val="21"/>
          <w:szCs w:val="24"/>
          <w:highlight w:val="none"/>
        </w:rPr>
      </w:pPr>
      <w:r>
        <w:rPr>
          <w:rFonts w:hint="default" w:ascii="Times New Roman" w:hAnsi="Times New Roman" w:eastAsia="Times New Roman" w:cs="Times New Roman"/>
          <w:b/>
          <w:spacing w:val="-8"/>
          <w:kern w:val="0"/>
          <w:sz w:val="21"/>
          <w:szCs w:val="24"/>
          <w:highlight w:val="none"/>
          <w:u w:val="none" w:color="auto"/>
          <w:lang w:val="en-US" w:eastAsia="zh-CN" w:bidi="ar-SA"/>
        </w:rPr>
        <w:t>1.1.3</w:t>
      </w:r>
      <w:r>
        <w:rPr>
          <w:rFonts w:hint="default" w:hAnsi="宋体"/>
          <w:b/>
          <w:sz w:val="21"/>
          <w:szCs w:val="24"/>
          <w:highlight w:val="none"/>
        </w:rPr>
        <w:t>工程和监理</w:t>
      </w:r>
    </w:p>
    <w:p w14:paraId="10F43392">
      <w:pPr>
        <w:pStyle w:val="142"/>
        <w:numPr>
          <w:ilvl w:val="3"/>
          <w:numId w:val="11"/>
        </w:numPr>
        <w:tabs>
          <w:tab w:val="left" w:pos="1205"/>
        </w:tabs>
        <w:overflowPunct w:val="0"/>
        <w:spacing w:line="360" w:lineRule="auto"/>
        <w:ind w:left="0" w:firstLine="408" w:firstLineChars="200"/>
        <w:outlineLvl w:val="1"/>
        <w:rPr>
          <w:rFonts w:hint="default" w:hAnsi="宋体"/>
          <w:spacing w:val="-3"/>
          <w:sz w:val="21"/>
          <w:szCs w:val="24"/>
          <w:highlight w:val="none"/>
        </w:rPr>
      </w:pPr>
      <w:r>
        <w:rPr>
          <w:rFonts w:hint="default" w:hAnsi="宋体"/>
          <w:spacing w:val="-3"/>
          <w:sz w:val="21"/>
          <w:szCs w:val="24"/>
          <w:highlight w:val="none"/>
        </w:rPr>
        <w:t>工程：指永久工程和</w:t>
      </w:r>
      <w:r>
        <w:rPr>
          <w:rFonts w:hint="default" w:hAnsi="宋体"/>
          <w:sz w:val="21"/>
          <w:szCs w:val="24"/>
          <w:highlight w:val="none"/>
        </w:rPr>
        <w:t>（</w:t>
      </w:r>
      <w:r>
        <w:rPr>
          <w:rFonts w:hint="default" w:hAnsi="宋体"/>
          <w:spacing w:val="-3"/>
          <w:sz w:val="21"/>
          <w:szCs w:val="24"/>
          <w:highlight w:val="none"/>
        </w:rPr>
        <w:t>或</w:t>
      </w:r>
      <w:r>
        <w:rPr>
          <w:rFonts w:hint="default" w:hAnsi="宋体"/>
          <w:sz w:val="21"/>
          <w:szCs w:val="24"/>
          <w:highlight w:val="none"/>
        </w:rPr>
        <w:t>）</w:t>
      </w:r>
      <w:r>
        <w:rPr>
          <w:rFonts w:hint="default" w:hAnsi="宋体"/>
          <w:spacing w:val="-3"/>
          <w:sz w:val="21"/>
          <w:szCs w:val="24"/>
          <w:highlight w:val="none"/>
        </w:rPr>
        <w:t>临时工程。</w:t>
      </w:r>
    </w:p>
    <w:p w14:paraId="69327107">
      <w:pPr>
        <w:pStyle w:val="142"/>
        <w:numPr>
          <w:ilvl w:val="3"/>
          <w:numId w:val="11"/>
        </w:numPr>
        <w:tabs>
          <w:tab w:val="left" w:pos="1205"/>
        </w:tabs>
        <w:overflowPunct w:val="0"/>
        <w:spacing w:line="360" w:lineRule="auto"/>
        <w:ind w:left="0" w:firstLine="392" w:firstLineChars="200"/>
        <w:outlineLvl w:val="1"/>
        <w:rPr>
          <w:rFonts w:hint="default" w:hAnsi="宋体"/>
          <w:spacing w:val="-7"/>
          <w:sz w:val="21"/>
          <w:szCs w:val="24"/>
          <w:highlight w:val="none"/>
        </w:rPr>
      </w:pPr>
      <w:r>
        <w:rPr>
          <w:rFonts w:hint="default" w:hAnsi="宋体"/>
          <w:spacing w:val="-7"/>
          <w:sz w:val="21"/>
          <w:szCs w:val="24"/>
          <w:highlight w:val="none"/>
        </w:rPr>
        <w:t>监理服务：指监理人接受委托人的委托，依照法律、规范标准和监理合同等，对建设工程勘察、设计或施工等阶段进行质量控制、进度控制、投资控制、合同管理、信息管理、组织协调和安全监理、环保监理的服务活动。</w:t>
      </w:r>
    </w:p>
    <w:p w14:paraId="46A16195">
      <w:pPr>
        <w:pStyle w:val="142"/>
        <w:numPr>
          <w:ilvl w:val="3"/>
          <w:numId w:val="11"/>
        </w:numPr>
        <w:tabs>
          <w:tab w:val="left" w:pos="1205"/>
        </w:tabs>
        <w:overflowPunct w:val="0"/>
        <w:spacing w:line="360" w:lineRule="auto"/>
        <w:ind w:left="0" w:firstLine="396" w:firstLineChars="200"/>
        <w:outlineLvl w:val="1"/>
        <w:rPr>
          <w:rFonts w:hint="default" w:hAnsi="宋体"/>
          <w:spacing w:val="-4"/>
          <w:sz w:val="21"/>
          <w:szCs w:val="24"/>
          <w:highlight w:val="none"/>
        </w:rPr>
      </w:pPr>
      <w:r>
        <w:rPr>
          <w:rFonts w:hint="default" w:hAnsi="宋体"/>
          <w:spacing w:val="-6"/>
          <w:sz w:val="21"/>
          <w:szCs w:val="24"/>
          <w:highlight w:val="none"/>
        </w:rPr>
        <w:t>监理资料：是委托人按合同约定向监理人提供的，用于完成监理范围与内容所需要</w:t>
      </w:r>
      <w:r>
        <w:rPr>
          <w:rFonts w:hint="default" w:hAnsi="宋体"/>
          <w:spacing w:val="-4"/>
          <w:sz w:val="21"/>
          <w:szCs w:val="24"/>
          <w:highlight w:val="none"/>
        </w:rPr>
        <w:t>的资料。</w:t>
      </w:r>
    </w:p>
    <w:p w14:paraId="1C36A630">
      <w:pPr>
        <w:pStyle w:val="142"/>
        <w:numPr>
          <w:ilvl w:val="3"/>
          <w:numId w:val="11"/>
        </w:numPr>
        <w:tabs>
          <w:tab w:val="left" w:pos="1205"/>
        </w:tabs>
        <w:overflowPunct w:val="0"/>
        <w:spacing w:line="360" w:lineRule="auto"/>
        <w:ind w:left="0" w:firstLine="392" w:firstLineChars="200"/>
        <w:jc w:val="both"/>
        <w:outlineLvl w:val="1"/>
        <w:rPr>
          <w:rFonts w:hint="default" w:hAnsi="宋体"/>
          <w:spacing w:val="-5"/>
          <w:sz w:val="21"/>
          <w:szCs w:val="24"/>
          <w:highlight w:val="none"/>
        </w:rPr>
      </w:pPr>
      <w:r>
        <w:rPr>
          <w:rFonts w:hint="default" w:hAnsi="宋体"/>
          <w:spacing w:val="-7"/>
          <w:sz w:val="21"/>
          <w:szCs w:val="24"/>
          <w:highlight w:val="none"/>
        </w:rPr>
        <w:t xml:space="preserve">监理文件：指监理人按合同约定向委托人提交的监理大纲、监理规划、监理实施细则、监理日志、监理报告、工程质量评估报告、事故处理文件、监理工作总结和其他文件等， </w:t>
      </w:r>
      <w:r>
        <w:rPr>
          <w:rFonts w:hint="default" w:hAnsi="宋体"/>
          <w:spacing w:val="-5"/>
          <w:sz w:val="21"/>
          <w:szCs w:val="24"/>
          <w:highlight w:val="none"/>
        </w:rPr>
        <w:t>包括阶段性文件和最终文件，且应当采用合同中双方约定的格式和载体。</w:t>
      </w:r>
    </w:p>
    <w:p w14:paraId="59263FB6">
      <w:pPr>
        <w:numPr>
          <w:ilvl w:val="2"/>
          <w:numId w:val="0"/>
        </w:numPr>
        <w:overflowPunct w:val="0"/>
        <w:ind w:left="0" w:firstLineChars="200"/>
        <w:outlineLvl w:val="1"/>
        <w:rPr>
          <w:rFonts w:hint="default" w:hAnsi="宋体"/>
          <w:b/>
          <w:sz w:val="21"/>
          <w:szCs w:val="24"/>
          <w:highlight w:val="none"/>
        </w:rPr>
      </w:pPr>
      <w:r>
        <w:rPr>
          <w:rFonts w:hint="default" w:ascii="Times New Roman" w:hAnsi="Times New Roman" w:eastAsia="Times New Roman" w:cs="Times New Roman"/>
          <w:b/>
          <w:spacing w:val="-8"/>
          <w:kern w:val="0"/>
          <w:sz w:val="21"/>
          <w:szCs w:val="24"/>
          <w:highlight w:val="none"/>
          <w:u w:val="none" w:color="auto"/>
          <w:lang w:val="en-US" w:eastAsia="zh-CN" w:bidi="ar-SA"/>
        </w:rPr>
        <w:t>1.1.4</w:t>
      </w:r>
      <w:r>
        <w:rPr>
          <w:rFonts w:hint="default" w:hAnsi="宋体"/>
          <w:b/>
          <w:sz w:val="21"/>
          <w:szCs w:val="24"/>
          <w:highlight w:val="none"/>
        </w:rPr>
        <w:t>日期</w:t>
      </w:r>
    </w:p>
    <w:p w14:paraId="068230FE">
      <w:pPr>
        <w:pStyle w:val="142"/>
        <w:numPr>
          <w:ilvl w:val="3"/>
          <w:numId w:val="12"/>
        </w:numPr>
        <w:tabs>
          <w:tab w:val="left" w:pos="1205"/>
        </w:tabs>
        <w:overflowPunct w:val="0"/>
        <w:spacing w:line="360" w:lineRule="auto"/>
        <w:ind w:left="0" w:firstLine="396" w:firstLineChars="200"/>
        <w:outlineLvl w:val="1"/>
        <w:rPr>
          <w:rFonts w:hint="default" w:hAnsi="宋体"/>
          <w:spacing w:val="-3"/>
          <w:sz w:val="21"/>
          <w:szCs w:val="24"/>
          <w:highlight w:val="none"/>
        </w:rPr>
      </w:pPr>
      <w:r>
        <w:rPr>
          <w:rFonts w:hint="default" w:hAnsi="宋体"/>
          <w:spacing w:val="-6"/>
          <w:sz w:val="21"/>
          <w:szCs w:val="24"/>
          <w:highlight w:val="none"/>
        </w:rPr>
        <w:t xml:space="preserve">开始监理通知：指委托人按第 </w:t>
      </w:r>
      <w:r>
        <w:rPr>
          <w:rFonts w:hint="default" w:hAnsi="宋体"/>
          <w:sz w:val="21"/>
          <w:szCs w:val="24"/>
          <w:highlight w:val="none"/>
        </w:rPr>
        <w:t>6.1</w:t>
      </w:r>
      <w:r>
        <w:rPr>
          <w:rFonts w:hint="default" w:hAnsi="宋体"/>
          <w:spacing w:val="10"/>
          <w:sz w:val="21"/>
          <w:szCs w:val="24"/>
          <w:highlight w:val="none"/>
        </w:rPr>
        <w:t xml:space="preserve"> </w:t>
      </w:r>
      <w:r>
        <w:rPr>
          <w:rFonts w:hint="default" w:hAnsi="宋体"/>
          <w:spacing w:val="-3"/>
          <w:sz w:val="21"/>
          <w:szCs w:val="24"/>
          <w:highlight w:val="none"/>
        </w:rPr>
        <w:t>款通知监理人开始监理的函件。</w:t>
      </w:r>
    </w:p>
    <w:p w14:paraId="209FE259">
      <w:pPr>
        <w:pStyle w:val="142"/>
        <w:numPr>
          <w:ilvl w:val="3"/>
          <w:numId w:val="12"/>
        </w:numPr>
        <w:tabs>
          <w:tab w:val="left" w:pos="1205"/>
        </w:tabs>
        <w:overflowPunct w:val="0"/>
        <w:spacing w:line="360" w:lineRule="auto"/>
        <w:ind w:left="0" w:firstLine="396" w:firstLineChars="200"/>
        <w:outlineLvl w:val="1"/>
        <w:rPr>
          <w:rFonts w:hint="default" w:hAnsi="宋体"/>
          <w:spacing w:val="-3"/>
          <w:sz w:val="21"/>
          <w:szCs w:val="24"/>
          <w:highlight w:val="none"/>
        </w:rPr>
      </w:pPr>
      <w:r>
        <w:rPr>
          <w:rFonts w:hint="default" w:hAnsi="宋体"/>
          <w:spacing w:val="-6"/>
          <w:sz w:val="21"/>
          <w:szCs w:val="24"/>
          <w:highlight w:val="none"/>
        </w:rPr>
        <w:t xml:space="preserve">开始监理日期：指委托人按第 </w:t>
      </w:r>
      <w:r>
        <w:rPr>
          <w:rFonts w:hint="default" w:hAnsi="宋体"/>
          <w:sz w:val="21"/>
          <w:szCs w:val="24"/>
          <w:highlight w:val="none"/>
        </w:rPr>
        <w:t>6.1</w:t>
      </w:r>
      <w:r>
        <w:rPr>
          <w:rFonts w:hint="default" w:hAnsi="宋体"/>
          <w:spacing w:val="15"/>
          <w:sz w:val="21"/>
          <w:szCs w:val="24"/>
          <w:highlight w:val="none"/>
        </w:rPr>
        <w:t xml:space="preserve"> </w:t>
      </w:r>
      <w:r>
        <w:rPr>
          <w:rFonts w:hint="default" w:hAnsi="宋体"/>
          <w:spacing w:val="-3"/>
          <w:sz w:val="21"/>
          <w:szCs w:val="24"/>
          <w:highlight w:val="none"/>
        </w:rPr>
        <w:t>款发出的开始监理通知中写明的开始监理日期。</w:t>
      </w:r>
    </w:p>
    <w:p w14:paraId="0C324CE1">
      <w:pPr>
        <w:pStyle w:val="142"/>
        <w:numPr>
          <w:ilvl w:val="3"/>
          <w:numId w:val="12"/>
        </w:numPr>
        <w:tabs>
          <w:tab w:val="left" w:pos="1205"/>
        </w:tabs>
        <w:overflowPunct w:val="0"/>
        <w:spacing w:line="360" w:lineRule="auto"/>
        <w:ind w:left="0" w:firstLine="396" w:firstLineChars="200"/>
        <w:outlineLvl w:val="1"/>
        <w:rPr>
          <w:rFonts w:hint="default" w:hAnsi="宋体"/>
          <w:spacing w:val="-3"/>
          <w:sz w:val="21"/>
          <w:szCs w:val="24"/>
          <w:highlight w:val="none"/>
        </w:rPr>
      </w:pPr>
      <w:r>
        <w:rPr>
          <w:rFonts w:hint="default" w:hAnsi="宋体"/>
          <w:spacing w:val="-6"/>
          <w:sz w:val="21"/>
          <w:szCs w:val="24"/>
          <w:highlight w:val="none"/>
        </w:rPr>
        <w:t>监理服务期限：指监理人在投标函中承诺的完成合同监理服务所需的期限，包括按</w:t>
      </w:r>
      <w:r>
        <w:rPr>
          <w:rFonts w:hint="default" w:hAnsi="宋体"/>
          <w:spacing w:val="-28"/>
          <w:sz w:val="21"/>
          <w:szCs w:val="24"/>
          <w:highlight w:val="none"/>
        </w:rPr>
        <w:t xml:space="preserve">第 </w:t>
      </w:r>
      <w:r>
        <w:rPr>
          <w:rFonts w:hint="default" w:hAnsi="宋体"/>
          <w:sz w:val="21"/>
          <w:szCs w:val="24"/>
          <w:highlight w:val="none"/>
        </w:rPr>
        <w:t xml:space="preserve">6.2 </w:t>
      </w:r>
      <w:r>
        <w:rPr>
          <w:rFonts w:hint="default" w:hAnsi="宋体"/>
          <w:spacing w:val="-14"/>
          <w:sz w:val="21"/>
          <w:szCs w:val="24"/>
          <w:highlight w:val="none"/>
        </w:rPr>
        <w:t xml:space="preserve">款和第 </w:t>
      </w:r>
      <w:r>
        <w:rPr>
          <w:rFonts w:hint="default" w:hAnsi="宋体"/>
          <w:sz w:val="21"/>
          <w:szCs w:val="24"/>
          <w:highlight w:val="none"/>
        </w:rPr>
        <w:t xml:space="preserve">6.3.2 </w:t>
      </w:r>
      <w:r>
        <w:rPr>
          <w:rFonts w:hint="default" w:hAnsi="宋体"/>
          <w:spacing w:val="-3"/>
          <w:sz w:val="21"/>
          <w:szCs w:val="24"/>
          <w:highlight w:val="none"/>
        </w:rPr>
        <w:t>项约定所作的调整。</w:t>
      </w:r>
    </w:p>
    <w:p w14:paraId="61E79768">
      <w:pPr>
        <w:pStyle w:val="142"/>
        <w:numPr>
          <w:ilvl w:val="3"/>
          <w:numId w:val="12"/>
        </w:numPr>
        <w:tabs>
          <w:tab w:val="left" w:pos="1205"/>
        </w:tabs>
        <w:overflowPunct w:val="0"/>
        <w:spacing w:line="360" w:lineRule="auto"/>
        <w:ind w:left="0" w:firstLine="392" w:firstLineChars="200"/>
        <w:outlineLvl w:val="1"/>
        <w:rPr>
          <w:rFonts w:hint="default" w:hAnsi="宋体"/>
          <w:spacing w:val="-3"/>
          <w:sz w:val="21"/>
          <w:szCs w:val="24"/>
          <w:highlight w:val="none"/>
        </w:rPr>
      </w:pPr>
      <w:r>
        <w:rPr>
          <w:rFonts w:hint="default" w:hAnsi="宋体"/>
          <w:spacing w:val="-7"/>
          <w:sz w:val="21"/>
          <w:szCs w:val="24"/>
          <w:highlight w:val="none"/>
        </w:rPr>
        <w:t xml:space="preserve">完成监理日期：指第 </w:t>
      </w:r>
      <w:r>
        <w:rPr>
          <w:rFonts w:hint="default" w:hAnsi="宋体"/>
          <w:sz w:val="21"/>
          <w:szCs w:val="24"/>
          <w:highlight w:val="none"/>
        </w:rPr>
        <w:t>1.1.4.3</w:t>
      </w:r>
      <w:r>
        <w:rPr>
          <w:rFonts w:hint="eastAsia" w:hAnsi="宋体"/>
          <w:spacing w:val="-3"/>
          <w:sz w:val="21"/>
          <w:szCs w:val="24"/>
          <w:highlight w:val="none"/>
          <w:lang w:val="en-US" w:eastAsia="zh-CN"/>
        </w:rPr>
        <w:t>项</w:t>
      </w:r>
      <w:r>
        <w:rPr>
          <w:rFonts w:hint="default" w:hAnsi="宋体"/>
          <w:spacing w:val="-3"/>
          <w:sz w:val="21"/>
          <w:szCs w:val="24"/>
          <w:highlight w:val="none"/>
        </w:rPr>
        <w:t>约定监理服务期限届满时的日期。</w:t>
      </w:r>
    </w:p>
    <w:p w14:paraId="5AE38534">
      <w:pPr>
        <w:pStyle w:val="142"/>
        <w:numPr>
          <w:ilvl w:val="3"/>
          <w:numId w:val="12"/>
        </w:numPr>
        <w:tabs>
          <w:tab w:val="left" w:pos="1205"/>
        </w:tabs>
        <w:overflowPunct w:val="0"/>
        <w:spacing w:line="360" w:lineRule="auto"/>
        <w:ind w:left="0" w:firstLine="392" w:firstLineChars="200"/>
        <w:outlineLvl w:val="1"/>
        <w:rPr>
          <w:rFonts w:hint="default" w:hAnsi="宋体"/>
          <w:spacing w:val="-3"/>
          <w:sz w:val="21"/>
          <w:szCs w:val="24"/>
          <w:highlight w:val="none"/>
        </w:rPr>
      </w:pPr>
      <w:r>
        <w:rPr>
          <w:rFonts w:hint="default" w:hAnsi="宋体"/>
          <w:spacing w:val="-7"/>
          <w:sz w:val="21"/>
          <w:szCs w:val="24"/>
          <w:highlight w:val="none"/>
        </w:rPr>
        <w:t xml:space="preserve">基准日：指投标截止时间前 </w:t>
      </w:r>
      <w:r>
        <w:rPr>
          <w:rFonts w:hint="default" w:hAnsi="宋体"/>
          <w:sz w:val="21"/>
          <w:szCs w:val="24"/>
          <w:highlight w:val="none"/>
        </w:rPr>
        <w:t>28</w:t>
      </w:r>
      <w:r>
        <w:rPr>
          <w:rFonts w:hint="default" w:hAnsi="宋体"/>
          <w:spacing w:val="-3"/>
          <w:sz w:val="21"/>
          <w:szCs w:val="24"/>
          <w:highlight w:val="none"/>
        </w:rPr>
        <w:t>天的日期。</w:t>
      </w:r>
    </w:p>
    <w:p w14:paraId="4B0D25DC">
      <w:pPr>
        <w:pStyle w:val="142"/>
        <w:numPr>
          <w:ilvl w:val="3"/>
          <w:numId w:val="12"/>
        </w:numPr>
        <w:tabs>
          <w:tab w:val="left" w:pos="1205"/>
        </w:tabs>
        <w:overflowPunct w:val="0"/>
        <w:spacing w:line="360" w:lineRule="auto"/>
        <w:ind w:left="0" w:firstLine="396" w:firstLineChars="200"/>
        <w:outlineLvl w:val="1"/>
        <w:rPr>
          <w:rFonts w:hint="default" w:hAnsi="宋体"/>
          <w:sz w:val="21"/>
          <w:szCs w:val="24"/>
          <w:highlight w:val="none"/>
        </w:rPr>
      </w:pPr>
      <w:r>
        <w:rPr>
          <w:rFonts w:hint="default" w:hAnsi="宋体"/>
          <w:spacing w:val="-6"/>
          <w:sz w:val="21"/>
          <w:szCs w:val="24"/>
          <w:highlight w:val="none"/>
        </w:rPr>
        <w:t xml:space="preserve">天：除特别指明外，指日历天。合同中按天计算时间的，开始当天不计入，从次日开始计算。期限最后一天的截止时间为当天 </w:t>
      </w:r>
      <w:r>
        <w:rPr>
          <w:rFonts w:hint="default" w:hAnsi="宋体"/>
          <w:sz w:val="21"/>
          <w:szCs w:val="24"/>
          <w:highlight w:val="none"/>
        </w:rPr>
        <w:t>24:00。</w:t>
      </w:r>
    </w:p>
    <w:p w14:paraId="16200B71">
      <w:pPr>
        <w:numPr>
          <w:ilvl w:val="2"/>
          <w:numId w:val="0"/>
        </w:numPr>
        <w:overflowPunct w:val="0"/>
        <w:ind w:left="0" w:firstLineChars="200"/>
        <w:outlineLvl w:val="1"/>
        <w:rPr>
          <w:rFonts w:hint="default" w:hAnsi="宋体"/>
          <w:b/>
          <w:sz w:val="21"/>
          <w:szCs w:val="24"/>
          <w:highlight w:val="none"/>
        </w:rPr>
      </w:pPr>
      <w:r>
        <w:rPr>
          <w:rFonts w:hint="default" w:ascii="Times New Roman" w:hAnsi="Times New Roman" w:eastAsia="Times New Roman" w:cs="Times New Roman"/>
          <w:b/>
          <w:spacing w:val="-8"/>
          <w:kern w:val="0"/>
          <w:sz w:val="21"/>
          <w:szCs w:val="24"/>
          <w:highlight w:val="none"/>
          <w:u w:val="none" w:color="auto"/>
          <w:lang w:val="en-US" w:eastAsia="zh-CN" w:bidi="ar-SA"/>
        </w:rPr>
        <w:t>1.1.5</w:t>
      </w:r>
      <w:r>
        <w:rPr>
          <w:rFonts w:hint="default" w:hAnsi="宋体"/>
          <w:b/>
          <w:sz w:val="21"/>
          <w:szCs w:val="24"/>
          <w:highlight w:val="none"/>
        </w:rPr>
        <w:t>合同价格和费用</w:t>
      </w:r>
    </w:p>
    <w:p w14:paraId="352EB3D6">
      <w:pPr>
        <w:pStyle w:val="142"/>
        <w:numPr>
          <w:ilvl w:val="3"/>
          <w:numId w:val="13"/>
        </w:numPr>
        <w:tabs>
          <w:tab w:val="left" w:pos="1205"/>
        </w:tabs>
        <w:overflowPunct w:val="0"/>
        <w:spacing w:line="360" w:lineRule="auto"/>
        <w:ind w:left="0" w:firstLine="408" w:firstLineChars="200"/>
        <w:outlineLvl w:val="1"/>
        <w:rPr>
          <w:rFonts w:hint="default" w:hAnsi="宋体"/>
          <w:spacing w:val="-3"/>
          <w:sz w:val="21"/>
          <w:szCs w:val="24"/>
          <w:highlight w:val="none"/>
        </w:rPr>
      </w:pPr>
      <w:r>
        <w:rPr>
          <w:rFonts w:hint="default" w:hAnsi="宋体"/>
          <w:spacing w:val="-3"/>
          <w:sz w:val="21"/>
          <w:szCs w:val="24"/>
          <w:highlight w:val="none"/>
        </w:rPr>
        <w:t>签约合同价：指签订合同时合同协议书中写明的监理报酬总金额。</w:t>
      </w:r>
    </w:p>
    <w:p w14:paraId="556FA0D3">
      <w:pPr>
        <w:pStyle w:val="142"/>
        <w:numPr>
          <w:ilvl w:val="3"/>
          <w:numId w:val="13"/>
        </w:numPr>
        <w:tabs>
          <w:tab w:val="left" w:pos="1205"/>
        </w:tabs>
        <w:overflowPunct w:val="0"/>
        <w:spacing w:line="360" w:lineRule="auto"/>
        <w:ind w:left="0" w:firstLine="396" w:firstLineChars="200"/>
        <w:outlineLvl w:val="1"/>
        <w:rPr>
          <w:rFonts w:hint="default" w:hAnsi="宋体"/>
          <w:spacing w:val="-4"/>
          <w:sz w:val="21"/>
          <w:szCs w:val="24"/>
          <w:highlight w:val="none"/>
        </w:rPr>
      </w:pPr>
      <w:r>
        <w:rPr>
          <w:rFonts w:hint="default" w:hAnsi="宋体"/>
          <w:spacing w:val="-6"/>
          <w:sz w:val="21"/>
          <w:szCs w:val="24"/>
          <w:highlight w:val="none"/>
        </w:rPr>
        <w:t>合同价格：指监理人按合同约定完成了全部监理工作后，委托人应付给监理人的金</w:t>
      </w:r>
      <w:r>
        <w:rPr>
          <w:rFonts w:hint="default" w:hAnsi="宋体"/>
          <w:spacing w:val="-4"/>
          <w:sz w:val="21"/>
          <w:szCs w:val="24"/>
          <w:highlight w:val="none"/>
        </w:rPr>
        <w:t>额，包括在履行合同过程中按合同约定进行的变更和调整。</w:t>
      </w:r>
    </w:p>
    <w:p w14:paraId="7FBFD89B">
      <w:pPr>
        <w:pStyle w:val="142"/>
        <w:numPr>
          <w:ilvl w:val="3"/>
          <w:numId w:val="13"/>
        </w:numPr>
        <w:tabs>
          <w:tab w:val="left" w:pos="1205"/>
        </w:tabs>
        <w:overflowPunct w:val="0"/>
        <w:spacing w:line="360" w:lineRule="auto"/>
        <w:ind w:left="0" w:firstLine="396" w:firstLineChars="200"/>
        <w:outlineLvl w:val="1"/>
        <w:rPr>
          <w:rFonts w:hint="default" w:hAnsi="宋体"/>
          <w:spacing w:val="-4"/>
          <w:sz w:val="21"/>
          <w:szCs w:val="24"/>
          <w:highlight w:val="none"/>
        </w:rPr>
      </w:pPr>
      <w:r>
        <w:rPr>
          <w:rFonts w:hint="default" w:hAnsi="宋体"/>
          <w:spacing w:val="-6"/>
          <w:sz w:val="21"/>
          <w:szCs w:val="24"/>
          <w:highlight w:val="none"/>
        </w:rPr>
        <w:t>费用：指为履行合同所发生的或将要发生的所有合理开支，包括管理费和应分摊的</w:t>
      </w:r>
      <w:r>
        <w:rPr>
          <w:rFonts w:hint="default" w:hAnsi="宋体"/>
          <w:spacing w:val="-4"/>
          <w:sz w:val="21"/>
          <w:szCs w:val="24"/>
          <w:highlight w:val="none"/>
        </w:rPr>
        <w:t>其他费用，</w:t>
      </w:r>
      <w:r>
        <w:rPr>
          <w:rFonts w:hint="default" w:hAnsi="宋体"/>
          <w:b/>
          <w:spacing w:val="-4"/>
          <w:sz w:val="21"/>
          <w:szCs w:val="24"/>
          <w:highlight w:val="none"/>
        </w:rPr>
        <w:t>但不包括利润</w:t>
      </w:r>
      <w:r>
        <w:rPr>
          <w:rFonts w:hint="default" w:hAnsi="宋体"/>
          <w:spacing w:val="-4"/>
          <w:sz w:val="21"/>
          <w:szCs w:val="24"/>
          <w:highlight w:val="none"/>
        </w:rPr>
        <w:t>。</w:t>
      </w:r>
    </w:p>
    <w:p w14:paraId="1B1C1D11">
      <w:pPr>
        <w:numPr>
          <w:ilvl w:val="2"/>
          <w:numId w:val="0"/>
        </w:numPr>
        <w:overflowPunct w:val="0"/>
        <w:ind w:left="0" w:firstLineChars="200"/>
        <w:outlineLvl w:val="1"/>
        <w:rPr>
          <w:rFonts w:hint="default" w:hAnsi="宋体"/>
          <w:b/>
          <w:sz w:val="21"/>
          <w:szCs w:val="24"/>
          <w:highlight w:val="none"/>
        </w:rPr>
      </w:pPr>
      <w:r>
        <w:rPr>
          <w:rFonts w:hint="default" w:ascii="Times New Roman" w:hAnsi="Times New Roman" w:eastAsia="Times New Roman" w:cs="Times New Roman"/>
          <w:b/>
          <w:spacing w:val="-8"/>
          <w:kern w:val="0"/>
          <w:sz w:val="21"/>
          <w:szCs w:val="24"/>
          <w:highlight w:val="none"/>
          <w:u w:val="none" w:color="auto"/>
          <w:lang w:val="en-US" w:eastAsia="zh-CN" w:bidi="ar-SA"/>
        </w:rPr>
        <w:t>1.1.6</w:t>
      </w:r>
      <w:r>
        <w:rPr>
          <w:rFonts w:hint="default" w:hAnsi="宋体"/>
          <w:b/>
          <w:sz w:val="21"/>
          <w:szCs w:val="24"/>
          <w:highlight w:val="none"/>
        </w:rPr>
        <w:t>其 他</w:t>
      </w:r>
    </w:p>
    <w:p w14:paraId="5078272D">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1.1.6.1 书面形式：指合同文件、信件和数据电文（包括电报、电传、传真、电子数据交换和电子邮件）等可以有形地表现所载内容的形式。</w:t>
      </w:r>
    </w:p>
    <w:p w14:paraId="452D9471">
      <w:pPr>
        <w:numPr>
          <w:ilvl w:val="1"/>
          <w:numId w:val="0"/>
        </w:numPr>
        <w:overflowPunct w:val="0"/>
        <w:ind w:left="0"/>
        <w:jc w:val="left"/>
        <w:outlineLvl w:val="1"/>
        <w:rPr>
          <w:rFonts w:hint="default" w:hAnsi="宋体"/>
          <w:b/>
          <w:sz w:val="24"/>
          <w:szCs w:val="24"/>
          <w:highlight w:val="none"/>
        </w:rPr>
      </w:pPr>
      <w:bookmarkStart w:id="196" w:name="bookmark97"/>
      <w:bookmarkEnd w:id="196"/>
      <w:bookmarkStart w:id="197" w:name="_Toc146500021"/>
      <w:r>
        <w:rPr>
          <w:rFonts w:hint="default" w:ascii="Times New Roman" w:hAnsi="Times New Roman" w:eastAsia="Times New Roman" w:cs="Times New Roman"/>
          <w:b/>
          <w:kern w:val="0"/>
          <w:sz w:val="28"/>
          <w:szCs w:val="24"/>
          <w:highlight w:val="none"/>
          <w:u w:val="none" w:color="auto"/>
          <w:lang w:val="en-US" w:eastAsia="zh-CN" w:bidi="ar-SA"/>
        </w:rPr>
        <w:t>1.2</w:t>
      </w:r>
      <w:r>
        <w:rPr>
          <w:rFonts w:hint="default" w:hAnsi="宋体"/>
          <w:b/>
          <w:sz w:val="24"/>
          <w:szCs w:val="24"/>
          <w:highlight w:val="none"/>
        </w:rPr>
        <w:t>语言文字</w:t>
      </w:r>
      <w:bookmarkEnd w:id="197"/>
    </w:p>
    <w:p w14:paraId="13E0FAE0">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合同使用的语言文字为中文。专用术语使用外文的，应附有中文注释。</w:t>
      </w:r>
    </w:p>
    <w:p w14:paraId="5640BC72">
      <w:pPr>
        <w:numPr>
          <w:ilvl w:val="1"/>
          <w:numId w:val="0"/>
        </w:numPr>
        <w:overflowPunct w:val="0"/>
        <w:ind w:left="0"/>
        <w:jc w:val="left"/>
        <w:outlineLvl w:val="1"/>
        <w:rPr>
          <w:rFonts w:hint="default" w:hAnsi="宋体"/>
          <w:b/>
          <w:sz w:val="24"/>
          <w:szCs w:val="24"/>
          <w:highlight w:val="none"/>
        </w:rPr>
      </w:pPr>
      <w:bookmarkStart w:id="198" w:name="bookmark98"/>
      <w:bookmarkEnd w:id="198"/>
      <w:bookmarkStart w:id="199" w:name="_Toc146500022"/>
      <w:r>
        <w:rPr>
          <w:rFonts w:hint="default" w:ascii="Times New Roman" w:hAnsi="Times New Roman" w:eastAsia="Times New Roman" w:cs="Times New Roman"/>
          <w:b/>
          <w:kern w:val="0"/>
          <w:sz w:val="28"/>
          <w:szCs w:val="24"/>
          <w:highlight w:val="none"/>
          <w:u w:val="none" w:color="auto"/>
          <w:lang w:val="en-US" w:eastAsia="zh-CN" w:bidi="ar-SA"/>
        </w:rPr>
        <w:t>1.3</w:t>
      </w:r>
      <w:r>
        <w:rPr>
          <w:rFonts w:hint="default" w:hAnsi="宋体"/>
          <w:b/>
          <w:sz w:val="24"/>
          <w:szCs w:val="24"/>
          <w:highlight w:val="none"/>
        </w:rPr>
        <w:t>适用法律</w:t>
      </w:r>
      <w:bookmarkEnd w:id="199"/>
    </w:p>
    <w:p w14:paraId="6159BCEB">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适用于合同的法律包括中华人民共和国法律、行政法规、部门规章，以及工程所在地的地方法规、自治条例、单行条例和地方政府规章。</w:t>
      </w:r>
    </w:p>
    <w:p w14:paraId="31EFBF0E">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本合同适用的其他规范性文件，可在专用合同条款中约定。</w:t>
      </w:r>
    </w:p>
    <w:p w14:paraId="4644371B">
      <w:pPr>
        <w:numPr>
          <w:ilvl w:val="1"/>
          <w:numId w:val="0"/>
        </w:numPr>
        <w:overflowPunct w:val="0"/>
        <w:ind w:left="0"/>
        <w:jc w:val="left"/>
        <w:outlineLvl w:val="1"/>
        <w:rPr>
          <w:rFonts w:hint="default" w:hAnsi="宋体"/>
          <w:b/>
          <w:sz w:val="24"/>
          <w:szCs w:val="24"/>
          <w:highlight w:val="none"/>
        </w:rPr>
      </w:pPr>
      <w:bookmarkStart w:id="200" w:name="bookmark99"/>
      <w:bookmarkEnd w:id="200"/>
      <w:bookmarkStart w:id="201" w:name="_Toc146500023"/>
      <w:r>
        <w:rPr>
          <w:rFonts w:hint="default" w:ascii="Times New Roman" w:hAnsi="Times New Roman" w:eastAsia="Times New Roman" w:cs="Times New Roman"/>
          <w:b/>
          <w:kern w:val="0"/>
          <w:sz w:val="28"/>
          <w:szCs w:val="24"/>
          <w:highlight w:val="none"/>
          <w:u w:val="none" w:color="auto"/>
          <w:lang w:val="en-US" w:eastAsia="zh-CN" w:bidi="ar-SA"/>
        </w:rPr>
        <w:t>1.4</w:t>
      </w:r>
      <w:r>
        <w:rPr>
          <w:rFonts w:hint="default" w:hAnsi="宋体"/>
          <w:b/>
          <w:sz w:val="24"/>
          <w:szCs w:val="24"/>
          <w:highlight w:val="none"/>
        </w:rPr>
        <w:t>合同文件的优先顺序</w:t>
      </w:r>
      <w:bookmarkEnd w:id="201"/>
    </w:p>
    <w:p w14:paraId="5A8C3151">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组成合同的各项文件应互相解释，互为说明。除专用合同条款另有约定外，解释合同文件的优先顺序如下：</w:t>
      </w:r>
    </w:p>
    <w:p w14:paraId="63500EF9">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（1）合同协议书；</w:t>
      </w:r>
    </w:p>
    <w:p w14:paraId="5CB5D268">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（2）中标通知书；</w:t>
      </w:r>
    </w:p>
    <w:p w14:paraId="3855639E">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（3）投标函及投标函附录；</w:t>
      </w:r>
    </w:p>
    <w:p w14:paraId="0F4853A5">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（4）专用合同条款；</w:t>
      </w:r>
    </w:p>
    <w:p w14:paraId="35E7D1D6">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（5）通用合同条款；</w:t>
      </w:r>
    </w:p>
    <w:p w14:paraId="0BEA0BA2">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（6）委托人要求；</w:t>
      </w:r>
    </w:p>
    <w:p w14:paraId="0FB51311">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（7）监理报酬清单；</w:t>
      </w:r>
    </w:p>
    <w:p w14:paraId="62BBCC5B">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（8）监理大纲；</w:t>
      </w:r>
    </w:p>
    <w:p w14:paraId="6FE438CD">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（9）其他合同文件。</w:t>
      </w:r>
    </w:p>
    <w:p w14:paraId="5CF6F489">
      <w:pPr>
        <w:numPr>
          <w:ilvl w:val="1"/>
          <w:numId w:val="0"/>
        </w:numPr>
        <w:overflowPunct w:val="0"/>
        <w:ind w:left="0"/>
        <w:jc w:val="left"/>
        <w:outlineLvl w:val="1"/>
        <w:rPr>
          <w:rFonts w:hint="default" w:hAnsi="宋体"/>
          <w:b/>
          <w:sz w:val="24"/>
          <w:szCs w:val="24"/>
          <w:highlight w:val="none"/>
        </w:rPr>
      </w:pPr>
      <w:bookmarkStart w:id="202" w:name="bookmark100"/>
      <w:bookmarkEnd w:id="202"/>
      <w:bookmarkStart w:id="203" w:name="_Toc146500024"/>
      <w:r>
        <w:rPr>
          <w:rFonts w:hint="default" w:ascii="Times New Roman" w:hAnsi="Times New Roman" w:eastAsia="Times New Roman" w:cs="Times New Roman"/>
          <w:b/>
          <w:kern w:val="0"/>
          <w:sz w:val="28"/>
          <w:szCs w:val="24"/>
          <w:highlight w:val="none"/>
          <w:u w:val="none" w:color="auto"/>
          <w:lang w:val="en-US" w:eastAsia="zh-CN" w:bidi="ar-SA"/>
        </w:rPr>
        <w:t>1.5</w:t>
      </w:r>
      <w:r>
        <w:rPr>
          <w:rFonts w:hint="default" w:hAnsi="宋体"/>
          <w:b/>
          <w:sz w:val="24"/>
          <w:szCs w:val="24"/>
          <w:highlight w:val="none"/>
        </w:rPr>
        <w:t>合同协议书</w:t>
      </w:r>
      <w:bookmarkEnd w:id="203"/>
    </w:p>
    <w:p w14:paraId="42C7B060">
      <w:pPr>
        <w:pStyle w:val="23"/>
        <w:overflowPunct w:val="0"/>
        <w:spacing w:line="360" w:lineRule="auto"/>
        <w:ind w:firstLine="420" w:firstLineChars="200"/>
        <w:jc w:val="both"/>
        <w:outlineLvl w:val="1"/>
        <w:rPr>
          <w:rFonts w:hint="default" w:hAnsi="宋体"/>
          <w:sz w:val="21"/>
          <w:szCs w:val="24"/>
          <w:highlight w:val="none"/>
        </w:rPr>
      </w:pPr>
      <w:r>
        <w:rPr>
          <w:rFonts w:hint="default" w:hAnsi="宋体"/>
          <w:sz w:val="21"/>
          <w:szCs w:val="24"/>
          <w:highlight w:val="none"/>
        </w:rPr>
        <w:t>监理人按中标通知书规定的时间与委托人签订合同协议书。除法律另有规定或合同另有约定外，委托人和监理人的法定代表人或其委托代理人在合同协议书上签字并盖单位章后，合同生效。</w:t>
      </w:r>
    </w:p>
    <w:p w14:paraId="33468BDC">
      <w:pPr>
        <w:numPr>
          <w:ilvl w:val="1"/>
          <w:numId w:val="0"/>
        </w:numPr>
        <w:overflowPunct w:val="0"/>
        <w:ind w:left="0"/>
        <w:jc w:val="left"/>
        <w:outlineLvl w:val="1"/>
        <w:rPr>
          <w:rFonts w:hint="default" w:hAnsi="宋体"/>
          <w:b/>
          <w:sz w:val="24"/>
          <w:szCs w:val="24"/>
          <w:highlight w:val="none"/>
        </w:rPr>
      </w:pPr>
      <w:bookmarkStart w:id="204" w:name="bookmark101"/>
      <w:bookmarkEnd w:id="204"/>
      <w:bookmarkStart w:id="205" w:name="_Toc146500025"/>
      <w:r>
        <w:rPr>
          <w:rFonts w:hint="default" w:ascii="Times New Roman" w:hAnsi="Times New Roman" w:eastAsia="Times New Roman" w:cs="Times New Roman"/>
          <w:b/>
          <w:kern w:val="0"/>
          <w:sz w:val="28"/>
          <w:szCs w:val="24"/>
          <w:highlight w:val="none"/>
          <w:u w:val="none" w:color="auto"/>
          <w:lang w:val="en-US" w:eastAsia="zh-CN" w:bidi="ar-SA"/>
        </w:rPr>
        <w:t>1.6</w:t>
      </w:r>
      <w:r>
        <w:rPr>
          <w:rFonts w:hint="default" w:hAnsi="宋体"/>
          <w:b/>
          <w:sz w:val="24"/>
          <w:szCs w:val="24"/>
          <w:highlight w:val="none"/>
        </w:rPr>
        <w:t>文件的提供和照管</w:t>
      </w:r>
      <w:bookmarkEnd w:id="205"/>
    </w:p>
    <w:p w14:paraId="2D295939">
      <w:pPr>
        <w:numPr>
          <w:ilvl w:val="2"/>
          <w:numId w:val="0"/>
        </w:numPr>
        <w:overflowPunct w:val="0"/>
        <w:ind w:left="0" w:firstLineChars="200"/>
        <w:outlineLvl w:val="1"/>
        <w:rPr>
          <w:rFonts w:hint="default" w:hAnsi="宋体"/>
          <w:b/>
          <w:sz w:val="21"/>
          <w:szCs w:val="24"/>
          <w:highlight w:val="none"/>
        </w:rPr>
      </w:pPr>
      <w:r>
        <w:rPr>
          <w:rFonts w:hint="default" w:ascii="Times New Roman" w:hAnsi="Times New Roman" w:eastAsia="Times New Roman" w:cs="Times New Roman"/>
          <w:b/>
          <w:spacing w:val="-8"/>
          <w:kern w:val="0"/>
          <w:sz w:val="21"/>
          <w:szCs w:val="24"/>
          <w:highlight w:val="none"/>
          <w:u w:val="none" w:color="auto"/>
          <w:lang w:val="en-US" w:eastAsia="zh-CN" w:bidi="ar-SA"/>
        </w:rPr>
        <w:t>1.6.1</w:t>
      </w:r>
      <w:r>
        <w:rPr>
          <w:rFonts w:hint="default" w:hAnsi="宋体"/>
          <w:b/>
          <w:sz w:val="21"/>
          <w:szCs w:val="24"/>
          <w:highlight w:val="none"/>
        </w:rPr>
        <w:t>监理文件的提供</w:t>
      </w:r>
    </w:p>
    <w:p w14:paraId="5F302B2B">
      <w:pPr>
        <w:pStyle w:val="23"/>
        <w:overflowPunct w:val="0"/>
        <w:spacing w:line="360" w:lineRule="auto"/>
        <w:ind w:firstLine="420" w:firstLineChars="200"/>
        <w:jc w:val="both"/>
        <w:outlineLvl w:val="1"/>
        <w:rPr>
          <w:rFonts w:hint="default" w:hAnsi="宋体"/>
          <w:sz w:val="21"/>
          <w:szCs w:val="24"/>
          <w:highlight w:val="none"/>
        </w:rPr>
      </w:pPr>
      <w:r>
        <w:rPr>
          <w:rFonts w:hint="default" w:hAnsi="宋体"/>
          <w:sz w:val="21"/>
          <w:szCs w:val="24"/>
          <w:highlight w:val="none"/>
        </w:rPr>
        <w:t>除专用合同条款另有约定外，监理人应在合理的期限内按照合同约定的数量向委托人提供监理文件。合同约定监理文件应经委托人批复的，委托人应当在合同约定的期限内批复或提出修改意见。</w:t>
      </w:r>
    </w:p>
    <w:p w14:paraId="1AF8D5C1">
      <w:pPr>
        <w:numPr>
          <w:ilvl w:val="2"/>
          <w:numId w:val="0"/>
        </w:numPr>
        <w:overflowPunct w:val="0"/>
        <w:ind w:left="0" w:firstLineChars="200"/>
        <w:outlineLvl w:val="1"/>
        <w:rPr>
          <w:rFonts w:hint="default" w:hAnsi="宋体"/>
          <w:b/>
          <w:sz w:val="21"/>
          <w:szCs w:val="24"/>
          <w:highlight w:val="none"/>
        </w:rPr>
      </w:pPr>
      <w:r>
        <w:rPr>
          <w:rFonts w:hint="default" w:ascii="Times New Roman" w:hAnsi="Times New Roman" w:eastAsia="Times New Roman" w:cs="Times New Roman"/>
          <w:b/>
          <w:spacing w:val="-8"/>
          <w:kern w:val="0"/>
          <w:sz w:val="21"/>
          <w:szCs w:val="24"/>
          <w:highlight w:val="none"/>
          <w:u w:val="none" w:color="auto"/>
          <w:lang w:val="en-US" w:eastAsia="zh-CN" w:bidi="ar-SA"/>
        </w:rPr>
        <w:t>1.6.2</w:t>
      </w:r>
      <w:r>
        <w:rPr>
          <w:rFonts w:hint="default" w:hAnsi="宋体"/>
          <w:b/>
          <w:sz w:val="21"/>
          <w:szCs w:val="24"/>
          <w:highlight w:val="none"/>
        </w:rPr>
        <w:t>委托人提供的文件</w:t>
      </w:r>
    </w:p>
    <w:p w14:paraId="5688C00D">
      <w:pPr>
        <w:pStyle w:val="23"/>
        <w:overflowPunct w:val="0"/>
        <w:spacing w:line="360" w:lineRule="auto"/>
        <w:ind w:firstLine="420" w:firstLineChars="200"/>
        <w:jc w:val="both"/>
        <w:outlineLvl w:val="1"/>
        <w:rPr>
          <w:rFonts w:hint="default" w:hAnsi="宋体"/>
          <w:sz w:val="21"/>
          <w:szCs w:val="24"/>
          <w:highlight w:val="none"/>
        </w:rPr>
      </w:pPr>
      <w:r>
        <w:rPr>
          <w:rFonts w:hint="default" w:hAnsi="宋体"/>
          <w:sz w:val="21"/>
          <w:szCs w:val="24"/>
          <w:highlight w:val="none"/>
        </w:rPr>
        <w:t>按专用合同条款约定由委托人提供的文件，包括规范标准、承包合同、勘察文件、设计文件等，委托人应按约定的数量和期限交给监理人。由于委托人未按时提供文件造成监理服务期限延误的，按第 6.2 款约定执行。</w:t>
      </w:r>
    </w:p>
    <w:p w14:paraId="4D3E60FD">
      <w:pPr>
        <w:numPr>
          <w:ilvl w:val="2"/>
          <w:numId w:val="0"/>
        </w:numPr>
        <w:overflowPunct w:val="0"/>
        <w:ind w:left="0" w:firstLineChars="200"/>
        <w:outlineLvl w:val="1"/>
        <w:rPr>
          <w:rFonts w:hint="default" w:hAnsi="宋体"/>
          <w:b/>
          <w:sz w:val="21"/>
          <w:szCs w:val="24"/>
          <w:highlight w:val="none"/>
        </w:rPr>
      </w:pPr>
      <w:r>
        <w:rPr>
          <w:rFonts w:hint="default" w:ascii="Times New Roman" w:hAnsi="Times New Roman" w:eastAsia="Times New Roman" w:cs="Times New Roman"/>
          <w:b/>
          <w:spacing w:val="-8"/>
          <w:kern w:val="0"/>
          <w:sz w:val="21"/>
          <w:szCs w:val="24"/>
          <w:highlight w:val="none"/>
          <w:u w:val="none" w:color="auto"/>
          <w:lang w:val="en-US" w:eastAsia="zh-CN" w:bidi="ar-SA"/>
        </w:rPr>
        <w:t>1.6.3</w:t>
      </w:r>
      <w:r>
        <w:rPr>
          <w:rFonts w:hint="default" w:hAnsi="宋体"/>
          <w:b/>
          <w:sz w:val="21"/>
          <w:szCs w:val="24"/>
          <w:highlight w:val="none"/>
        </w:rPr>
        <w:t>文件错误的通知</w:t>
      </w:r>
    </w:p>
    <w:p w14:paraId="601D5DD0">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任何一方当事人发现文件中存在的明显错误或疏忽，均应及时通知对方当事人，并应立即采取适当的措施防止损失扩大。</w:t>
      </w:r>
    </w:p>
    <w:p w14:paraId="6CC6C303">
      <w:pPr>
        <w:numPr>
          <w:ilvl w:val="2"/>
          <w:numId w:val="0"/>
        </w:numPr>
        <w:overflowPunct w:val="0"/>
        <w:ind w:left="0" w:firstLineChars="200"/>
        <w:outlineLvl w:val="1"/>
        <w:rPr>
          <w:rFonts w:hint="default" w:hAnsi="宋体"/>
          <w:b/>
          <w:sz w:val="21"/>
          <w:szCs w:val="24"/>
          <w:highlight w:val="none"/>
        </w:rPr>
      </w:pPr>
      <w:r>
        <w:rPr>
          <w:rFonts w:hint="default" w:ascii="Times New Roman" w:hAnsi="Times New Roman" w:eastAsia="Times New Roman" w:cs="Times New Roman"/>
          <w:b/>
          <w:spacing w:val="-8"/>
          <w:kern w:val="0"/>
          <w:sz w:val="21"/>
          <w:szCs w:val="24"/>
          <w:highlight w:val="none"/>
          <w:u w:val="none" w:color="auto"/>
          <w:lang w:val="en-US" w:eastAsia="zh-CN" w:bidi="ar-SA"/>
        </w:rPr>
        <w:t>1.6.4</w:t>
      </w:r>
      <w:r>
        <w:rPr>
          <w:rFonts w:hint="default" w:hAnsi="宋体"/>
          <w:b/>
          <w:sz w:val="21"/>
          <w:szCs w:val="24"/>
          <w:highlight w:val="none"/>
        </w:rPr>
        <w:t>文件的照管</w:t>
      </w:r>
    </w:p>
    <w:p w14:paraId="1ED8E4C2">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监理人应在现场保留一份合同文件、监理文件、委托人要求中的所列文件、以及其他根据合同收发的往来信函，以备委托人和行政管理部门查阅使用。</w:t>
      </w:r>
    </w:p>
    <w:p w14:paraId="422150A4">
      <w:pPr>
        <w:numPr>
          <w:ilvl w:val="1"/>
          <w:numId w:val="0"/>
        </w:numPr>
        <w:overflowPunct w:val="0"/>
        <w:ind w:left="0"/>
        <w:jc w:val="left"/>
        <w:outlineLvl w:val="1"/>
        <w:rPr>
          <w:rFonts w:hint="default" w:hAnsi="宋体"/>
          <w:b/>
          <w:sz w:val="24"/>
          <w:szCs w:val="24"/>
          <w:highlight w:val="none"/>
        </w:rPr>
      </w:pPr>
      <w:bookmarkStart w:id="206" w:name="bookmark102"/>
      <w:bookmarkEnd w:id="206"/>
      <w:bookmarkStart w:id="207" w:name="_Toc146500026"/>
      <w:r>
        <w:rPr>
          <w:rFonts w:hint="default" w:ascii="Times New Roman" w:hAnsi="Times New Roman" w:eastAsia="Times New Roman" w:cs="Times New Roman"/>
          <w:b/>
          <w:kern w:val="0"/>
          <w:sz w:val="28"/>
          <w:szCs w:val="24"/>
          <w:highlight w:val="none"/>
          <w:u w:val="none" w:color="auto"/>
          <w:lang w:val="en-US" w:eastAsia="zh-CN" w:bidi="ar-SA"/>
        </w:rPr>
        <w:t>1.7</w:t>
      </w:r>
      <w:r>
        <w:rPr>
          <w:rFonts w:hint="default" w:hAnsi="宋体"/>
          <w:b/>
          <w:sz w:val="24"/>
          <w:szCs w:val="24"/>
          <w:highlight w:val="none"/>
        </w:rPr>
        <w:t>联络</w:t>
      </w:r>
      <w:bookmarkEnd w:id="207"/>
    </w:p>
    <w:p w14:paraId="383FA1A0">
      <w:pPr>
        <w:pStyle w:val="142"/>
        <w:tabs>
          <w:tab w:val="left" w:pos="1046"/>
        </w:tabs>
        <w:overflowPunct w:val="0"/>
        <w:spacing w:line="360" w:lineRule="auto"/>
        <w:ind w:left="0" w:firstLine="380" w:firstLineChars="200"/>
        <w:outlineLvl w:val="1"/>
        <w:rPr>
          <w:rFonts w:hint="default" w:hAnsi="宋体"/>
          <w:spacing w:val="-10"/>
          <w:sz w:val="21"/>
          <w:szCs w:val="24"/>
          <w:highlight w:val="none"/>
        </w:rPr>
      </w:pPr>
      <w:r>
        <w:rPr>
          <w:rFonts w:hint="default" w:hAnsi="宋体"/>
          <w:spacing w:val="-10"/>
          <w:sz w:val="21"/>
          <w:szCs w:val="24"/>
          <w:highlight w:val="none"/>
        </w:rPr>
        <w:t>1.7.1  与合同有关的通知、批准、证明、证书、指示、要求、请求、同意、意见、确定和决定等，均应采用书面形式。</w:t>
      </w:r>
    </w:p>
    <w:p w14:paraId="47982F59">
      <w:pPr>
        <w:pStyle w:val="142"/>
        <w:tabs>
          <w:tab w:val="left" w:pos="1046"/>
        </w:tabs>
        <w:overflowPunct w:val="0"/>
        <w:spacing w:line="360" w:lineRule="auto"/>
        <w:ind w:left="0" w:firstLine="380" w:firstLineChars="200"/>
        <w:outlineLvl w:val="1"/>
        <w:rPr>
          <w:rFonts w:hint="default" w:hAnsi="宋体"/>
          <w:spacing w:val="-5"/>
          <w:sz w:val="21"/>
          <w:szCs w:val="24"/>
          <w:highlight w:val="none"/>
        </w:rPr>
      </w:pPr>
      <w:r>
        <w:rPr>
          <w:rFonts w:hint="default" w:hAnsi="宋体"/>
          <w:spacing w:val="-10"/>
          <w:sz w:val="21"/>
          <w:szCs w:val="24"/>
          <w:highlight w:val="none"/>
        </w:rPr>
        <w:t>1.7.2  上述通知、批准、证明、证书、指示、要求、请求、同意、意见、确定和决定等来往</w:t>
      </w:r>
      <w:r>
        <w:rPr>
          <w:rFonts w:hint="default" w:hAnsi="宋体"/>
          <w:spacing w:val="-5"/>
          <w:sz w:val="21"/>
          <w:szCs w:val="24"/>
          <w:highlight w:val="none"/>
        </w:rPr>
        <w:t>函件，均应在合同约定的期限内送达指定的地点和指定的接收人，并办理签收手续。</w:t>
      </w:r>
    </w:p>
    <w:p w14:paraId="55692B04">
      <w:pPr>
        <w:numPr>
          <w:ilvl w:val="1"/>
          <w:numId w:val="0"/>
        </w:numPr>
        <w:overflowPunct w:val="0"/>
        <w:ind w:left="0"/>
        <w:jc w:val="left"/>
        <w:outlineLvl w:val="1"/>
        <w:rPr>
          <w:rFonts w:hint="default" w:hAnsi="宋体"/>
          <w:b/>
          <w:sz w:val="24"/>
          <w:szCs w:val="24"/>
          <w:highlight w:val="none"/>
        </w:rPr>
      </w:pPr>
      <w:bookmarkStart w:id="208" w:name="bookmark103"/>
      <w:bookmarkEnd w:id="208"/>
      <w:bookmarkStart w:id="209" w:name="_Toc146500027"/>
      <w:r>
        <w:rPr>
          <w:rFonts w:hint="default" w:ascii="Times New Roman" w:hAnsi="Times New Roman" w:eastAsia="Times New Roman" w:cs="Times New Roman"/>
          <w:b/>
          <w:kern w:val="0"/>
          <w:sz w:val="28"/>
          <w:szCs w:val="24"/>
          <w:highlight w:val="none"/>
          <w:u w:val="none" w:color="auto"/>
          <w:lang w:val="en-US" w:eastAsia="zh-CN" w:bidi="ar-SA"/>
        </w:rPr>
        <w:t>1.8</w:t>
      </w:r>
      <w:r>
        <w:rPr>
          <w:rFonts w:hint="default" w:hAnsi="宋体"/>
          <w:b/>
          <w:sz w:val="24"/>
          <w:szCs w:val="24"/>
          <w:highlight w:val="none"/>
        </w:rPr>
        <w:t>转让</w:t>
      </w:r>
      <w:bookmarkEnd w:id="209"/>
    </w:p>
    <w:p w14:paraId="08FA9E41">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除专用合同条款另有约定外，未经对方当事人同意，一方当事人不得将合同权利全部或部分转让给第三人，也不得全部或部分转移合同义务。</w:t>
      </w:r>
    </w:p>
    <w:p w14:paraId="294DAA1F">
      <w:pPr>
        <w:numPr>
          <w:ilvl w:val="1"/>
          <w:numId w:val="0"/>
        </w:numPr>
        <w:overflowPunct w:val="0"/>
        <w:ind w:left="0"/>
        <w:jc w:val="left"/>
        <w:outlineLvl w:val="1"/>
        <w:rPr>
          <w:rFonts w:hint="default" w:hAnsi="宋体"/>
          <w:b/>
          <w:sz w:val="24"/>
          <w:szCs w:val="24"/>
          <w:highlight w:val="none"/>
        </w:rPr>
      </w:pPr>
      <w:bookmarkStart w:id="210" w:name="bookmark104"/>
      <w:bookmarkEnd w:id="210"/>
      <w:bookmarkStart w:id="211" w:name="_Toc146500028"/>
      <w:r>
        <w:rPr>
          <w:rFonts w:hint="default" w:ascii="Times New Roman" w:hAnsi="Times New Roman" w:eastAsia="Times New Roman" w:cs="Times New Roman"/>
          <w:b/>
          <w:kern w:val="0"/>
          <w:sz w:val="28"/>
          <w:szCs w:val="24"/>
          <w:highlight w:val="none"/>
          <w:u w:val="none" w:color="auto"/>
          <w:lang w:val="en-US" w:eastAsia="zh-CN" w:bidi="ar-SA"/>
        </w:rPr>
        <w:t>1.9</w:t>
      </w:r>
      <w:r>
        <w:rPr>
          <w:rFonts w:hint="default" w:hAnsi="宋体"/>
          <w:b/>
          <w:sz w:val="24"/>
          <w:szCs w:val="24"/>
          <w:highlight w:val="none"/>
        </w:rPr>
        <w:t>严禁贿赂</w:t>
      </w:r>
      <w:bookmarkEnd w:id="211"/>
    </w:p>
    <w:p w14:paraId="46366FE3">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合同双方当事人不得以贿赂或变相贿赂的方式，谋取不当利益或损害对方权益。因贿赂造成对方当事人损失的，行为人应当赔偿损失，并承担相应的法律责任。</w:t>
      </w:r>
    </w:p>
    <w:p w14:paraId="6E4AA3E2">
      <w:pPr>
        <w:numPr>
          <w:ilvl w:val="1"/>
          <w:numId w:val="0"/>
        </w:numPr>
        <w:overflowPunct w:val="0"/>
        <w:ind w:left="0"/>
        <w:jc w:val="left"/>
        <w:outlineLvl w:val="1"/>
        <w:rPr>
          <w:rFonts w:hint="default" w:hAnsi="宋体"/>
          <w:b/>
          <w:sz w:val="24"/>
          <w:szCs w:val="24"/>
          <w:highlight w:val="none"/>
        </w:rPr>
      </w:pPr>
      <w:bookmarkStart w:id="212" w:name="bookmark105"/>
      <w:bookmarkEnd w:id="212"/>
      <w:bookmarkStart w:id="213" w:name="_Toc146500029"/>
      <w:r>
        <w:rPr>
          <w:rFonts w:hint="default" w:ascii="Times New Roman" w:hAnsi="Times New Roman" w:eastAsia="Times New Roman" w:cs="Times New Roman"/>
          <w:b/>
          <w:kern w:val="0"/>
          <w:sz w:val="28"/>
          <w:szCs w:val="24"/>
          <w:highlight w:val="none"/>
          <w:u w:val="none" w:color="auto"/>
          <w:lang w:val="en-US" w:eastAsia="zh-CN" w:bidi="ar-SA"/>
        </w:rPr>
        <w:t>1.10</w:t>
      </w:r>
      <w:r>
        <w:rPr>
          <w:rFonts w:hint="default" w:hAnsi="宋体"/>
          <w:b/>
          <w:sz w:val="24"/>
          <w:szCs w:val="24"/>
          <w:highlight w:val="none"/>
        </w:rPr>
        <w:t>知识产权</w:t>
      </w:r>
      <w:bookmarkEnd w:id="213"/>
    </w:p>
    <w:p w14:paraId="671AD990">
      <w:pPr>
        <w:pStyle w:val="142"/>
        <w:tabs>
          <w:tab w:val="left" w:pos="1046"/>
        </w:tabs>
        <w:overflowPunct w:val="0"/>
        <w:spacing w:line="360" w:lineRule="auto"/>
        <w:ind w:left="0" w:firstLine="380" w:firstLineChars="200"/>
        <w:outlineLvl w:val="1"/>
        <w:rPr>
          <w:rFonts w:hint="default" w:hAnsi="宋体"/>
          <w:spacing w:val="-10"/>
          <w:sz w:val="21"/>
          <w:szCs w:val="24"/>
          <w:highlight w:val="none"/>
        </w:rPr>
      </w:pPr>
      <w:r>
        <w:rPr>
          <w:rFonts w:hint="default" w:hAnsi="宋体"/>
          <w:spacing w:val="-10"/>
          <w:sz w:val="21"/>
          <w:szCs w:val="24"/>
          <w:highlight w:val="none"/>
        </w:rPr>
        <w:t>1.10.1  除专用合同条款另有约定外，监理人完成的监理工作成果，除署名权以外的著作权和其他知识产权均归委托人享有。</w:t>
      </w:r>
    </w:p>
    <w:p w14:paraId="054C802D">
      <w:pPr>
        <w:pStyle w:val="142"/>
        <w:tabs>
          <w:tab w:val="left" w:pos="1046"/>
        </w:tabs>
        <w:overflowPunct w:val="0"/>
        <w:spacing w:line="360" w:lineRule="auto"/>
        <w:ind w:left="0" w:firstLine="380" w:firstLineChars="200"/>
        <w:outlineLvl w:val="1"/>
        <w:rPr>
          <w:rFonts w:hint="default" w:hAnsi="宋体"/>
          <w:spacing w:val="-10"/>
          <w:sz w:val="21"/>
          <w:szCs w:val="24"/>
          <w:highlight w:val="none"/>
        </w:rPr>
      </w:pPr>
      <w:r>
        <w:rPr>
          <w:rFonts w:hint="default" w:hAnsi="宋体"/>
          <w:spacing w:val="-10"/>
          <w:sz w:val="21"/>
          <w:szCs w:val="24"/>
          <w:highlight w:val="none"/>
        </w:rPr>
        <w:t>1.10.2  监理人从事监理活动时不得侵犯他人的知识产权。因侵犯专利权或其他知识产权所引起的责任，由监理人自行承担。因委托人提供的监理资料导致侵权的，由委托人承担责任。</w:t>
      </w:r>
    </w:p>
    <w:p w14:paraId="59471693">
      <w:pPr>
        <w:pStyle w:val="142"/>
        <w:tabs>
          <w:tab w:val="left" w:pos="1046"/>
        </w:tabs>
        <w:overflowPunct w:val="0"/>
        <w:spacing w:line="360" w:lineRule="auto"/>
        <w:ind w:left="0" w:firstLine="380" w:firstLineChars="200"/>
        <w:outlineLvl w:val="1"/>
        <w:rPr>
          <w:rFonts w:hint="default" w:hAnsi="宋体"/>
          <w:spacing w:val="-10"/>
          <w:sz w:val="21"/>
          <w:szCs w:val="24"/>
          <w:highlight w:val="none"/>
        </w:rPr>
      </w:pPr>
      <w:r>
        <w:rPr>
          <w:rFonts w:hint="default" w:hAnsi="宋体"/>
          <w:spacing w:val="-10"/>
          <w:sz w:val="21"/>
          <w:szCs w:val="24"/>
          <w:highlight w:val="none"/>
        </w:rPr>
        <w:t>1.10.3  监理人在投标文件中采用专利技术、专有技术的，相应的使用费视为已包含在投标报价之中。</w:t>
      </w:r>
    </w:p>
    <w:p w14:paraId="14C1626D">
      <w:pPr>
        <w:numPr>
          <w:ilvl w:val="1"/>
          <w:numId w:val="0"/>
        </w:numPr>
        <w:overflowPunct w:val="0"/>
        <w:ind w:left="0"/>
        <w:jc w:val="left"/>
        <w:outlineLvl w:val="1"/>
        <w:rPr>
          <w:rFonts w:hint="default" w:hAnsi="宋体"/>
          <w:b/>
          <w:sz w:val="24"/>
          <w:szCs w:val="24"/>
          <w:highlight w:val="none"/>
        </w:rPr>
      </w:pPr>
      <w:bookmarkStart w:id="214" w:name="bookmark106"/>
      <w:bookmarkEnd w:id="214"/>
      <w:bookmarkStart w:id="215" w:name="_Toc146500030"/>
      <w:r>
        <w:rPr>
          <w:rFonts w:hint="default" w:ascii="Times New Roman" w:hAnsi="Times New Roman" w:eastAsia="Times New Roman" w:cs="Times New Roman"/>
          <w:b/>
          <w:kern w:val="0"/>
          <w:sz w:val="28"/>
          <w:szCs w:val="24"/>
          <w:highlight w:val="none"/>
          <w:u w:val="none" w:color="auto"/>
          <w:lang w:val="en-US" w:eastAsia="zh-CN" w:bidi="ar-SA"/>
        </w:rPr>
        <w:t>1.11</w:t>
      </w:r>
      <w:r>
        <w:rPr>
          <w:rFonts w:hint="default" w:hAnsi="宋体"/>
          <w:b/>
          <w:sz w:val="24"/>
          <w:szCs w:val="24"/>
          <w:highlight w:val="none"/>
        </w:rPr>
        <w:t>文件及信息的保密</w:t>
      </w:r>
      <w:bookmarkEnd w:id="215"/>
    </w:p>
    <w:p w14:paraId="401ADFE5">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未经对方同意，任何一方当事人不得将有关文件、技术秘密、需要保密的资料和信息泄露给他人或公开发表与引用。</w:t>
      </w:r>
    </w:p>
    <w:p w14:paraId="62E52433">
      <w:pPr>
        <w:numPr>
          <w:ilvl w:val="1"/>
          <w:numId w:val="0"/>
        </w:numPr>
        <w:overflowPunct w:val="0"/>
        <w:ind w:left="0"/>
        <w:jc w:val="left"/>
        <w:outlineLvl w:val="1"/>
        <w:rPr>
          <w:rFonts w:hint="default" w:hAnsi="宋体"/>
          <w:b/>
          <w:sz w:val="24"/>
          <w:szCs w:val="24"/>
          <w:highlight w:val="none"/>
        </w:rPr>
      </w:pPr>
      <w:bookmarkStart w:id="216" w:name="bookmark107"/>
      <w:bookmarkEnd w:id="216"/>
      <w:bookmarkStart w:id="217" w:name="_Toc146500031"/>
      <w:r>
        <w:rPr>
          <w:rFonts w:hint="default" w:ascii="Times New Roman" w:hAnsi="Times New Roman" w:eastAsia="Times New Roman" w:cs="Times New Roman"/>
          <w:b/>
          <w:kern w:val="0"/>
          <w:sz w:val="28"/>
          <w:szCs w:val="24"/>
          <w:highlight w:val="none"/>
          <w:u w:val="none" w:color="auto"/>
          <w:lang w:val="en-US" w:eastAsia="zh-CN" w:bidi="ar-SA"/>
        </w:rPr>
        <w:t>1.12</w:t>
      </w:r>
      <w:r>
        <w:rPr>
          <w:rFonts w:hint="default" w:hAnsi="宋体"/>
          <w:b/>
          <w:sz w:val="24"/>
          <w:szCs w:val="24"/>
          <w:highlight w:val="none"/>
        </w:rPr>
        <w:t>委托人要求</w:t>
      </w:r>
      <w:bookmarkEnd w:id="217"/>
    </w:p>
    <w:p w14:paraId="4B7FDCD3">
      <w:pPr>
        <w:pStyle w:val="142"/>
        <w:tabs>
          <w:tab w:val="left" w:pos="1046"/>
        </w:tabs>
        <w:overflowPunct w:val="0"/>
        <w:spacing w:line="360" w:lineRule="auto"/>
        <w:ind w:left="0" w:firstLine="380" w:firstLineChars="200"/>
        <w:outlineLvl w:val="1"/>
        <w:rPr>
          <w:rFonts w:hint="default" w:hAnsi="宋体"/>
          <w:spacing w:val="-10"/>
          <w:sz w:val="21"/>
          <w:szCs w:val="24"/>
          <w:highlight w:val="none"/>
        </w:rPr>
      </w:pPr>
      <w:r>
        <w:rPr>
          <w:rFonts w:hint="default" w:hAnsi="宋体"/>
          <w:spacing w:val="-10"/>
          <w:sz w:val="21"/>
          <w:szCs w:val="24"/>
          <w:highlight w:val="none"/>
        </w:rPr>
        <w:t>1.12.1  监理人应认真阅读、复核委托人要求，发现错误的，应及时书面通知委托人。无论是否存在错误，委托人均有权修改委托人要求，并在修改后 3 日内通知监理人。除专用合同条款另有约定外，由此导致监理人费用增加和(或)周期延误的，委托人应当相应地增加费用和(或) 延长周期。</w:t>
      </w:r>
    </w:p>
    <w:p w14:paraId="40A9AF88">
      <w:pPr>
        <w:pStyle w:val="142"/>
        <w:tabs>
          <w:tab w:val="left" w:pos="1046"/>
        </w:tabs>
        <w:overflowPunct w:val="0"/>
        <w:spacing w:line="360" w:lineRule="auto"/>
        <w:ind w:left="0" w:firstLine="380" w:firstLineChars="200"/>
        <w:outlineLvl w:val="1"/>
        <w:rPr>
          <w:rFonts w:hint="default" w:hAnsi="宋体"/>
          <w:spacing w:val="-10"/>
          <w:sz w:val="21"/>
          <w:szCs w:val="24"/>
          <w:highlight w:val="none"/>
        </w:rPr>
      </w:pPr>
      <w:r>
        <w:rPr>
          <w:rFonts w:hint="default" w:hAnsi="宋体"/>
          <w:spacing w:val="-10"/>
          <w:sz w:val="21"/>
          <w:szCs w:val="24"/>
          <w:highlight w:val="none"/>
        </w:rPr>
        <w:t>1.12.2  如果委托人要求违反法律规定，监理人应在发现后及时书面通知委托人，要求其改正。委托人收到通知书后不予改正或不予答复的，监理人有权拒绝履行合同义务，直至解除合同；由此引起的监理人的全部损失由委托人承担。</w:t>
      </w:r>
    </w:p>
    <w:p w14:paraId="0109A85A">
      <w:pPr>
        <w:pStyle w:val="142"/>
        <w:tabs>
          <w:tab w:val="left" w:pos="1046"/>
        </w:tabs>
        <w:overflowPunct w:val="0"/>
        <w:spacing w:line="360" w:lineRule="auto"/>
        <w:ind w:left="0" w:firstLine="380" w:firstLineChars="200"/>
        <w:outlineLvl w:val="1"/>
        <w:rPr>
          <w:rFonts w:hint="default" w:hAnsi="宋体"/>
          <w:spacing w:val="-10"/>
          <w:sz w:val="21"/>
          <w:szCs w:val="24"/>
          <w:highlight w:val="none"/>
        </w:rPr>
      </w:pPr>
      <w:r>
        <w:rPr>
          <w:rFonts w:hint="default" w:hAnsi="宋体"/>
          <w:spacing w:val="-10"/>
          <w:sz w:val="21"/>
          <w:szCs w:val="24"/>
          <w:highlight w:val="none"/>
        </w:rPr>
        <w:t>1.12.3  委托人要求采用国外规范和标准进行监理时，应由委托人负责提供该规范和标准的外国文本和中文译本，提供的时间、份数和其他要求在专用合同条款中约定。</w:t>
      </w:r>
    </w:p>
    <w:p w14:paraId="4D6642CC">
      <w:pPr>
        <w:numPr>
          <w:ilvl w:val="0"/>
          <w:numId w:val="0"/>
        </w:numPr>
        <w:overflowPunct w:val="0"/>
        <w:ind w:left="0"/>
        <w:outlineLvl w:val="1"/>
        <w:rPr>
          <w:rFonts w:hint="default" w:ascii="宋体" w:hAnsi="宋体" w:eastAsia="宋体"/>
          <w:sz w:val="28"/>
          <w:szCs w:val="24"/>
          <w:highlight w:val="none"/>
        </w:rPr>
      </w:pPr>
      <w:bookmarkStart w:id="218" w:name="bookmark108"/>
      <w:bookmarkEnd w:id="218"/>
      <w:bookmarkStart w:id="219" w:name="_Toc997554388"/>
      <w:bookmarkStart w:id="220" w:name="_Toc146500032"/>
      <w:bookmarkStart w:id="221" w:name="_Toc4287"/>
      <w:bookmarkStart w:id="222" w:name="_Toc6080"/>
      <w:r>
        <w:rPr>
          <w:rFonts w:hint="default" w:ascii="Times New Roman" w:hAnsi="Times New Roman" w:eastAsia="Times New Roman" w:cs="Times New Roman"/>
          <w:b/>
          <w:bCs/>
          <w:w w:val="99"/>
          <w:kern w:val="2"/>
          <w:sz w:val="32"/>
          <w:szCs w:val="24"/>
          <w:highlight w:val="none"/>
          <w:u w:val="none" w:color="auto"/>
          <w:lang w:val="en-US" w:eastAsia="zh-CN" w:bidi="ar-SA"/>
        </w:rPr>
        <w:t>2.</w:t>
      </w:r>
      <w:r>
        <w:rPr>
          <w:rFonts w:hint="default" w:ascii="宋体" w:hAnsi="宋体" w:eastAsia="宋体"/>
          <w:sz w:val="28"/>
          <w:szCs w:val="24"/>
          <w:highlight w:val="none"/>
        </w:rPr>
        <w:t>委托人义务</w:t>
      </w:r>
      <w:bookmarkEnd w:id="219"/>
      <w:bookmarkEnd w:id="220"/>
      <w:bookmarkEnd w:id="221"/>
      <w:bookmarkEnd w:id="222"/>
    </w:p>
    <w:p w14:paraId="29572099">
      <w:pPr>
        <w:numPr>
          <w:ilvl w:val="1"/>
          <w:numId w:val="0"/>
        </w:numPr>
        <w:overflowPunct w:val="0"/>
        <w:ind w:left="0"/>
        <w:jc w:val="left"/>
        <w:outlineLvl w:val="1"/>
        <w:rPr>
          <w:rFonts w:hint="default" w:hAnsi="宋体"/>
          <w:b/>
          <w:sz w:val="24"/>
          <w:szCs w:val="24"/>
          <w:highlight w:val="none"/>
        </w:rPr>
      </w:pPr>
      <w:bookmarkStart w:id="223" w:name="bookmark109"/>
      <w:bookmarkEnd w:id="223"/>
      <w:bookmarkStart w:id="224" w:name="_Toc146500033"/>
      <w:r>
        <w:rPr>
          <w:rFonts w:hint="default" w:ascii="Times New Roman" w:hAnsi="Times New Roman" w:eastAsia="Times New Roman" w:cs="Times New Roman"/>
          <w:b/>
          <w:kern w:val="0"/>
          <w:sz w:val="28"/>
          <w:szCs w:val="24"/>
          <w:highlight w:val="none"/>
          <w:u w:val="none" w:color="auto"/>
          <w:lang w:val="en-US" w:eastAsia="zh-CN" w:bidi="ar-SA"/>
        </w:rPr>
        <w:t>2.1</w:t>
      </w:r>
      <w:r>
        <w:rPr>
          <w:rFonts w:hint="default" w:hAnsi="宋体"/>
          <w:b/>
          <w:sz w:val="24"/>
          <w:szCs w:val="24"/>
          <w:highlight w:val="none"/>
        </w:rPr>
        <w:t>遵守法律</w:t>
      </w:r>
      <w:bookmarkEnd w:id="224"/>
    </w:p>
    <w:p w14:paraId="267AE7A4">
      <w:pPr>
        <w:tabs>
          <w:tab w:val="left" w:pos="727"/>
        </w:tabs>
        <w:overflowPunct w:val="0"/>
        <w:spacing w:line="360" w:lineRule="auto"/>
        <w:ind w:firstLine="380" w:firstLineChars="200"/>
        <w:outlineLvl w:val="1"/>
        <w:rPr>
          <w:rFonts w:hint="default" w:hAnsi="宋体"/>
          <w:b/>
          <w:sz w:val="21"/>
          <w:szCs w:val="24"/>
          <w:highlight w:val="none"/>
        </w:rPr>
      </w:pPr>
      <w:r>
        <w:rPr>
          <w:rFonts w:hint="default" w:hAnsi="宋体"/>
          <w:spacing w:val="-10"/>
          <w:sz w:val="21"/>
          <w:szCs w:val="24"/>
          <w:highlight w:val="none"/>
        </w:rPr>
        <w:t>委托人在履行合同过程中应遵守法律，并保证监理人免于承担因委托人违反法律而引起的任何责任。</w:t>
      </w:r>
    </w:p>
    <w:p w14:paraId="4FA715D0">
      <w:pPr>
        <w:numPr>
          <w:ilvl w:val="1"/>
          <w:numId w:val="0"/>
        </w:numPr>
        <w:overflowPunct w:val="0"/>
        <w:ind w:left="0"/>
        <w:jc w:val="left"/>
        <w:outlineLvl w:val="1"/>
        <w:rPr>
          <w:rFonts w:hint="default" w:hAnsi="宋体"/>
          <w:b/>
          <w:sz w:val="24"/>
          <w:szCs w:val="24"/>
          <w:highlight w:val="none"/>
        </w:rPr>
      </w:pPr>
      <w:bookmarkStart w:id="225" w:name="bookmark110"/>
      <w:bookmarkEnd w:id="225"/>
      <w:bookmarkStart w:id="226" w:name="_Toc146500034"/>
      <w:r>
        <w:rPr>
          <w:rFonts w:hint="default" w:ascii="Times New Roman" w:hAnsi="Times New Roman" w:eastAsia="Times New Roman" w:cs="Times New Roman"/>
          <w:b/>
          <w:kern w:val="0"/>
          <w:sz w:val="28"/>
          <w:szCs w:val="24"/>
          <w:highlight w:val="none"/>
          <w:u w:val="none" w:color="auto"/>
          <w:lang w:val="en-US" w:eastAsia="zh-CN" w:bidi="ar-SA"/>
        </w:rPr>
        <w:t>2.2</w:t>
      </w:r>
      <w:r>
        <w:rPr>
          <w:rFonts w:hint="default" w:hAnsi="宋体"/>
          <w:b/>
          <w:sz w:val="24"/>
          <w:szCs w:val="24"/>
          <w:highlight w:val="none"/>
        </w:rPr>
        <w:t>发出开始监理通知</w:t>
      </w:r>
      <w:bookmarkEnd w:id="226"/>
    </w:p>
    <w:p w14:paraId="21E69421">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委托人应按第 6.1 款的约定向监理人发出开始监理通知。</w:t>
      </w:r>
    </w:p>
    <w:p w14:paraId="66DD0619">
      <w:pPr>
        <w:pStyle w:val="23"/>
        <w:overflowPunct w:val="0"/>
        <w:spacing w:line="360" w:lineRule="auto"/>
        <w:ind w:firstLine="420" w:firstLineChars="200"/>
        <w:jc w:val="both"/>
        <w:outlineLvl w:val="1"/>
        <w:rPr>
          <w:rFonts w:hint="default" w:hAnsi="宋体"/>
          <w:sz w:val="21"/>
          <w:szCs w:val="24"/>
          <w:highlight w:val="none"/>
        </w:rPr>
      </w:pPr>
      <w:r>
        <w:rPr>
          <w:rFonts w:hint="default" w:hAnsi="宋体"/>
          <w:sz w:val="21"/>
          <w:szCs w:val="24"/>
          <w:highlight w:val="none"/>
        </w:rPr>
        <w:t>除专用合同条款另有约定外，委托人应为监理人的现场人员，在施工期间提供办公房间、办公桌椅、互联网接口、冷暖设施、生活设施、进出现场交通服务和其他便利条件。</w:t>
      </w:r>
    </w:p>
    <w:p w14:paraId="36449983">
      <w:pPr>
        <w:numPr>
          <w:ilvl w:val="1"/>
          <w:numId w:val="0"/>
        </w:numPr>
        <w:overflowPunct w:val="0"/>
        <w:ind w:left="0"/>
        <w:jc w:val="left"/>
        <w:outlineLvl w:val="1"/>
        <w:rPr>
          <w:rFonts w:hint="default" w:hAnsi="宋体"/>
          <w:b/>
          <w:sz w:val="24"/>
          <w:szCs w:val="24"/>
          <w:highlight w:val="none"/>
        </w:rPr>
      </w:pPr>
      <w:bookmarkStart w:id="227" w:name="bookmark111"/>
      <w:bookmarkEnd w:id="227"/>
      <w:bookmarkStart w:id="228" w:name="_Toc146500035"/>
      <w:r>
        <w:rPr>
          <w:rFonts w:hint="default" w:ascii="Times New Roman" w:hAnsi="Times New Roman" w:eastAsia="Times New Roman" w:cs="Times New Roman"/>
          <w:b/>
          <w:kern w:val="0"/>
          <w:sz w:val="28"/>
          <w:szCs w:val="24"/>
          <w:highlight w:val="none"/>
          <w:u w:val="none" w:color="auto"/>
          <w:lang w:val="en-US" w:eastAsia="zh-CN" w:bidi="ar-SA"/>
        </w:rPr>
        <w:t>2.3</w:t>
      </w:r>
      <w:r>
        <w:rPr>
          <w:rFonts w:hint="default" w:hAnsi="宋体"/>
          <w:b/>
          <w:sz w:val="24"/>
          <w:szCs w:val="24"/>
          <w:highlight w:val="none"/>
        </w:rPr>
        <w:t>办理证件和批件</w:t>
      </w:r>
      <w:bookmarkEnd w:id="228"/>
    </w:p>
    <w:p w14:paraId="33EE1ACE">
      <w:pPr>
        <w:pStyle w:val="23"/>
        <w:overflowPunct w:val="0"/>
        <w:spacing w:line="360" w:lineRule="auto"/>
        <w:ind w:firstLine="420" w:firstLineChars="200"/>
        <w:jc w:val="both"/>
        <w:outlineLvl w:val="1"/>
        <w:rPr>
          <w:rFonts w:hint="default" w:hAnsi="宋体"/>
          <w:sz w:val="21"/>
          <w:szCs w:val="24"/>
          <w:highlight w:val="none"/>
        </w:rPr>
      </w:pPr>
      <w:r>
        <w:rPr>
          <w:rFonts w:hint="default" w:hAnsi="宋体"/>
          <w:sz w:val="21"/>
          <w:szCs w:val="24"/>
          <w:highlight w:val="none"/>
        </w:rPr>
        <w:t>法律规定和（或）合同约定由委托人负责办理的工程建设项目必须履行的各类审批、核准或备案手续，委托人应当按时办理，监理人应给予必要的协助。</w:t>
      </w:r>
    </w:p>
    <w:p w14:paraId="45C16717">
      <w:pPr>
        <w:pStyle w:val="23"/>
        <w:overflowPunct w:val="0"/>
        <w:spacing w:line="360" w:lineRule="auto"/>
        <w:ind w:firstLine="420" w:firstLineChars="200"/>
        <w:jc w:val="both"/>
        <w:outlineLvl w:val="1"/>
        <w:rPr>
          <w:rFonts w:hint="default" w:hAnsi="宋体"/>
          <w:sz w:val="21"/>
          <w:szCs w:val="24"/>
          <w:highlight w:val="none"/>
        </w:rPr>
      </w:pPr>
      <w:r>
        <w:rPr>
          <w:rFonts w:hint="default" w:hAnsi="宋体"/>
          <w:sz w:val="21"/>
          <w:szCs w:val="24"/>
          <w:highlight w:val="none"/>
        </w:rPr>
        <w:t>法律规定和（或）合同约定由监理人负责办理的监理所需的证件和批件，委托人应给予必要的协助。</w:t>
      </w:r>
    </w:p>
    <w:p w14:paraId="670F510F">
      <w:pPr>
        <w:numPr>
          <w:ilvl w:val="1"/>
          <w:numId w:val="0"/>
        </w:numPr>
        <w:overflowPunct w:val="0"/>
        <w:ind w:left="0"/>
        <w:jc w:val="left"/>
        <w:outlineLvl w:val="1"/>
        <w:rPr>
          <w:rFonts w:hint="default" w:hAnsi="宋体"/>
          <w:b/>
          <w:sz w:val="24"/>
          <w:szCs w:val="24"/>
          <w:highlight w:val="none"/>
        </w:rPr>
      </w:pPr>
      <w:bookmarkStart w:id="229" w:name="bookmark112"/>
      <w:bookmarkEnd w:id="229"/>
      <w:bookmarkStart w:id="230" w:name="_Toc146500036"/>
      <w:r>
        <w:rPr>
          <w:rFonts w:hint="default" w:ascii="Times New Roman" w:hAnsi="Times New Roman" w:eastAsia="Times New Roman" w:cs="Times New Roman"/>
          <w:b/>
          <w:kern w:val="0"/>
          <w:sz w:val="28"/>
          <w:szCs w:val="24"/>
          <w:highlight w:val="none"/>
          <w:u w:val="none" w:color="auto"/>
          <w:lang w:val="en-US" w:eastAsia="zh-CN" w:bidi="ar-SA"/>
        </w:rPr>
        <w:t>2.4</w:t>
      </w:r>
      <w:r>
        <w:rPr>
          <w:rFonts w:hint="default" w:hAnsi="宋体"/>
          <w:b/>
          <w:sz w:val="24"/>
          <w:szCs w:val="24"/>
          <w:highlight w:val="none"/>
        </w:rPr>
        <w:t>支付合同价款</w:t>
      </w:r>
      <w:bookmarkEnd w:id="230"/>
    </w:p>
    <w:p w14:paraId="03B90A40">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委托人应按合同约定向监理人及时支付合同价款。</w:t>
      </w:r>
    </w:p>
    <w:p w14:paraId="76152D72">
      <w:pPr>
        <w:numPr>
          <w:ilvl w:val="1"/>
          <w:numId w:val="0"/>
        </w:numPr>
        <w:overflowPunct w:val="0"/>
        <w:ind w:left="0"/>
        <w:jc w:val="left"/>
        <w:outlineLvl w:val="1"/>
        <w:rPr>
          <w:rFonts w:hint="default" w:hAnsi="宋体"/>
          <w:b/>
          <w:sz w:val="24"/>
          <w:szCs w:val="24"/>
          <w:highlight w:val="none"/>
        </w:rPr>
      </w:pPr>
      <w:bookmarkStart w:id="231" w:name="bookmark113"/>
      <w:bookmarkEnd w:id="231"/>
      <w:bookmarkStart w:id="232" w:name="_Toc146500037"/>
      <w:r>
        <w:rPr>
          <w:rFonts w:hint="default" w:ascii="Times New Roman" w:hAnsi="Times New Roman" w:eastAsia="Times New Roman" w:cs="Times New Roman"/>
          <w:b/>
          <w:kern w:val="0"/>
          <w:sz w:val="28"/>
          <w:szCs w:val="24"/>
          <w:highlight w:val="none"/>
          <w:u w:val="none" w:color="auto"/>
          <w:lang w:val="en-US" w:eastAsia="zh-CN" w:bidi="ar-SA"/>
        </w:rPr>
        <w:t>2.5</w:t>
      </w:r>
      <w:r>
        <w:rPr>
          <w:rFonts w:hint="default" w:hAnsi="宋体"/>
          <w:b/>
          <w:sz w:val="24"/>
          <w:szCs w:val="24"/>
          <w:highlight w:val="none"/>
        </w:rPr>
        <w:t>提供监理资料</w:t>
      </w:r>
      <w:bookmarkEnd w:id="232"/>
    </w:p>
    <w:p w14:paraId="56DE3B76">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委托人应按第 1.6.2 项的约定向监理人提供监理资料。</w:t>
      </w:r>
    </w:p>
    <w:p w14:paraId="4F275616">
      <w:pPr>
        <w:numPr>
          <w:ilvl w:val="1"/>
          <w:numId w:val="0"/>
        </w:numPr>
        <w:overflowPunct w:val="0"/>
        <w:ind w:left="0"/>
        <w:jc w:val="left"/>
        <w:outlineLvl w:val="1"/>
        <w:rPr>
          <w:rFonts w:hint="default" w:hAnsi="宋体"/>
          <w:b/>
          <w:sz w:val="24"/>
          <w:szCs w:val="24"/>
          <w:highlight w:val="none"/>
        </w:rPr>
      </w:pPr>
      <w:bookmarkStart w:id="233" w:name="bookmark114"/>
      <w:bookmarkEnd w:id="233"/>
      <w:bookmarkStart w:id="234" w:name="_Toc146500038"/>
      <w:r>
        <w:rPr>
          <w:rFonts w:hint="default" w:ascii="Times New Roman" w:hAnsi="Times New Roman" w:eastAsia="Times New Roman" w:cs="Times New Roman"/>
          <w:b/>
          <w:kern w:val="0"/>
          <w:sz w:val="28"/>
          <w:szCs w:val="24"/>
          <w:highlight w:val="none"/>
          <w:u w:val="none" w:color="auto"/>
          <w:lang w:val="en-US" w:eastAsia="zh-CN" w:bidi="ar-SA"/>
        </w:rPr>
        <w:t>2.6</w:t>
      </w:r>
      <w:r>
        <w:rPr>
          <w:rFonts w:hint="default" w:hAnsi="宋体"/>
          <w:b/>
          <w:sz w:val="24"/>
          <w:szCs w:val="24"/>
          <w:highlight w:val="none"/>
        </w:rPr>
        <w:t>其他义务</w:t>
      </w:r>
      <w:bookmarkEnd w:id="234"/>
    </w:p>
    <w:p w14:paraId="6D4139D6">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委托人应履行合同约定的其他义务。</w:t>
      </w:r>
    </w:p>
    <w:p w14:paraId="3EA82AE0">
      <w:pPr>
        <w:numPr>
          <w:ilvl w:val="0"/>
          <w:numId w:val="0"/>
        </w:numPr>
        <w:overflowPunct w:val="0"/>
        <w:ind w:left="0"/>
        <w:outlineLvl w:val="1"/>
        <w:rPr>
          <w:rFonts w:hint="default" w:ascii="宋体" w:hAnsi="宋体" w:eastAsia="宋体"/>
          <w:sz w:val="28"/>
          <w:szCs w:val="24"/>
          <w:highlight w:val="none"/>
        </w:rPr>
      </w:pPr>
      <w:bookmarkStart w:id="235" w:name="bookmark115"/>
      <w:bookmarkEnd w:id="235"/>
      <w:bookmarkStart w:id="236" w:name="_Toc13893"/>
      <w:bookmarkStart w:id="237" w:name="_Toc146500039"/>
      <w:bookmarkStart w:id="238" w:name="_Toc610983958"/>
      <w:bookmarkStart w:id="239" w:name="_Toc1378"/>
      <w:r>
        <w:rPr>
          <w:rFonts w:hint="default" w:ascii="Times New Roman" w:hAnsi="Times New Roman" w:eastAsia="Times New Roman" w:cs="Times New Roman"/>
          <w:b/>
          <w:bCs/>
          <w:w w:val="99"/>
          <w:kern w:val="2"/>
          <w:sz w:val="32"/>
          <w:szCs w:val="24"/>
          <w:highlight w:val="none"/>
          <w:u w:val="none" w:color="auto"/>
          <w:lang w:val="en-US" w:eastAsia="zh-CN" w:bidi="ar-SA"/>
        </w:rPr>
        <w:t>3.</w:t>
      </w:r>
      <w:r>
        <w:rPr>
          <w:rFonts w:hint="default" w:ascii="宋体" w:hAnsi="宋体" w:eastAsia="宋体"/>
          <w:sz w:val="28"/>
          <w:szCs w:val="24"/>
          <w:highlight w:val="none"/>
        </w:rPr>
        <w:t>委托人管理</w:t>
      </w:r>
      <w:bookmarkEnd w:id="236"/>
      <w:bookmarkEnd w:id="237"/>
      <w:bookmarkEnd w:id="238"/>
      <w:bookmarkEnd w:id="239"/>
    </w:p>
    <w:p w14:paraId="73609D49">
      <w:pPr>
        <w:numPr>
          <w:ilvl w:val="1"/>
          <w:numId w:val="0"/>
        </w:numPr>
        <w:overflowPunct w:val="0"/>
        <w:ind w:left="0"/>
        <w:jc w:val="left"/>
        <w:outlineLvl w:val="1"/>
        <w:rPr>
          <w:rFonts w:hint="default" w:hAnsi="宋体"/>
          <w:b/>
          <w:sz w:val="24"/>
          <w:szCs w:val="24"/>
          <w:highlight w:val="none"/>
        </w:rPr>
      </w:pPr>
      <w:bookmarkStart w:id="240" w:name="bookmark116"/>
      <w:bookmarkEnd w:id="240"/>
      <w:bookmarkStart w:id="241" w:name="_Toc146500040"/>
      <w:r>
        <w:rPr>
          <w:rFonts w:hint="default" w:ascii="Times New Roman" w:hAnsi="Times New Roman" w:eastAsia="Times New Roman" w:cs="Times New Roman"/>
          <w:b/>
          <w:kern w:val="0"/>
          <w:sz w:val="28"/>
          <w:szCs w:val="24"/>
          <w:highlight w:val="none"/>
          <w:u w:val="none" w:color="auto"/>
          <w:lang w:val="en-US" w:eastAsia="zh-CN" w:bidi="ar-SA"/>
        </w:rPr>
        <w:t>3.1</w:t>
      </w:r>
      <w:r>
        <w:rPr>
          <w:rFonts w:hint="default" w:hAnsi="宋体"/>
          <w:b/>
          <w:sz w:val="24"/>
          <w:szCs w:val="24"/>
          <w:highlight w:val="none"/>
        </w:rPr>
        <w:t>委托人代表</w:t>
      </w:r>
      <w:bookmarkEnd w:id="241"/>
    </w:p>
    <w:p w14:paraId="1A1D5B0F">
      <w:pPr>
        <w:pStyle w:val="142"/>
        <w:numPr>
          <w:ilvl w:val="2"/>
          <w:numId w:val="0"/>
        </w:numPr>
        <w:tabs>
          <w:tab w:val="left" w:pos="994"/>
        </w:tabs>
        <w:overflowPunct w:val="0"/>
        <w:spacing w:line="360" w:lineRule="auto"/>
        <w:ind w:left="0" w:firstLine="388" w:firstLineChars="200"/>
        <w:jc w:val="both"/>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3.1.1</w:t>
      </w:r>
      <w:r>
        <w:rPr>
          <w:rFonts w:hint="default" w:hAnsi="宋体"/>
          <w:spacing w:val="-10"/>
          <w:sz w:val="21"/>
          <w:szCs w:val="24"/>
          <w:highlight w:val="none"/>
        </w:rPr>
        <w:t xml:space="preserve">除专用合同条款另有约定外，委托人应在合同签订后 </w:t>
      </w:r>
      <w:r>
        <w:rPr>
          <w:rFonts w:hint="default" w:hAnsi="宋体"/>
          <w:sz w:val="21"/>
          <w:szCs w:val="24"/>
          <w:highlight w:val="none"/>
        </w:rPr>
        <w:t>14</w:t>
      </w:r>
      <w:r>
        <w:rPr>
          <w:rFonts w:hint="default" w:hAnsi="宋体"/>
          <w:spacing w:val="-10"/>
          <w:sz w:val="21"/>
          <w:szCs w:val="24"/>
          <w:highlight w:val="none"/>
        </w:rPr>
        <w:t>天内，将委托人代表的姓名、</w:t>
      </w:r>
      <w:r>
        <w:rPr>
          <w:rFonts w:hint="default" w:hAnsi="宋体"/>
          <w:spacing w:val="-9"/>
          <w:sz w:val="21"/>
          <w:szCs w:val="24"/>
          <w:highlight w:val="none"/>
        </w:rPr>
        <w:t>职务、联系方式、授权范围和授权期限书面通知监理人，由委托人代表在其授权范围和授权期</w:t>
      </w:r>
      <w:r>
        <w:rPr>
          <w:rFonts w:hint="default" w:hAnsi="宋体"/>
          <w:spacing w:val="-8"/>
          <w:sz w:val="21"/>
          <w:szCs w:val="24"/>
          <w:highlight w:val="none"/>
        </w:rPr>
        <w:t>限内，代表委托人行使权利、履行义务和处理合同履行中的具体事宜。委托人代表在授权范围</w:t>
      </w:r>
      <w:r>
        <w:rPr>
          <w:rFonts w:hint="default" w:hAnsi="宋体"/>
          <w:spacing w:val="-3"/>
          <w:sz w:val="21"/>
          <w:szCs w:val="24"/>
          <w:highlight w:val="none"/>
        </w:rPr>
        <w:t>内的行为由委托人承担法律责任。</w:t>
      </w:r>
    </w:p>
    <w:p w14:paraId="2F9B81AB">
      <w:pPr>
        <w:pStyle w:val="142"/>
        <w:numPr>
          <w:ilvl w:val="2"/>
          <w:numId w:val="0"/>
        </w:numPr>
        <w:tabs>
          <w:tab w:val="left" w:pos="994"/>
        </w:tabs>
        <w:overflowPunct w:val="0"/>
        <w:spacing w:line="360" w:lineRule="auto"/>
        <w:ind w:left="0" w:firstLine="388" w:firstLineChars="200"/>
        <w:jc w:val="both"/>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3.1.2</w:t>
      </w:r>
      <w:r>
        <w:rPr>
          <w:rFonts w:hint="default" w:hAnsi="宋体"/>
          <w:spacing w:val="-5"/>
          <w:sz w:val="21"/>
          <w:szCs w:val="24"/>
          <w:highlight w:val="none"/>
        </w:rPr>
        <w:t xml:space="preserve">委托人代表违反法律法规、违背职业道德守则或者不按合同约定履行职责及义务，导致合同无法继续正常履行的，监理人有权通知委托人更换委托人代表。委托人收到通知后 </w:t>
      </w:r>
      <w:r>
        <w:rPr>
          <w:rFonts w:hint="default" w:hAnsi="宋体"/>
          <w:sz w:val="21"/>
          <w:szCs w:val="24"/>
          <w:highlight w:val="none"/>
        </w:rPr>
        <w:t>7天</w:t>
      </w:r>
      <w:r>
        <w:rPr>
          <w:rFonts w:hint="default" w:hAnsi="宋体"/>
          <w:spacing w:val="-3"/>
          <w:sz w:val="21"/>
          <w:szCs w:val="24"/>
          <w:highlight w:val="none"/>
        </w:rPr>
        <w:t>内，应当核实完毕并将处理结果通知监理人。</w:t>
      </w:r>
    </w:p>
    <w:p w14:paraId="2E31BCA5">
      <w:pPr>
        <w:pStyle w:val="142"/>
        <w:numPr>
          <w:ilvl w:val="2"/>
          <w:numId w:val="0"/>
        </w:numPr>
        <w:tabs>
          <w:tab w:val="left" w:pos="1046"/>
        </w:tabs>
        <w:overflowPunct w:val="0"/>
        <w:spacing w:line="360" w:lineRule="auto"/>
        <w:ind w:left="0" w:firstLine="388" w:firstLineChars="200"/>
        <w:jc w:val="both"/>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3.1.3</w:t>
      </w:r>
      <w:r>
        <w:rPr>
          <w:rFonts w:hint="default" w:hAnsi="宋体"/>
          <w:spacing w:val="-5"/>
          <w:sz w:val="21"/>
          <w:szCs w:val="24"/>
          <w:highlight w:val="none"/>
        </w:rPr>
        <w:t xml:space="preserve">委托人更换委托人代表的，应提前 </w:t>
      </w:r>
      <w:r>
        <w:rPr>
          <w:rFonts w:hint="default" w:hAnsi="宋体"/>
          <w:sz w:val="21"/>
          <w:szCs w:val="24"/>
          <w:highlight w:val="none"/>
        </w:rPr>
        <w:t>14</w:t>
      </w:r>
      <w:r>
        <w:rPr>
          <w:rFonts w:hint="default" w:hAnsi="宋体"/>
          <w:spacing w:val="-3"/>
          <w:sz w:val="21"/>
          <w:szCs w:val="24"/>
          <w:highlight w:val="none"/>
        </w:rPr>
        <w:t>天将更换人员的姓名、职务、联系方式、授权</w:t>
      </w:r>
      <w:r>
        <w:rPr>
          <w:rFonts w:hint="default" w:hAnsi="宋体"/>
          <w:spacing w:val="-4"/>
          <w:sz w:val="21"/>
          <w:szCs w:val="24"/>
          <w:highlight w:val="none"/>
        </w:rPr>
        <w:t xml:space="preserve">范围和授权期限书面通知监理人。委托人代表超过 </w:t>
      </w:r>
      <w:r>
        <w:rPr>
          <w:rFonts w:hint="default" w:hAnsi="宋体"/>
          <w:sz w:val="21"/>
          <w:szCs w:val="24"/>
          <w:highlight w:val="none"/>
        </w:rPr>
        <w:t>2</w:t>
      </w:r>
      <w:r>
        <w:rPr>
          <w:rFonts w:hint="default" w:hAnsi="宋体"/>
          <w:spacing w:val="-3"/>
          <w:sz w:val="21"/>
          <w:szCs w:val="24"/>
          <w:highlight w:val="none"/>
        </w:rPr>
        <w:t>天不能履行职责的，应委派代表代行其职责，并通知监理人。</w:t>
      </w:r>
    </w:p>
    <w:p w14:paraId="628B6839">
      <w:pPr>
        <w:numPr>
          <w:ilvl w:val="1"/>
          <w:numId w:val="0"/>
        </w:numPr>
        <w:overflowPunct w:val="0"/>
        <w:ind w:left="0"/>
        <w:jc w:val="left"/>
        <w:outlineLvl w:val="1"/>
        <w:rPr>
          <w:rFonts w:hint="default" w:hAnsi="宋体"/>
          <w:b/>
          <w:sz w:val="24"/>
          <w:szCs w:val="24"/>
          <w:highlight w:val="none"/>
        </w:rPr>
      </w:pPr>
      <w:bookmarkStart w:id="242" w:name="bookmark117"/>
      <w:bookmarkEnd w:id="242"/>
      <w:bookmarkStart w:id="243" w:name="_Toc146500041"/>
      <w:r>
        <w:rPr>
          <w:rFonts w:hint="default" w:ascii="Times New Roman" w:hAnsi="Times New Roman" w:eastAsia="Times New Roman" w:cs="Times New Roman"/>
          <w:b/>
          <w:kern w:val="0"/>
          <w:sz w:val="28"/>
          <w:szCs w:val="24"/>
          <w:highlight w:val="none"/>
          <w:u w:val="none" w:color="auto"/>
          <w:lang w:val="en-US" w:eastAsia="zh-CN" w:bidi="ar-SA"/>
        </w:rPr>
        <w:t>3.2</w:t>
      </w:r>
      <w:r>
        <w:rPr>
          <w:rFonts w:hint="default" w:hAnsi="宋体"/>
          <w:b/>
          <w:sz w:val="24"/>
          <w:szCs w:val="24"/>
          <w:highlight w:val="none"/>
        </w:rPr>
        <w:t>委托人的指示</w:t>
      </w:r>
      <w:bookmarkEnd w:id="243"/>
    </w:p>
    <w:p w14:paraId="40B6F8A6">
      <w:pPr>
        <w:pStyle w:val="142"/>
        <w:numPr>
          <w:ilvl w:val="2"/>
          <w:numId w:val="0"/>
        </w:numPr>
        <w:tabs>
          <w:tab w:val="left" w:pos="1046"/>
        </w:tabs>
        <w:overflowPunct w:val="0"/>
        <w:spacing w:line="360" w:lineRule="auto"/>
        <w:ind w:left="0" w:firstLine="388" w:firstLineChars="200"/>
        <w:jc w:val="both"/>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3.2.1</w:t>
      </w:r>
      <w:r>
        <w:rPr>
          <w:rFonts w:hint="default" w:hAnsi="宋体"/>
          <w:spacing w:val="-8"/>
          <w:sz w:val="21"/>
          <w:szCs w:val="24"/>
          <w:highlight w:val="none"/>
        </w:rPr>
        <w:t>委托人应按合同约定向监理人发出指示，委托人的指示应盖有委托人单位章，并由委</w:t>
      </w:r>
      <w:r>
        <w:rPr>
          <w:rFonts w:hint="default" w:hAnsi="宋体"/>
          <w:spacing w:val="-3"/>
          <w:sz w:val="21"/>
          <w:szCs w:val="24"/>
          <w:highlight w:val="none"/>
        </w:rPr>
        <w:t>托人代表签字确认。</w:t>
      </w:r>
    </w:p>
    <w:p w14:paraId="18A78254">
      <w:pPr>
        <w:pStyle w:val="142"/>
        <w:numPr>
          <w:ilvl w:val="2"/>
          <w:numId w:val="0"/>
        </w:numPr>
        <w:tabs>
          <w:tab w:val="left" w:pos="1046"/>
        </w:tabs>
        <w:overflowPunct w:val="0"/>
        <w:spacing w:line="360" w:lineRule="auto"/>
        <w:ind w:left="0" w:firstLine="388" w:firstLineChars="200"/>
        <w:outlineLvl w:val="1"/>
        <w:rPr>
          <w:rFonts w:hint="default" w:hAnsi="宋体"/>
          <w:spacing w:val="-2"/>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3.2.2</w:t>
      </w:r>
      <w:r>
        <w:rPr>
          <w:rFonts w:hint="default" w:hAnsi="宋体"/>
          <w:spacing w:val="-5"/>
          <w:sz w:val="21"/>
          <w:szCs w:val="24"/>
          <w:highlight w:val="none"/>
        </w:rPr>
        <w:t xml:space="preserve">监理人收到委托人作出的指示后应遵照执行。指示构成变更的，应按第 </w:t>
      </w:r>
      <w:r>
        <w:rPr>
          <w:rFonts w:hint="default" w:hAnsi="宋体"/>
          <w:sz w:val="21"/>
          <w:szCs w:val="24"/>
          <w:highlight w:val="none"/>
        </w:rPr>
        <w:t>8</w:t>
      </w:r>
      <w:r>
        <w:rPr>
          <w:rFonts w:hint="default" w:hAnsi="宋体"/>
          <w:spacing w:val="-2"/>
          <w:sz w:val="21"/>
          <w:szCs w:val="24"/>
          <w:highlight w:val="none"/>
        </w:rPr>
        <w:t>条执行。</w:t>
      </w:r>
    </w:p>
    <w:p w14:paraId="4E6FBC4F">
      <w:pPr>
        <w:pStyle w:val="142"/>
        <w:numPr>
          <w:ilvl w:val="2"/>
          <w:numId w:val="0"/>
        </w:numPr>
        <w:tabs>
          <w:tab w:val="left" w:pos="1046"/>
        </w:tabs>
        <w:overflowPunct w:val="0"/>
        <w:spacing w:line="360" w:lineRule="auto"/>
        <w:ind w:left="0" w:firstLine="388" w:firstLineChars="200"/>
        <w:jc w:val="both"/>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3.2.3</w:t>
      </w:r>
      <w:r>
        <w:rPr>
          <w:rFonts w:hint="default" w:hAnsi="宋体"/>
          <w:spacing w:val="-10"/>
          <w:sz w:val="21"/>
          <w:szCs w:val="24"/>
          <w:highlight w:val="none"/>
        </w:rPr>
        <w:t>在紧急情况下，委托人代表或其授权人员可以当场签发临时书面指示，监理人应遵照</w:t>
      </w:r>
      <w:r>
        <w:rPr>
          <w:rFonts w:hint="default" w:hAnsi="宋体"/>
          <w:spacing w:val="-11"/>
          <w:sz w:val="21"/>
          <w:szCs w:val="24"/>
          <w:highlight w:val="none"/>
        </w:rPr>
        <w:t xml:space="preserve">执行。委托人代表应在临时书面指示发出后 </w:t>
      </w:r>
      <w:r>
        <w:rPr>
          <w:rFonts w:hint="default" w:hAnsi="宋体"/>
          <w:sz w:val="21"/>
          <w:szCs w:val="24"/>
          <w:highlight w:val="none"/>
        </w:rPr>
        <w:t>24</w:t>
      </w:r>
      <w:r>
        <w:rPr>
          <w:rFonts w:hint="default" w:hAnsi="宋体"/>
          <w:spacing w:val="-7"/>
          <w:sz w:val="21"/>
          <w:szCs w:val="24"/>
          <w:highlight w:val="none"/>
        </w:rPr>
        <w:t>小时内发出书面确认函，逾期未发出书面确认函</w:t>
      </w:r>
      <w:r>
        <w:rPr>
          <w:rFonts w:hint="default" w:hAnsi="宋体"/>
          <w:spacing w:val="-5"/>
          <w:sz w:val="21"/>
          <w:szCs w:val="24"/>
          <w:highlight w:val="none"/>
        </w:rPr>
        <w:t>的，该临时书面指示应被视为委托人的正式指示。</w:t>
      </w:r>
    </w:p>
    <w:p w14:paraId="6BE31A6A">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3.2.4</w:t>
      </w:r>
      <w:r>
        <w:rPr>
          <w:rFonts w:hint="default" w:hAnsi="宋体"/>
          <w:spacing w:val="-8"/>
          <w:sz w:val="21"/>
          <w:szCs w:val="24"/>
          <w:highlight w:val="none"/>
        </w:rPr>
        <w:t>由于委托人未能按合同约定发出指示、指示延误或指示错误而导致监理人费用增加和（或）周期延误的，委托人应承担由此增加的费用和（或）周期延误。</w:t>
      </w:r>
    </w:p>
    <w:p w14:paraId="36F2506D">
      <w:pPr>
        <w:numPr>
          <w:ilvl w:val="1"/>
          <w:numId w:val="0"/>
        </w:numPr>
        <w:overflowPunct w:val="0"/>
        <w:ind w:left="0"/>
        <w:jc w:val="left"/>
        <w:outlineLvl w:val="1"/>
        <w:rPr>
          <w:rFonts w:hint="default" w:hAnsi="宋体"/>
          <w:b/>
          <w:sz w:val="24"/>
          <w:szCs w:val="24"/>
          <w:highlight w:val="none"/>
        </w:rPr>
      </w:pPr>
      <w:bookmarkStart w:id="244" w:name="bookmark118"/>
      <w:bookmarkEnd w:id="244"/>
      <w:bookmarkStart w:id="245" w:name="_Toc146500042"/>
      <w:r>
        <w:rPr>
          <w:rFonts w:hint="default" w:ascii="Times New Roman" w:hAnsi="Times New Roman" w:eastAsia="Times New Roman" w:cs="Times New Roman"/>
          <w:b/>
          <w:kern w:val="0"/>
          <w:sz w:val="28"/>
          <w:szCs w:val="24"/>
          <w:highlight w:val="none"/>
          <w:u w:val="none" w:color="auto"/>
          <w:lang w:val="en-US" w:eastAsia="zh-CN" w:bidi="ar-SA"/>
        </w:rPr>
        <w:t>3.3</w:t>
      </w:r>
      <w:r>
        <w:rPr>
          <w:rFonts w:hint="default" w:hAnsi="宋体"/>
          <w:b/>
          <w:sz w:val="24"/>
          <w:szCs w:val="24"/>
          <w:highlight w:val="none"/>
        </w:rPr>
        <w:t>决定或答复</w:t>
      </w:r>
      <w:bookmarkEnd w:id="245"/>
    </w:p>
    <w:p w14:paraId="2A22A729">
      <w:pPr>
        <w:pStyle w:val="142"/>
        <w:numPr>
          <w:ilvl w:val="2"/>
          <w:numId w:val="0"/>
        </w:numPr>
        <w:tabs>
          <w:tab w:val="left" w:pos="1049"/>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3.3.1</w:t>
      </w:r>
      <w:r>
        <w:rPr>
          <w:rFonts w:hint="default" w:hAnsi="宋体"/>
          <w:sz w:val="21"/>
          <w:szCs w:val="24"/>
          <w:highlight w:val="none"/>
        </w:rPr>
        <w:t xml:space="preserve">委托人在法律允许的范围内有权对监理人的监理工作和/或监理文件作出处理决定， </w:t>
      </w:r>
      <w:r>
        <w:rPr>
          <w:rFonts w:hint="default" w:hAnsi="宋体"/>
          <w:spacing w:val="-4"/>
          <w:sz w:val="21"/>
          <w:szCs w:val="24"/>
          <w:highlight w:val="none"/>
        </w:rPr>
        <w:t xml:space="preserve">监理人应按照委托人的决定执行，涉及监理服务期限或监理报酬等问题按第 </w:t>
      </w:r>
      <w:r>
        <w:rPr>
          <w:rFonts w:hint="default" w:hAnsi="宋体"/>
          <w:sz w:val="21"/>
          <w:szCs w:val="24"/>
          <w:highlight w:val="none"/>
        </w:rPr>
        <w:t>8</w:t>
      </w:r>
      <w:r>
        <w:rPr>
          <w:rFonts w:hint="default" w:hAnsi="宋体"/>
          <w:spacing w:val="-3"/>
          <w:sz w:val="21"/>
          <w:szCs w:val="24"/>
          <w:highlight w:val="none"/>
        </w:rPr>
        <w:t>条的约定处理。</w:t>
      </w:r>
    </w:p>
    <w:p w14:paraId="5F1FE1C0">
      <w:pPr>
        <w:pStyle w:val="142"/>
        <w:numPr>
          <w:ilvl w:val="2"/>
          <w:numId w:val="0"/>
        </w:numPr>
        <w:tabs>
          <w:tab w:val="left" w:pos="1049"/>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3.3.2</w:t>
      </w:r>
      <w:r>
        <w:rPr>
          <w:rFonts w:hint="default" w:hAnsi="宋体"/>
          <w:spacing w:val="-3"/>
          <w:sz w:val="21"/>
          <w:szCs w:val="24"/>
          <w:highlight w:val="none"/>
        </w:rPr>
        <w:t>委托人应在专用合同条款约定的时间之内，对监理人书面提出的事项作出书面答复；逾期没有做出答复的，视为已获得委托人的批准。</w:t>
      </w:r>
    </w:p>
    <w:p w14:paraId="42B01B4F">
      <w:pPr>
        <w:numPr>
          <w:ilvl w:val="0"/>
          <w:numId w:val="0"/>
        </w:numPr>
        <w:overflowPunct w:val="0"/>
        <w:ind w:left="0"/>
        <w:outlineLvl w:val="1"/>
        <w:rPr>
          <w:rFonts w:hint="default" w:ascii="宋体" w:hAnsi="宋体" w:eastAsia="宋体"/>
          <w:sz w:val="28"/>
          <w:szCs w:val="24"/>
          <w:highlight w:val="none"/>
        </w:rPr>
      </w:pPr>
      <w:bookmarkStart w:id="246" w:name="bookmark119"/>
      <w:bookmarkEnd w:id="246"/>
      <w:bookmarkStart w:id="247" w:name="_Toc13127"/>
      <w:bookmarkStart w:id="248" w:name="_Toc513170800"/>
      <w:bookmarkStart w:id="249" w:name="_Toc146500043"/>
      <w:bookmarkStart w:id="250" w:name="_Toc27046"/>
      <w:r>
        <w:rPr>
          <w:rFonts w:hint="default" w:ascii="Times New Roman" w:hAnsi="Times New Roman" w:eastAsia="Times New Roman" w:cs="Times New Roman"/>
          <w:b/>
          <w:bCs/>
          <w:w w:val="99"/>
          <w:kern w:val="2"/>
          <w:sz w:val="32"/>
          <w:szCs w:val="24"/>
          <w:highlight w:val="none"/>
          <w:u w:val="none" w:color="auto"/>
          <w:lang w:val="en-US" w:eastAsia="zh-CN" w:bidi="ar-SA"/>
        </w:rPr>
        <w:t>4.</w:t>
      </w:r>
      <w:r>
        <w:rPr>
          <w:rFonts w:hint="default" w:ascii="宋体" w:hAnsi="宋体" w:eastAsia="宋体"/>
          <w:sz w:val="28"/>
          <w:szCs w:val="24"/>
          <w:highlight w:val="none"/>
        </w:rPr>
        <w:t>监理人义务</w:t>
      </w:r>
      <w:bookmarkEnd w:id="247"/>
      <w:bookmarkEnd w:id="248"/>
      <w:bookmarkEnd w:id="249"/>
      <w:bookmarkEnd w:id="250"/>
    </w:p>
    <w:p w14:paraId="5E15D1AA">
      <w:pPr>
        <w:numPr>
          <w:ilvl w:val="1"/>
          <w:numId w:val="0"/>
        </w:numPr>
        <w:overflowPunct w:val="0"/>
        <w:ind w:left="0"/>
        <w:jc w:val="left"/>
        <w:outlineLvl w:val="1"/>
        <w:rPr>
          <w:rFonts w:hint="default" w:hAnsi="宋体"/>
          <w:b/>
          <w:sz w:val="24"/>
          <w:szCs w:val="24"/>
          <w:highlight w:val="none"/>
        </w:rPr>
      </w:pPr>
      <w:bookmarkStart w:id="251" w:name="bookmark120"/>
      <w:bookmarkEnd w:id="251"/>
      <w:bookmarkStart w:id="252" w:name="_Toc146500044"/>
      <w:r>
        <w:rPr>
          <w:rFonts w:hint="default" w:ascii="Times New Roman" w:hAnsi="Times New Roman" w:eastAsia="Times New Roman" w:cs="Times New Roman"/>
          <w:b/>
          <w:kern w:val="0"/>
          <w:sz w:val="28"/>
          <w:szCs w:val="24"/>
          <w:highlight w:val="none"/>
          <w:u w:val="none" w:color="auto"/>
          <w:lang w:val="en-US" w:eastAsia="zh-CN" w:bidi="ar-SA"/>
        </w:rPr>
        <w:t>4.1</w:t>
      </w:r>
      <w:r>
        <w:rPr>
          <w:rFonts w:hint="default" w:hAnsi="宋体"/>
          <w:b/>
          <w:sz w:val="24"/>
          <w:szCs w:val="24"/>
          <w:highlight w:val="none"/>
        </w:rPr>
        <w:t>监理人的一般义务</w:t>
      </w:r>
      <w:bookmarkEnd w:id="252"/>
    </w:p>
    <w:p w14:paraId="13A007EB">
      <w:pPr>
        <w:numPr>
          <w:ilvl w:val="2"/>
          <w:numId w:val="0"/>
        </w:numPr>
        <w:tabs>
          <w:tab w:val="left" w:pos="1049"/>
        </w:tabs>
        <w:overflowPunct w:val="0"/>
        <w:spacing w:line="360" w:lineRule="auto"/>
        <w:ind w:left="0" w:firstLine="388" w:firstLineChars="200"/>
        <w:outlineLvl w:val="1"/>
        <w:rPr>
          <w:rFonts w:hint="default" w:hAnsi="宋体"/>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4.1.1</w:t>
      </w:r>
      <w:r>
        <w:rPr>
          <w:rFonts w:hint="default" w:hAnsi="宋体"/>
          <w:sz w:val="21"/>
          <w:szCs w:val="24"/>
          <w:highlight w:val="none"/>
        </w:rPr>
        <w:t>遵守法律</w:t>
      </w:r>
    </w:p>
    <w:p w14:paraId="78903F0C">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监理人在履行合同过程中应遵守法律，并保证委托人免于承担因监理人违反法律而引起的任何责任。</w:t>
      </w:r>
    </w:p>
    <w:p w14:paraId="224F6BD2">
      <w:pPr>
        <w:numPr>
          <w:ilvl w:val="2"/>
          <w:numId w:val="0"/>
        </w:numPr>
        <w:tabs>
          <w:tab w:val="left" w:pos="1049"/>
        </w:tabs>
        <w:overflowPunct w:val="0"/>
        <w:spacing w:line="360" w:lineRule="auto"/>
        <w:ind w:left="0" w:firstLine="388" w:firstLineChars="200"/>
        <w:outlineLvl w:val="1"/>
        <w:rPr>
          <w:rFonts w:hint="default" w:hAnsi="宋体"/>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4.1.2</w:t>
      </w:r>
      <w:r>
        <w:rPr>
          <w:rFonts w:hint="default" w:hAnsi="宋体"/>
          <w:sz w:val="21"/>
          <w:szCs w:val="24"/>
          <w:highlight w:val="none"/>
        </w:rPr>
        <w:t>依法纳税</w:t>
      </w:r>
    </w:p>
    <w:p w14:paraId="4116F156">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监理人应按有关法律规定纳税，应缴纳的税金（含增值税）包括在合同价格之中。</w:t>
      </w:r>
    </w:p>
    <w:p w14:paraId="2EAD9C10">
      <w:pPr>
        <w:numPr>
          <w:ilvl w:val="2"/>
          <w:numId w:val="0"/>
        </w:numPr>
        <w:tabs>
          <w:tab w:val="left" w:pos="1049"/>
        </w:tabs>
        <w:overflowPunct w:val="0"/>
        <w:spacing w:line="360" w:lineRule="auto"/>
        <w:ind w:left="0" w:firstLine="388" w:firstLineChars="200"/>
        <w:outlineLvl w:val="1"/>
        <w:rPr>
          <w:rFonts w:hint="default" w:hAnsi="宋体"/>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4.1.3</w:t>
      </w:r>
      <w:r>
        <w:rPr>
          <w:rFonts w:hint="default" w:hAnsi="宋体"/>
          <w:sz w:val="21"/>
          <w:szCs w:val="24"/>
          <w:highlight w:val="none"/>
        </w:rPr>
        <w:t>完成全部监理工作</w:t>
      </w:r>
    </w:p>
    <w:p w14:paraId="181E1C69">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监理人应按合同约定以及委托人要求，完成合同约定的全部工作，并对工作中的任何缺陷进行整改，使其满足合同约定的目的。</w:t>
      </w:r>
    </w:p>
    <w:p w14:paraId="72520075">
      <w:pPr>
        <w:numPr>
          <w:ilvl w:val="2"/>
          <w:numId w:val="0"/>
        </w:numPr>
        <w:tabs>
          <w:tab w:val="left" w:pos="1049"/>
        </w:tabs>
        <w:overflowPunct w:val="0"/>
        <w:spacing w:line="360" w:lineRule="auto"/>
        <w:ind w:left="0" w:firstLine="388" w:firstLineChars="200"/>
        <w:outlineLvl w:val="1"/>
        <w:rPr>
          <w:rFonts w:hint="default" w:hAnsi="宋体"/>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4.1.4</w:t>
      </w:r>
      <w:r>
        <w:rPr>
          <w:rFonts w:hint="default" w:hAnsi="宋体"/>
          <w:sz w:val="21"/>
          <w:szCs w:val="24"/>
          <w:highlight w:val="none"/>
        </w:rPr>
        <w:t>其他义务</w:t>
      </w:r>
    </w:p>
    <w:p w14:paraId="7D45195B">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监理人应履行合同约定的其他义务。</w:t>
      </w:r>
    </w:p>
    <w:p w14:paraId="06BA7DE2">
      <w:pPr>
        <w:numPr>
          <w:ilvl w:val="1"/>
          <w:numId w:val="0"/>
        </w:numPr>
        <w:overflowPunct w:val="0"/>
        <w:ind w:left="0"/>
        <w:jc w:val="left"/>
        <w:outlineLvl w:val="1"/>
        <w:rPr>
          <w:rFonts w:hint="default" w:hAnsi="宋体"/>
          <w:b/>
          <w:sz w:val="24"/>
          <w:szCs w:val="24"/>
          <w:highlight w:val="none"/>
        </w:rPr>
      </w:pPr>
      <w:bookmarkStart w:id="253" w:name="bookmark121"/>
      <w:bookmarkEnd w:id="253"/>
      <w:bookmarkStart w:id="254" w:name="_Toc146500045"/>
      <w:r>
        <w:rPr>
          <w:rFonts w:hint="default" w:ascii="Times New Roman" w:hAnsi="Times New Roman" w:eastAsia="Times New Roman" w:cs="Times New Roman"/>
          <w:b/>
          <w:kern w:val="0"/>
          <w:sz w:val="28"/>
          <w:szCs w:val="24"/>
          <w:highlight w:val="none"/>
          <w:u w:val="none" w:color="auto"/>
          <w:lang w:val="en-US" w:eastAsia="zh-CN" w:bidi="ar-SA"/>
        </w:rPr>
        <w:t>4.2</w:t>
      </w:r>
      <w:r>
        <w:rPr>
          <w:rFonts w:hint="default" w:hAnsi="宋体"/>
          <w:b/>
          <w:sz w:val="24"/>
          <w:szCs w:val="24"/>
          <w:highlight w:val="none"/>
        </w:rPr>
        <w:t>履约保证金</w:t>
      </w:r>
      <w:bookmarkEnd w:id="254"/>
    </w:p>
    <w:p w14:paraId="5F5B551A">
      <w:pPr>
        <w:pStyle w:val="23"/>
        <w:overflowPunct w:val="0"/>
        <w:spacing w:line="360" w:lineRule="auto"/>
        <w:ind w:firstLine="408" w:firstLineChars="200"/>
        <w:jc w:val="both"/>
        <w:outlineLvl w:val="1"/>
        <w:rPr>
          <w:rFonts w:hint="default" w:hAnsi="宋体"/>
          <w:spacing w:val="-3"/>
          <w:sz w:val="21"/>
          <w:szCs w:val="24"/>
          <w:highlight w:val="none"/>
        </w:rPr>
      </w:pPr>
      <w:r>
        <w:rPr>
          <w:rFonts w:hint="default" w:hAnsi="宋体"/>
          <w:spacing w:val="-3"/>
          <w:sz w:val="21"/>
          <w:szCs w:val="24"/>
          <w:highlight w:val="none"/>
        </w:rPr>
        <w:t>除专用合同条款另有约定外，履约保证金自合同生效之日起生效，在委托人签发竣工验收</w:t>
      </w:r>
      <w:r>
        <w:rPr>
          <w:rFonts w:hint="default" w:hAnsi="宋体"/>
          <w:spacing w:val="-8"/>
          <w:sz w:val="21"/>
          <w:szCs w:val="24"/>
          <w:highlight w:val="none"/>
        </w:rPr>
        <w:t xml:space="preserve">证书之日起 </w:t>
      </w:r>
      <w:r>
        <w:rPr>
          <w:rFonts w:hint="default" w:hAnsi="宋体"/>
          <w:sz w:val="21"/>
          <w:szCs w:val="24"/>
          <w:highlight w:val="none"/>
        </w:rPr>
        <w:t xml:space="preserve">28 </w:t>
      </w:r>
      <w:r>
        <w:rPr>
          <w:rFonts w:hint="default" w:hAnsi="宋体"/>
          <w:spacing w:val="-9"/>
          <w:sz w:val="21"/>
          <w:szCs w:val="24"/>
          <w:highlight w:val="none"/>
        </w:rPr>
        <w:t>日后失效。如果监理人不履行合同约定的义务或其履行不符合合同的约定，委托</w:t>
      </w:r>
      <w:r>
        <w:rPr>
          <w:rFonts w:hint="default" w:hAnsi="宋体"/>
          <w:spacing w:val="-3"/>
          <w:sz w:val="21"/>
          <w:szCs w:val="24"/>
          <w:highlight w:val="none"/>
        </w:rPr>
        <w:t>人有权扣划相应金额的履约保证金。</w:t>
      </w:r>
    </w:p>
    <w:p w14:paraId="118BF7C6">
      <w:pPr>
        <w:numPr>
          <w:ilvl w:val="1"/>
          <w:numId w:val="0"/>
        </w:numPr>
        <w:overflowPunct w:val="0"/>
        <w:ind w:left="0"/>
        <w:jc w:val="left"/>
        <w:outlineLvl w:val="1"/>
        <w:rPr>
          <w:rFonts w:hint="default" w:hAnsi="宋体"/>
          <w:b/>
          <w:sz w:val="24"/>
          <w:szCs w:val="24"/>
          <w:highlight w:val="none"/>
        </w:rPr>
      </w:pPr>
      <w:bookmarkStart w:id="255" w:name="bookmark122"/>
      <w:bookmarkEnd w:id="255"/>
      <w:bookmarkStart w:id="256" w:name="_Toc146500046"/>
      <w:r>
        <w:rPr>
          <w:rFonts w:hint="default" w:ascii="Times New Roman" w:hAnsi="Times New Roman" w:eastAsia="Times New Roman" w:cs="Times New Roman"/>
          <w:b/>
          <w:kern w:val="0"/>
          <w:sz w:val="28"/>
          <w:szCs w:val="24"/>
          <w:highlight w:val="none"/>
          <w:u w:val="none" w:color="auto"/>
          <w:lang w:val="en-US" w:eastAsia="zh-CN" w:bidi="ar-SA"/>
        </w:rPr>
        <w:t>4.3</w:t>
      </w:r>
      <w:r>
        <w:rPr>
          <w:rFonts w:hint="default" w:hAnsi="宋体"/>
          <w:b/>
          <w:sz w:val="24"/>
          <w:szCs w:val="24"/>
          <w:highlight w:val="none"/>
        </w:rPr>
        <w:t>联合体</w:t>
      </w:r>
      <w:bookmarkEnd w:id="256"/>
    </w:p>
    <w:p w14:paraId="0F22B885">
      <w:pPr>
        <w:pStyle w:val="142"/>
        <w:numPr>
          <w:ilvl w:val="2"/>
          <w:numId w:val="0"/>
        </w:numPr>
        <w:tabs>
          <w:tab w:val="left" w:pos="1046"/>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4.3.1</w:t>
      </w:r>
      <w:r>
        <w:rPr>
          <w:rFonts w:hint="default" w:hAnsi="宋体"/>
          <w:spacing w:val="-3"/>
          <w:sz w:val="21"/>
          <w:szCs w:val="24"/>
          <w:highlight w:val="none"/>
        </w:rPr>
        <w:t>联合体各方应共同与委托人签订合同。联合体各方应为履行合同承担连带责任。</w:t>
      </w:r>
    </w:p>
    <w:p w14:paraId="6C3CDCAC">
      <w:pPr>
        <w:pStyle w:val="142"/>
        <w:numPr>
          <w:ilvl w:val="2"/>
          <w:numId w:val="0"/>
        </w:numPr>
        <w:tabs>
          <w:tab w:val="left" w:pos="1046"/>
        </w:tabs>
        <w:overflowPunct w:val="0"/>
        <w:spacing w:line="360" w:lineRule="auto"/>
        <w:ind w:left="0" w:firstLine="388" w:firstLineChars="200"/>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4.3.2</w:t>
      </w:r>
      <w:r>
        <w:rPr>
          <w:rFonts w:hint="default" w:hAnsi="宋体"/>
          <w:spacing w:val="-7"/>
          <w:sz w:val="21"/>
          <w:szCs w:val="24"/>
          <w:highlight w:val="none"/>
        </w:rPr>
        <w:t>联合体协议经委托人确认后作为合同附件。在履行合同过程中，未经委托人同意，不</w:t>
      </w:r>
      <w:r>
        <w:rPr>
          <w:rFonts w:hint="default" w:hAnsi="宋体"/>
          <w:spacing w:val="-5"/>
          <w:sz w:val="21"/>
          <w:szCs w:val="24"/>
          <w:highlight w:val="none"/>
        </w:rPr>
        <w:t>得修改联合体协议。</w:t>
      </w:r>
    </w:p>
    <w:p w14:paraId="249F6B4F">
      <w:pPr>
        <w:pStyle w:val="142"/>
        <w:numPr>
          <w:ilvl w:val="2"/>
          <w:numId w:val="0"/>
        </w:numPr>
        <w:tabs>
          <w:tab w:val="left" w:pos="1046"/>
        </w:tabs>
        <w:overflowPunct w:val="0"/>
        <w:spacing w:line="360" w:lineRule="auto"/>
        <w:ind w:left="0" w:firstLine="388" w:firstLineChars="200"/>
        <w:outlineLvl w:val="1"/>
        <w:rPr>
          <w:rFonts w:hint="default" w:hAnsi="宋体"/>
          <w:spacing w:val="-7"/>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4.3.3</w:t>
      </w:r>
      <w:r>
        <w:rPr>
          <w:rFonts w:hint="default" w:hAnsi="宋体"/>
          <w:spacing w:val="-7"/>
          <w:sz w:val="21"/>
          <w:szCs w:val="24"/>
          <w:highlight w:val="none"/>
        </w:rPr>
        <w:t>联合体牵头人或联合体授权的代表负责与委托人联系，并接受指示，负责组织联合体各成员全面履行合同。</w:t>
      </w:r>
    </w:p>
    <w:p w14:paraId="0AE2476D">
      <w:pPr>
        <w:numPr>
          <w:ilvl w:val="1"/>
          <w:numId w:val="0"/>
        </w:numPr>
        <w:overflowPunct w:val="0"/>
        <w:ind w:left="0"/>
        <w:jc w:val="left"/>
        <w:outlineLvl w:val="1"/>
        <w:rPr>
          <w:rFonts w:hint="default" w:hAnsi="宋体"/>
          <w:b/>
          <w:sz w:val="24"/>
          <w:szCs w:val="24"/>
          <w:highlight w:val="none"/>
        </w:rPr>
      </w:pPr>
      <w:bookmarkStart w:id="257" w:name="bookmark123"/>
      <w:bookmarkEnd w:id="257"/>
      <w:bookmarkStart w:id="258" w:name="_Toc146500047"/>
      <w:r>
        <w:rPr>
          <w:rFonts w:hint="default" w:ascii="Times New Roman" w:hAnsi="Times New Roman" w:eastAsia="Times New Roman" w:cs="Times New Roman"/>
          <w:b/>
          <w:kern w:val="0"/>
          <w:sz w:val="28"/>
          <w:szCs w:val="24"/>
          <w:highlight w:val="none"/>
          <w:u w:val="none" w:color="auto"/>
          <w:lang w:val="en-US" w:eastAsia="zh-CN" w:bidi="ar-SA"/>
        </w:rPr>
        <w:t>4.4</w:t>
      </w:r>
      <w:r>
        <w:rPr>
          <w:rFonts w:hint="default" w:hAnsi="宋体"/>
          <w:b/>
          <w:sz w:val="24"/>
          <w:szCs w:val="24"/>
          <w:highlight w:val="none"/>
        </w:rPr>
        <w:t>总监理工程师</w:t>
      </w:r>
      <w:bookmarkEnd w:id="258"/>
    </w:p>
    <w:p w14:paraId="330FC8A8">
      <w:pPr>
        <w:pStyle w:val="142"/>
        <w:numPr>
          <w:ilvl w:val="2"/>
          <w:numId w:val="0"/>
        </w:numPr>
        <w:tabs>
          <w:tab w:val="left" w:pos="1046"/>
        </w:tabs>
        <w:overflowPunct w:val="0"/>
        <w:spacing w:line="360" w:lineRule="auto"/>
        <w:ind w:left="0" w:firstLine="388" w:firstLineChars="200"/>
        <w:jc w:val="both"/>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4.4.1</w:t>
      </w:r>
      <w:r>
        <w:rPr>
          <w:rFonts w:hint="default" w:hAnsi="宋体"/>
          <w:spacing w:val="-7"/>
          <w:sz w:val="21"/>
          <w:szCs w:val="24"/>
          <w:highlight w:val="none"/>
        </w:rPr>
        <w:t>监理人应按合同协议书的约定指派总监理工程师，并在约定的期限内到职。监理人更</w:t>
      </w:r>
      <w:r>
        <w:rPr>
          <w:rFonts w:hint="default" w:hAnsi="宋体"/>
          <w:spacing w:val="-9"/>
          <w:sz w:val="21"/>
          <w:szCs w:val="24"/>
          <w:highlight w:val="none"/>
        </w:rPr>
        <w:t xml:space="preserve">换总监理工程师应事先征得委托人同意，并应在更换 </w:t>
      </w:r>
      <w:r>
        <w:rPr>
          <w:rFonts w:hint="default" w:hAnsi="宋体"/>
          <w:sz w:val="21"/>
          <w:szCs w:val="24"/>
          <w:highlight w:val="none"/>
        </w:rPr>
        <w:t>14</w:t>
      </w:r>
      <w:r>
        <w:rPr>
          <w:rFonts w:hint="default" w:hAnsi="宋体"/>
          <w:spacing w:val="-3"/>
          <w:sz w:val="21"/>
          <w:szCs w:val="24"/>
          <w:highlight w:val="none"/>
        </w:rPr>
        <w:t>天前将拟更换的总监理工程师的姓名和</w:t>
      </w:r>
      <w:r>
        <w:rPr>
          <w:rFonts w:hint="default" w:hAnsi="宋体"/>
          <w:spacing w:val="-4"/>
          <w:sz w:val="21"/>
          <w:szCs w:val="24"/>
          <w:highlight w:val="none"/>
        </w:rPr>
        <w:t xml:space="preserve">详细资料提交委托人。总监理工程师 </w:t>
      </w:r>
      <w:r>
        <w:rPr>
          <w:rFonts w:hint="default" w:hAnsi="宋体"/>
          <w:sz w:val="21"/>
          <w:szCs w:val="24"/>
          <w:highlight w:val="none"/>
        </w:rPr>
        <w:t>2</w:t>
      </w:r>
      <w:r>
        <w:rPr>
          <w:rFonts w:hint="default" w:hAnsi="宋体"/>
          <w:spacing w:val="-3"/>
          <w:sz w:val="21"/>
          <w:szCs w:val="24"/>
          <w:highlight w:val="none"/>
        </w:rPr>
        <w:t>天内不能履行职责的，应事先征得委托人同意，并委派代表代行其职责。</w:t>
      </w:r>
    </w:p>
    <w:p w14:paraId="453ABF06">
      <w:pPr>
        <w:pStyle w:val="142"/>
        <w:numPr>
          <w:ilvl w:val="2"/>
          <w:numId w:val="0"/>
        </w:numPr>
        <w:tabs>
          <w:tab w:val="left" w:pos="994"/>
        </w:tabs>
        <w:overflowPunct w:val="0"/>
        <w:spacing w:line="360" w:lineRule="auto"/>
        <w:ind w:left="0" w:firstLine="388" w:firstLineChars="200"/>
        <w:jc w:val="both"/>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4.4.2</w:t>
      </w:r>
      <w:r>
        <w:rPr>
          <w:rFonts w:hint="default" w:hAnsi="宋体"/>
          <w:spacing w:val="-5"/>
          <w:sz w:val="21"/>
          <w:szCs w:val="24"/>
          <w:highlight w:val="none"/>
        </w:rPr>
        <w:t>总监理工程师应按合同约定以及委托人要求，负责组织合同工作的实施。在情况紧急且无法与委托人取得联系时，可采取保证工程和人员生命财产安全的紧急措施，并在采取措施</w:t>
      </w:r>
      <w:r>
        <w:rPr>
          <w:rFonts w:hint="default" w:hAnsi="宋体"/>
          <w:spacing w:val="-25"/>
          <w:sz w:val="21"/>
          <w:szCs w:val="24"/>
          <w:highlight w:val="none"/>
        </w:rPr>
        <w:t xml:space="preserve">后 </w:t>
      </w:r>
      <w:r>
        <w:rPr>
          <w:rFonts w:hint="default" w:hAnsi="宋体"/>
          <w:sz w:val="21"/>
          <w:szCs w:val="24"/>
          <w:highlight w:val="none"/>
        </w:rPr>
        <w:t>24</w:t>
      </w:r>
      <w:r>
        <w:rPr>
          <w:rFonts w:hint="default" w:hAnsi="宋体"/>
          <w:spacing w:val="-3"/>
          <w:sz w:val="21"/>
          <w:szCs w:val="24"/>
          <w:highlight w:val="none"/>
        </w:rPr>
        <w:t>小时内向委托人提交书面报告。</w:t>
      </w:r>
    </w:p>
    <w:p w14:paraId="1CC97D7C">
      <w:pPr>
        <w:pStyle w:val="142"/>
        <w:numPr>
          <w:ilvl w:val="2"/>
          <w:numId w:val="0"/>
        </w:numPr>
        <w:tabs>
          <w:tab w:val="left" w:pos="1049"/>
        </w:tabs>
        <w:overflowPunct w:val="0"/>
        <w:spacing w:line="360" w:lineRule="auto"/>
        <w:ind w:left="0" w:firstLine="388" w:firstLineChars="200"/>
        <w:jc w:val="both"/>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4.4.3</w:t>
      </w:r>
      <w:r>
        <w:rPr>
          <w:rFonts w:hint="default" w:hAnsi="宋体"/>
          <w:sz w:val="21"/>
          <w:szCs w:val="24"/>
          <w:highlight w:val="none"/>
        </w:rPr>
        <w:t>监理人为履行合同发出的一切函件均应盖有监理人单位章或由监理人授权的项目机</w:t>
      </w:r>
      <w:r>
        <w:rPr>
          <w:rFonts w:hint="default" w:hAnsi="宋体"/>
          <w:spacing w:val="-3"/>
          <w:sz w:val="21"/>
          <w:szCs w:val="24"/>
          <w:highlight w:val="none"/>
        </w:rPr>
        <w:t>构章，并由监理人的总监理工程师签字确认。</w:t>
      </w:r>
    </w:p>
    <w:p w14:paraId="19F00E34">
      <w:pPr>
        <w:pStyle w:val="142"/>
        <w:numPr>
          <w:ilvl w:val="2"/>
          <w:numId w:val="0"/>
        </w:numPr>
        <w:tabs>
          <w:tab w:val="left" w:pos="1046"/>
        </w:tabs>
        <w:overflowPunct w:val="0"/>
        <w:spacing w:line="360" w:lineRule="auto"/>
        <w:ind w:left="0" w:firstLine="388" w:firstLineChars="200"/>
        <w:jc w:val="both"/>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4.4.4</w:t>
      </w:r>
      <w:r>
        <w:rPr>
          <w:rFonts w:hint="default" w:hAnsi="宋体"/>
          <w:spacing w:val="-8"/>
          <w:sz w:val="21"/>
          <w:szCs w:val="24"/>
          <w:highlight w:val="none"/>
        </w:rPr>
        <w:t>按照专用合同条款约定，总监理工程师可以授权其下属人员履行其某项职责，但事先</w:t>
      </w:r>
      <w:r>
        <w:rPr>
          <w:rFonts w:hint="default" w:hAnsi="宋体"/>
          <w:spacing w:val="-5"/>
          <w:sz w:val="21"/>
          <w:szCs w:val="24"/>
          <w:highlight w:val="none"/>
        </w:rPr>
        <w:t>应将这些人员的姓名和授权范围书面通知委托人和承包人。</w:t>
      </w:r>
    </w:p>
    <w:p w14:paraId="1A3F03F5">
      <w:pPr>
        <w:numPr>
          <w:ilvl w:val="1"/>
          <w:numId w:val="0"/>
        </w:numPr>
        <w:overflowPunct w:val="0"/>
        <w:ind w:left="0"/>
        <w:jc w:val="left"/>
        <w:outlineLvl w:val="1"/>
        <w:rPr>
          <w:rFonts w:hint="default" w:hAnsi="宋体"/>
          <w:b/>
          <w:sz w:val="24"/>
          <w:szCs w:val="24"/>
          <w:highlight w:val="none"/>
        </w:rPr>
      </w:pPr>
      <w:bookmarkStart w:id="259" w:name="bookmark124"/>
      <w:bookmarkEnd w:id="259"/>
      <w:bookmarkStart w:id="260" w:name="_Toc146500048"/>
      <w:r>
        <w:rPr>
          <w:rFonts w:hint="default" w:ascii="Times New Roman" w:hAnsi="Times New Roman" w:eastAsia="Times New Roman" w:cs="Times New Roman"/>
          <w:b/>
          <w:kern w:val="0"/>
          <w:sz w:val="28"/>
          <w:szCs w:val="24"/>
          <w:highlight w:val="none"/>
          <w:u w:val="none" w:color="auto"/>
          <w:lang w:val="en-US" w:eastAsia="zh-CN" w:bidi="ar-SA"/>
        </w:rPr>
        <w:t>4.5</w:t>
      </w:r>
      <w:r>
        <w:rPr>
          <w:rFonts w:hint="default" w:hAnsi="宋体"/>
          <w:b/>
          <w:sz w:val="24"/>
          <w:szCs w:val="24"/>
          <w:highlight w:val="none"/>
        </w:rPr>
        <w:t>监理人员的管理</w:t>
      </w:r>
      <w:bookmarkEnd w:id="260"/>
    </w:p>
    <w:p w14:paraId="163F05A8">
      <w:pPr>
        <w:pStyle w:val="142"/>
        <w:numPr>
          <w:ilvl w:val="2"/>
          <w:numId w:val="0"/>
        </w:numPr>
        <w:tabs>
          <w:tab w:val="left" w:pos="1046"/>
        </w:tabs>
        <w:overflowPunct w:val="0"/>
        <w:spacing w:line="360" w:lineRule="auto"/>
        <w:ind w:left="0" w:firstLine="388" w:firstLineChars="200"/>
        <w:jc w:val="both"/>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4.5.1</w:t>
      </w:r>
      <w:r>
        <w:rPr>
          <w:rFonts w:hint="default" w:hAnsi="宋体"/>
          <w:spacing w:val="-5"/>
          <w:sz w:val="21"/>
          <w:szCs w:val="24"/>
          <w:highlight w:val="none"/>
        </w:rPr>
        <w:t xml:space="preserve">监理人应在接到开始监理通知之日起 </w:t>
      </w:r>
      <w:r>
        <w:rPr>
          <w:rFonts w:hint="default" w:hAnsi="宋体"/>
          <w:sz w:val="21"/>
          <w:szCs w:val="24"/>
          <w:highlight w:val="none"/>
        </w:rPr>
        <w:t>7</w:t>
      </w:r>
      <w:r>
        <w:rPr>
          <w:rFonts w:hint="default" w:hAnsi="宋体"/>
          <w:spacing w:val="-11"/>
          <w:sz w:val="21"/>
          <w:szCs w:val="24"/>
          <w:highlight w:val="none"/>
        </w:rPr>
        <w:t>天内，向委托人提交监理项目机构以及人员安</w:t>
      </w:r>
      <w:r>
        <w:rPr>
          <w:rFonts w:hint="default" w:hAnsi="宋体"/>
          <w:spacing w:val="-9"/>
          <w:sz w:val="21"/>
          <w:szCs w:val="24"/>
          <w:highlight w:val="none"/>
        </w:rPr>
        <w:t>排的报告，其内容应包括项目机构设置、主要监理人员和作业人员的名单及资格条件。主要监</w:t>
      </w:r>
      <w:r>
        <w:rPr>
          <w:rFonts w:hint="default" w:hAnsi="宋体"/>
          <w:spacing w:val="-8"/>
          <w:sz w:val="21"/>
          <w:szCs w:val="24"/>
          <w:highlight w:val="none"/>
        </w:rPr>
        <w:t>理人员应相对稳定，更换主要监理人员的，应取得委托人的同意</w:t>
      </w:r>
      <w:r>
        <w:rPr>
          <w:rFonts w:hint="default" w:hAnsi="宋体"/>
          <w:spacing w:val="-3"/>
          <w:sz w:val="21"/>
          <w:szCs w:val="24"/>
          <w:highlight w:val="none"/>
        </w:rPr>
        <w:t>,并向委托人提交继任人员的资</w:t>
      </w:r>
      <w:r>
        <w:rPr>
          <w:rFonts w:hint="default" w:hAnsi="宋体"/>
          <w:spacing w:val="-5"/>
          <w:sz w:val="21"/>
          <w:szCs w:val="24"/>
          <w:highlight w:val="none"/>
        </w:rPr>
        <w:t xml:space="preserve">格、管理经验等资料。总监理工程师的更换，应按照本章第 </w:t>
      </w:r>
      <w:r>
        <w:rPr>
          <w:rFonts w:hint="default" w:hAnsi="宋体"/>
          <w:sz w:val="21"/>
          <w:szCs w:val="24"/>
          <w:highlight w:val="none"/>
        </w:rPr>
        <w:t>4.4.1</w:t>
      </w:r>
      <w:r>
        <w:rPr>
          <w:rFonts w:hint="default" w:hAnsi="宋体"/>
          <w:spacing w:val="-3"/>
          <w:sz w:val="21"/>
          <w:szCs w:val="24"/>
          <w:highlight w:val="none"/>
        </w:rPr>
        <w:t>项规定执行。</w:t>
      </w:r>
    </w:p>
    <w:p w14:paraId="7311A6A0">
      <w:pPr>
        <w:pStyle w:val="142"/>
        <w:numPr>
          <w:ilvl w:val="2"/>
          <w:numId w:val="0"/>
        </w:numPr>
        <w:tabs>
          <w:tab w:val="left" w:pos="1049"/>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4.5.2</w:t>
      </w:r>
      <w:r>
        <w:rPr>
          <w:rFonts w:hint="default" w:hAnsi="宋体"/>
          <w:spacing w:val="-3"/>
          <w:sz w:val="21"/>
          <w:szCs w:val="24"/>
          <w:highlight w:val="none"/>
        </w:rPr>
        <w:t>除专用合同条款另有约定外，主要监理人员包括总监理工程师、专业监理工程师等； 其他人员包括各专业的监理员、资料员等。</w:t>
      </w:r>
    </w:p>
    <w:p w14:paraId="04746EEB">
      <w:pPr>
        <w:pStyle w:val="142"/>
        <w:numPr>
          <w:ilvl w:val="2"/>
          <w:numId w:val="0"/>
        </w:numPr>
        <w:tabs>
          <w:tab w:val="left" w:pos="994"/>
        </w:tabs>
        <w:overflowPunct w:val="0"/>
        <w:spacing w:line="360" w:lineRule="auto"/>
        <w:ind w:left="0" w:firstLine="388" w:firstLineChars="200"/>
        <w:jc w:val="both"/>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4.5.3</w:t>
      </w:r>
      <w:r>
        <w:rPr>
          <w:rFonts w:hint="default" w:hAnsi="宋体"/>
          <w:spacing w:val="-4"/>
          <w:sz w:val="21"/>
          <w:szCs w:val="24"/>
          <w:highlight w:val="none"/>
        </w:rPr>
        <w:t>监理人应保证其主要监理人员在合同期限内的任何时候，都能按时参加委托人组织的</w:t>
      </w:r>
      <w:r>
        <w:rPr>
          <w:rFonts w:hint="default" w:hAnsi="宋体"/>
          <w:spacing w:val="-3"/>
          <w:sz w:val="21"/>
          <w:szCs w:val="24"/>
          <w:highlight w:val="none"/>
        </w:rPr>
        <w:t>工作会议。</w:t>
      </w:r>
    </w:p>
    <w:p w14:paraId="66B0FDD8">
      <w:pPr>
        <w:pStyle w:val="142"/>
        <w:numPr>
          <w:ilvl w:val="2"/>
          <w:numId w:val="0"/>
        </w:numPr>
        <w:tabs>
          <w:tab w:val="left" w:pos="1049"/>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4.5.4</w:t>
      </w:r>
      <w:r>
        <w:rPr>
          <w:rFonts w:hint="default" w:hAnsi="宋体"/>
          <w:spacing w:val="-3"/>
          <w:sz w:val="21"/>
          <w:szCs w:val="24"/>
          <w:highlight w:val="none"/>
        </w:rPr>
        <w:t>国家规定应当持证上岗的工作人员均应持有相应的资格证明，委托人有权随时检查。委托人认为有必要时，可以进行现场考核。</w:t>
      </w:r>
    </w:p>
    <w:p w14:paraId="7972481C">
      <w:pPr>
        <w:numPr>
          <w:ilvl w:val="1"/>
          <w:numId w:val="0"/>
        </w:numPr>
        <w:overflowPunct w:val="0"/>
        <w:ind w:left="0"/>
        <w:jc w:val="left"/>
        <w:outlineLvl w:val="1"/>
        <w:rPr>
          <w:rFonts w:hint="default" w:hAnsi="宋体"/>
          <w:b/>
          <w:sz w:val="24"/>
          <w:szCs w:val="24"/>
          <w:highlight w:val="none"/>
        </w:rPr>
      </w:pPr>
      <w:bookmarkStart w:id="261" w:name="bookmark125"/>
      <w:bookmarkEnd w:id="261"/>
      <w:bookmarkStart w:id="262" w:name="_Toc146500049"/>
      <w:r>
        <w:rPr>
          <w:rFonts w:hint="default" w:ascii="Times New Roman" w:hAnsi="Times New Roman" w:eastAsia="Times New Roman" w:cs="Times New Roman"/>
          <w:b/>
          <w:kern w:val="0"/>
          <w:sz w:val="28"/>
          <w:szCs w:val="24"/>
          <w:highlight w:val="none"/>
          <w:u w:val="none" w:color="auto"/>
          <w:lang w:val="en-US" w:eastAsia="zh-CN" w:bidi="ar-SA"/>
        </w:rPr>
        <w:t>4.6</w:t>
      </w:r>
      <w:r>
        <w:rPr>
          <w:rFonts w:hint="default" w:hAnsi="宋体"/>
          <w:b/>
          <w:sz w:val="24"/>
          <w:szCs w:val="24"/>
          <w:highlight w:val="none"/>
        </w:rPr>
        <w:t>撤换总监理工程师和其他人员</w:t>
      </w:r>
      <w:bookmarkEnd w:id="262"/>
    </w:p>
    <w:p w14:paraId="1F01C3D5">
      <w:pPr>
        <w:pStyle w:val="23"/>
        <w:overflowPunct w:val="0"/>
        <w:spacing w:line="360" w:lineRule="auto"/>
        <w:ind w:firstLine="392" w:firstLineChars="200"/>
        <w:outlineLvl w:val="1"/>
        <w:rPr>
          <w:rFonts w:hint="default" w:hAnsi="宋体"/>
          <w:spacing w:val="-3"/>
          <w:sz w:val="21"/>
          <w:szCs w:val="24"/>
          <w:highlight w:val="none"/>
        </w:rPr>
      </w:pPr>
      <w:r>
        <w:rPr>
          <w:rFonts w:hint="default" w:hAnsi="宋体"/>
          <w:spacing w:val="-7"/>
          <w:sz w:val="21"/>
          <w:szCs w:val="24"/>
          <w:highlight w:val="none"/>
        </w:rPr>
        <w:t>监理人应对其总监理工程师和其他人员进行有效管理。委托人要求撤换不能胜任本职工作、</w:t>
      </w:r>
      <w:r>
        <w:rPr>
          <w:rFonts w:hint="default" w:hAnsi="宋体"/>
          <w:spacing w:val="-3"/>
          <w:sz w:val="21"/>
          <w:szCs w:val="24"/>
          <w:highlight w:val="none"/>
        </w:rPr>
        <w:t>行为不端或玩忽职守的总监理工程师和其他人员的，监理人应予以撤换。</w:t>
      </w:r>
    </w:p>
    <w:p w14:paraId="70F8191C">
      <w:pPr>
        <w:numPr>
          <w:ilvl w:val="1"/>
          <w:numId w:val="0"/>
        </w:numPr>
        <w:overflowPunct w:val="0"/>
        <w:ind w:left="0"/>
        <w:jc w:val="left"/>
        <w:outlineLvl w:val="1"/>
        <w:rPr>
          <w:rFonts w:hint="default" w:hAnsi="宋体"/>
          <w:b/>
          <w:sz w:val="24"/>
          <w:szCs w:val="24"/>
          <w:highlight w:val="none"/>
        </w:rPr>
      </w:pPr>
      <w:bookmarkStart w:id="263" w:name="bookmark126"/>
      <w:bookmarkEnd w:id="263"/>
      <w:bookmarkStart w:id="264" w:name="_Toc146500050"/>
      <w:r>
        <w:rPr>
          <w:rFonts w:hint="default" w:ascii="Times New Roman" w:hAnsi="Times New Roman" w:eastAsia="Times New Roman" w:cs="Times New Roman"/>
          <w:b/>
          <w:kern w:val="0"/>
          <w:sz w:val="28"/>
          <w:szCs w:val="24"/>
          <w:highlight w:val="none"/>
          <w:u w:val="none" w:color="auto"/>
          <w:lang w:val="en-US" w:eastAsia="zh-CN" w:bidi="ar-SA"/>
        </w:rPr>
        <w:t>4.7</w:t>
      </w:r>
      <w:r>
        <w:rPr>
          <w:rFonts w:hint="default" w:hAnsi="宋体"/>
          <w:b/>
          <w:sz w:val="24"/>
          <w:szCs w:val="24"/>
          <w:highlight w:val="none"/>
        </w:rPr>
        <w:t>保障人员的合法权益</w:t>
      </w:r>
      <w:bookmarkEnd w:id="264"/>
    </w:p>
    <w:p w14:paraId="27A35920">
      <w:pPr>
        <w:pStyle w:val="142"/>
        <w:numPr>
          <w:ilvl w:val="2"/>
          <w:numId w:val="0"/>
        </w:numPr>
        <w:tabs>
          <w:tab w:val="left" w:pos="1046"/>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4.7.1</w:t>
      </w:r>
      <w:r>
        <w:rPr>
          <w:rFonts w:hint="default" w:hAnsi="宋体"/>
          <w:spacing w:val="-3"/>
          <w:sz w:val="21"/>
          <w:szCs w:val="24"/>
          <w:highlight w:val="none"/>
        </w:rPr>
        <w:t>监理人应与其雇佣的人员签订劳动合同，并按时发放工资。</w:t>
      </w:r>
    </w:p>
    <w:p w14:paraId="6F5DB047">
      <w:pPr>
        <w:pStyle w:val="142"/>
        <w:numPr>
          <w:ilvl w:val="2"/>
          <w:numId w:val="0"/>
        </w:numPr>
        <w:tabs>
          <w:tab w:val="left" w:pos="1046"/>
        </w:tabs>
        <w:overflowPunct w:val="0"/>
        <w:spacing w:line="360" w:lineRule="auto"/>
        <w:ind w:left="0" w:firstLine="388" w:firstLineChars="200"/>
        <w:jc w:val="both"/>
        <w:outlineLvl w:val="1"/>
        <w:rPr>
          <w:rFonts w:hint="default" w:hAnsi="宋体"/>
          <w:spacing w:val="-7"/>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4.7.2</w:t>
      </w:r>
      <w:r>
        <w:rPr>
          <w:rFonts w:hint="default" w:hAnsi="宋体"/>
          <w:spacing w:val="-7"/>
          <w:sz w:val="21"/>
          <w:szCs w:val="24"/>
          <w:highlight w:val="none"/>
        </w:rPr>
        <w:t>监理人应按劳动法的规定安排工作时间，保证其雇佣人员享有休息和休假的权利。因监理需要占用休假日或延长工作时间的，应不超过法律规定的限度，并按法律规定给予补休或付酬。</w:t>
      </w:r>
    </w:p>
    <w:p w14:paraId="5819FE10">
      <w:pPr>
        <w:pStyle w:val="142"/>
        <w:numPr>
          <w:ilvl w:val="2"/>
          <w:numId w:val="0"/>
        </w:numPr>
        <w:tabs>
          <w:tab w:val="left" w:pos="1046"/>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4.7.3</w:t>
      </w:r>
      <w:r>
        <w:rPr>
          <w:rFonts w:hint="default" w:hAnsi="宋体"/>
          <w:spacing w:val="-3"/>
          <w:sz w:val="21"/>
          <w:szCs w:val="24"/>
          <w:highlight w:val="none"/>
        </w:rPr>
        <w:t>监理人应按有关法律规定和合同约定，为其雇佣人员办理保险。</w:t>
      </w:r>
    </w:p>
    <w:p w14:paraId="5D1A3E77">
      <w:pPr>
        <w:numPr>
          <w:ilvl w:val="1"/>
          <w:numId w:val="0"/>
        </w:numPr>
        <w:overflowPunct w:val="0"/>
        <w:ind w:left="0"/>
        <w:jc w:val="left"/>
        <w:outlineLvl w:val="1"/>
        <w:rPr>
          <w:rFonts w:hint="default" w:hAnsi="宋体"/>
          <w:b/>
          <w:sz w:val="24"/>
          <w:szCs w:val="24"/>
          <w:highlight w:val="none"/>
        </w:rPr>
      </w:pPr>
      <w:bookmarkStart w:id="265" w:name="bookmark127"/>
      <w:bookmarkEnd w:id="265"/>
      <w:bookmarkStart w:id="266" w:name="_Toc146500051"/>
      <w:r>
        <w:rPr>
          <w:rFonts w:hint="default" w:ascii="Times New Roman" w:hAnsi="Times New Roman" w:eastAsia="Times New Roman" w:cs="Times New Roman"/>
          <w:b/>
          <w:kern w:val="0"/>
          <w:sz w:val="28"/>
          <w:szCs w:val="24"/>
          <w:highlight w:val="none"/>
          <w:u w:val="none" w:color="auto"/>
          <w:lang w:val="en-US" w:eastAsia="zh-CN" w:bidi="ar-SA"/>
        </w:rPr>
        <w:t>4.8</w:t>
      </w:r>
      <w:r>
        <w:rPr>
          <w:rFonts w:hint="default" w:hAnsi="宋体"/>
          <w:b/>
          <w:sz w:val="24"/>
          <w:szCs w:val="24"/>
          <w:highlight w:val="none"/>
        </w:rPr>
        <w:t>合同价款应专款专用</w:t>
      </w:r>
      <w:bookmarkEnd w:id="266"/>
    </w:p>
    <w:p w14:paraId="31C33AF2">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委托人按合同约定支付给监理人的各项价款，应专用于合同监理工作。</w:t>
      </w:r>
    </w:p>
    <w:p w14:paraId="6EA3F794">
      <w:pPr>
        <w:numPr>
          <w:ilvl w:val="0"/>
          <w:numId w:val="0"/>
        </w:numPr>
        <w:overflowPunct w:val="0"/>
        <w:ind w:left="0"/>
        <w:outlineLvl w:val="1"/>
        <w:rPr>
          <w:rFonts w:hint="default" w:ascii="宋体" w:hAnsi="宋体" w:eastAsia="宋体"/>
          <w:sz w:val="28"/>
          <w:szCs w:val="24"/>
          <w:highlight w:val="none"/>
        </w:rPr>
      </w:pPr>
      <w:bookmarkStart w:id="267" w:name="bookmark128"/>
      <w:bookmarkEnd w:id="267"/>
      <w:bookmarkStart w:id="268" w:name="_Toc37692883"/>
      <w:bookmarkStart w:id="269" w:name="_Toc17246"/>
      <w:bookmarkStart w:id="270" w:name="_Toc146500052"/>
      <w:bookmarkStart w:id="271" w:name="_Toc29926"/>
      <w:r>
        <w:rPr>
          <w:rFonts w:hint="default" w:ascii="Times New Roman" w:hAnsi="Times New Roman" w:eastAsia="Times New Roman" w:cs="Times New Roman"/>
          <w:b/>
          <w:bCs/>
          <w:w w:val="99"/>
          <w:kern w:val="2"/>
          <w:sz w:val="32"/>
          <w:szCs w:val="24"/>
          <w:highlight w:val="none"/>
          <w:u w:val="none" w:color="auto"/>
          <w:lang w:val="en-US" w:eastAsia="zh-CN" w:bidi="ar-SA"/>
        </w:rPr>
        <w:t>5.</w:t>
      </w:r>
      <w:r>
        <w:rPr>
          <w:rFonts w:hint="default" w:ascii="宋体" w:hAnsi="宋体" w:eastAsia="宋体"/>
          <w:sz w:val="28"/>
          <w:szCs w:val="24"/>
          <w:highlight w:val="none"/>
        </w:rPr>
        <w:t>监理要求</w:t>
      </w:r>
      <w:bookmarkEnd w:id="268"/>
      <w:bookmarkEnd w:id="269"/>
      <w:bookmarkEnd w:id="270"/>
      <w:bookmarkEnd w:id="271"/>
    </w:p>
    <w:p w14:paraId="2C649E10">
      <w:pPr>
        <w:numPr>
          <w:ilvl w:val="1"/>
          <w:numId w:val="0"/>
        </w:numPr>
        <w:overflowPunct w:val="0"/>
        <w:ind w:left="0"/>
        <w:jc w:val="left"/>
        <w:outlineLvl w:val="1"/>
        <w:rPr>
          <w:rFonts w:hint="default" w:hAnsi="宋体"/>
          <w:b/>
          <w:sz w:val="24"/>
          <w:szCs w:val="24"/>
          <w:highlight w:val="none"/>
        </w:rPr>
      </w:pPr>
      <w:bookmarkStart w:id="272" w:name="bookmark129"/>
      <w:bookmarkEnd w:id="272"/>
      <w:bookmarkStart w:id="273" w:name="_Toc146500053"/>
      <w:r>
        <w:rPr>
          <w:rFonts w:hint="default" w:ascii="Times New Roman" w:hAnsi="Times New Roman" w:eastAsia="Times New Roman" w:cs="Times New Roman"/>
          <w:b/>
          <w:kern w:val="0"/>
          <w:sz w:val="28"/>
          <w:szCs w:val="24"/>
          <w:highlight w:val="none"/>
          <w:u w:val="none" w:color="auto"/>
          <w:lang w:val="en-US" w:eastAsia="zh-CN" w:bidi="ar-SA"/>
        </w:rPr>
        <w:t>5.1</w:t>
      </w:r>
      <w:r>
        <w:rPr>
          <w:rFonts w:hint="default" w:hAnsi="宋体"/>
          <w:b/>
          <w:sz w:val="24"/>
          <w:szCs w:val="24"/>
          <w:highlight w:val="none"/>
        </w:rPr>
        <w:t>监理范围</w:t>
      </w:r>
      <w:bookmarkEnd w:id="273"/>
    </w:p>
    <w:p w14:paraId="1A98BE84">
      <w:pPr>
        <w:pStyle w:val="142"/>
        <w:numPr>
          <w:ilvl w:val="2"/>
          <w:numId w:val="0"/>
        </w:numPr>
        <w:tabs>
          <w:tab w:val="left" w:pos="1046"/>
        </w:tabs>
        <w:overflowPunct w:val="0"/>
        <w:spacing w:line="360" w:lineRule="auto"/>
        <w:ind w:left="0" w:firstLine="388" w:firstLineChars="200"/>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5.1.1</w:t>
      </w:r>
      <w:r>
        <w:rPr>
          <w:rFonts w:hint="default" w:hAnsi="宋体"/>
          <w:spacing w:val="-8"/>
          <w:sz w:val="21"/>
          <w:szCs w:val="24"/>
          <w:highlight w:val="none"/>
        </w:rPr>
        <w:t>本合同的监理范围包括工程范围、阶段范围和工作范围，具体监理范围应当根据三者</w:t>
      </w:r>
      <w:r>
        <w:rPr>
          <w:rFonts w:hint="default" w:hAnsi="宋体"/>
          <w:spacing w:val="-5"/>
          <w:sz w:val="21"/>
          <w:szCs w:val="24"/>
          <w:highlight w:val="none"/>
        </w:rPr>
        <w:t>之间的关联内容进行确定。</w:t>
      </w:r>
    </w:p>
    <w:p w14:paraId="4EF339C2">
      <w:pPr>
        <w:pStyle w:val="142"/>
        <w:numPr>
          <w:ilvl w:val="2"/>
          <w:numId w:val="0"/>
        </w:numPr>
        <w:tabs>
          <w:tab w:val="left" w:pos="1046"/>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5.1.2</w:t>
      </w:r>
      <w:r>
        <w:rPr>
          <w:rFonts w:hint="default" w:hAnsi="宋体"/>
          <w:spacing w:val="-3"/>
          <w:sz w:val="21"/>
          <w:szCs w:val="24"/>
          <w:highlight w:val="none"/>
        </w:rPr>
        <w:t>工程范围指所监理工程的建设内容，具体范围在专用合同条款中约定。</w:t>
      </w:r>
    </w:p>
    <w:p w14:paraId="024A3908">
      <w:pPr>
        <w:pStyle w:val="142"/>
        <w:numPr>
          <w:ilvl w:val="2"/>
          <w:numId w:val="0"/>
        </w:numPr>
        <w:tabs>
          <w:tab w:val="left" w:pos="1046"/>
        </w:tabs>
        <w:overflowPunct w:val="0"/>
        <w:spacing w:line="360" w:lineRule="auto"/>
        <w:ind w:left="0" w:firstLine="388" w:firstLineChars="200"/>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5.1.3</w:t>
      </w:r>
      <w:r>
        <w:rPr>
          <w:rFonts w:hint="default" w:hAnsi="宋体"/>
          <w:spacing w:val="-7"/>
          <w:sz w:val="21"/>
          <w:szCs w:val="24"/>
          <w:highlight w:val="none"/>
        </w:rPr>
        <w:t>阶段范围指工程建设程序中的勘察阶段、设计阶段、</w:t>
      </w:r>
      <w:r>
        <w:rPr>
          <w:rFonts w:hint="default" w:hAnsi="宋体"/>
          <w:b w:val="0"/>
          <w:spacing w:val="-7"/>
          <w:sz w:val="21"/>
          <w:szCs w:val="24"/>
          <w:highlight w:val="none"/>
        </w:rPr>
        <w:t>施工阶段、缺陷责任期及保修阶段</w:t>
      </w:r>
      <w:r>
        <w:rPr>
          <w:rFonts w:hint="default" w:hAnsi="宋体"/>
          <w:spacing w:val="-5"/>
          <w:sz w:val="21"/>
          <w:szCs w:val="24"/>
          <w:highlight w:val="none"/>
        </w:rPr>
        <w:t>中的一个或者多个阶段，具体范围在专用合同条款中约定。</w:t>
      </w:r>
    </w:p>
    <w:p w14:paraId="4D500DA3">
      <w:pPr>
        <w:pStyle w:val="142"/>
        <w:numPr>
          <w:ilvl w:val="2"/>
          <w:numId w:val="0"/>
        </w:numPr>
        <w:tabs>
          <w:tab w:val="left" w:pos="1046"/>
        </w:tabs>
        <w:overflowPunct w:val="0"/>
        <w:spacing w:line="360" w:lineRule="auto"/>
        <w:ind w:left="0" w:firstLine="388" w:firstLineChars="200"/>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5.1.4</w:t>
      </w:r>
      <w:r>
        <w:rPr>
          <w:rFonts w:hint="default" w:hAnsi="宋体"/>
          <w:spacing w:val="-8"/>
          <w:sz w:val="21"/>
          <w:szCs w:val="24"/>
          <w:highlight w:val="none"/>
        </w:rPr>
        <w:t>工作范围指监理工作中的质量控制、进度控制、投资控制、合同管理、信息管理、组</w:t>
      </w:r>
      <w:r>
        <w:rPr>
          <w:rFonts w:hint="default" w:hAnsi="宋体"/>
          <w:spacing w:val="-5"/>
          <w:sz w:val="21"/>
          <w:szCs w:val="24"/>
          <w:highlight w:val="none"/>
        </w:rPr>
        <w:t>织协调和安全监理、环保监理中的一项或者多项工作，具体范围在专用合同条款中约定。</w:t>
      </w:r>
    </w:p>
    <w:p w14:paraId="264496AA">
      <w:pPr>
        <w:numPr>
          <w:ilvl w:val="1"/>
          <w:numId w:val="0"/>
        </w:numPr>
        <w:overflowPunct w:val="0"/>
        <w:ind w:left="0"/>
        <w:jc w:val="left"/>
        <w:outlineLvl w:val="1"/>
        <w:rPr>
          <w:rFonts w:hint="default" w:hAnsi="宋体"/>
          <w:b/>
          <w:sz w:val="24"/>
          <w:szCs w:val="24"/>
          <w:highlight w:val="none"/>
        </w:rPr>
      </w:pPr>
      <w:bookmarkStart w:id="274" w:name="bookmark130"/>
      <w:bookmarkEnd w:id="274"/>
      <w:bookmarkStart w:id="275" w:name="_Toc146500054"/>
      <w:r>
        <w:rPr>
          <w:rFonts w:hint="default" w:ascii="Times New Roman" w:hAnsi="Times New Roman" w:eastAsia="Times New Roman" w:cs="Times New Roman"/>
          <w:b/>
          <w:kern w:val="0"/>
          <w:sz w:val="28"/>
          <w:szCs w:val="24"/>
          <w:highlight w:val="none"/>
          <w:u w:val="none" w:color="auto"/>
          <w:lang w:val="en-US" w:eastAsia="zh-CN" w:bidi="ar-SA"/>
        </w:rPr>
        <w:t>5.2</w:t>
      </w:r>
      <w:r>
        <w:rPr>
          <w:rFonts w:hint="default" w:hAnsi="宋体"/>
          <w:b/>
          <w:sz w:val="24"/>
          <w:szCs w:val="24"/>
          <w:highlight w:val="none"/>
        </w:rPr>
        <w:t>监理依据</w:t>
      </w:r>
      <w:bookmarkEnd w:id="275"/>
    </w:p>
    <w:p w14:paraId="715F1348">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除专用合同条款另有约定外，本工程的监理依据如下：</w:t>
      </w:r>
    </w:p>
    <w:p w14:paraId="4BF7E847">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（1）适用的法律、行政法规及部门规章；</w:t>
      </w:r>
    </w:p>
    <w:p w14:paraId="47F660A6">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（2）与工程有关的规范、标准、规程；</w:t>
      </w:r>
    </w:p>
    <w:p w14:paraId="37D957D2">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（3）工程勘察文件、设计文件及其他文件；</w:t>
      </w:r>
    </w:p>
    <w:p w14:paraId="0982F4E8">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（4）本工程监理的委托合同及补充合同；</w:t>
      </w:r>
    </w:p>
    <w:p w14:paraId="6F6B44B4">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（5）委托人签订的勘察、设计和施工承包合同；</w:t>
      </w:r>
    </w:p>
    <w:p w14:paraId="09CEF2F8">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（6）合同履行中与监理服务有关的来往函件；</w:t>
      </w:r>
    </w:p>
    <w:p w14:paraId="321A5C58">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（7）其他监理依据。</w:t>
      </w:r>
    </w:p>
    <w:p w14:paraId="59C1B18A">
      <w:pPr>
        <w:numPr>
          <w:ilvl w:val="1"/>
          <w:numId w:val="0"/>
        </w:numPr>
        <w:overflowPunct w:val="0"/>
        <w:ind w:left="0"/>
        <w:jc w:val="left"/>
        <w:outlineLvl w:val="1"/>
        <w:rPr>
          <w:rFonts w:hint="default" w:hAnsi="宋体"/>
          <w:b/>
          <w:sz w:val="24"/>
          <w:szCs w:val="24"/>
          <w:highlight w:val="none"/>
        </w:rPr>
      </w:pPr>
      <w:bookmarkStart w:id="276" w:name="bookmark131"/>
      <w:bookmarkEnd w:id="276"/>
      <w:bookmarkStart w:id="277" w:name="_Toc146500055"/>
      <w:r>
        <w:rPr>
          <w:rFonts w:hint="default" w:ascii="Times New Roman" w:hAnsi="Times New Roman" w:eastAsia="Times New Roman" w:cs="Times New Roman"/>
          <w:b/>
          <w:kern w:val="0"/>
          <w:sz w:val="28"/>
          <w:szCs w:val="24"/>
          <w:highlight w:val="none"/>
          <w:u w:val="none" w:color="auto"/>
          <w:lang w:val="en-US" w:eastAsia="zh-CN" w:bidi="ar-SA"/>
        </w:rPr>
        <w:t>5.3</w:t>
      </w:r>
      <w:r>
        <w:rPr>
          <w:rFonts w:hint="default" w:hAnsi="宋体"/>
          <w:b/>
          <w:sz w:val="24"/>
          <w:szCs w:val="24"/>
          <w:highlight w:val="none"/>
        </w:rPr>
        <w:t>监理内容</w:t>
      </w:r>
      <w:bookmarkEnd w:id="277"/>
    </w:p>
    <w:p w14:paraId="58F75D54">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除专用条款另有约定外，监理工作内容包括：</w:t>
      </w:r>
    </w:p>
    <w:p w14:paraId="17B0D1EC">
      <w:pPr>
        <w:pStyle w:val="23"/>
        <w:overflowPunct w:val="0"/>
        <w:spacing w:line="360" w:lineRule="auto"/>
        <w:ind w:firstLine="380" w:firstLineChars="200"/>
        <w:outlineLvl w:val="1"/>
        <w:rPr>
          <w:rFonts w:hint="default" w:hAnsi="宋体"/>
          <w:spacing w:val="-5"/>
          <w:sz w:val="21"/>
          <w:szCs w:val="24"/>
          <w:highlight w:val="none"/>
        </w:rPr>
      </w:pPr>
      <w:r>
        <w:rPr>
          <w:rFonts w:hint="default" w:hAnsi="宋体"/>
          <w:spacing w:val="-10"/>
          <w:sz w:val="21"/>
          <w:szCs w:val="24"/>
          <w:highlight w:val="none"/>
        </w:rPr>
        <w:t>（1）</w:t>
      </w:r>
      <w:r>
        <w:rPr>
          <w:rFonts w:hint="default" w:hAnsi="宋体"/>
          <w:spacing w:val="-7"/>
          <w:sz w:val="21"/>
          <w:szCs w:val="24"/>
          <w:highlight w:val="none"/>
        </w:rPr>
        <w:t xml:space="preserve">收到工程设计文件后编制监理规划，并在第一次工地会议 </w:t>
      </w:r>
      <w:r>
        <w:rPr>
          <w:rFonts w:hint="default" w:hAnsi="宋体"/>
          <w:sz w:val="21"/>
          <w:szCs w:val="24"/>
          <w:highlight w:val="none"/>
        </w:rPr>
        <w:t>7</w:t>
      </w:r>
      <w:r>
        <w:rPr>
          <w:rFonts w:hint="default" w:hAnsi="宋体"/>
          <w:spacing w:val="-7"/>
          <w:sz w:val="21"/>
          <w:szCs w:val="24"/>
          <w:highlight w:val="none"/>
        </w:rPr>
        <w:t>天前报委托人。根据有关</w:t>
      </w:r>
      <w:r>
        <w:rPr>
          <w:rFonts w:hint="default" w:hAnsi="宋体"/>
          <w:spacing w:val="-5"/>
          <w:sz w:val="21"/>
          <w:szCs w:val="24"/>
          <w:highlight w:val="none"/>
        </w:rPr>
        <w:t>规定和监理工作需要，编制监理实施细则；</w:t>
      </w:r>
    </w:p>
    <w:p w14:paraId="4FFE9353">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（2）熟悉工程设计文件，并参加由委托人主持的图纸会审和设计交底会议；</w:t>
      </w:r>
    </w:p>
    <w:p w14:paraId="3CCEC455">
      <w:pPr>
        <w:pStyle w:val="23"/>
        <w:overflowPunct w:val="0"/>
        <w:spacing w:line="360" w:lineRule="auto"/>
        <w:ind w:firstLine="368" w:firstLineChars="200"/>
        <w:outlineLvl w:val="1"/>
        <w:rPr>
          <w:rFonts w:hint="default" w:hAnsi="宋体"/>
          <w:spacing w:val="-6"/>
          <w:sz w:val="21"/>
          <w:szCs w:val="24"/>
          <w:highlight w:val="none"/>
        </w:rPr>
      </w:pPr>
      <w:r>
        <w:rPr>
          <w:rFonts w:hint="default" w:hAnsi="宋体"/>
          <w:spacing w:val="-13"/>
          <w:sz w:val="21"/>
          <w:szCs w:val="24"/>
          <w:highlight w:val="none"/>
        </w:rPr>
        <w:t>（3）</w:t>
      </w:r>
      <w:r>
        <w:rPr>
          <w:rFonts w:hint="default" w:hAnsi="宋体"/>
          <w:spacing w:val="-6"/>
          <w:sz w:val="21"/>
          <w:szCs w:val="24"/>
          <w:highlight w:val="none"/>
        </w:rPr>
        <w:t>参加由委托人主持的第一次工地会议；主持监理例会并根据工程需要主持或参加专题会议；</w:t>
      </w:r>
    </w:p>
    <w:p w14:paraId="7EBE1CDE">
      <w:pPr>
        <w:pStyle w:val="23"/>
        <w:overflowPunct w:val="0"/>
        <w:spacing w:line="360" w:lineRule="auto"/>
        <w:ind w:firstLine="380" w:firstLineChars="200"/>
        <w:outlineLvl w:val="1"/>
        <w:rPr>
          <w:rFonts w:hint="default" w:hAnsi="宋体"/>
          <w:spacing w:val="-4"/>
          <w:sz w:val="21"/>
          <w:szCs w:val="24"/>
          <w:highlight w:val="none"/>
        </w:rPr>
      </w:pPr>
      <w:r>
        <w:rPr>
          <w:rFonts w:hint="default" w:hAnsi="宋体"/>
          <w:spacing w:val="-10"/>
          <w:sz w:val="21"/>
          <w:szCs w:val="24"/>
          <w:highlight w:val="none"/>
        </w:rPr>
        <w:t>（4）</w:t>
      </w:r>
      <w:r>
        <w:rPr>
          <w:rFonts w:hint="default" w:hAnsi="宋体"/>
          <w:spacing w:val="-6"/>
          <w:sz w:val="21"/>
          <w:szCs w:val="24"/>
          <w:highlight w:val="none"/>
        </w:rPr>
        <w:t>审查施工承包人提交的施工组织设计，重点审查其中的质量安全技术措施、专项施工</w:t>
      </w:r>
      <w:r>
        <w:rPr>
          <w:rFonts w:hint="default" w:hAnsi="宋体"/>
          <w:spacing w:val="-4"/>
          <w:sz w:val="21"/>
          <w:szCs w:val="24"/>
          <w:highlight w:val="none"/>
        </w:rPr>
        <w:t>方案与工程建设强制性标准的符合性；</w:t>
      </w:r>
    </w:p>
    <w:p w14:paraId="47872E17">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（5）检查施工承包人工程质量、安全生产管理制度及组织机构和人员资格；</w:t>
      </w:r>
    </w:p>
    <w:p w14:paraId="7DDA9EA8">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（6）检查施工承包人专职安全生产管理人员的配备情况；</w:t>
      </w:r>
    </w:p>
    <w:p w14:paraId="74DB361D">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（7）审查施工承包人提交的施工进度计划，核查承包人对施工进度计划的调整；</w:t>
      </w:r>
    </w:p>
    <w:p w14:paraId="55C8DC51">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（8）检查施工承包人的试验室；</w:t>
      </w:r>
    </w:p>
    <w:p w14:paraId="2C1107AF">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（9）审核施工分包人资质条件；</w:t>
      </w:r>
    </w:p>
    <w:p w14:paraId="15FF4C80">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（10）查验施工承包人的施工测量放线成果；</w:t>
      </w:r>
    </w:p>
    <w:p w14:paraId="764028A5">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（11）审查工程开工条件，对条件具备的签发开工令；</w:t>
      </w:r>
    </w:p>
    <w:p w14:paraId="50E23AB0">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（12）审查施工承包人报送的工程材料、构配件、设备质量证明文件的有效性和符合性， 并按规定对用于工程的材料采取平行检验或见证取样方式进行抽检；</w:t>
      </w:r>
    </w:p>
    <w:p w14:paraId="31B580B6">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（13）审核施工承包人提交的工程款支付申请，签发或出具工程款支付证书，并报委托人审核、批准；</w:t>
      </w:r>
    </w:p>
    <w:p w14:paraId="3BE33AA0">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（14）在巡视、旁站和检验过程中，发现工程质量、施工安全存在事故隐患的，要求施工承包人整改并报委托人；</w:t>
      </w:r>
    </w:p>
    <w:p w14:paraId="7EB55494">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（15）经委托人同意，签发工程暂停令和复工令；</w:t>
      </w:r>
    </w:p>
    <w:p w14:paraId="287F4B4B">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（16）审查施工承包人提交的采用新材料、新工艺、新技术、新设备的论证材料及相关验收标准；</w:t>
      </w:r>
    </w:p>
    <w:p w14:paraId="3F64389F">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（17）验收隐蔽工程、分部分项工程；</w:t>
      </w:r>
    </w:p>
    <w:p w14:paraId="20D4948E">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（18）审查施工承包人提交的工程变更申请，协调处理施工进度调整、费用索赔、合同争议等事项；</w:t>
      </w:r>
    </w:p>
    <w:p w14:paraId="24F9ECF1">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（19）审查施工承包人提交的竣工验收申请，编写工程质量评估报告；</w:t>
      </w:r>
    </w:p>
    <w:p w14:paraId="218FCB4B">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（20）参加工程竣工验收，签署竣工验收意见；</w:t>
      </w:r>
    </w:p>
    <w:p w14:paraId="648F0FC5">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（21）审查施工承包人提交的竣工结算申请并报委托人；</w:t>
      </w:r>
    </w:p>
    <w:p w14:paraId="449ED018">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（22）编制、整理工程监理归档文件并报委托人。</w:t>
      </w:r>
    </w:p>
    <w:p w14:paraId="3BD92839">
      <w:pPr>
        <w:numPr>
          <w:ilvl w:val="1"/>
          <w:numId w:val="0"/>
        </w:numPr>
        <w:overflowPunct w:val="0"/>
        <w:ind w:left="0"/>
        <w:jc w:val="left"/>
        <w:outlineLvl w:val="1"/>
        <w:rPr>
          <w:rFonts w:hint="default" w:hAnsi="宋体"/>
          <w:b/>
          <w:sz w:val="24"/>
          <w:szCs w:val="24"/>
          <w:highlight w:val="none"/>
        </w:rPr>
      </w:pPr>
      <w:bookmarkStart w:id="278" w:name="bookmark132"/>
      <w:bookmarkEnd w:id="278"/>
      <w:bookmarkStart w:id="279" w:name="_Toc146500056"/>
      <w:r>
        <w:rPr>
          <w:rFonts w:hint="default" w:ascii="Times New Roman" w:hAnsi="Times New Roman" w:eastAsia="Times New Roman" w:cs="Times New Roman"/>
          <w:b/>
          <w:kern w:val="0"/>
          <w:sz w:val="28"/>
          <w:szCs w:val="24"/>
          <w:highlight w:val="none"/>
          <w:u w:val="none" w:color="auto"/>
          <w:lang w:val="en-US" w:eastAsia="zh-CN" w:bidi="ar-SA"/>
        </w:rPr>
        <w:t>5.4</w:t>
      </w:r>
      <w:r>
        <w:rPr>
          <w:rFonts w:hint="default" w:hAnsi="宋体"/>
          <w:b/>
          <w:sz w:val="24"/>
          <w:szCs w:val="24"/>
          <w:highlight w:val="none"/>
        </w:rPr>
        <w:t>监理文件要求</w:t>
      </w:r>
      <w:bookmarkEnd w:id="279"/>
    </w:p>
    <w:p w14:paraId="426B9E83">
      <w:pPr>
        <w:pStyle w:val="142"/>
        <w:numPr>
          <w:ilvl w:val="2"/>
          <w:numId w:val="0"/>
        </w:numPr>
        <w:tabs>
          <w:tab w:val="left" w:pos="1046"/>
        </w:tabs>
        <w:overflowPunct w:val="0"/>
        <w:spacing w:line="360" w:lineRule="auto"/>
        <w:ind w:left="0" w:firstLine="388" w:firstLineChars="200"/>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5.4.1</w:t>
      </w:r>
      <w:r>
        <w:rPr>
          <w:rFonts w:hint="default" w:hAnsi="宋体"/>
          <w:spacing w:val="-8"/>
          <w:sz w:val="21"/>
          <w:szCs w:val="24"/>
          <w:highlight w:val="none"/>
        </w:rPr>
        <w:t>监理文件的编制应符合法律、规范标准的强制性规定和委托人要求，相关的监理依据</w:t>
      </w:r>
      <w:r>
        <w:rPr>
          <w:rFonts w:hint="default" w:hAnsi="宋体"/>
          <w:spacing w:val="-5"/>
          <w:sz w:val="21"/>
          <w:szCs w:val="24"/>
          <w:highlight w:val="none"/>
        </w:rPr>
        <w:t>应当完整准确，文件内容和相应数据应当真实可靠。</w:t>
      </w:r>
    </w:p>
    <w:p w14:paraId="13628E98">
      <w:pPr>
        <w:pStyle w:val="142"/>
        <w:numPr>
          <w:ilvl w:val="2"/>
          <w:numId w:val="0"/>
        </w:numPr>
        <w:tabs>
          <w:tab w:val="left" w:pos="1046"/>
        </w:tabs>
        <w:overflowPunct w:val="0"/>
        <w:spacing w:line="360" w:lineRule="auto"/>
        <w:ind w:left="0" w:firstLine="388" w:firstLineChars="200"/>
        <w:outlineLvl w:val="1"/>
        <w:rPr>
          <w:rFonts w:hint="default" w:hAnsi="宋体"/>
          <w:spacing w:val="-4"/>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5.4.2</w:t>
      </w:r>
      <w:r>
        <w:rPr>
          <w:rFonts w:hint="default" w:hAnsi="宋体"/>
          <w:spacing w:val="-6"/>
          <w:sz w:val="21"/>
          <w:szCs w:val="24"/>
          <w:highlight w:val="none"/>
        </w:rPr>
        <w:t xml:space="preserve">监理文件的深度应满足本阶段相应监理工作的规定要求，满足委托人的下步工作需要， </w:t>
      </w:r>
      <w:r>
        <w:rPr>
          <w:rFonts w:hint="default" w:hAnsi="宋体"/>
          <w:spacing w:val="-4"/>
          <w:sz w:val="21"/>
          <w:szCs w:val="24"/>
          <w:highlight w:val="none"/>
        </w:rPr>
        <w:t>并应符合国家和行业现行规定。</w:t>
      </w:r>
    </w:p>
    <w:p w14:paraId="76B526E5">
      <w:pPr>
        <w:pStyle w:val="142"/>
        <w:numPr>
          <w:ilvl w:val="2"/>
          <w:numId w:val="0"/>
        </w:numPr>
        <w:tabs>
          <w:tab w:val="left" w:pos="994"/>
        </w:tabs>
        <w:overflowPunct w:val="0"/>
        <w:spacing w:line="360" w:lineRule="auto"/>
        <w:ind w:left="0" w:firstLine="388" w:firstLineChars="200"/>
        <w:outlineLvl w:val="1"/>
        <w:rPr>
          <w:rFonts w:hint="default" w:hAnsi="宋体"/>
          <w:spacing w:val="-4"/>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5.4.3</w:t>
      </w:r>
      <w:r>
        <w:rPr>
          <w:rFonts w:hint="default" w:hAnsi="宋体"/>
          <w:spacing w:val="-5"/>
          <w:sz w:val="21"/>
          <w:szCs w:val="24"/>
          <w:highlight w:val="none"/>
        </w:rPr>
        <w:t>本工程监理文件的具体类别、编制要求、编制内容、提交时间和份数等，在专用合同</w:t>
      </w:r>
      <w:r>
        <w:rPr>
          <w:rFonts w:hint="default" w:hAnsi="宋体"/>
          <w:spacing w:val="-4"/>
          <w:sz w:val="21"/>
          <w:szCs w:val="24"/>
          <w:highlight w:val="none"/>
        </w:rPr>
        <w:t>条款中约定。</w:t>
      </w:r>
    </w:p>
    <w:p w14:paraId="0504D374">
      <w:pPr>
        <w:numPr>
          <w:ilvl w:val="0"/>
          <w:numId w:val="0"/>
        </w:numPr>
        <w:overflowPunct w:val="0"/>
        <w:ind w:left="0"/>
        <w:outlineLvl w:val="1"/>
        <w:rPr>
          <w:rFonts w:hint="default" w:ascii="宋体" w:hAnsi="宋体" w:eastAsia="宋体"/>
          <w:sz w:val="28"/>
          <w:szCs w:val="24"/>
          <w:highlight w:val="none"/>
        </w:rPr>
      </w:pPr>
      <w:bookmarkStart w:id="280" w:name="bookmark133"/>
      <w:bookmarkEnd w:id="280"/>
      <w:bookmarkStart w:id="281" w:name="_Toc20021"/>
      <w:bookmarkStart w:id="282" w:name="_Toc11373"/>
      <w:bookmarkStart w:id="283" w:name="_Toc146500057"/>
      <w:bookmarkStart w:id="284" w:name="_Toc1648547092"/>
      <w:r>
        <w:rPr>
          <w:rFonts w:hint="default" w:ascii="Times New Roman" w:hAnsi="Times New Roman" w:eastAsia="Times New Roman" w:cs="Times New Roman"/>
          <w:b/>
          <w:bCs/>
          <w:w w:val="99"/>
          <w:kern w:val="2"/>
          <w:sz w:val="32"/>
          <w:szCs w:val="24"/>
          <w:highlight w:val="none"/>
          <w:u w:val="none" w:color="auto"/>
          <w:lang w:val="en-US" w:eastAsia="zh-CN" w:bidi="ar-SA"/>
        </w:rPr>
        <w:t>6.</w:t>
      </w:r>
      <w:r>
        <w:rPr>
          <w:rFonts w:hint="default" w:ascii="宋体" w:hAnsi="宋体" w:eastAsia="宋体"/>
          <w:sz w:val="28"/>
          <w:szCs w:val="24"/>
          <w:highlight w:val="none"/>
        </w:rPr>
        <w:t>开始监理和完成监理</w:t>
      </w:r>
      <w:bookmarkEnd w:id="281"/>
      <w:bookmarkEnd w:id="282"/>
      <w:bookmarkEnd w:id="283"/>
      <w:bookmarkEnd w:id="284"/>
    </w:p>
    <w:p w14:paraId="63311280">
      <w:pPr>
        <w:numPr>
          <w:ilvl w:val="1"/>
          <w:numId w:val="0"/>
        </w:numPr>
        <w:overflowPunct w:val="0"/>
        <w:ind w:left="0"/>
        <w:jc w:val="left"/>
        <w:outlineLvl w:val="1"/>
        <w:rPr>
          <w:rFonts w:hint="default" w:hAnsi="宋体"/>
          <w:b/>
          <w:sz w:val="24"/>
          <w:szCs w:val="24"/>
          <w:highlight w:val="none"/>
        </w:rPr>
      </w:pPr>
      <w:bookmarkStart w:id="285" w:name="bookmark134"/>
      <w:bookmarkEnd w:id="285"/>
      <w:bookmarkStart w:id="286" w:name="_Toc146500058"/>
      <w:r>
        <w:rPr>
          <w:rFonts w:hint="default" w:ascii="Times New Roman" w:hAnsi="Times New Roman" w:eastAsia="Times New Roman" w:cs="Times New Roman"/>
          <w:b/>
          <w:kern w:val="0"/>
          <w:sz w:val="28"/>
          <w:szCs w:val="24"/>
          <w:highlight w:val="none"/>
          <w:u w:val="none" w:color="auto"/>
          <w:lang w:val="en-US" w:eastAsia="zh-CN" w:bidi="ar-SA"/>
        </w:rPr>
        <w:t>6.1</w:t>
      </w:r>
      <w:r>
        <w:rPr>
          <w:rFonts w:hint="default" w:hAnsi="宋体"/>
          <w:b/>
          <w:sz w:val="24"/>
          <w:szCs w:val="24"/>
          <w:highlight w:val="none"/>
        </w:rPr>
        <w:t>开始监理</w:t>
      </w:r>
      <w:bookmarkEnd w:id="286"/>
    </w:p>
    <w:p w14:paraId="432C9484">
      <w:pPr>
        <w:pStyle w:val="142"/>
        <w:numPr>
          <w:ilvl w:val="2"/>
          <w:numId w:val="0"/>
        </w:numPr>
        <w:tabs>
          <w:tab w:val="left" w:pos="994"/>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6.1.1</w:t>
      </w:r>
      <w:r>
        <w:rPr>
          <w:rFonts w:hint="default" w:hAnsi="宋体"/>
          <w:spacing w:val="-7"/>
          <w:sz w:val="21"/>
          <w:szCs w:val="24"/>
          <w:highlight w:val="none"/>
        </w:rPr>
        <w:t xml:space="preserve">符合专用合同条款约定的开始监理条件的，委托人应提前 </w:t>
      </w:r>
      <w:r>
        <w:rPr>
          <w:rFonts w:hint="default" w:hAnsi="宋体"/>
          <w:sz w:val="21"/>
          <w:szCs w:val="24"/>
          <w:highlight w:val="none"/>
        </w:rPr>
        <w:t>7</w:t>
      </w:r>
      <w:r>
        <w:rPr>
          <w:rFonts w:hint="default" w:hAnsi="宋体"/>
          <w:spacing w:val="-3"/>
          <w:sz w:val="21"/>
          <w:szCs w:val="24"/>
          <w:highlight w:val="none"/>
        </w:rPr>
        <w:t>天向监理人发出开始监理通知。监理服务期限自开始监理通知中载明的开始监理日期起计算。</w:t>
      </w:r>
    </w:p>
    <w:p w14:paraId="10F67867">
      <w:pPr>
        <w:pStyle w:val="142"/>
        <w:numPr>
          <w:ilvl w:val="2"/>
          <w:numId w:val="0"/>
        </w:numPr>
        <w:tabs>
          <w:tab w:val="left" w:pos="1022"/>
        </w:tabs>
        <w:overflowPunct w:val="0"/>
        <w:spacing w:line="360" w:lineRule="auto"/>
        <w:ind w:left="0" w:firstLine="388" w:firstLineChars="200"/>
        <w:jc w:val="both"/>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6.1.2</w:t>
      </w:r>
      <w:r>
        <w:rPr>
          <w:rFonts w:hint="default" w:hAnsi="宋体"/>
          <w:spacing w:val="-4"/>
          <w:sz w:val="21"/>
          <w:szCs w:val="24"/>
          <w:highlight w:val="none"/>
        </w:rPr>
        <w:t xml:space="preserve">除专用合同条款另有约定外，因委托人原因造成合同签订之日起 </w:t>
      </w:r>
      <w:r>
        <w:rPr>
          <w:rFonts w:hint="default" w:hAnsi="宋体"/>
          <w:sz w:val="21"/>
          <w:szCs w:val="24"/>
          <w:highlight w:val="none"/>
        </w:rPr>
        <w:t>90</w:t>
      </w:r>
      <w:r>
        <w:rPr>
          <w:rFonts w:hint="default" w:hAnsi="宋体"/>
          <w:spacing w:val="-3"/>
          <w:sz w:val="21"/>
          <w:szCs w:val="24"/>
          <w:highlight w:val="none"/>
        </w:rPr>
        <w:t>天内未能发出开始监理通知的，监理人有权提出价格调整要求，或者解除合同。委托人应当承担由此增加的费用和（</w:t>
      </w:r>
      <w:r>
        <w:rPr>
          <w:rFonts w:hint="default" w:hAnsi="宋体"/>
          <w:sz w:val="21"/>
          <w:szCs w:val="24"/>
          <w:highlight w:val="none"/>
        </w:rPr>
        <w:t>或</w:t>
      </w:r>
      <w:r>
        <w:rPr>
          <w:rFonts w:hint="default" w:hAnsi="宋体"/>
          <w:spacing w:val="-3"/>
          <w:sz w:val="21"/>
          <w:szCs w:val="24"/>
          <w:highlight w:val="none"/>
        </w:rPr>
        <w:t>）周期延误。</w:t>
      </w:r>
    </w:p>
    <w:p w14:paraId="4573CF3A">
      <w:pPr>
        <w:numPr>
          <w:ilvl w:val="1"/>
          <w:numId w:val="0"/>
        </w:numPr>
        <w:overflowPunct w:val="0"/>
        <w:ind w:left="0"/>
        <w:jc w:val="left"/>
        <w:outlineLvl w:val="1"/>
        <w:rPr>
          <w:rFonts w:hint="default" w:hAnsi="宋体"/>
          <w:b/>
          <w:sz w:val="24"/>
          <w:szCs w:val="24"/>
          <w:highlight w:val="none"/>
        </w:rPr>
      </w:pPr>
      <w:bookmarkStart w:id="287" w:name="bookmark135"/>
      <w:bookmarkEnd w:id="287"/>
      <w:bookmarkStart w:id="288" w:name="_Toc146500059"/>
      <w:r>
        <w:rPr>
          <w:rFonts w:hint="default" w:ascii="Times New Roman" w:hAnsi="Times New Roman" w:eastAsia="Times New Roman" w:cs="Times New Roman"/>
          <w:b/>
          <w:kern w:val="0"/>
          <w:sz w:val="28"/>
          <w:szCs w:val="24"/>
          <w:highlight w:val="none"/>
          <w:u w:val="none" w:color="auto"/>
          <w:lang w:val="en-US" w:eastAsia="zh-CN" w:bidi="ar-SA"/>
        </w:rPr>
        <w:t>6.2</w:t>
      </w:r>
      <w:r>
        <w:rPr>
          <w:rFonts w:hint="default" w:hAnsi="宋体"/>
          <w:b/>
          <w:sz w:val="24"/>
          <w:szCs w:val="24"/>
          <w:highlight w:val="none"/>
        </w:rPr>
        <w:t>监理周期延误</w:t>
      </w:r>
      <w:bookmarkEnd w:id="288"/>
    </w:p>
    <w:p w14:paraId="59096196">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在履行合同过程中，由于下列原因造成监理服务期限延误的，委托人应当延长监理服务期限并增加监理报酬，具体方法在专用合同条款中约定。</w:t>
      </w:r>
    </w:p>
    <w:p w14:paraId="40FA9998">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（1）合同变更；</w:t>
      </w:r>
    </w:p>
    <w:p w14:paraId="68D58749">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（2）因委托人原因导致的监理工作暂停；</w:t>
      </w:r>
    </w:p>
    <w:p w14:paraId="4F0A0FF0">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（3）未按合同约定及时支付监理报酬；</w:t>
      </w:r>
    </w:p>
    <w:p w14:paraId="3B08EF8F">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（4）未及时履行合同约定的相关义务；</w:t>
      </w:r>
    </w:p>
    <w:p w14:paraId="098BC383">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（5）由于承包人延误、行政管理造成的监理服务期延误；</w:t>
      </w:r>
    </w:p>
    <w:p w14:paraId="7738C97E">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（6）造成监理服务期限延误的其他原因。</w:t>
      </w:r>
    </w:p>
    <w:p w14:paraId="40CF63B1">
      <w:pPr>
        <w:numPr>
          <w:ilvl w:val="1"/>
          <w:numId w:val="0"/>
        </w:numPr>
        <w:overflowPunct w:val="0"/>
        <w:ind w:left="0"/>
        <w:jc w:val="left"/>
        <w:outlineLvl w:val="1"/>
        <w:rPr>
          <w:rFonts w:hint="default" w:hAnsi="宋体"/>
          <w:b/>
          <w:sz w:val="24"/>
          <w:szCs w:val="24"/>
          <w:highlight w:val="none"/>
        </w:rPr>
      </w:pPr>
      <w:bookmarkStart w:id="289" w:name="bookmark136"/>
      <w:bookmarkEnd w:id="289"/>
      <w:bookmarkStart w:id="290" w:name="_Toc146500060"/>
      <w:r>
        <w:rPr>
          <w:rFonts w:hint="default" w:ascii="Times New Roman" w:hAnsi="Times New Roman" w:eastAsia="Times New Roman" w:cs="Times New Roman"/>
          <w:b/>
          <w:kern w:val="0"/>
          <w:sz w:val="28"/>
          <w:szCs w:val="24"/>
          <w:highlight w:val="none"/>
          <w:u w:val="none" w:color="auto"/>
          <w:lang w:val="en-US" w:eastAsia="zh-CN" w:bidi="ar-SA"/>
        </w:rPr>
        <w:t>6.3</w:t>
      </w:r>
      <w:r>
        <w:rPr>
          <w:rFonts w:hint="default" w:hAnsi="宋体"/>
          <w:b/>
          <w:sz w:val="24"/>
          <w:szCs w:val="24"/>
          <w:highlight w:val="none"/>
        </w:rPr>
        <w:t>完成监理</w:t>
      </w:r>
      <w:bookmarkEnd w:id="290"/>
    </w:p>
    <w:p w14:paraId="21832379">
      <w:pPr>
        <w:pStyle w:val="142"/>
        <w:numPr>
          <w:ilvl w:val="2"/>
          <w:numId w:val="0"/>
        </w:numPr>
        <w:tabs>
          <w:tab w:val="left" w:pos="1046"/>
        </w:tabs>
        <w:overflowPunct w:val="0"/>
        <w:spacing w:line="360" w:lineRule="auto"/>
        <w:ind w:left="0" w:firstLine="388" w:firstLineChars="200"/>
        <w:jc w:val="both"/>
        <w:outlineLvl w:val="1"/>
        <w:rPr>
          <w:rFonts w:hint="default" w:hAnsi="宋体"/>
          <w:spacing w:val="-7"/>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6.3.1</w:t>
      </w:r>
      <w:r>
        <w:rPr>
          <w:rFonts w:hint="default" w:hAnsi="宋体"/>
          <w:spacing w:val="-7"/>
          <w:sz w:val="21"/>
          <w:szCs w:val="24"/>
          <w:highlight w:val="none"/>
        </w:rPr>
        <w:t>监理人应当根据法律、规范标准、合同约定和委托人要求实施和完成监理，并编制和移交监理文件。</w:t>
      </w:r>
    </w:p>
    <w:p w14:paraId="157ED6CA">
      <w:pPr>
        <w:pStyle w:val="142"/>
        <w:numPr>
          <w:ilvl w:val="2"/>
          <w:numId w:val="0"/>
        </w:numPr>
        <w:tabs>
          <w:tab w:val="left" w:pos="1046"/>
        </w:tabs>
        <w:overflowPunct w:val="0"/>
        <w:spacing w:line="360" w:lineRule="auto"/>
        <w:ind w:left="0" w:firstLine="388" w:firstLineChars="200"/>
        <w:jc w:val="both"/>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6.3.2</w:t>
      </w:r>
      <w:r>
        <w:rPr>
          <w:rFonts w:hint="default" w:hAnsi="宋体"/>
          <w:spacing w:val="-7"/>
          <w:sz w:val="21"/>
          <w:szCs w:val="24"/>
          <w:highlight w:val="none"/>
        </w:rPr>
        <w:t>根据委托人要求或者基于专业能力判断，监理人认为能够提前完成监理的，可向委托人递交一份提前完成监理建议书，包括实施方案、提前时间、监理报酬变动等内容。除专用合同条款另有约定之外，委托人接受建议书的，不因提前完成监理而减少监理报酬；增加监理报</w:t>
      </w:r>
      <w:r>
        <w:rPr>
          <w:rFonts w:hint="default" w:hAnsi="宋体"/>
          <w:spacing w:val="-5"/>
          <w:sz w:val="21"/>
          <w:szCs w:val="24"/>
          <w:highlight w:val="none"/>
        </w:rPr>
        <w:t>酬的，所增费用由委托人承担。</w:t>
      </w:r>
    </w:p>
    <w:p w14:paraId="414F2F53">
      <w:pPr>
        <w:pStyle w:val="142"/>
        <w:numPr>
          <w:ilvl w:val="2"/>
          <w:numId w:val="0"/>
        </w:numPr>
        <w:tabs>
          <w:tab w:val="left" w:pos="1046"/>
        </w:tabs>
        <w:overflowPunct w:val="0"/>
        <w:spacing w:line="360" w:lineRule="auto"/>
        <w:ind w:left="0" w:firstLine="388" w:firstLineChars="200"/>
        <w:jc w:val="both"/>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6.3.3</w:t>
      </w:r>
      <w:r>
        <w:rPr>
          <w:rFonts w:hint="default" w:hAnsi="宋体"/>
          <w:spacing w:val="-7"/>
          <w:sz w:val="21"/>
          <w:szCs w:val="24"/>
          <w:highlight w:val="none"/>
        </w:rPr>
        <w:t>缺陷修复监理指缺陷责任期间，监理人对承包人修复质量缺陷进行的监理。缺陷修复</w:t>
      </w:r>
      <w:r>
        <w:rPr>
          <w:rFonts w:hint="default" w:hAnsi="宋体"/>
          <w:spacing w:val="-5"/>
          <w:sz w:val="21"/>
          <w:szCs w:val="24"/>
          <w:highlight w:val="none"/>
        </w:rPr>
        <w:t>监理的责任由监理人负责。</w:t>
      </w:r>
    </w:p>
    <w:p w14:paraId="68E766D3">
      <w:pPr>
        <w:pStyle w:val="142"/>
        <w:numPr>
          <w:ilvl w:val="2"/>
          <w:numId w:val="0"/>
        </w:numPr>
        <w:tabs>
          <w:tab w:val="left" w:pos="1046"/>
        </w:tabs>
        <w:overflowPunct w:val="0"/>
        <w:spacing w:line="360" w:lineRule="auto"/>
        <w:ind w:left="0" w:firstLine="388" w:firstLineChars="200"/>
        <w:jc w:val="both"/>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6.3.4</w:t>
      </w:r>
      <w:r>
        <w:rPr>
          <w:rFonts w:hint="default" w:hAnsi="宋体"/>
          <w:spacing w:val="-7"/>
          <w:sz w:val="21"/>
          <w:szCs w:val="24"/>
          <w:highlight w:val="none"/>
        </w:rPr>
        <w:t>委托人应当及时接收监理人提交的监理文件。如无正当理由拒收的，视为委托人已经接收监理文件。接收监理文件时，委托人应向监理人出具文件签收凭证，凭证内容包括文件名</w:t>
      </w:r>
      <w:r>
        <w:rPr>
          <w:rFonts w:hint="default" w:hAnsi="宋体"/>
          <w:spacing w:val="-5"/>
          <w:sz w:val="21"/>
          <w:szCs w:val="24"/>
          <w:highlight w:val="none"/>
        </w:rPr>
        <w:t>称、文件内容、文件形式、份数、提交和接收日期、提交人与接收人的亲笔签名等。</w:t>
      </w:r>
    </w:p>
    <w:p w14:paraId="7BC34404">
      <w:pPr>
        <w:pStyle w:val="142"/>
        <w:numPr>
          <w:ilvl w:val="2"/>
          <w:numId w:val="0"/>
        </w:numPr>
        <w:tabs>
          <w:tab w:val="left" w:pos="1046"/>
        </w:tabs>
        <w:overflowPunct w:val="0"/>
        <w:spacing w:line="360" w:lineRule="auto"/>
        <w:ind w:left="0" w:firstLine="388" w:firstLineChars="200"/>
        <w:jc w:val="both"/>
        <w:outlineLvl w:val="1"/>
        <w:rPr>
          <w:rFonts w:hint="default" w:hAnsi="宋体"/>
          <w:spacing w:val="-2"/>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6.3.5</w:t>
      </w:r>
      <w:r>
        <w:rPr>
          <w:rFonts w:hint="default" w:hAnsi="宋体"/>
          <w:spacing w:val="-7"/>
          <w:sz w:val="21"/>
          <w:szCs w:val="24"/>
          <w:highlight w:val="none"/>
        </w:rPr>
        <w:t xml:space="preserve">除专用合同条款另有约定外，监理文件包括纸质文件和电子文件两种形式，两者若有不一致时，应以纸质文件为准。纸质文件应当加盖单位章和总监理工程师的注册执业印章，具体份数、纸幅、装订格式等要求，应在专用合同条款中约定；电子文件应使用光盘和 </w:t>
      </w:r>
      <w:r>
        <w:rPr>
          <w:rFonts w:hint="default" w:hAnsi="宋体"/>
          <w:sz w:val="21"/>
          <w:szCs w:val="24"/>
          <w:highlight w:val="none"/>
        </w:rPr>
        <w:t>U</w:t>
      </w:r>
      <w:r>
        <w:rPr>
          <w:rFonts w:hint="default" w:hAnsi="宋体"/>
          <w:spacing w:val="20"/>
          <w:sz w:val="21"/>
          <w:szCs w:val="24"/>
          <w:highlight w:val="none"/>
        </w:rPr>
        <w:t xml:space="preserve"> </w:t>
      </w:r>
      <w:r>
        <w:rPr>
          <w:rFonts w:hint="default" w:hAnsi="宋体"/>
          <w:spacing w:val="-2"/>
          <w:sz w:val="21"/>
          <w:szCs w:val="24"/>
          <w:highlight w:val="none"/>
        </w:rPr>
        <w:t>盘分别贮存。</w:t>
      </w:r>
    </w:p>
    <w:p w14:paraId="4B41B17A">
      <w:pPr>
        <w:numPr>
          <w:ilvl w:val="0"/>
          <w:numId w:val="0"/>
        </w:numPr>
        <w:overflowPunct w:val="0"/>
        <w:ind w:left="0"/>
        <w:outlineLvl w:val="1"/>
        <w:rPr>
          <w:rFonts w:hint="default" w:ascii="宋体" w:hAnsi="宋体" w:eastAsia="宋体"/>
          <w:sz w:val="28"/>
          <w:szCs w:val="24"/>
          <w:highlight w:val="none"/>
        </w:rPr>
      </w:pPr>
      <w:bookmarkStart w:id="291" w:name="bookmark137"/>
      <w:bookmarkEnd w:id="291"/>
      <w:bookmarkStart w:id="292" w:name="_Toc8978"/>
      <w:bookmarkStart w:id="293" w:name="_Toc681290384"/>
      <w:bookmarkStart w:id="294" w:name="_Toc146500061"/>
      <w:bookmarkStart w:id="295" w:name="_Toc23992"/>
      <w:r>
        <w:rPr>
          <w:rFonts w:hint="default" w:ascii="Times New Roman" w:hAnsi="Times New Roman" w:eastAsia="Times New Roman" w:cs="Times New Roman"/>
          <w:b/>
          <w:bCs/>
          <w:w w:val="99"/>
          <w:kern w:val="2"/>
          <w:sz w:val="32"/>
          <w:szCs w:val="24"/>
          <w:highlight w:val="none"/>
          <w:u w:val="none" w:color="auto"/>
          <w:lang w:val="en-US" w:eastAsia="zh-CN" w:bidi="ar-SA"/>
        </w:rPr>
        <w:t>7.</w:t>
      </w:r>
      <w:r>
        <w:rPr>
          <w:rFonts w:hint="default" w:ascii="宋体" w:hAnsi="宋体" w:eastAsia="宋体"/>
          <w:sz w:val="28"/>
          <w:szCs w:val="24"/>
          <w:highlight w:val="none"/>
        </w:rPr>
        <w:t>监理责任与保险</w:t>
      </w:r>
      <w:bookmarkEnd w:id="292"/>
      <w:bookmarkEnd w:id="293"/>
      <w:bookmarkEnd w:id="294"/>
      <w:bookmarkEnd w:id="295"/>
    </w:p>
    <w:p w14:paraId="3BC0DE61">
      <w:pPr>
        <w:numPr>
          <w:ilvl w:val="1"/>
          <w:numId w:val="0"/>
        </w:numPr>
        <w:overflowPunct w:val="0"/>
        <w:ind w:left="0"/>
        <w:jc w:val="left"/>
        <w:outlineLvl w:val="1"/>
        <w:rPr>
          <w:rFonts w:hint="default" w:hAnsi="宋体"/>
          <w:b/>
          <w:sz w:val="24"/>
          <w:szCs w:val="24"/>
          <w:highlight w:val="none"/>
        </w:rPr>
      </w:pPr>
      <w:bookmarkStart w:id="296" w:name="bookmark138"/>
      <w:bookmarkEnd w:id="296"/>
      <w:bookmarkStart w:id="297" w:name="_Toc146500062"/>
      <w:r>
        <w:rPr>
          <w:rFonts w:hint="default" w:ascii="Times New Roman" w:hAnsi="Times New Roman" w:eastAsia="Times New Roman" w:cs="Times New Roman"/>
          <w:b/>
          <w:kern w:val="0"/>
          <w:sz w:val="28"/>
          <w:szCs w:val="24"/>
          <w:highlight w:val="none"/>
          <w:u w:val="none" w:color="auto"/>
          <w:lang w:val="en-US" w:eastAsia="zh-CN" w:bidi="ar-SA"/>
        </w:rPr>
        <w:t>7.1</w:t>
      </w:r>
      <w:r>
        <w:rPr>
          <w:rFonts w:hint="default" w:hAnsi="宋体"/>
          <w:b/>
          <w:sz w:val="24"/>
          <w:szCs w:val="24"/>
          <w:highlight w:val="none"/>
        </w:rPr>
        <w:t>监理责任主体</w:t>
      </w:r>
      <w:bookmarkEnd w:id="297"/>
    </w:p>
    <w:p w14:paraId="067AE5AD">
      <w:pPr>
        <w:pStyle w:val="142"/>
        <w:numPr>
          <w:ilvl w:val="2"/>
          <w:numId w:val="0"/>
        </w:numPr>
        <w:tabs>
          <w:tab w:val="left" w:pos="1046"/>
        </w:tabs>
        <w:overflowPunct w:val="0"/>
        <w:spacing w:line="360" w:lineRule="auto"/>
        <w:ind w:left="0" w:firstLine="388" w:firstLineChars="200"/>
        <w:jc w:val="both"/>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7.1.1</w:t>
      </w:r>
      <w:r>
        <w:rPr>
          <w:rFonts w:hint="default" w:hAnsi="宋体"/>
          <w:spacing w:val="-8"/>
          <w:sz w:val="21"/>
          <w:szCs w:val="24"/>
          <w:highlight w:val="none"/>
        </w:rPr>
        <w:t>监理人应运用一切合理的专业技术、知识技能和项目经验，按照职业道德准则和行业</w:t>
      </w:r>
      <w:r>
        <w:rPr>
          <w:rFonts w:hint="default" w:hAnsi="宋体"/>
          <w:spacing w:val="-5"/>
          <w:sz w:val="21"/>
          <w:szCs w:val="24"/>
          <w:highlight w:val="none"/>
        </w:rPr>
        <w:t>公认标准尽其全部职责，勤勉、谨慎、公正地履行其在本合同项下的责任和义务。</w:t>
      </w:r>
    </w:p>
    <w:p w14:paraId="6734FC98">
      <w:pPr>
        <w:pStyle w:val="142"/>
        <w:numPr>
          <w:ilvl w:val="2"/>
          <w:numId w:val="0"/>
        </w:numPr>
        <w:tabs>
          <w:tab w:val="left" w:pos="1046"/>
        </w:tabs>
        <w:overflowPunct w:val="0"/>
        <w:spacing w:line="360" w:lineRule="auto"/>
        <w:ind w:left="0" w:firstLine="388" w:firstLineChars="200"/>
        <w:jc w:val="both"/>
        <w:outlineLvl w:val="1"/>
        <w:rPr>
          <w:rFonts w:hint="default" w:hAnsi="宋体"/>
          <w:spacing w:val="-4"/>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7.1.2</w:t>
      </w:r>
      <w:r>
        <w:rPr>
          <w:rFonts w:hint="default" w:hAnsi="宋体"/>
          <w:spacing w:val="-5"/>
          <w:sz w:val="21"/>
          <w:szCs w:val="24"/>
          <w:highlight w:val="none"/>
        </w:rPr>
        <w:t>监理责任为监理单位项目负责人终身责任制。</w:t>
      </w:r>
      <w:r>
        <w:rPr>
          <w:rFonts w:hint="default" w:hAnsi="宋体"/>
          <w:spacing w:val="-6"/>
          <w:sz w:val="21"/>
          <w:szCs w:val="24"/>
          <w:highlight w:val="none"/>
        </w:rPr>
        <w:t>总监理工程师应当按照法律法规、有关</w:t>
      </w:r>
      <w:r>
        <w:rPr>
          <w:rFonts w:hint="default" w:hAnsi="宋体"/>
          <w:spacing w:val="-4"/>
          <w:sz w:val="21"/>
          <w:szCs w:val="24"/>
          <w:highlight w:val="none"/>
        </w:rPr>
        <w:t>技术标准、设计文件和工程承包合同进行监理，对施工质量承担监理责任。</w:t>
      </w:r>
    </w:p>
    <w:p w14:paraId="74806FFB">
      <w:pPr>
        <w:pStyle w:val="142"/>
        <w:numPr>
          <w:ilvl w:val="2"/>
          <w:numId w:val="0"/>
        </w:numPr>
        <w:tabs>
          <w:tab w:val="left" w:pos="1046"/>
        </w:tabs>
        <w:overflowPunct w:val="0"/>
        <w:spacing w:line="360" w:lineRule="auto"/>
        <w:ind w:left="0" w:firstLine="388" w:firstLineChars="200"/>
        <w:jc w:val="both"/>
        <w:outlineLvl w:val="1"/>
        <w:rPr>
          <w:rFonts w:hint="default" w:hAnsi="宋体"/>
          <w:spacing w:val="-4"/>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7.1.3</w:t>
      </w:r>
      <w:r>
        <w:rPr>
          <w:rFonts w:hint="default" w:hAnsi="宋体"/>
          <w:spacing w:val="-6"/>
          <w:sz w:val="21"/>
          <w:szCs w:val="24"/>
          <w:highlight w:val="none"/>
        </w:rPr>
        <w:t>总监理工程师应当在办理工程质量监督手续前签署工程质量终身责任承诺书，连同法</w:t>
      </w:r>
      <w:r>
        <w:rPr>
          <w:rFonts w:hint="default" w:hAnsi="宋体"/>
          <w:spacing w:val="-4"/>
          <w:sz w:val="21"/>
          <w:szCs w:val="24"/>
          <w:highlight w:val="none"/>
        </w:rPr>
        <w:t>定代表人出具的授权书，报工程质量监督机构备案。</w:t>
      </w:r>
    </w:p>
    <w:p w14:paraId="228E0DC7">
      <w:pPr>
        <w:numPr>
          <w:ilvl w:val="1"/>
          <w:numId w:val="0"/>
        </w:numPr>
        <w:overflowPunct w:val="0"/>
        <w:ind w:left="0"/>
        <w:jc w:val="left"/>
        <w:outlineLvl w:val="1"/>
        <w:rPr>
          <w:rFonts w:hint="default" w:hAnsi="宋体"/>
          <w:b/>
          <w:sz w:val="24"/>
          <w:szCs w:val="24"/>
          <w:highlight w:val="none"/>
        </w:rPr>
      </w:pPr>
      <w:bookmarkStart w:id="298" w:name="bookmark139"/>
      <w:bookmarkEnd w:id="298"/>
      <w:bookmarkStart w:id="299" w:name="_Toc146500063"/>
      <w:r>
        <w:rPr>
          <w:rFonts w:hint="default" w:ascii="Times New Roman" w:hAnsi="Times New Roman" w:eastAsia="Times New Roman" w:cs="Times New Roman"/>
          <w:b/>
          <w:kern w:val="0"/>
          <w:sz w:val="28"/>
          <w:szCs w:val="24"/>
          <w:highlight w:val="none"/>
          <w:u w:val="none" w:color="auto"/>
          <w:lang w:val="en-US" w:eastAsia="zh-CN" w:bidi="ar-SA"/>
        </w:rPr>
        <w:t>7.2</w:t>
      </w:r>
      <w:r>
        <w:rPr>
          <w:rFonts w:hint="default" w:hAnsi="宋体"/>
          <w:b/>
          <w:sz w:val="24"/>
          <w:szCs w:val="24"/>
          <w:highlight w:val="none"/>
        </w:rPr>
        <w:t>监理责任保险</w:t>
      </w:r>
      <w:bookmarkEnd w:id="299"/>
    </w:p>
    <w:p w14:paraId="3A462997">
      <w:pPr>
        <w:pStyle w:val="23"/>
        <w:overflowPunct w:val="0"/>
        <w:spacing w:line="360" w:lineRule="auto"/>
        <w:ind w:firstLine="420" w:firstLineChars="200"/>
        <w:jc w:val="both"/>
        <w:outlineLvl w:val="1"/>
        <w:rPr>
          <w:rFonts w:hint="default" w:hAnsi="宋体"/>
          <w:sz w:val="21"/>
          <w:szCs w:val="24"/>
          <w:highlight w:val="none"/>
        </w:rPr>
      </w:pPr>
      <w:r>
        <w:rPr>
          <w:rFonts w:hint="default" w:hAnsi="宋体"/>
          <w:sz w:val="21"/>
          <w:szCs w:val="24"/>
          <w:highlight w:val="none"/>
        </w:rPr>
        <w:t>除专用合同条款另有约定外，建议监理人根据工程情况对监理责任进行保险，并在合同履行期间保持足额、有效。</w:t>
      </w:r>
    </w:p>
    <w:p w14:paraId="2188A2AC">
      <w:pPr>
        <w:numPr>
          <w:ilvl w:val="0"/>
          <w:numId w:val="0"/>
        </w:numPr>
        <w:overflowPunct w:val="0"/>
        <w:ind w:left="0"/>
        <w:outlineLvl w:val="1"/>
        <w:rPr>
          <w:rFonts w:hint="default" w:ascii="宋体" w:hAnsi="宋体" w:eastAsia="宋体"/>
          <w:sz w:val="28"/>
          <w:szCs w:val="24"/>
          <w:highlight w:val="none"/>
        </w:rPr>
      </w:pPr>
      <w:bookmarkStart w:id="300" w:name="bookmark140"/>
      <w:bookmarkEnd w:id="300"/>
      <w:bookmarkStart w:id="301" w:name="_Toc22309"/>
      <w:bookmarkStart w:id="302" w:name="_Toc4164"/>
      <w:bookmarkStart w:id="303" w:name="_Toc146500064"/>
      <w:bookmarkStart w:id="304" w:name="_Toc661105074"/>
      <w:r>
        <w:rPr>
          <w:rFonts w:hint="default" w:ascii="Times New Roman" w:hAnsi="Times New Roman" w:eastAsia="Times New Roman" w:cs="Times New Roman"/>
          <w:b/>
          <w:bCs/>
          <w:w w:val="99"/>
          <w:kern w:val="2"/>
          <w:sz w:val="32"/>
          <w:szCs w:val="24"/>
          <w:highlight w:val="none"/>
          <w:u w:val="none" w:color="auto"/>
          <w:lang w:val="en-US" w:eastAsia="zh-CN" w:bidi="ar-SA"/>
        </w:rPr>
        <w:t>8.</w:t>
      </w:r>
      <w:r>
        <w:rPr>
          <w:rFonts w:hint="default" w:ascii="宋体" w:hAnsi="宋体" w:eastAsia="宋体"/>
          <w:sz w:val="28"/>
          <w:szCs w:val="24"/>
          <w:highlight w:val="none"/>
        </w:rPr>
        <w:t>合同变更</w:t>
      </w:r>
      <w:bookmarkEnd w:id="301"/>
      <w:bookmarkEnd w:id="302"/>
      <w:bookmarkEnd w:id="303"/>
      <w:bookmarkEnd w:id="304"/>
    </w:p>
    <w:p w14:paraId="4EFE974F">
      <w:pPr>
        <w:numPr>
          <w:ilvl w:val="1"/>
          <w:numId w:val="0"/>
        </w:numPr>
        <w:overflowPunct w:val="0"/>
        <w:ind w:left="0"/>
        <w:jc w:val="left"/>
        <w:outlineLvl w:val="1"/>
        <w:rPr>
          <w:rFonts w:hint="default" w:hAnsi="宋体"/>
          <w:b/>
          <w:sz w:val="24"/>
          <w:szCs w:val="24"/>
          <w:highlight w:val="none"/>
        </w:rPr>
      </w:pPr>
      <w:bookmarkStart w:id="305" w:name="bookmark141"/>
      <w:bookmarkEnd w:id="305"/>
      <w:bookmarkStart w:id="306" w:name="_Toc146500065"/>
      <w:r>
        <w:rPr>
          <w:rFonts w:hint="default" w:ascii="Times New Roman" w:hAnsi="Times New Roman" w:eastAsia="Times New Roman" w:cs="Times New Roman"/>
          <w:b/>
          <w:kern w:val="0"/>
          <w:sz w:val="28"/>
          <w:szCs w:val="24"/>
          <w:highlight w:val="none"/>
          <w:u w:val="none" w:color="auto"/>
          <w:lang w:val="en-US" w:eastAsia="zh-CN" w:bidi="ar-SA"/>
        </w:rPr>
        <w:t>8.1</w:t>
      </w:r>
      <w:r>
        <w:rPr>
          <w:rFonts w:hint="default" w:hAnsi="宋体"/>
          <w:b/>
          <w:sz w:val="24"/>
          <w:szCs w:val="24"/>
          <w:highlight w:val="none"/>
        </w:rPr>
        <w:t>变更情形</w:t>
      </w:r>
      <w:bookmarkEnd w:id="306"/>
    </w:p>
    <w:p w14:paraId="1D6C0E15">
      <w:pPr>
        <w:pStyle w:val="142"/>
        <w:numPr>
          <w:ilvl w:val="2"/>
          <w:numId w:val="0"/>
        </w:numPr>
        <w:tabs>
          <w:tab w:val="left" w:pos="1046"/>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8.1.1</w:t>
      </w:r>
      <w:r>
        <w:rPr>
          <w:rFonts w:hint="default" w:hAnsi="宋体"/>
          <w:spacing w:val="-8"/>
          <w:sz w:val="21"/>
          <w:szCs w:val="24"/>
          <w:highlight w:val="none"/>
        </w:rPr>
        <w:t>合同履行中发生下述情形时，合同一方均可向对方提出变更请求，经双方协商一致后</w:t>
      </w:r>
      <w:r>
        <w:rPr>
          <w:rFonts w:hint="default" w:hAnsi="宋体"/>
          <w:spacing w:val="-3"/>
          <w:sz w:val="21"/>
          <w:szCs w:val="24"/>
          <w:highlight w:val="none"/>
        </w:rPr>
        <w:t>进行变更，监理服务期限和监理报酬的调整方法在专用合同条款中约定。</w:t>
      </w:r>
    </w:p>
    <w:p w14:paraId="346BFB43">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（1）监理范围发生变化；</w:t>
      </w:r>
    </w:p>
    <w:p w14:paraId="14B77F44">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（2）除不可抗力外，非监理人的原因引起的周期延误；</w:t>
      </w:r>
    </w:p>
    <w:p w14:paraId="2677B939">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（3）非监理人的原因，对工程同一部分重复进行监理；</w:t>
      </w:r>
    </w:p>
    <w:p w14:paraId="084364F9">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（4）非监理人的原因，对工程暂停监理及恢复监理。</w:t>
      </w:r>
    </w:p>
    <w:p w14:paraId="0EFFE215">
      <w:pPr>
        <w:pStyle w:val="142"/>
        <w:numPr>
          <w:ilvl w:val="2"/>
          <w:numId w:val="0"/>
        </w:numPr>
        <w:tabs>
          <w:tab w:val="left" w:pos="1049"/>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8.1.2</w:t>
      </w:r>
      <w:r>
        <w:rPr>
          <w:rFonts w:hint="default" w:hAnsi="宋体"/>
          <w:spacing w:val="-3"/>
          <w:sz w:val="21"/>
          <w:szCs w:val="24"/>
          <w:highlight w:val="none"/>
        </w:rPr>
        <w:t>基准日后，因颁布新的或修订原有法律、法规、规范和标准等引发合同变更情形的， 按照上述约定进行调整。</w:t>
      </w:r>
    </w:p>
    <w:p w14:paraId="50A6978F">
      <w:pPr>
        <w:numPr>
          <w:ilvl w:val="1"/>
          <w:numId w:val="0"/>
        </w:numPr>
        <w:overflowPunct w:val="0"/>
        <w:ind w:left="0"/>
        <w:jc w:val="left"/>
        <w:outlineLvl w:val="1"/>
        <w:rPr>
          <w:rFonts w:hint="default" w:hAnsi="宋体"/>
          <w:b/>
          <w:sz w:val="24"/>
          <w:szCs w:val="24"/>
          <w:highlight w:val="none"/>
        </w:rPr>
      </w:pPr>
      <w:bookmarkStart w:id="307" w:name="bookmark142"/>
      <w:bookmarkEnd w:id="307"/>
      <w:bookmarkStart w:id="308" w:name="_Toc146500066"/>
      <w:r>
        <w:rPr>
          <w:rFonts w:hint="default" w:ascii="Times New Roman" w:hAnsi="Times New Roman" w:eastAsia="Times New Roman" w:cs="Times New Roman"/>
          <w:b/>
          <w:kern w:val="0"/>
          <w:sz w:val="28"/>
          <w:szCs w:val="24"/>
          <w:highlight w:val="none"/>
          <w:u w:val="none" w:color="auto"/>
          <w:lang w:val="en-US" w:eastAsia="zh-CN" w:bidi="ar-SA"/>
        </w:rPr>
        <w:t>8.2</w:t>
      </w:r>
      <w:r>
        <w:rPr>
          <w:rFonts w:hint="default" w:hAnsi="宋体"/>
          <w:b/>
          <w:sz w:val="24"/>
          <w:szCs w:val="24"/>
          <w:highlight w:val="none"/>
        </w:rPr>
        <w:t>合理化建议</w:t>
      </w:r>
      <w:bookmarkEnd w:id="308"/>
    </w:p>
    <w:p w14:paraId="0604D30F">
      <w:pPr>
        <w:pStyle w:val="142"/>
        <w:numPr>
          <w:ilvl w:val="2"/>
          <w:numId w:val="0"/>
        </w:numPr>
        <w:tabs>
          <w:tab w:val="left" w:pos="1046"/>
        </w:tabs>
        <w:overflowPunct w:val="0"/>
        <w:spacing w:line="360" w:lineRule="auto"/>
        <w:ind w:left="0" w:firstLine="388" w:firstLineChars="200"/>
        <w:outlineLvl w:val="1"/>
        <w:rPr>
          <w:rFonts w:hint="default" w:hAnsi="宋体"/>
          <w:spacing w:val="-1"/>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8.2.1</w:t>
      </w:r>
      <w:r>
        <w:rPr>
          <w:rFonts w:hint="default" w:hAnsi="宋体"/>
          <w:spacing w:val="-10"/>
          <w:sz w:val="21"/>
          <w:szCs w:val="24"/>
          <w:highlight w:val="none"/>
        </w:rPr>
        <w:t>合同履行中，监理人可对委托人要求提出合理化建议。合理化建议应以书面形式提交</w:t>
      </w:r>
      <w:r>
        <w:rPr>
          <w:rFonts w:hint="default" w:hAnsi="宋体"/>
          <w:spacing w:val="-7"/>
          <w:sz w:val="21"/>
          <w:szCs w:val="24"/>
          <w:highlight w:val="none"/>
        </w:rPr>
        <w:t xml:space="preserve">委托人，被委托人采纳并构成变更的，执行第 </w:t>
      </w:r>
      <w:r>
        <w:rPr>
          <w:rFonts w:hint="default" w:hAnsi="宋体"/>
          <w:sz w:val="21"/>
          <w:szCs w:val="24"/>
          <w:highlight w:val="none"/>
        </w:rPr>
        <w:t>8.1</w:t>
      </w:r>
      <w:r>
        <w:rPr>
          <w:rFonts w:hint="default" w:hAnsi="宋体"/>
          <w:spacing w:val="10"/>
          <w:sz w:val="21"/>
          <w:szCs w:val="24"/>
          <w:highlight w:val="none"/>
        </w:rPr>
        <w:t xml:space="preserve"> </w:t>
      </w:r>
      <w:r>
        <w:rPr>
          <w:rFonts w:hint="default" w:hAnsi="宋体"/>
          <w:spacing w:val="-1"/>
          <w:sz w:val="21"/>
          <w:szCs w:val="24"/>
          <w:highlight w:val="none"/>
        </w:rPr>
        <w:t>款约定。</w:t>
      </w:r>
    </w:p>
    <w:p w14:paraId="5F9A8B47">
      <w:pPr>
        <w:pStyle w:val="142"/>
        <w:numPr>
          <w:ilvl w:val="2"/>
          <w:numId w:val="0"/>
        </w:numPr>
        <w:tabs>
          <w:tab w:val="left" w:pos="1046"/>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8.2.2</w:t>
      </w:r>
      <w:r>
        <w:rPr>
          <w:rFonts w:hint="default" w:hAnsi="宋体"/>
          <w:spacing w:val="-7"/>
          <w:sz w:val="21"/>
          <w:szCs w:val="24"/>
          <w:highlight w:val="none"/>
        </w:rPr>
        <w:t>监理人提出的合理化建议降低了工程投资、缩短了施工期限或者提高了工程经济效益</w:t>
      </w:r>
      <w:r>
        <w:rPr>
          <w:rFonts w:hint="default" w:hAnsi="宋体"/>
          <w:spacing w:val="-3"/>
          <w:sz w:val="21"/>
          <w:szCs w:val="24"/>
          <w:highlight w:val="none"/>
        </w:rPr>
        <w:t>的，委托人应按专用合同条款中的约定给予奖励。</w:t>
      </w:r>
    </w:p>
    <w:p w14:paraId="2F4416B9">
      <w:pPr>
        <w:numPr>
          <w:ilvl w:val="0"/>
          <w:numId w:val="0"/>
        </w:numPr>
        <w:overflowPunct w:val="0"/>
        <w:ind w:left="0"/>
        <w:outlineLvl w:val="1"/>
        <w:rPr>
          <w:rFonts w:hint="default" w:ascii="宋体" w:hAnsi="宋体" w:eastAsia="宋体"/>
          <w:sz w:val="28"/>
          <w:szCs w:val="24"/>
          <w:highlight w:val="none"/>
        </w:rPr>
      </w:pPr>
      <w:bookmarkStart w:id="309" w:name="bookmark143"/>
      <w:bookmarkEnd w:id="309"/>
      <w:bookmarkStart w:id="310" w:name="_Toc24961"/>
      <w:bookmarkStart w:id="311" w:name="_Toc146500067"/>
      <w:bookmarkStart w:id="312" w:name="_Toc905547123"/>
      <w:bookmarkStart w:id="313" w:name="_Toc17441"/>
      <w:r>
        <w:rPr>
          <w:rFonts w:hint="default" w:ascii="Times New Roman" w:hAnsi="Times New Roman" w:eastAsia="Times New Roman" w:cs="Times New Roman"/>
          <w:b/>
          <w:bCs/>
          <w:w w:val="99"/>
          <w:kern w:val="2"/>
          <w:sz w:val="32"/>
          <w:szCs w:val="24"/>
          <w:highlight w:val="none"/>
          <w:u w:val="none" w:color="auto"/>
          <w:lang w:val="en-US" w:eastAsia="zh-CN" w:bidi="ar-SA"/>
        </w:rPr>
        <w:t>9.</w:t>
      </w:r>
      <w:r>
        <w:rPr>
          <w:rFonts w:hint="default" w:ascii="宋体" w:hAnsi="宋体" w:eastAsia="宋体"/>
          <w:sz w:val="28"/>
          <w:szCs w:val="24"/>
          <w:highlight w:val="none"/>
        </w:rPr>
        <w:t>合同价格与支付</w:t>
      </w:r>
      <w:bookmarkEnd w:id="310"/>
      <w:bookmarkEnd w:id="311"/>
      <w:bookmarkEnd w:id="312"/>
      <w:bookmarkEnd w:id="313"/>
    </w:p>
    <w:p w14:paraId="01942108">
      <w:pPr>
        <w:numPr>
          <w:ilvl w:val="1"/>
          <w:numId w:val="0"/>
        </w:numPr>
        <w:overflowPunct w:val="0"/>
        <w:ind w:left="0"/>
        <w:jc w:val="left"/>
        <w:outlineLvl w:val="1"/>
        <w:rPr>
          <w:rFonts w:hint="default" w:hAnsi="宋体"/>
          <w:b/>
          <w:sz w:val="24"/>
          <w:szCs w:val="24"/>
          <w:highlight w:val="none"/>
        </w:rPr>
      </w:pPr>
      <w:bookmarkStart w:id="314" w:name="bookmark144"/>
      <w:bookmarkEnd w:id="314"/>
      <w:bookmarkStart w:id="315" w:name="_Toc146500068"/>
      <w:r>
        <w:rPr>
          <w:rFonts w:hint="default" w:ascii="Times New Roman" w:hAnsi="Times New Roman" w:eastAsia="Times New Roman" w:cs="Times New Roman"/>
          <w:b/>
          <w:kern w:val="0"/>
          <w:sz w:val="28"/>
          <w:szCs w:val="24"/>
          <w:highlight w:val="none"/>
          <w:u w:val="none" w:color="auto"/>
          <w:lang w:val="en-US" w:eastAsia="zh-CN" w:bidi="ar-SA"/>
        </w:rPr>
        <w:t>9.1</w:t>
      </w:r>
      <w:r>
        <w:rPr>
          <w:rFonts w:hint="default" w:hAnsi="宋体"/>
          <w:b/>
          <w:sz w:val="24"/>
          <w:szCs w:val="24"/>
          <w:highlight w:val="none"/>
        </w:rPr>
        <w:t>合同价格</w:t>
      </w:r>
      <w:bookmarkEnd w:id="315"/>
    </w:p>
    <w:p w14:paraId="63AE2C90">
      <w:pPr>
        <w:pStyle w:val="142"/>
        <w:numPr>
          <w:ilvl w:val="2"/>
          <w:numId w:val="0"/>
        </w:numPr>
        <w:tabs>
          <w:tab w:val="left" w:pos="1046"/>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9.1.1</w:t>
      </w:r>
      <w:r>
        <w:rPr>
          <w:rFonts w:hint="default" w:hAnsi="宋体"/>
          <w:spacing w:val="-3"/>
          <w:sz w:val="21"/>
          <w:szCs w:val="24"/>
          <w:highlight w:val="none"/>
        </w:rPr>
        <w:t>本合同的价款确定方式、调整方式和风险范围划分，在专用合同条款中约定。</w:t>
      </w:r>
    </w:p>
    <w:p w14:paraId="2026080E">
      <w:pPr>
        <w:pStyle w:val="142"/>
        <w:numPr>
          <w:ilvl w:val="2"/>
          <w:numId w:val="0"/>
        </w:numPr>
        <w:tabs>
          <w:tab w:val="left" w:pos="1046"/>
        </w:tabs>
        <w:overflowPunct w:val="0"/>
        <w:spacing w:line="360" w:lineRule="auto"/>
        <w:ind w:left="0" w:firstLine="388" w:firstLineChars="200"/>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9.1.2</w:t>
      </w:r>
      <w:r>
        <w:rPr>
          <w:rFonts w:hint="default" w:hAnsi="宋体"/>
          <w:spacing w:val="-8"/>
          <w:sz w:val="21"/>
          <w:szCs w:val="24"/>
          <w:highlight w:val="none"/>
        </w:rPr>
        <w:t>除专用合同条款另有约定外，合同价格应当包括收集资料、踏勘现场、制订纲要、实</w:t>
      </w:r>
      <w:r>
        <w:rPr>
          <w:rFonts w:hint="default" w:hAnsi="宋体"/>
          <w:spacing w:val="-5"/>
          <w:sz w:val="21"/>
          <w:szCs w:val="24"/>
          <w:highlight w:val="none"/>
        </w:rPr>
        <w:t>施监理、编制监理文件等全部费用和国家规定的增值税税金。</w:t>
      </w:r>
    </w:p>
    <w:p w14:paraId="32BF8BFD">
      <w:pPr>
        <w:pStyle w:val="142"/>
        <w:numPr>
          <w:ilvl w:val="2"/>
          <w:numId w:val="0"/>
        </w:numPr>
        <w:tabs>
          <w:tab w:val="left" w:pos="1046"/>
        </w:tabs>
        <w:overflowPunct w:val="0"/>
        <w:spacing w:line="360" w:lineRule="auto"/>
        <w:ind w:left="0" w:firstLine="388" w:firstLineChars="200"/>
        <w:outlineLvl w:val="1"/>
        <w:rPr>
          <w:rFonts w:hint="default" w:hAnsi="宋体"/>
          <w:spacing w:val="-5"/>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9.1.3</w:t>
      </w:r>
      <w:r>
        <w:rPr>
          <w:rFonts w:hint="default" w:hAnsi="宋体"/>
          <w:spacing w:val="-8"/>
          <w:sz w:val="21"/>
          <w:szCs w:val="24"/>
          <w:highlight w:val="none"/>
        </w:rPr>
        <w:t>委托人要求监理人进行外出考察、试验检测、专项咨询或专家评审时，相应费用不含</w:t>
      </w:r>
      <w:r>
        <w:rPr>
          <w:rFonts w:hint="default" w:hAnsi="宋体"/>
          <w:spacing w:val="-5"/>
          <w:sz w:val="21"/>
          <w:szCs w:val="24"/>
          <w:highlight w:val="none"/>
        </w:rPr>
        <w:t>在合同价格之中，由委托人另行支付。</w:t>
      </w:r>
    </w:p>
    <w:p w14:paraId="2A0C2A7B">
      <w:pPr>
        <w:numPr>
          <w:ilvl w:val="1"/>
          <w:numId w:val="0"/>
        </w:numPr>
        <w:overflowPunct w:val="0"/>
        <w:ind w:left="0"/>
        <w:jc w:val="left"/>
        <w:outlineLvl w:val="1"/>
        <w:rPr>
          <w:rFonts w:hint="default" w:hAnsi="宋体"/>
          <w:b/>
          <w:sz w:val="24"/>
          <w:szCs w:val="24"/>
          <w:highlight w:val="none"/>
        </w:rPr>
      </w:pPr>
      <w:bookmarkStart w:id="316" w:name="bookmark145"/>
      <w:bookmarkEnd w:id="316"/>
      <w:bookmarkStart w:id="317" w:name="_Toc146500069"/>
      <w:r>
        <w:rPr>
          <w:rFonts w:hint="default" w:ascii="Times New Roman" w:hAnsi="Times New Roman" w:eastAsia="Times New Roman" w:cs="Times New Roman"/>
          <w:b/>
          <w:kern w:val="0"/>
          <w:sz w:val="28"/>
          <w:szCs w:val="24"/>
          <w:highlight w:val="none"/>
          <w:u w:val="none" w:color="auto"/>
          <w:lang w:val="en-US" w:eastAsia="zh-CN" w:bidi="ar-SA"/>
        </w:rPr>
        <w:t>9.2</w:t>
      </w:r>
      <w:r>
        <w:rPr>
          <w:rFonts w:hint="default" w:hAnsi="宋体"/>
          <w:b/>
          <w:sz w:val="24"/>
          <w:szCs w:val="24"/>
          <w:highlight w:val="none"/>
        </w:rPr>
        <w:t>预付款</w:t>
      </w:r>
      <w:bookmarkEnd w:id="317"/>
    </w:p>
    <w:p w14:paraId="5A954F38">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9.2.1</w:t>
      </w:r>
      <w:r>
        <w:rPr>
          <w:rFonts w:hint="default" w:hAnsi="宋体"/>
          <w:spacing w:val="-8"/>
          <w:sz w:val="21"/>
          <w:szCs w:val="24"/>
          <w:highlight w:val="none"/>
        </w:rPr>
        <w:t>预付款应专用于本工程的监理。预付款的额度、支付方式及抵扣方式在专用合同条款中约定。</w:t>
      </w:r>
    </w:p>
    <w:p w14:paraId="4B2C574B">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9.2.2</w:t>
      </w:r>
      <w:r>
        <w:rPr>
          <w:rFonts w:hint="default" w:hAnsi="宋体"/>
          <w:spacing w:val="-8"/>
          <w:sz w:val="21"/>
          <w:szCs w:val="24"/>
          <w:highlight w:val="none"/>
        </w:rPr>
        <w:t>委托人应在收到预付款支付申请后 28 天内，将预付款支付给监理人；监理人应当提供等额的增值税发票。</w:t>
      </w:r>
    </w:p>
    <w:p w14:paraId="1BC31E63">
      <w:pPr>
        <w:numPr>
          <w:ilvl w:val="1"/>
          <w:numId w:val="0"/>
        </w:numPr>
        <w:overflowPunct w:val="0"/>
        <w:ind w:left="0"/>
        <w:jc w:val="left"/>
        <w:outlineLvl w:val="1"/>
        <w:rPr>
          <w:rFonts w:hint="default" w:hAnsi="宋体"/>
          <w:b/>
          <w:sz w:val="24"/>
          <w:szCs w:val="24"/>
          <w:highlight w:val="none"/>
        </w:rPr>
      </w:pPr>
      <w:bookmarkStart w:id="318" w:name="bookmark146"/>
      <w:bookmarkEnd w:id="318"/>
      <w:bookmarkStart w:id="319" w:name="_Toc146500070"/>
      <w:r>
        <w:rPr>
          <w:rFonts w:hint="default" w:ascii="Times New Roman" w:hAnsi="Times New Roman" w:eastAsia="Times New Roman" w:cs="Times New Roman"/>
          <w:b/>
          <w:kern w:val="0"/>
          <w:sz w:val="28"/>
          <w:szCs w:val="24"/>
          <w:highlight w:val="none"/>
          <w:u w:val="none" w:color="auto"/>
          <w:lang w:val="en-US" w:eastAsia="zh-CN" w:bidi="ar-SA"/>
        </w:rPr>
        <w:t>9.3</w:t>
      </w:r>
      <w:r>
        <w:rPr>
          <w:rFonts w:hint="default" w:hAnsi="宋体"/>
          <w:b/>
          <w:sz w:val="24"/>
          <w:szCs w:val="24"/>
          <w:highlight w:val="none"/>
        </w:rPr>
        <w:t>中期支付</w:t>
      </w:r>
      <w:bookmarkEnd w:id="319"/>
    </w:p>
    <w:p w14:paraId="75790E9E">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9.3.1</w:t>
      </w:r>
      <w:r>
        <w:rPr>
          <w:rFonts w:hint="default" w:hAnsi="宋体"/>
          <w:spacing w:val="-8"/>
          <w:sz w:val="21"/>
          <w:szCs w:val="24"/>
          <w:highlight w:val="none"/>
        </w:rPr>
        <w:t>监理人应按委托人批准或专用合同条款约定的格式及份数，向委托人提交中期支付申请，并附相应的支持性证明文件。</w:t>
      </w:r>
    </w:p>
    <w:p w14:paraId="75515998">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9.3.2</w:t>
      </w:r>
      <w:r>
        <w:rPr>
          <w:rFonts w:hint="default" w:hAnsi="宋体"/>
          <w:spacing w:val="-8"/>
          <w:sz w:val="21"/>
          <w:szCs w:val="24"/>
          <w:highlight w:val="none"/>
        </w:rPr>
        <w:t>委托人应在收到中期支付申请后的 28 天内，将应付款项支付给监理人；监理人应当提供等额的增值税发票。委托人未能在前述时间内完成审批或不予答复的，视为委托人同意中期支付申请。委托人不按期支付的，按专用合同条款的约定支付逾期付款违约金。</w:t>
      </w:r>
    </w:p>
    <w:p w14:paraId="29A83B05">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9.3.3</w:t>
      </w:r>
      <w:r>
        <w:rPr>
          <w:rFonts w:hint="default" w:hAnsi="宋体"/>
          <w:spacing w:val="-8"/>
          <w:sz w:val="21"/>
          <w:szCs w:val="24"/>
          <w:highlight w:val="none"/>
        </w:rPr>
        <w:t>中期支付涉及政府投资资金的，按照国库集中支付等国家相关规定和专用合同条款的约定执行。</w:t>
      </w:r>
    </w:p>
    <w:p w14:paraId="042C4530">
      <w:pPr>
        <w:numPr>
          <w:ilvl w:val="1"/>
          <w:numId w:val="0"/>
        </w:numPr>
        <w:overflowPunct w:val="0"/>
        <w:ind w:left="0"/>
        <w:jc w:val="left"/>
        <w:outlineLvl w:val="1"/>
        <w:rPr>
          <w:rFonts w:hint="default" w:hAnsi="宋体"/>
          <w:b/>
          <w:sz w:val="24"/>
          <w:szCs w:val="24"/>
          <w:highlight w:val="none"/>
        </w:rPr>
      </w:pPr>
      <w:bookmarkStart w:id="320" w:name="bookmark147"/>
      <w:bookmarkEnd w:id="320"/>
      <w:bookmarkStart w:id="321" w:name="_Toc146500071"/>
      <w:r>
        <w:rPr>
          <w:rFonts w:hint="default" w:ascii="Times New Roman" w:hAnsi="Times New Roman" w:eastAsia="Times New Roman" w:cs="Times New Roman"/>
          <w:b/>
          <w:kern w:val="0"/>
          <w:sz w:val="28"/>
          <w:szCs w:val="24"/>
          <w:highlight w:val="none"/>
          <w:u w:val="none" w:color="auto"/>
          <w:lang w:val="en-US" w:eastAsia="zh-CN" w:bidi="ar-SA"/>
        </w:rPr>
        <w:t>9.4</w:t>
      </w:r>
      <w:r>
        <w:rPr>
          <w:rFonts w:hint="default" w:hAnsi="宋体"/>
          <w:b/>
          <w:sz w:val="24"/>
          <w:szCs w:val="24"/>
          <w:highlight w:val="none"/>
        </w:rPr>
        <w:t>费用结算</w:t>
      </w:r>
      <w:bookmarkEnd w:id="321"/>
    </w:p>
    <w:p w14:paraId="63514964">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9.4.1</w:t>
      </w:r>
      <w:r>
        <w:rPr>
          <w:rFonts w:hint="default" w:hAnsi="宋体"/>
          <w:spacing w:val="-8"/>
          <w:sz w:val="21"/>
          <w:szCs w:val="24"/>
          <w:highlight w:val="none"/>
        </w:rPr>
        <w:t>合同工作完成后，监理人可按专用合同条款约定的份数和期限，向委托人提交监理费用结算申请，并提供相关证明材料。</w:t>
      </w:r>
    </w:p>
    <w:p w14:paraId="5A0904DA">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9.4.2</w:t>
      </w:r>
      <w:r>
        <w:rPr>
          <w:rFonts w:hint="default" w:hAnsi="宋体"/>
          <w:spacing w:val="-8"/>
          <w:sz w:val="21"/>
          <w:szCs w:val="24"/>
          <w:highlight w:val="none"/>
        </w:rPr>
        <w:t>委托人应在收到费用结算申请后的 28 天内，将应付款项支付给监理人；监理人应当提供等额的增值税发票。委托人未能在前述时间内完成审批或不予答复的，视为委托人同意费用结算申请。委托人不按期支付的，按专用合同条款的约定支付逾期付款违约金。</w:t>
      </w:r>
    </w:p>
    <w:p w14:paraId="1149C7F1">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9.4.3</w:t>
      </w:r>
      <w:r>
        <w:rPr>
          <w:rFonts w:hint="default" w:hAnsi="宋体"/>
          <w:spacing w:val="-8"/>
          <w:sz w:val="21"/>
          <w:szCs w:val="24"/>
          <w:highlight w:val="none"/>
        </w:rPr>
        <w:t>委托人对费用结算申请内容有异议的，有权要求监理人进行修正和提供补充资料，由监理人重新提交。监理人对此有异议的，按第 12 条的约定执行。</w:t>
      </w:r>
    </w:p>
    <w:p w14:paraId="0FCE88D6">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9.4.4</w:t>
      </w:r>
      <w:r>
        <w:rPr>
          <w:rFonts w:hint="default" w:hAnsi="宋体"/>
          <w:spacing w:val="-8"/>
          <w:sz w:val="21"/>
          <w:szCs w:val="24"/>
          <w:highlight w:val="none"/>
        </w:rPr>
        <w:t>最终结清付款涉及政府投资资金的，按第 9.3.3 项的约定执行。</w:t>
      </w:r>
    </w:p>
    <w:p w14:paraId="3F99EB75">
      <w:pPr>
        <w:numPr>
          <w:ilvl w:val="0"/>
          <w:numId w:val="0"/>
        </w:numPr>
        <w:overflowPunct w:val="0"/>
        <w:ind w:left="0"/>
        <w:outlineLvl w:val="1"/>
        <w:rPr>
          <w:rFonts w:hint="default" w:ascii="宋体" w:hAnsi="宋体" w:eastAsia="宋体"/>
          <w:sz w:val="28"/>
          <w:szCs w:val="24"/>
          <w:highlight w:val="none"/>
        </w:rPr>
      </w:pPr>
      <w:bookmarkStart w:id="322" w:name="bookmark148"/>
      <w:bookmarkEnd w:id="322"/>
      <w:bookmarkStart w:id="323" w:name="_Toc146500072"/>
      <w:bookmarkStart w:id="324" w:name="_Toc20159"/>
      <w:bookmarkStart w:id="325" w:name="_Toc11728"/>
      <w:bookmarkStart w:id="326" w:name="_Toc1715468114"/>
      <w:r>
        <w:rPr>
          <w:rFonts w:hint="default" w:ascii="Times New Roman" w:hAnsi="Times New Roman" w:eastAsia="Times New Roman" w:cs="Times New Roman"/>
          <w:b/>
          <w:bCs/>
          <w:w w:val="99"/>
          <w:kern w:val="2"/>
          <w:sz w:val="32"/>
          <w:szCs w:val="24"/>
          <w:highlight w:val="none"/>
          <w:u w:val="none" w:color="auto"/>
          <w:lang w:val="en-US" w:eastAsia="zh-CN" w:bidi="ar-SA"/>
        </w:rPr>
        <w:t>10.</w:t>
      </w:r>
      <w:r>
        <w:rPr>
          <w:rFonts w:hint="default" w:ascii="宋体" w:hAnsi="宋体" w:eastAsia="宋体"/>
          <w:sz w:val="28"/>
          <w:szCs w:val="24"/>
          <w:highlight w:val="none"/>
        </w:rPr>
        <w:t>不可抗力</w:t>
      </w:r>
      <w:bookmarkEnd w:id="323"/>
      <w:bookmarkEnd w:id="324"/>
      <w:bookmarkEnd w:id="325"/>
      <w:bookmarkEnd w:id="326"/>
    </w:p>
    <w:p w14:paraId="0E11E97D">
      <w:pPr>
        <w:numPr>
          <w:ilvl w:val="1"/>
          <w:numId w:val="0"/>
        </w:numPr>
        <w:overflowPunct w:val="0"/>
        <w:ind w:left="0"/>
        <w:jc w:val="left"/>
        <w:outlineLvl w:val="1"/>
        <w:rPr>
          <w:rFonts w:hint="default" w:hAnsi="宋体"/>
          <w:b/>
          <w:sz w:val="24"/>
          <w:szCs w:val="24"/>
          <w:highlight w:val="none"/>
        </w:rPr>
      </w:pPr>
      <w:bookmarkStart w:id="327" w:name="bookmark149"/>
      <w:bookmarkEnd w:id="327"/>
      <w:bookmarkStart w:id="328" w:name="_Toc146500073"/>
      <w:r>
        <w:rPr>
          <w:rFonts w:hint="default" w:ascii="Times New Roman" w:hAnsi="Times New Roman" w:eastAsia="Times New Roman" w:cs="Times New Roman"/>
          <w:b/>
          <w:kern w:val="0"/>
          <w:sz w:val="28"/>
          <w:szCs w:val="24"/>
          <w:highlight w:val="none"/>
          <w:u w:val="none" w:color="auto"/>
          <w:lang w:val="en-US" w:eastAsia="zh-CN" w:bidi="ar-SA"/>
        </w:rPr>
        <w:t>10.1</w:t>
      </w:r>
      <w:r>
        <w:rPr>
          <w:rFonts w:hint="default" w:hAnsi="宋体"/>
          <w:b/>
          <w:sz w:val="24"/>
          <w:szCs w:val="24"/>
          <w:highlight w:val="none"/>
        </w:rPr>
        <w:t>不可抗力的确认</w:t>
      </w:r>
      <w:bookmarkEnd w:id="328"/>
    </w:p>
    <w:p w14:paraId="67D09859">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10.1.1</w:t>
      </w:r>
      <w:r>
        <w:rPr>
          <w:rFonts w:hint="default" w:hAnsi="宋体"/>
          <w:spacing w:val="-8"/>
          <w:sz w:val="21"/>
          <w:szCs w:val="24"/>
          <w:highlight w:val="none"/>
        </w:rPr>
        <w:t>不可抗力是指监理人和委托人在订立合同时不可预见，在履行合同过程中不可避免发生并不能克服的自然灾害和社会性突发事件，如地震、海啸、瘟疫、水灾、骚乱、暴动、战争和专用合同条款约定的其他情形。</w:t>
      </w:r>
    </w:p>
    <w:p w14:paraId="497B7D3C">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10.1.2</w:t>
      </w:r>
      <w:r>
        <w:rPr>
          <w:rFonts w:hint="default" w:hAnsi="宋体"/>
          <w:spacing w:val="-8"/>
          <w:sz w:val="21"/>
          <w:szCs w:val="24"/>
          <w:highlight w:val="none"/>
        </w:rPr>
        <w:t>不可抗力发生后，委托人和监理人应及时认真统计所造成的损失，收集不可抗力造成损失的证据。合同双方对是否属于不可抗力或其损失的意见不一致的，由合同双方协商确定。</w:t>
      </w:r>
    </w:p>
    <w:p w14:paraId="70DF96D1">
      <w:pPr>
        <w:numPr>
          <w:ilvl w:val="1"/>
          <w:numId w:val="0"/>
        </w:numPr>
        <w:overflowPunct w:val="0"/>
        <w:ind w:left="0"/>
        <w:jc w:val="left"/>
        <w:outlineLvl w:val="1"/>
        <w:rPr>
          <w:rFonts w:hint="default" w:hAnsi="宋体"/>
          <w:b/>
          <w:sz w:val="24"/>
          <w:szCs w:val="24"/>
          <w:highlight w:val="none"/>
        </w:rPr>
      </w:pPr>
      <w:bookmarkStart w:id="329" w:name="bookmark150"/>
      <w:bookmarkEnd w:id="329"/>
      <w:bookmarkStart w:id="330" w:name="_Toc146500074"/>
      <w:r>
        <w:rPr>
          <w:rFonts w:hint="default" w:ascii="Times New Roman" w:hAnsi="Times New Roman" w:eastAsia="Times New Roman" w:cs="Times New Roman"/>
          <w:b/>
          <w:kern w:val="0"/>
          <w:sz w:val="28"/>
          <w:szCs w:val="24"/>
          <w:highlight w:val="none"/>
          <w:u w:val="none" w:color="auto"/>
          <w:lang w:val="en-US" w:eastAsia="zh-CN" w:bidi="ar-SA"/>
        </w:rPr>
        <w:t>10.2</w:t>
      </w:r>
      <w:r>
        <w:rPr>
          <w:rFonts w:hint="default" w:hAnsi="宋体"/>
          <w:b/>
          <w:sz w:val="24"/>
          <w:szCs w:val="24"/>
          <w:highlight w:val="none"/>
        </w:rPr>
        <w:t>不可抗力的通知</w:t>
      </w:r>
      <w:bookmarkEnd w:id="330"/>
    </w:p>
    <w:p w14:paraId="645CA8EC">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10.2.1</w:t>
      </w:r>
      <w:r>
        <w:rPr>
          <w:rFonts w:hint="default" w:hAnsi="宋体"/>
          <w:spacing w:val="-8"/>
          <w:sz w:val="21"/>
          <w:szCs w:val="24"/>
          <w:highlight w:val="none"/>
        </w:rPr>
        <w:t>合同一方当事人遇到不可抗力事件，使其履行合同义务受到阻碍时，应立即通知合同另一方当事人，书面说明不可抗力和受阻碍的详细情况，并提供必要的证明。</w:t>
      </w:r>
    </w:p>
    <w:p w14:paraId="6F38E6C5">
      <w:pPr>
        <w:pStyle w:val="142"/>
        <w:numPr>
          <w:ilvl w:val="2"/>
          <w:numId w:val="0"/>
        </w:numPr>
        <w:tabs>
          <w:tab w:val="left" w:pos="1046"/>
        </w:tabs>
        <w:overflowPunct w:val="0"/>
        <w:spacing w:line="360" w:lineRule="auto"/>
        <w:ind w:left="0" w:firstLine="388" w:firstLineChars="200"/>
        <w:outlineLvl w:val="1"/>
        <w:rPr>
          <w:rFonts w:hint="default" w:hAnsi="宋体"/>
          <w:spacing w:val="-3"/>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10.2.2</w:t>
      </w:r>
      <w:r>
        <w:rPr>
          <w:rFonts w:hint="default" w:hAnsi="宋体"/>
          <w:spacing w:val="-8"/>
          <w:sz w:val="21"/>
          <w:szCs w:val="24"/>
          <w:highlight w:val="none"/>
        </w:rPr>
        <w:t>如不可抗力持续发生，合同一方当事人应及时向合同另一方当事人提交中间报告， 说明不可抗力和履行合同受阻的情况，并于不可抗力事件结束后 28 天内提交最终报告及有关资料</w:t>
      </w:r>
      <w:r>
        <w:rPr>
          <w:rFonts w:hint="default" w:hAnsi="宋体"/>
          <w:spacing w:val="-3"/>
          <w:sz w:val="21"/>
          <w:szCs w:val="24"/>
          <w:highlight w:val="none"/>
        </w:rPr>
        <w:t>。</w:t>
      </w:r>
    </w:p>
    <w:p w14:paraId="4FAF1611">
      <w:pPr>
        <w:numPr>
          <w:ilvl w:val="1"/>
          <w:numId w:val="0"/>
        </w:numPr>
        <w:overflowPunct w:val="0"/>
        <w:ind w:left="0"/>
        <w:jc w:val="left"/>
        <w:outlineLvl w:val="1"/>
        <w:rPr>
          <w:rFonts w:hint="default" w:hAnsi="宋体"/>
          <w:b/>
          <w:sz w:val="24"/>
          <w:szCs w:val="24"/>
          <w:highlight w:val="none"/>
        </w:rPr>
      </w:pPr>
      <w:bookmarkStart w:id="331" w:name="bookmark151"/>
      <w:bookmarkEnd w:id="331"/>
      <w:bookmarkStart w:id="332" w:name="_Toc146500075"/>
      <w:r>
        <w:rPr>
          <w:rFonts w:hint="default" w:ascii="Times New Roman" w:hAnsi="Times New Roman" w:eastAsia="Times New Roman" w:cs="Times New Roman"/>
          <w:b/>
          <w:kern w:val="0"/>
          <w:sz w:val="28"/>
          <w:szCs w:val="24"/>
          <w:highlight w:val="none"/>
          <w:u w:val="none" w:color="auto"/>
          <w:lang w:val="en-US" w:eastAsia="zh-CN" w:bidi="ar-SA"/>
        </w:rPr>
        <w:t>10.3</w:t>
      </w:r>
      <w:r>
        <w:rPr>
          <w:rFonts w:hint="default" w:hAnsi="宋体"/>
          <w:b/>
          <w:sz w:val="24"/>
          <w:szCs w:val="24"/>
          <w:highlight w:val="none"/>
        </w:rPr>
        <w:t>不可抗力后果及其处理</w:t>
      </w:r>
      <w:bookmarkEnd w:id="332"/>
    </w:p>
    <w:p w14:paraId="6B5A5EF1">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10.3.1</w:t>
      </w:r>
      <w:r>
        <w:rPr>
          <w:rFonts w:hint="default" w:hAnsi="宋体"/>
          <w:spacing w:val="-8"/>
          <w:sz w:val="21"/>
          <w:szCs w:val="24"/>
          <w:highlight w:val="none"/>
        </w:rPr>
        <w:t>不可抗力引起的后果及其损失，应由合同当事人依据法律规定各自承担。不可抗力发生前已完成的监理工作，应当按照合同约定进行支付。</w:t>
      </w:r>
    </w:p>
    <w:p w14:paraId="3E98941B">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10.3.2</w:t>
      </w:r>
      <w:r>
        <w:rPr>
          <w:rFonts w:hint="default" w:hAnsi="宋体"/>
          <w:spacing w:val="-8"/>
          <w:sz w:val="21"/>
          <w:szCs w:val="24"/>
          <w:highlight w:val="none"/>
        </w:rPr>
        <w:t>不可抗力发生后，合同当事人应当采取有效措施避免损失进一步扩大，如未采取有效措施致使损失扩大的，应当自行承担扩大部分的损失。</w:t>
      </w:r>
    </w:p>
    <w:p w14:paraId="05CCBFCE">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10.3.3</w:t>
      </w:r>
      <w:r>
        <w:rPr>
          <w:rFonts w:hint="default" w:hAnsi="宋体"/>
          <w:spacing w:val="-8"/>
          <w:sz w:val="21"/>
          <w:szCs w:val="24"/>
          <w:highlight w:val="none"/>
        </w:rPr>
        <w:t>因一方当事人迟延履行合同义务，致使迟延履行期间遭遇不可抗力的，应由该当事人承担全部损失。</w:t>
      </w:r>
    </w:p>
    <w:p w14:paraId="544ACF97">
      <w:pPr>
        <w:numPr>
          <w:ilvl w:val="0"/>
          <w:numId w:val="0"/>
        </w:numPr>
        <w:overflowPunct w:val="0"/>
        <w:ind w:left="0"/>
        <w:outlineLvl w:val="1"/>
        <w:rPr>
          <w:rFonts w:hint="default" w:ascii="宋体" w:hAnsi="宋体" w:eastAsia="宋体"/>
          <w:sz w:val="28"/>
          <w:szCs w:val="24"/>
          <w:highlight w:val="none"/>
        </w:rPr>
      </w:pPr>
      <w:bookmarkStart w:id="333" w:name="bookmark152"/>
      <w:bookmarkEnd w:id="333"/>
      <w:bookmarkStart w:id="334" w:name="_Toc1169537585"/>
      <w:bookmarkStart w:id="335" w:name="_Toc8665"/>
      <w:bookmarkStart w:id="336" w:name="_Toc27019"/>
      <w:bookmarkStart w:id="337" w:name="_Toc146500076"/>
      <w:r>
        <w:rPr>
          <w:rFonts w:hint="default" w:ascii="Times New Roman" w:hAnsi="Times New Roman" w:eastAsia="Times New Roman" w:cs="Times New Roman"/>
          <w:b/>
          <w:bCs/>
          <w:w w:val="99"/>
          <w:kern w:val="2"/>
          <w:sz w:val="32"/>
          <w:szCs w:val="24"/>
          <w:highlight w:val="none"/>
          <w:u w:val="none" w:color="auto"/>
          <w:lang w:val="en-US" w:eastAsia="zh-CN" w:bidi="ar-SA"/>
        </w:rPr>
        <w:t>11.</w:t>
      </w:r>
      <w:r>
        <w:rPr>
          <w:rFonts w:hint="default" w:ascii="宋体" w:hAnsi="宋体" w:eastAsia="宋体"/>
          <w:sz w:val="28"/>
          <w:szCs w:val="24"/>
          <w:highlight w:val="none"/>
        </w:rPr>
        <w:t>违约</w:t>
      </w:r>
      <w:bookmarkEnd w:id="334"/>
      <w:bookmarkEnd w:id="335"/>
      <w:bookmarkEnd w:id="336"/>
      <w:bookmarkEnd w:id="337"/>
    </w:p>
    <w:p w14:paraId="62597F7F">
      <w:pPr>
        <w:numPr>
          <w:ilvl w:val="1"/>
          <w:numId w:val="0"/>
        </w:numPr>
        <w:overflowPunct w:val="0"/>
        <w:ind w:left="0"/>
        <w:jc w:val="left"/>
        <w:outlineLvl w:val="1"/>
        <w:rPr>
          <w:rFonts w:hint="default" w:hAnsi="宋体"/>
          <w:b/>
          <w:sz w:val="24"/>
          <w:szCs w:val="24"/>
          <w:highlight w:val="none"/>
        </w:rPr>
      </w:pPr>
      <w:bookmarkStart w:id="338" w:name="bookmark153"/>
      <w:bookmarkEnd w:id="338"/>
      <w:bookmarkStart w:id="339" w:name="_Toc146500077"/>
      <w:r>
        <w:rPr>
          <w:rFonts w:hint="default" w:ascii="Times New Roman" w:hAnsi="Times New Roman" w:eastAsia="Times New Roman" w:cs="Times New Roman"/>
          <w:b/>
          <w:kern w:val="0"/>
          <w:sz w:val="28"/>
          <w:szCs w:val="24"/>
          <w:highlight w:val="none"/>
          <w:u w:val="none" w:color="auto"/>
          <w:lang w:val="en-US" w:eastAsia="zh-CN" w:bidi="ar-SA"/>
        </w:rPr>
        <w:t>11.1</w:t>
      </w:r>
      <w:r>
        <w:rPr>
          <w:rFonts w:hint="default" w:hAnsi="宋体"/>
          <w:b/>
          <w:sz w:val="24"/>
          <w:szCs w:val="24"/>
          <w:highlight w:val="none"/>
        </w:rPr>
        <w:t>监理人违约</w:t>
      </w:r>
      <w:bookmarkEnd w:id="339"/>
    </w:p>
    <w:p w14:paraId="3FBA0D8B">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11.1.1</w:t>
      </w:r>
      <w:r>
        <w:rPr>
          <w:rFonts w:hint="default" w:hAnsi="宋体"/>
          <w:spacing w:val="-3"/>
          <w:sz w:val="21"/>
          <w:szCs w:val="24"/>
          <w:highlight w:val="none"/>
        </w:rPr>
        <w:t>合</w:t>
      </w:r>
      <w:r>
        <w:rPr>
          <w:rFonts w:hint="default" w:hAnsi="宋体"/>
          <w:spacing w:val="-8"/>
          <w:sz w:val="21"/>
          <w:szCs w:val="24"/>
          <w:highlight w:val="none"/>
        </w:rPr>
        <w:t>同履行中发生下列情况之一的，属监理人违约：</w:t>
      </w:r>
    </w:p>
    <w:p w14:paraId="0B3B27F5">
      <w:pPr>
        <w:pStyle w:val="142"/>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hAnsi="宋体"/>
          <w:spacing w:val="-8"/>
          <w:sz w:val="21"/>
          <w:szCs w:val="24"/>
          <w:highlight w:val="none"/>
        </w:rPr>
        <w:t>（1）监理文件不符合规范标准以及合同约定；</w:t>
      </w:r>
    </w:p>
    <w:p w14:paraId="478F8EFD">
      <w:pPr>
        <w:pStyle w:val="142"/>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hAnsi="宋体"/>
          <w:spacing w:val="-8"/>
          <w:sz w:val="21"/>
          <w:szCs w:val="24"/>
          <w:highlight w:val="none"/>
        </w:rPr>
        <w:t>（2）监理人转让监理工作；</w:t>
      </w:r>
    </w:p>
    <w:p w14:paraId="7367442D">
      <w:pPr>
        <w:pStyle w:val="142"/>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hAnsi="宋体"/>
          <w:spacing w:val="-8"/>
          <w:sz w:val="21"/>
          <w:szCs w:val="24"/>
          <w:highlight w:val="none"/>
        </w:rPr>
        <w:t>（3）监理人未按合同约定实施监理并造成工程损失；</w:t>
      </w:r>
    </w:p>
    <w:p w14:paraId="7F5F63A7">
      <w:pPr>
        <w:pStyle w:val="142"/>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hAnsi="宋体"/>
          <w:spacing w:val="-8"/>
          <w:sz w:val="21"/>
          <w:szCs w:val="24"/>
          <w:highlight w:val="none"/>
        </w:rPr>
        <w:t>（4）监理人无法履行或停止履行合同；</w:t>
      </w:r>
    </w:p>
    <w:p w14:paraId="5ADACDBA">
      <w:pPr>
        <w:pStyle w:val="142"/>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hAnsi="宋体"/>
          <w:spacing w:val="-8"/>
          <w:sz w:val="21"/>
          <w:szCs w:val="24"/>
          <w:highlight w:val="none"/>
        </w:rPr>
        <w:t>（5）监理人不履行合同约定的其他义务。</w:t>
      </w:r>
    </w:p>
    <w:p w14:paraId="24B16EE4">
      <w:pPr>
        <w:pStyle w:val="142"/>
        <w:numPr>
          <w:ilvl w:val="2"/>
          <w:numId w:val="0"/>
        </w:numPr>
        <w:tabs>
          <w:tab w:val="left" w:pos="1046"/>
        </w:tabs>
        <w:overflowPunct w:val="0"/>
        <w:spacing w:line="360" w:lineRule="auto"/>
        <w:ind w:left="0" w:firstLine="388" w:firstLineChars="200"/>
        <w:outlineLvl w:val="1"/>
        <w:rPr>
          <w:rFonts w:hint="default" w:hAnsi="宋体"/>
          <w:spacing w:val="-8"/>
          <w:sz w:val="21"/>
          <w:szCs w:val="24"/>
          <w:highlight w:val="none"/>
        </w:rPr>
      </w:pPr>
      <w:r>
        <w:rPr>
          <w:rFonts w:hint="default" w:ascii="Times New Roman" w:hAnsi="Times New Roman" w:eastAsia="Times New Roman" w:cs="Times New Roman"/>
          <w:spacing w:val="-8"/>
          <w:kern w:val="2"/>
          <w:sz w:val="21"/>
          <w:szCs w:val="24"/>
          <w:highlight w:val="none"/>
          <w:u w:val="none" w:color="auto"/>
          <w:lang w:val="en-US" w:eastAsia="zh-CN" w:bidi="ar-SA"/>
        </w:rPr>
        <w:t>11.1.2</w:t>
      </w:r>
      <w:r>
        <w:rPr>
          <w:rFonts w:hint="default" w:hAnsi="宋体"/>
          <w:spacing w:val="-8"/>
          <w:sz w:val="21"/>
          <w:szCs w:val="24"/>
          <w:highlight w:val="none"/>
        </w:rPr>
        <w:t>监理人发生违约情况时，委托人可向监理人发出整改通知，要求其在限定期限内纠正；逾期仍不纠正的，委托人有权解除合同并向监理人发出解除合同通知。监理人应当承担由于违约所造成的费用增加、周期延误和委托人损失等。</w:t>
      </w:r>
    </w:p>
    <w:p w14:paraId="14E3F78F">
      <w:pPr>
        <w:numPr>
          <w:ilvl w:val="1"/>
          <w:numId w:val="0"/>
        </w:numPr>
        <w:overflowPunct w:val="0"/>
        <w:ind w:left="0"/>
        <w:jc w:val="left"/>
        <w:outlineLvl w:val="1"/>
        <w:rPr>
          <w:rFonts w:hint="default" w:hAnsi="宋体"/>
          <w:b/>
          <w:sz w:val="24"/>
          <w:szCs w:val="24"/>
          <w:highlight w:val="none"/>
        </w:rPr>
      </w:pPr>
      <w:bookmarkStart w:id="340" w:name="bookmark154"/>
      <w:bookmarkEnd w:id="340"/>
      <w:bookmarkStart w:id="341" w:name="_Toc146500078"/>
      <w:r>
        <w:rPr>
          <w:rFonts w:hint="default" w:ascii="Times New Roman" w:hAnsi="Times New Roman" w:eastAsia="Times New Roman" w:cs="Times New Roman"/>
          <w:b/>
          <w:kern w:val="0"/>
          <w:sz w:val="28"/>
          <w:szCs w:val="24"/>
          <w:highlight w:val="none"/>
          <w:u w:val="none" w:color="auto"/>
          <w:lang w:val="en-US" w:eastAsia="zh-CN" w:bidi="ar-SA"/>
        </w:rPr>
        <w:t>11.2</w:t>
      </w:r>
      <w:r>
        <w:rPr>
          <w:rFonts w:hint="default" w:hAnsi="宋体"/>
          <w:b/>
          <w:sz w:val="24"/>
          <w:szCs w:val="24"/>
          <w:highlight w:val="none"/>
        </w:rPr>
        <w:t>委托人违约</w:t>
      </w:r>
      <w:bookmarkEnd w:id="341"/>
    </w:p>
    <w:p w14:paraId="35255ACE">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11.2.1 合同履行中发生下列情况之一的，属委托人违约：</w:t>
      </w:r>
    </w:p>
    <w:p w14:paraId="1C8B1AA0">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（1）委托人未按合同约定支付监理报酬；</w:t>
      </w:r>
    </w:p>
    <w:p w14:paraId="159997F6">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（2）委托人原因造成监理停止；</w:t>
      </w:r>
    </w:p>
    <w:p w14:paraId="69B434BD">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（3）委托人无法履行或停止履行合同；</w:t>
      </w:r>
    </w:p>
    <w:p w14:paraId="119DBDE9">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（4）委托人不履行合同约定的其他义务。</w:t>
      </w:r>
    </w:p>
    <w:p w14:paraId="7904E1CA">
      <w:pPr>
        <w:pStyle w:val="23"/>
        <w:overflowPunct w:val="0"/>
        <w:spacing w:line="360" w:lineRule="auto"/>
        <w:ind w:firstLine="420" w:firstLineChars="200"/>
        <w:jc w:val="both"/>
        <w:outlineLvl w:val="1"/>
        <w:rPr>
          <w:rFonts w:hint="default" w:hAnsi="宋体"/>
          <w:sz w:val="21"/>
          <w:szCs w:val="24"/>
          <w:highlight w:val="none"/>
        </w:rPr>
      </w:pPr>
      <w:r>
        <w:rPr>
          <w:rFonts w:hint="default" w:hAnsi="宋体"/>
          <w:sz w:val="21"/>
          <w:szCs w:val="24"/>
          <w:highlight w:val="none"/>
        </w:rPr>
        <w:t>11.2.2 委托人发生违约情况时，监理人可向委托人发出暂停监理通知，要求其在限定期限内纠正；逾期仍不纠正的，监理人有权解除合同并向委托人发出解除合同通知。委托人应当承担由于违约所造成的费用增加、周期延误和监理人损失等。</w:t>
      </w:r>
    </w:p>
    <w:p w14:paraId="1EAE852D">
      <w:pPr>
        <w:numPr>
          <w:ilvl w:val="1"/>
          <w:numId w:val="0"/>
        </w:numPr>
        <w:overflowPunct w:val="0"/>
        <w:ind w:left="0"/>
        <w:jc w:val="left"/>
        <w:outlineLvl w:val="1"/>
        <w:rPr>
          <w:rFonts w:hint="default" w:hAnsi="宋体"/>
          <w:b/>
          <w:sz w:val="24"/>
          <w:szCs w:val="24"/>
          <w:highlight w:val="none"/>
        </w:rPr>
      </w:pPr>
      <w:bookmarkStart w:id="342" w:name="bookmark155"/>
      <w:bookmarkEnd w:id="342"/>
      <w:bookmarkStart w:id="343" w:name="_Toc146500079"/>
      <w:r>
        <w:rPr>
          <w:rFonts w:hint="default" w:ascii="Times New Roman" w:hAnsi="Times New Roman" w:eastAsia="Times New Roman" w:cs="Times New Roman"/>
          <w:b/>
          <w:kern w:val="0"/>
          <w:sz w:val="28"/>
          <w:szCs w:val="24"/>
          <w:highlight w:val="none"/>
          <w:u w:val="none" w:color="auto"/>
          <w:lang w:val="en-US" w:eastAsia="zh-CN" w:bidi="ar-SA"/>
        </w:rPr>
        <w:t>11.3</w:t>
      </w:r>
      <w:r>
        <w:rPr>
          <w:rFonts w:hint="default" w:hAnsi="宋体"/>
          <w:b/>
          <w:sz w:val="24"/>
          <w:szCs w:val="24"/>
          <w:highlight w:val="none"/>
        </w:rPr>
        <w:t>第三人造成的违约</w:t>
      </w:r>
      <w:bookmarkEnd w:id="343"/>
    </w:p>
    <w:p w14:paraId="6417A253">
      <w:pPr>
        <w:pStyle w:val="23"/>
        <w:overflowPunct w:val="0"/>
        <w:spacing w:line="360" w:lineRule="auto"/>
        <w:ind w:firstLine="420" w:firstLineChars="200"/>
        <w:jc w:val="both"/>
        <w:outlineLvl w:val="1"/>
        <w:rPr>
          <w:rFonts w:hint="default" w:hAnsi="宋体"/>
          <w:sz w:val="21"/>
          <w:szCs w:val="24"/>
          <w:highlight w:val="none"/>
        </w:rPr>
      </w:pPr>
      <w:r>
        <w:rPr>
          <w:rFonts w:hint="default" w:hAnsi="宋体"/>
          <w:sz w:val="21"/>
          <w:szCs w:val="24"/>
          <w:highlight w:val="none"/>
        </w:rPr>
        <w:t>在履行合同过程中，一方当事人因第三人的原因造成违约的，应当向对方当事人承担违约责任。一方当事人和第三人之间的纠纷，依照法律规定或者按照约定解决。</w:t>
      </w:r>
    </w:p>
    <w:p w14:paraId="5BC8CDA7">
      <w:pPr>
        <w:pStyle w:val="23"/>
        <w:overflowPunct w:val="0"/>
        <w:spacing w:line="360" w:lineRule="auto"/>
        <w:ind w:firstLine="420" w:firstLineChars="200"/>
        <w:jc w:val="both"/>
        <w:outlineLvl w:val="1"/>
        <w:rPr>
          <w:rFonts w:hint="default" w:hAnsi="宋体"/>
          <w:sz w:val="21"/>
          <w:szCs w:val="24"/>
          <w:highlight w:val="none"/>
        </w:rPr>
      </w:pPr>
      <w:r>
        <w:rPr>
          <w:rFonts w:hint="default" w:hAnsi="宋体"/>
          <w:sz w:val="21"/>
          <w:szCs w:val="24"/>
          <w:highlight w:val="none"/>
        </w:rPr>
        <w:t>11.4</w:t>
      </w:r>
      <w:r>
        <w:rPr>
          <w:rFonts w:hint="default"/>
          <w:sz w:val="21"/>
          <w:szCs w:val="24"/>
          <w:highlight w:val="none"/>
        </w:rPr>
        <w:t>违约方应承担守约方因维权产生的费用，包括但不限于：诉讼费、律师代理费、财产保全费、保全保险费、鉴定费、评估费、拍卖费、公证费、差旅费、通讯费等。</w:t>
      </w:r>
    </w:p>
    <w:p w14:paraId="0CEBFE2C">
      <w:pPr>
        <w:numPr>
          <w:ilvl w:val="0"/>
          <w:numId w:val="0"/>
        </w:numPr>
        <w:overflowPunct w:val="0"/>
        <w:ind w:left="0"/>
        <w:outlineLvl w:val="1"/>
        <w:rPr>
          <w:rFonts w:hint="default" w:ascii="宋体" w:hAnsi="宋体" w:eastAsia="宋体"/>
          <w:sz w:val="28"/>
          <w:szCs w:val="24"/>
          <w:highlight w:val="none"/>
        </w:rPr>
      </w:pPr>
      <w:bookmarkStart w:id="344" w:name="bookmark156"/>
      <w:bookmarkEnd w:id="344"/>
      <w:bookmarkStart w:id="345" w:name="_Toc24316"/>
      <w:bookmarkStart w:id="346" w:name="_Toc27636"/>
      <w:bookmarkStart w:id="347" w:name="_Toc146500080"/>
      <w:bookmarkStart w:id="348" w:name="_Toc1634410623"/>
      <w:r>
        <w:rPr>
          <w:rFonts w:hint="default" w:ascii="Times New Roman" w:hAnsi="Times New Roman" w:eastAsia="Times New Roman" w:cs="Times New Roman"/>
          <w:b/>
          <w:bCs/>
          <w:w w:val="99"/>
          <w:kern w:val="2"/>
          <w:sz w:val="32"/>
          <w:szCs w:val="24"/>
          <w:highlight w:val="none"/>
          <w:u w:val="none" w:color="auto"/>
          <w:lang w:val="en-US" w:eastAsia="zh-CN" w:bidi="ar-SA"/>
        </w:rPr>
        <w:t>12.</w:t>
      </w:r>
      <w:r>
        <w:rPr>
          <w:rFonts w:hint="default" w:ascii="宋体" w:hAnsi="宋体" w:eastAsia="宋体"/>
          <w:sz w:val="28"/>
          <w:szCs w:val="24"/>
          <w:highlight w:val="none"/>
        </w:rPr>
        <w:t>争议的解决</w:t>
      </w:r>
      <w:bookmarkEnd w:id="345"/>
      <w:bookmarkEnd w:id="346"/>
      <w:bookmarkEnd w:id="347"/>
      <w:bookmarkEnd w:id="348"/>
    </w:p>
    <w:p w14:paraId="7742A8F0">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委托人和监理人在履行合同中发生争议的，可以友好协商解决。合同当事人友好协商解决不成的，可在专用合同条款中约定下列一种方式解决：</w:t>
      </w:r>
    </w:p>
    <w:p w14:paraId="018A485A">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（1）向约定的仲裁委员会申请仲裁；</w:t>
      </w:r>
    </w:p>
    <w:p w14:paraId="53D25016">
      <w:pPr>
        <w:pStyle w:val="23"/>
        <w:overflowPunct w:val="0"/>
        <w:spacing w:line="360" w:lineRule="auto"/>
        <w:ind w:firstLine="420" w:firstLineChars="200"/>
        <w:outlineLvl w:val="1"/>
        <w:rPr>
          <w:rFonts w:hint="default" w:hAnsi="宋体"/>
          <w:sz w:val="21"/>
          <w:szCs w:val="24"/>
          <w:highlight w:val="none"/>
        </w:rPr>
      </w:pPr>
      <w:r>
        <w:rPr>
          <w:rFonts w:hint="default" w:hAnsi="宋体"/>
          <w:sz w:val="21"/>
          <w:szCs w:val="24"/>
          <w:highlight w:val="none"/>
        </w:rPr>
        <w:t>（2）向有管辖权的人民法院提起诉讼。</w:t>
      </w:r>
    </w:p>
    <w:p w14:paraId="738A7189">
      <w:pPr>
        <w:overflowPunct w:val="0"/>
        <w:spacing w:line="360" w:lineRule="auto"/>
        <w:ind w:left="3277"/>
        <w:outlineLvl w:val="1"/>
        <w:rPr>
          <w:rFonts w:hint="default" w:hAnsi="宋体"/>
          <w:sz w:val="32"/>
          <w:szCs w:val="24"/>
          <w:highlight w:val="none"/>
        </w:rPr>
      </w:pPr>
      <w:bookmarkStart w:id="349" w:name="bookmark157"/>
      <w:bookmarkEnd w:id="349"/>
    </w:p>
    <w:p w14:paraId="1010481F">
      <w:pPr>
        <w:widowControl/>
        <w:autoSpaceDE/>
        <w:autoSpaceDN/>
        <w:adjustRightInd/>
        <w:outlineLvl w:val="1"/>
        <w:rPr>
          <w:rFonts w:hint="default" w:hAnsi="宋体"/>
          <w:b/>
          <w:sz w:val="21"/>
          <w:szCs w:val="24"/>
          <w:highlight w:val="none"/>
        </w:rPr>
      </w:pPr>
      <w:r>
        <w:rPr>
          <w:rFonts w:hint="default" w:hAnsi="宋体"/>
          <w:sz w:val="32"/>
          <w:szCs w:val="24"/>
          <w:highlight w:val="none"/>
        </w:rPr>
        <w:br w:type="page"/>
      </w:r>
    </w:p>
    <w:p w14:paraId="00EBBB3E">
      <w:pPr>
        <w:pStyle w:val="23"/>
        <w:kinsoku w:val="0"/>
        <w:overflowPunct w:val="0"/>
        <w:spacing w:before="123"/>
        <w:ind w:left="102" w:firstLine="2891" w:firstLineChars="900"/>
        <w:jc w:val="both"/>
        <w:outlineLvl w:val="1"/>
        <w:rPr>
          <w:rFonts w:hint="default" w:hAnsi="宋体"/>
          <w:b/>
          <w:sz w:val="32"/>
          <w:szCs w:val="24"/>
          <w:highlight w:val="none"/>
        </w:rPr>
      </w:pPr>
      <w:bookmarkStart w:id="350" w:name="_Toc77966412"/>
      <w:bookmarkStart w:id="351" w:name="_Toc77967555"/>
      <w:r>
        <w:rPr>
          <w:rFonts w:hint="default" w:hAnsi="宋体"/>
          <w:b/>
          <w:sz w:val="32"/>
          <w:szCs w:val="24"/>
          <w:highlight w:val="none"/>
        </w:rPr>
        <w:t>第二节</w:t>
      </w:r>
      <w:r>
        <w:rPr>
          <w:rFonts w:hint="eastAsia" w:hAnsi="宋体"/>
          <w:b/>
          <w:sz w:val="32"/>
          <w:szCs w:val="24"/>
          <w:highlight w:val="none"/>
          <w:lang w:val="en-US" w:eastAsia="zh-CN"/>
        </w:rPr>
        <w:t xml:space="preserve"> </w:t>
      </w:r>
      <w:r>
        <w:rPr>
          <w:rFonts w:hint="default" w:hAnsi="宋体"/>
          <w:b/>
          <w:sz w:val="32"/>
          <w:szCs w:val="24"/>
          <w:highlight w:val="none"/>
        </w:rPr>
        <w:t>专用合同条款</w:t>
      </w:r>
      <w:bookmarkEnd w:id="350"/>
      <w:bookmarkEnd w:id="351"/>
    </w:p>
    <w:p w14:paraId="44A982D3">
      <w:pPr>
        <w:pStyle w:val="23"/>
        <w:kinsoku w:val="0"/>
        <w:overflowPunct w:val="0"/>
        <w:spacing w:line="360" w:lineRule="auto"/>
        <w:ind w:left="3275"/>
        <w:jc w:val="center"/>
        <w:rPr>
          <w:rFonts w:hint="default" w:hAnsi="宋体"/>
          <w:b/>
          <w:sz w:val="21"/>
          <w:szCs w:val="24"/>
          <w:highlight w:val="none"/>
        </w:rPr>
      </w:pPr>
    </w:p>
    <w:p w14:paraId="0692D4B0">
      <w:pPr>
        <w:pStyle w:val="6"/>
        <w:numPr>
          <w:ilvl w:val="0"/>
          <w:numId w:val="14"/>
        </w:numPr>
        <w:spacing w:line="360" w:lineRule="auto"/>
        <w:ind w:right="23"/>
        <w:jc w:val="both"/>
        <w:rPr>
          <w:rFonts w:hint="default" w:hAnsi="宋体"/>
          <w:sz w:val="21"/>
          <w:szCs w:val="24"/>
          <w:highlight w:val="none"/>
        </w:rPr>
      </w:pPr>
      <w:r>
        <w:rPr>
          <w:rFonts w:hint="default" w:hAnsi="宋体"/>
          <w:sz w:val="21"/>
          <w:szCs w:val="24"/>
          <w:highlight w:val="none"/>
        </w:rPr>
        <w:t>定义与解释</w:t>
      </w:r>
    </w:p>
    <w:p w14:paraId="4CCB0682">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合同文件（或称合同）：指合同协议书、中标通知书、投标函和投标函附录、专用合同条款及附件、通用合同条款、委托人要求、监理报酬清单、监理大纲，招标文件及澄清、投标文件及澄清，以及其他构成合同组成部分的文件。</w:t>
      </w:r>
    </w:p>
    <w:p w14:paraId="7BD95C2D">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1.1.2.6 承包人：指在本工程监理范围内，与委托人签订施工、调试承包合同的当事人。</w:t>
      </w:r>
    </w:p>
    <w:p w14:paraId="0A3852EF">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1.1.3.2监理服务：指监理人接受委托人的委托，依照法律、规范标准和监理合同等，对建设工程施工阶段进行质量控制、进度控制、投资控制、合同管理、信息管理、组织协调和安全监理、水环保监理的服务活动。</w:t>
      </w:r>
    </w:p>
    <w:p w14:paraId="6E2B0EC1">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1.1.6其他</w:t>
      </w:r>
    </w:p>
    <w:p w14:paraId="180B6F13">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1.1.6.2 “安装”是指有关设备、系统和材料的安装工作，包括按照所有合同设备的设计图纸进行组装、就位和连接。</w:t>
      </w:r>
    </w:p>
    <w:p w14:paraId="3FE21B2C">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1.1.6.3 “调试”是指为进行可靠性运行和性能验收试验，按有关设备的技术规范和调试导则进行的单台设备、一个系统设备的分部试运以及整套启动、试验和调整并达到技术规范书的要求。</w:t>
      </w:r>
    </w:p>
    <w:p w14:paraId="760D193A">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1.1.6.4 “启动验收”是指机组安装调试完成且通过不少于240小时连续无故障并网运行后进行的鉴定工作。</w:t>
      </w:r>
    </w:p>
    <w:p w14:paraId="35F8A266">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1.1.6.5 “移交生产验收”是指风力发电工程全部机组、电气工程和其他配套设施全部验收合格后，建设单位向生产单位进行移交的鉴定工作。</w:t>
      </w:r>
    </w:p>
    <w:p w14:paraId="67DF95DF">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1.1.6.6 “达标投产验收”是指采取量化指标比照和综合检验相结合的方式。对工程建设程序的合规性、全过程质量控制的有效性及机组投产后的整体工程进行质量符合性验收。</w:t>
      </w:r>
    </w:p>
    <w:p w14:paraId="40166022">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1.1.6.7 “质保期”即建设工程保修期是指在正常使用条件下，建设工程的最低保修期限．执行《建设工程质量管理条例》。</w:t>
      </w:r>
    </w:p>
    <w:p w14:paraId="4821EA4B">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1.1.6.8 “缺陷责任期”是指</w:t>
      </w:r>
      <w:r>
        <w:rPr>
          <w:rFonts w:hint="default" w:hAnsi="宋体"/>
          <w:spacing w:val="-3"/>
          <w:sz w:val="21"/>
          <w:szCs w:val="24"/>
          <w:highlight w:val="none"/>
        </w:rPr>
        <w:t>承包人按照合同约定承担缺陷修复义务，旦发包人预留质量保证金的期限，自工程通过竣工验收之日起计算2年。</w:t>
      </w:r>
    </w:p>
    <w:p w14:paraId="2CC9083A">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1.1.6.9 “附加、额外工作”是指本合同约定的正常工作以外的监理人的工作。</w:t>
      </w:r>
    </w:p>
    <w:p w14:paraId="67F80E74">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1.2 文件的提供和照管</w:t>
      </w:r>
    </w:p>
    <w:p w14:paraId="1E9A1DB3">
      <w:pPr>
        <w:pStyle w:val="23"/>
        <w:kinsoku w:val="0"/>
        <w:overflowPunct w:val="0"/>
        <w:spacing w:line="360" w:lineRule="auto"/>
        <w:ind w:firstLine="420" w:firstLineChars="200"/>
        <w:jc w:val="both"/>
        <w:rPr>
          <w:rFonts w:hint="default" w:ascii="宋体" w:hAnsi="宋体" w:eastAsia="宋体" w:cs="Times New Roman"/>
          <w:kern w:val="0"/>
          <w:sz w:val="21"/>
          <w:szCs w:val="24"/>
          <w:highlight w:val="none"/>
        </w:rPr>
      </w:pPr>
      <w:r>
        <w:rPr>
          <w:rFonts w:hint="default" w:ascii="宋体" w:hAnsi="宋体" w:eastAsia="宋体" w:cs="Times New Roman"/>
          <w:kern w:val="0"/>
          <w:sz w:val="21"/>
          <w:szCs w:val="24"/>
          <w:highlight w:val="none"/>
        </w:rPr>
        <w:t>1.2.1 监理文件的提供</w:t>
      </w:r>
    </w:p>
    <w:p w14:paraId="171D2E77">
      <w:pPr>
        <w:pStyle w:val="23"/>
        <w:kinsoku w:val="0"/>
        <w:overflowPunct w:val="0"/>
        <w:spacing w:line="360" w:lineRule="auto"/>
        <w:ind w:firstLine="420" w:firstLineChars="200"/>
        <w:jc w:val="both"/>
        <w:rPr>
          <w:rFonts w:hint="default" w:ascii="宋体" w:hAnsi="宋体" w:eastAsia="宋体" w:cs="Times New Roman"/>
          <w:kern w:val="0"/>
          <w:sz w:val="21"/>
          <w:szCs w:val="24"/>
          <w:highlight w:val="none"/>
        </w:rPr>
      </w:pPr>
      <w:r>
        <w:rPr>
          <w:rFonts w:hint="default" w:ascii="宋体" w:hAnsi="宋体" w:eastAsia="宋体" w:cs="Times New Roman"/>
          <w:kern w:val="0"/>
          <w:sz w:val="21"/>
          <w:szCs w:val="24"/>
          <w:highlight w:val="none"/>
        </w:rPr>
        <w:t xml:space="preserve"> 监理人应按照合同专用合同条款中关于服务范围和内容的要求向委托人提供监理业务有关资料，原则上收到委托人通知7天内或收到承包单位报送文件7天内向委托人提供监理文件及审核意见、修改意见例如：收到正式工程设计文件后并在第一次工地会议7天前报委托人一份《监理规划》，采用新材料、新工艺、新技术、新设备的工程，以及专业性较强、危险性较大的分部分项工程，应编制监理实施细则，在实施前7天内提交一份《监理实施细则》。</w:t>
      </w:r>
    </w:p>
    <w:p w14:paraId="54E3D28F">
      <w:pPr>
        <w:pStyle w:val="23"/>
        <w:kinsoku w:val="0"/>
        <w:overflowPunct w:val="0"/>
        <w:spacing w:line="360" w:lineRule="auto"/>
        <w:ind w:firstLine="420" w:firstLineChars="200"/>
        <w:jc w:val="both"/>
        <w:rPr>
          <w:rFonts w:hint="default" w:ascii="宋体" w:hAnsi="宋体" w:eastAsia="宋体" w:cs="Times New Roman"/>
          <w:kern w:val="0"/>
          <w:sz w:val="21"/>
          <w:szCs w:val="24"/>
          <w:highlight w:val="none"/>
        </w:rPr>
      </w:pPr>
      <w:r>
        <w:rPr>
          <w:rFonts w:hint="default" w:ascii="宋体" w:hAnsi="宋体" w:eastAsia="宋体" w:cs="Times New Roman"/>
          <w:kern w:val="0"/>
          <w:sz w:val="21"/>
          <w:szCs w:val="24"/>
          <w:highlight w:val="none"/>
        </w:rPr>
        <w:t>监理人应按本合同约定和国家、行业及委托人现行的相关要求作好工程实施阶段质量、进度、安全、投资等资料的整理和归档。并保证资料真实性、准确性、完整性和可追溯性。</w:t>
      </w:r>
    </w:p>
    <w:p w14:paraId="4ACD6220">
      <w:pPr>
        <w:pStyle w:val="23"/>
        <w:kinsoku w:val="0"/>
        <w:overflowPunct w:val="0"/>
        <w:spacing w:line="360" w:lineRule="auto"/>
        <w:ind w:firstLine="420" w:firstLineChars="200"/>
        <w:jc w:val="both"/>
        <w:rPr>
          <w:rFonts w:hint="default" w:ascii="宋体" w:hAnsi="宋体" w:eastAsia="宋体" w:cs="Times New Roman"/>
          <w:kern w:val="0"/>
          <w:sz w:val="21"/>
          <w:szCs w:val="24"/>
          <w:highlight w:val="none"/>
        </w:rPr>
      </w:pPr>
      <w:r>
        <w:rPr>
          <w:rFonts w:hint="default" w:ascii="宋体" w:hAnsi="宋体" w:eastAsia="宋体" w:cs="Times New Roman"/>
          <w:kern w:val="0"/>
          <w:sz w:val="21"/>
          <w:szCs w:val="24"/>
          <w:highlight w:val="none"/>
        </w:rPr>
        <w:t>工程竣工后，按照《建设工程文件归档整理规范》（GB/T50328）、《风力发电企业科技文件归档与整理规范》（NB/T31021）最新版的要求向委托人移交工程监理范围内档案资料。</w:t>
      </w:r>
    </w:p>
    <w:p w14:paraId="7603856B">
      <w:pPr>
        <w:pStyle w:val="23"/>
        <w:kinsoku w:val="0"/>
        <w:overflowPunct w:val="0"/>
        <w:spacing w:line="360" w:lineRule="auto"/>
        <w:ind w:firstLine="420" w:firstLineChars="200"/>
        <w:jc w:val="both"/>
        <w:rPr>
          <w:rFonts w:hint="default" w:ascii="宋体" w:hAnsi="宋体" w:eastAsia="宋体" w:cs="Times New Roman"/>
          <w:kern w:val="0"/>
          <w:sz w:val="21"/>
          <w:szCs w:val="24"/>
          <w:highlight w:val="none"/>
        </w:rPr>
      </w:pPr>
      <w:r>
        <w:rPr>
          <w:rFonts w:hint="default" w:ascii="宋体" w:hAnsi="宋体" w:eastAsia="宋体" w:cs="Times New Roman"/>
          <w:kern w:val="0"/>
          <w:sz w:val="21"/>
          <w:szCs w:val="24"/>
          <w:highlight w:val="none"/>
        </w:rPr>
        <w:t>1.2.2 委托人提供的文件</w:t>
      </w:r>
    </w:p>
    <w:p w14:paraId="29882A5E">
      <w:pPr>
        <w:pStyle w:val="23"/>
        <w:kinsoku w:val="0"/>
        <w:overflowPunct w:val="0"/>
        <w:spacing w:line="360" w:lineRule="auto"/>
        <w:ind w:firstLine="420" w:firstLineChars="200"/>
        <w:jc w:val="both"/>
        <w:rPr>
          <w:rFonts w:hint="default" w:ascii="宋体" w:hAnsi="宋体" w:eastAsia="宋体" w:cs="Times New Roman"/>
          <w:kern w:val="0"/>
          <w:sz w:val="21"/>
          <w:szCs w:val="24"/>
          <w:highlight w:val="none"/>
        </w:rPr>
      </w:pPr>
      <w:r>
        <w:rPr>
          <w:rFonts w:hint="default" w:ascii="宋体" w:hAnsi="宋体" w:eastAsia="宋体" w:cs="Times New Roman"/>
          <w:kern w:val="0"/>
          <w:sz w:val="21"/>
          <w:szCs w:val="24"/>
          <w:highlight w:val="none"/>
        </w:rPr>
        <w:t>根据监理人满足项目建设需要分阶段逐步提供。</w:t>
      </w:r>
    </w:p>
    <w:p w14:paraId="69AC301E">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1.3联络</w:t>
      </w:r>
    </w:p>
    <w:p w14:paraId="7768270D">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1.3.1委托人和监理人联系信息</w:t>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p>
    <w:p w14:paraId="282F36AE">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委托人接收文件地点：</w:t>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p>
    <w:p w14:paraId="04EEF30C">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委托人指定接收人：</w:t>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p>
    <w:p w14:paraId="17BEEEC9">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委托人指定联系电话：</w:t>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p>
    <w:p w14:paraId="7BD70856">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委托人指定电子邮箱：</w:t>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p>
    <w:p w14:paraId="36E2D6E4">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监理人接收文件地点：</w:t>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p>
    <w:p w14:paraId="7610A2E1">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监理人指定接收人：</w:t>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p>
    <w:p w14:paraId="4EDF5057">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监理人指定联系电话：</w:t>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p>
    <w:p w14:paraId="6CC6D604">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监理人指定电子邮箱：</w:t>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r>
        <w:rPr>
          <w:rFonts w:hint="default" w:hAnsi="宋体"/>
          <w:sz w:val="21"/>
          <w:szCs w:val="24"/>
          <w:highlight w:val="none"/>
        </w:rPr>
        <w:tab/>
      </w:r>
    </w:p>
    <w:p w14:paraId="31DAE764">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书面文件送达后，双方办理签收手续。</w:t>
      </w:r>
    </w:p>
    <w:p w14:paraId="7C0D2C61">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1.4委托人要求</w:t>
      </w:r>
    </w:p>
    <w:p w14:paraId="75DEAA71">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1.4.1 监理人应认真阅读、复核委托人要求，发现错误的，应及时书面通知委托人。无论是否存在错误，委托人均有权修改委托人要求，并在修改后3日内通知监理人，由此导致监理人费用增加和(或)周期延误的，委托人延长周期但费用不增加。</w:t>
      </w:r>
    </w:p>
    <w:p w14:paraId="51CEE3F0">
      <w:pPr>
        <w:pStyle w:val="23"/>
        <w:kinsoku w:val="0"/>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1.4.2 若项目实施过程中需采用国外规范和标准进行监理，委托人不负责提供该规范和标准的外国文本和中文译本，由监理人自行办理。</w:t>
      </w:r>
    </w:p>
    <w:p w14:paraId="62A4B873">
      <w:pPr>
        <w:pStyle w:val="6"/>
        <w:spacing w:line="360" w:lineRule="auto"/>
        <w:jc w:val="both"/>
        <w:rPr>
          <w:rFonts w:hint="default" w:hAnsi="宋体"/>
          <w:sz w:val="21"/>
          <w:szCs w:val="24"/>
          <w:highlight w:val="none"/>
        </w:rPr>
      </w:pPr>
      <w:r>
        <w:rPr>
          <w:rFonts w:hint="default" w:hAnsi="宋体"/>
          <w:sz w:val="21"/>
          <w:szCs w:val="24"/>
          <w:highlight w:val="none"/>
        </w:rPr>
        <w:t>2.委托人义务</w:t>
      </w:r>
    </w:p>
    <w:p w14:paraId="603CC339">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2.1 发出开始监理通知</w:t>
      </w:r>
    </w:p>
    <w:p w14:paraId="12DA6DDD">
      <w:pPr>
        <w:spacing w:line="360" w:lineRule="auto"/>
        <w:ind w:firstLine="420"/>
        <w:rPr>
          <w:rFonts w:hint="default" w:hAnsi="宋体"/>
          <w:sz w:val="21"/>
          <w:szCs w:val="24"/>
          <w:highlight w:val="none"/>
        </w:rPr>
      </w:pPr>
      <w:r>
        <w:rPr>
          <w:rFonts w:hint="default" w:hAnsi="宋体"/>
          <w:sz w:val="21"/>
          <w:szCs w:val="24"/>
          <w:highlight w:val="none"/>
        </w:rPr>
        <w:t>委托人应按第6.1款的约定向监理人发出开始监理通知。</w:t>
      </w:r>
    </w:p>
    <w:p w14:paraId="2F13FA38">
      <w:pPr>
        <w:spacing w:line="360" w:lineRule="auto"/>
        <w:ind w:firstLine="420"/>
        <w:rPr>
          <w:rFonts w:hint="default" w:hAnsi="宋体"/>
          <w:sz w:val="21"/>
          <w:szCs w:val="24"/>
          <w:highlight w:val="none"/>
        </w:rPr>
      </w:pPr>
      <w:r>
        <w:rPr>
          <w:rFonts w:hint="default" w:hAnsi="宋体"/>
          <w:sz w:val="21"/>
          <w:szCs w:val="24"/>
          <w:highlight w:val="none"/>
        </w:rPr>
        <w:t>委托人应为监理人在施工期间提供的便利条件详见第五章第五“委托人提供的便利条件”。</w:t>
      </w:r>
    </w:p>
    <w:p w14:paraId="158DCF8D">
      <w:pPr>
        <w:pStyle w:val="6"/>
        <w:spacing w:line="360" w:lineRule="auto"/>
        <w:jc w:val="both"/>
        <w:rPr>
          <w:rFonts w:hint="default" w:hAnsi="宋体"/>
          <w:sz w:val="21"/>
          <w:szCs w:val="24"/>
          <w:highlight w:val="none"/>
        </w:rPr>
      </w:pPr>
      <w:r>
        <w:rPr>
          <w:rFonts w:hint="default" w:hAnsi="宋体"/>
          <w:sz w:val="21"/>
          <w:szCs w:val="24"/>
          <w:highlight w:val="none"/>
        </w:rPr>
        <w:t>3.委托人管理</w:t>
      </w:r>
    </w:p>
    <w:p w14:paraId="280E5961">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3.1. 委托人代表</w:t>
      </w:r>
    </w:p>
    <w:p w14:paraId="7FDAC54D">
      <w:pPr>
        <w:pStyle w:val="7"/>
        <w:spacing w:line="360" w:lineRule="auto"/>
        <w:ind w:left="0" w:firstLine="0"/>
        <w:rPr>
          <w:rFonts w:hint="default" w:hAnsi="宋体"/>
          <w:sz w:val="21"/>
          <w:szCs w:val="24"/>
          <w:highlight w:val="none"/>
        </w:rPr>
      </w:pPr>
      <w:r>
        <w:rPr>
          <w:rFonts w:hint="default" w:hAnsi="宋体"/>
          <w:sz w:val="21"/>
          <w:szCs w:val="24"/>
          <w:highlight w:val="none"/>
        </w:rPr>
        <w:t xml:space="preserve">    </w:t>
      </w:r>
      <w:r>
        <w:rPr>
          <w:rFonts w:hint="default" w:hAnsi="宋体" w:asciiTheme="minorHAnsi" w:eastAsiaTheme="minorEastAsia" w:cstheme="minorBidi"/>
          <w:kern w:val="2"/>
          <w:sz w:val="21"/>
          <w:szCs w:val="24"/>
          <w:highlight w:val="none"/>
        </w:rPr>
        <w:t>委托人应在合同签订后14天内，将委托人代表的姓名、职务、联系方式、授权范围和授权期限书面通知监理人，由委托人代表在其授权范围和授权期限内，代表委托人行使权利、履行义务和处理合同履行中的具体事宜。</w:t>
      </w:r>
    </w:p>
    <w:p w14:paraId="3282D397">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3.2  决定或答复</w:t>
      </w:r>
    </w:p>
    <w:p w14:paraId="6D388076">
      <w:pPr>
        <w:pStyle w:val="7"/>
        <w:spacing w:line="360" w:lineRule="auto"/>
        <w:ind w:left="0" w:firstLine="420" w:firstLineChars="200"/>
        <w:rPr>
          <w:rFonts w:hint="default" w:hAnsi="宋体" w:asciiTheme="minorHAnsi" w:eastAsiaTheme="minorEastAsia" w:cstheme="minorBidi"/>
          <w:kern w:val="2"/>
          <w:sz w:val="21"/>
          <w:szCs w:val="24"/>
          <w:highlight w:val="none"/>
        </w:rPr>
      </w:pPr>
      <w:r>
        <w:rPr>
          <w:rFonts w:hint="default" w:hAnsi="宋体" w:asciiTheme="minorHAnsi" w:eastAsiaTheme="minorEastAsia" w:cstheme="minorBidi"/>
          <w:kern w:val="2"/>
          <w:sz w:val="21"/>
          <w:szCs w:val="24"/>
          <w:highlight w:val="none"/>
        </w:rPr>
        <w:t>委托人应在收到监理人书面提交的事项10个工作日内对监理人书面提交并要求做出答复的事宜做出书面答复，委托人未能及时答复的，双方商议解决。监理人不得以委托人逾期未答复造成的工作延误和损失向委托人提出索赔。</w:t>
      </w:r>
    </w:p>
    <w:p w14:paraId="40E077CC">
      <w:pPr>
        <w:pStyle w:val="6"/>
        <w:spacing w:line="360" w:lineRule="auto"/>
        <w:jc w:val="both"/>
        <w:rPr>
          <w:rFonts w:hint="default" w:hAnsi="宋体"/>
          <w:sz w:val="21"/>
          <w:szCs w:val="24"/>
          <w:highlight w:val="none"/>
        </w:rPr>
      </w:pPr>
      <w:r>
        <w:rPr>
          <w:rFonts w:hint="default" w:hAnsi="宋体"/>
          <w:sz w:val="21"/>
          <w:szCs w:val="24"/>
          <w:highlight w:val="none"/>
        </w:rPr>
        <w:t>4.监理人义务</w:t>
      </w:r>
    </w:p>
    <w:p w14:paraId="6ACC4CA6">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4.1 监理人一般义务</w:t>
      </w:r>
    </w:p>
    <w:p w14:paraId="21982BD4">
      <w:pPr>
        <w:pStyle w:val="23"/>
        <w:kinsoku w:val="0"/>
        <w:overflowPunct w:val="0"/>
        <w:spacing w:line="360" w:lineRule="auto"/>
        <w:jc w:val="both"/>
        <w:rPr>
          <w:rFonts w:hint="default" w:hAnsi="宋体"/>
          <w:sz w:val="21"/>
          <w:szCs w:val="24"/>
          <w:highlight w:val="none"/>
        </w:rPr>
      </w:pPr>
      <w:r>
        <w:rPr>
          <w:rFonts w:hint="default" w:hAnsi="宋体"/>
          <w:sz w:val="21"/>
          <w:szCs w:val="24"/>
          <w:highlight w:val="none"/>
        </w:rPr>
        <w:t>4.1.1其他义务</w:t>
      </w:r>
    </w:p>
    <w:p w14:paraId="6612C76C">
      <w:pPr>
        <w:pStyle w:val="23"/>
        <w:kinsoku w:val="0"/>
        <w:overflowPunct w:val="0"/>
        <w:spacing w:line="360" w:lineRule="auto"/>
        <w:jc w:val="both"/>
        <w:rPr>
          <w:rFonts w:hint="default" w:hAnsi="宋体"/>
          <w:sz w:val="21"/>
          <w:szCs w:val="24"/>
          <w:highlight w:val="none"/>
        </w:rPr>
      </w:pPr>
      <w:r>
        <w:rPr>
          <w:rFonts w:hint="default" w:hAnsi="宋体"/>
          <w:sz w:val="21"/>
          <w:szCs w:val="24"/>
          <w:highlight w:val="none"/>
        </w:rPr>
        <w:t>监理人除按合同专用条款约定的全部工作内容及委托人要求外，还应包含如下义务：</w:t>
      </w:r>
    </w:p>
    <w:p w14:paraId="008BDB02">
      <w:pPr>
        <w:pStyle w:val="23"/>
        <w:kinsoku w:val="0"/>
        <w:overflowPunct w:val="0"/>
        <w:spacing w:line="360" w:lineRule="auto"/>
        <w:jc w:val="both"/>
        <w:rPr>
          <w:rFonts w:hint="default" w:hAnsi="宋体"/>
          <w:sz w:val="21"/>
          <w:szCs w:val="24"/>
          <w:highlight w:val="none"/>
        </w:rPr>
      </w:pPr>
      <w:r>
        <w:rPr>
          <w:rFonts w:hint="default" w:hAnsi="宋体"/>
          <w:sz w:val="21"/>
          <w:szCs w:val="24"/>
          <w:highlight w:val="none"/>
        </w:rPr>
        <w:t>4.1.1.1 测量仪器：由监理人负责，测量仪器维护、维修、检测等由监理人承担，委托人不再另行支付费用，测量仪器精度必须满足工程监理精度要求，否则委托人有权要求监理人更换性能精度符合要求的仪器，其相关的费用全部由监理人承担。</w:t>
      </w:r>
    </w:p>
    <w:p w14:paraId="6180C437">
      <w:pPr>
        <w:pStyle w:val="23"/>
        <w:kinsoku w:val="0"/>
        <w:overflowPunct w:val="0"/>
        <w:spacing w:line="360" w:lineRule="auto"/>
        <w:jc w:val="both"/>
        <w:rPr>
          <w:rFonts w:hint="default" w:hAnsi="宋体"/>
          <w:sz w:val="21"/>
          <w:szCs w:val="24"/>
          <w:highlight w:val="none"/>
        </w:rPr>
      </w:pPr>
      <w:r>
        <w:rPr>
          <w:rFonts w:hint="default" w:hAnsi="宋体"/>
          <w:sz w:val="21"/>
          <w:szCs w:val="24"/>
          <w:highlight w:val="none"/>
        </w:rPr>
        <w:t>4.1.1.2检测试验费用：为实现本项目监理工作所需的检测试验和检验费用由监理人负责，检验试验抽检量按照国家的规范和规定执行。当监理人对施工方报送的检测试验结果产生异议时，可以要求施工方向具有资质的检测试验机构重新送检，其费用由施工方负责。</w:t>
      </w:r>
    </w:p>
    <w:p w14:paraId="0AD4DF36">
      <w:pPr>
        <w:pStyle w:val="23"/>
        <w:kinsoku w:val="0"/>
        <w:overflowPunct w:val="0"/>
        <w:spacing w:line="360" w:lineRule="auto"/>
        <w:jc w:val="both"/>
        <w:rPr>
          <w:rFonts w:hint="default" w:hAnsi="宋体"/>
          <w:sz w:val="21"/>
          <w:szCs w:val="24"/>
          <w:highlight w:val="none"/>
        </w:rPr>
      </w:pPr>
      <w:r>
        <w:rPr>
          <w:rFonts w:hint="default" w:hAnsi="宋体"/>
          <w:sz w:val="21"/>
          <w:szCs w:val="24"/>
          <w:highlight w:val="none"/>
        </w:rPr>
        <w:t>4.2总监理工程师</w:t>
      </w:r>
    </w:p>
    <w:p w14:paraId="4769DA1B">
      <w:pPr>
        <w:pStyle w:val="23"/>
        <w:kinsoku w:val="0"/>
        <w:overflowPunct w:val="0"/>
        <w:spacing w:line="360" w:lineRule="auto"/>
        <w:jc w:val="both"/>
        <w:rPr>
          <w:rFonts w:hint="default" w:hAnsi="宋体"/>
          <w:sz w:val="21"/>
          <w:szCs w:val="24"/>
          <w:highlight w:val="none"/>
        </w:rPr>
      </w:pPr>
      <w:r>
        <w:rPr>
          <w:rFonts w:hint="default" w:hAnsi="宋体"/>
          <w:sz w:val="21"/>
          <w:szCs w:val="24"/>
          <w:highlight w:val="none"/>
        </w:rPr>
        <w:t xml:space="preserve">4.2.1 总监理工程师为：      ，联系电话：     电子邮箱：      </w:t>
      </w:r>
    </w:p>
    <w:p w14:paraId="7F846C59">
      <w:pPr>
        <w:pStyle w:val="23"/>
        <w:kinsoku w:val="0"/>
        <w:overflowPunct w:val="0"/>
        <w:spacing w:line="360" w:lineRule="auto"/>
        <w:jc w:val="both"/>
        <w:rPr>
          <w:rFonts w:hint="default" w:hAnsi="宋体"/>
          <w:sz w:val="21"/>
          <w:szCs w:val="24"/>
          <w:highlight w:val="none"/>
        </w:rPr>
      </w:pPr>
      <w:r>
        <w:rPr>
          <w:rFonts w:hint="default" w:hAnsi="宋体"/>
          <w:sz w:val="21"/>
          <w:szCs w:val="24"/>
          <w:highlight w:val="none"/>
        </w:rPr>
        <w:t>4.3 监理人员及社保仪器的管理</w:t>
      </w:r>
    </w:p>
    <w:p w14:paraId="408B89E6">
      <w:pPr>
        <w:pStyle w:val="23"/>
        <w:kinsoku w:val="0"/>
        <w:overflowPunct w:val="0"/>
        <w:spacing w:line="360" w:lineRule="auto"/>
        <w:jc w:val="both"/>
        <w:rPr>
          <w:rFonts w:hint="default" w:hAnsi="宋体"/>
          <w:sz w:val="21"/>
          <w:szCs w:val="24"/>
          <w:highlight w:val="none"/>
        </w:rPr>
      </w:pPr>
      <w:r>
        <w:rPr>
          <w:rFonts w:hint="default" w:hAnsi="宋体"/>
          <w:sz w:val="21"/>
          <w:szCs w:val="24"/>
          <w:highlight w:val="none"/>
        </w:rPr>
        <w:t>4.3.1项目组人员：</w:t>
      </w:r>
    </w:p>
    <w:p w14:paraId="2BB5BB8B">
      <w:pPr>
        <w:keepNext w:val="0"/>
        <w:keepLines w:val="0"/>
        <w:pageBreakBefore w:val="0"/>
        <w:widowControl w:val="0"/>
        <w:kinsoku/>
        <w:wordWrap/>
        <w:overflowPunct/>
        <w:topLinePunct w:val="0"/>
        <w:autoSpaceDE/>
        <w:autoSpaceDN/>
        <w:bidi w:val="0"/>
        <w:adjustRightInd/>
        <w:snapToGrid/>
        <w:spacing w:beforeAutospacing="0" w:after="200" w:line="360" w:lineRule="auto"/>
        <w:ind w:firstLine="420" w:firstLineChars="200"/>
        <w:textAlignment w:val="auto"/>
        <w:rPr>
          <w:rFonts w:hint="eastAsia" w:ascii="宋体" w:hAnsi="宋体" w:eastAsia="宋体" w:cs="宋体"/>
          <w:bCs/>
          <w:color w:val="000000" w:themeColor="text1"/>
          <w:szCs w:val="21"/>
          <w:highlight w:val="none"/>
          <w:lang w:val="en-US" w:eastAsia="zh-CN"/>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常驻项目监理人员如下：</w:t>
      </w:r>
    </w:p>
    <w:p w14:paraId="5003AC66">
      <w:pPr>
        <w:keepNext w:val="0"/>
        <w:keepLines w:val="0"/>
        <w:pageBreakBefore w:val="0"/>
        <w:widowControl w:val="0"/>
        <w:kinsoku/>
        <w:wordWrap/>
        <w:overflowPunct/>
        <w:topLinePunct w:val="0"/>
        <w:autoSpaceDE/>
        <w:autoSpaceDN/>
        <w:bidi w:val="0"/>
        <w:adjustRightInd/>
        <w:snapToGrid/>
        <w:spacing w:beforeAutospacing="0" w:after="200" w:line="360" w:lineRule="auto"/>
        <w:ind w:firstLine="420" w:firstLineChars="200"/>
        <w:textAlignment w:val="auto"/>
        <w:rPr>
          <w:rFonts w:hint="eastAsia" w:ascii="宋体" w:hAnsi="宋体" w:eastAsia="宋体" w:cs="宋体"/>
          <w:bCs/>
          <w:color w:val="000000" w:themeColor="text1"/>
          <w:szCs w:val="21"/>
          <w:highlight w:val="none"/>
          <w:lang w:val="en-US" w:eastAsia="zh-CN"/>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（1）总监理工程师：</w:t>
      </w:r>
      <w:r>
        <w:rPr>
          <w:rFonts w:hint="eastAsia" w:ascii="宋体" w:hAnsi="宋体" w:eastAsia="宋体" w:cs="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Cs w:val="21"/>
          <w:highlight w:val="none"/>
          <w:lang w:val="en-US" w:eastAsia="zh-CN"/>
          <w14:textFill>
            <w14:solidFill>
              <w14:schemeClr w14:val="tx1"/>
            </w14:solidFill>
          </w14:textFill>
        </w:rPr>
        <w:t>，国家注册监理工程师证书编号：</w:t>
      </w:r>
      <w:r>
        <w:rPr>
          <w:rFonts w:hint="eastAsia" w:ascii="宋体" w:hAnsi="宋体" w:eastAsia="宋体" w:cs="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Cs w:val="21"/>
          <w:highlight w:val="none"/>
          <w:lang w:val="en-US" w:eastAsia="zh-CN"/>
          <w14:textFill>
            <w14:solidFill>
              <w14:schemeClr w14:val="tx1"/>
            </w14:solidFill>
          </w14:textFill>
        </w:rPr>
        <w:t>；</w:t>
      </w:r>
    </w:p>
    <w:p w14:paraId="7FE6E3D8">
      <w:pPr>
        <w:keepNext w:val="0"/>
        <w:keepLines w:val="0"/>
        <w:pageBreakBefore w:val="0"/>
        <w:widowControl w:val="0"/>
        <w:kinsoku/>
        <w:wordWrap/>
        <w:overflowPunct/>
        <w:topLinePunct w:val="0"/>
        <w:autoSpaceDE/>
        <w:autoSpaceDN/>
        <w:bidi w:val="0"/>
        <w:adjustRightInd/>
        <w:snapToGrid/>
        <w:spacing w:beforeAutospacing="0" w:after="200" w:line="360" w:lineRule="auto"/>
        <w:ind w:firstLine="420" w:firstLineChars="200"/>
        <w:textAlignment w:val="auto"/>
        <w:rPr>
          <w:rFonts w:hint="eastAsia" w:ascii="宋体" w:hAnsi="宋体" w:eastAsia="宋体" w:cs="宋体"/>
          <w:bCs/>
          <w:color w:val="000000" w:themeColor="text1"/>
          <w:szCs w:val="21"/>
          <w:highlight w:val="none"/>
          <w:lang w:val="en-US" w:eastAsia="zh-CN"/>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（2）土建专监：</w:t>
      </w:r>
      <w:r>
        <w:rPr>
          <w:rFonts w:hint="eastAsia" w:ascii="宋体" w:hAnsi="宋体" w:eastAsia="宋体" w:cs="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Cs w:val="21"/>
          <w:highlight w:val="none"/>
          <w:lang w:val="en-US" w:eastAsia="zh-CN"/>
          <w14:textFill>
            <w14:solidFill>
              <w14:schemeClr w14:val="tx1"/>
            </w14:solidFill>
          </w14:textFill>
        </w:rPr>
        <w:t>，证书编号：</w:t>
      </w:r>
      <w:r>
        <w:rPr>
          <w:rFonts w:hint="eastAsia" w:ascii="宋体" w:hAnsi="宋体" w:eastAsia="宋体" w:cs="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Cs w:val="21"/>
          <w:highlight w:val="none"/>
          <w:lang w:val="en-US" w:eastAsia="zh-CN"/>
          <w14:textFill>
            <w14:solidFill>
              <w14:schemeClr w14:val="tx1"/>
            </w14:solidFill>
          </w14:textFill>
        </w:rPr>
        <w:t>；</w:t>
      </w:r>
    </w:p>
    <w:p w14:paraId="523827EA">
      <w:pPr>
        <w:keepNext w:val="0"/>
        <w:keepLines w:val="0"/>
        <w:pageBreakBefore w:val="0"/>
        <w:widowControl w:val="0"/>
        <w:kinsoku/>
        <w:wordWrap/>
        <w:overflowPunct/>
        <w:topLinePunct w:val="0"/>
        <w:autoSpaceDE/>
        <w:autoSpaceDN/>
        <w:bidi w:val="0"/>
        <w:adjustRightInd/>
        <w:snapToGrid/>
        <w:spacing w:beforeAutospacing="0" w:after="200" w:line="360" w:lineRule="auto"/>
        <w:ind w:firstLine="420" w:firstLineChars="200"/>
        <w:textAlignment w:val="auto"/>
        <w:rPr>
          <w:rFonts w:hint="eastAsia" w:ascii="宋体" w:hAnsi="宋体" w:eastAsia="宋体" w:cs="宋体"/>
          <w:bCs/>
          <w:color w:val="000000" w:themeColor="text1"/>
          <w:szCs w:val="21"/>
          <w:highlight w:val="none"/>
          <w:lang w:val="en-US" w:eastAsia="zh-CN"/>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（3）机电专监：</w:t>
      </w:r>
      <w:r>
        <w:rPr>
          <w:rFonts w:hint="eastAsia" w:ascii="宋体" w:hAnsi="宋体" w:eastAsia="宋体" w:cs="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Cs w:val="21"/>
          <w:highlight w:val="none"/>
          <w:lang w:val="en-US" w:eastAsia="zh-CN"/>
          <w14:textFill>
            <w14:solidFill>
              <w14:schemeClr w14:val="tx1"/>
            </w14:solidFill>
          </w14:textFill>
        </w:rPr>
        <w:t>，证书编号：</w:t>
      </w:r>
      <w:r>
        <w:rPr>
          <w:rFonts w:hint="eastAsia" w:ascii="宋体" w:hAnsi="宋体" w:eastAsia="宋体" w:cs="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Cs w:val="21"/>
          <w:highlight w:val="none"/>
          <w:lang w:val="en-US" w:eastAsia="zh-CN"/>
          <w14:textFill>
            <w14:solidFill>
              <w14:schemeClr w14:val="tx1"/>
            </w14:solidFill>
          </w14:textFill>
        </w:rPr>
        <w:t>；</w:t>
      </w:r>
    </w:p>
    <w:p w14:paraId="33D1CABA">
      <w:pPr>
        <w:keepNext w:val="0"/>
        <w:keepLines w:val="0"/>
        <w:pageBreakBefore w:val="0"/>
        <w:widowControl w:val="0"/>
        <w:kinsoku/>
        <w:wordWrap/>
        <w:overflowPunct/>
        <w:topLinePunct w:val="0"/>
        <w:autoSpaceDE/>
        <w:autoSpaceDN/>
        <w:bidi w:val="0"/>
        <w:adjustRightInd/>
        <w:snapToGrid/>
        <w:spacing w:beforeAutospacing="0" w:after="200" w:line="360" w:lineRule="auto"/>
        <w:ind w:firstLine="420" w:firstLineChars="200"/>
        <w:textAlignment w:val="auto"/>
        <w:rPr>
          <w:rFonts w:hint="eastAsia" w:ascii="宋体" w:hAnsi="宋体" w:eastAsia="宋体" w:cs="宋体"/>
          <w:bCs/>
          <w:color w:val="000000" w:themeColor="text1"/>
          <w:szCs w:val="21"/>
          <w:highlight w:val="none"/>
          <w:lang w:val="en-US" w:eastAsia="zh-CN"/>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（4）安全专监：</w:t>
      </w:r>
    </w:p>
    <w:p w14:paraId="54C1A441">
      <w:pPr>
        <w:keepNext w:val="0"/>
        <w:keepLines w:val="0"/>
        <w:pageBreakBefore w:val="0"/>
        <w:widowControl w:val="0"/>
        <w:kinsoku/>
        <w:wordWrap/>
        <w:overflowPunct/>
        <w:topLinePunct w:val="0"/>
        <w:autoSpaceDE/>
        <w:autoSpaceDN/>
        <w:bidi w:val="0"/>
        <w:adjustRightInd/>
        <w:snapToGrid/>
        <w:spacing w:beforeAutospacing="0" w:after="200" w:line="360" w:lineRule="auto"/>
        <w:ind w:firstLine="420" w:firstLineChars="200"/>
        <w:textAlignment w:val="auto"/>
        <w:rPr>
          <w:rFonts w:hint="eastAsia" w:ascii="宋体" w:hAnsi="宋体" w:eastAsia="宋体" w:cs="宋体"/>
          <w:bCs/>
          <w:color w:val="000000" w:themeColor="text1"/>
          <w:szCs w:val="21"/>
          <w:highlight w:val="none"/>
          <w:lang w:val="en-US" w:eastAsia="zh-CN"/>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（5）合同管理专监：</w:t>
      </w:r>
    </w:p>
    <w:p w14:paraId="134F19F9">
      <w:pPr>
        <w:keepNext w:val="0"/>
        <w:keepLines w:val="0"/>
        <w:pageBreakBefore w:val="0"/>
        <w:widowControl w:val="0"/>
        <w:kinsoku/>
        <w:wordWrap/>
        <w:overflowPunct/>
        <w:topLinePunct w:val="0"/>
        <w:autoSpaceDE/>
        <w:autoSpaceDN/>
        <w:bidi w:val="0"/>
        <w:adjustRightInd/>
        <w:snapToGrid/>
        <w:spacing w:beforeAutospacing="0" w:after="200" w:line="360" w:lineRule="auto"/>
        <w:ind w:firstLine="420" w:firstLineChars="200"/>
        <w:textAlignment w:val="auto"/>
        <w:rPr>
          <w:rFonts w:hint="eastAsia" w:ascii="宋体" w:hAnsi="宋体" w:eastAsia="宋体" w:cs="宋体"/>
          <w:bCs/>
          <w:color w:val="000000" w:themeColor="text1"/>
          <w:szCs w:val="21"/>
          <w:highlight w:val="none"/>
          <w:lang w:val="en-US" w:eastAsia="zh-CN"/>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（6）测量专监：</w:t>
      </w:r>
    </w:p>
    <w:p w14:paraId="38AD1A4C">
      <w:pPr>
        <w:keepNext w:val="0"/>
        <w:keepLines w:val="0"/>
        <w:pageBreakBefore w:val="0"/>
        <w:widowControl w:val="0"/>
        <w:kinsoku/>
        <w:wordWrap/>
        <w:overflowPunct/>
        <w:topLinePunct w:val="0"/>
        <w:autoSpaceDE/>
        <w:autoSpaceDN/>
        <w:bidi w:val="0"/>
        <w:adjustRightInd/>
        <w:snapToGrid/>
        <w:spacing w:beforeAutospacing="0" w:after="200" w:line="360" w:lineRule="auto"/>
        <w:ind w:firstLine="420" w:firstLineChars="200"/>
        <w:textAlignment w:val="auto"/>
        <w:rPr>
          <w:rFonts w:hint="eastAsia" w:ascii="宋体" w:hAnsi="宋体" w:eastAsia="宋体" w:cs="宋体"/>
          <w:bCs/>
          <w:color w:val="000000" w:themeColor="text1"/>
          <w:szCs w:val="21"/>
          <w:highlight w:val="none"/>
          <w:lang w:val="en-US" w:eastAsia="zh-CN"/>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（7）资料员：</w:t>
      </w:r>
    </w:p>
    <w:p w14:paraId="2688605B">
      <w:pPr>
        <w:kinsoku/>
        <w:overflowPunct/>
        <w:spacing w:after="200"/>
        <w:ind w:firstLine="420" w:firstLineChars="200"/>
        <w:jc w:val="both"/>
        <w:rPr>
          <w:rFonts w:hint="default" w:hAnsi="宋体"/>
          <w:sz w:val="21"/>
          <w:szCs w:val="24"/>
          <w:highlight w:val="none"/>
        </w:rPr>
      </w:pPr>
      <w:r>
        <w:rPr>
          <w:rFonts w:hint="eastAsia" w:ascii="宋体" w:hAnsi="宋体" w:eastAsia="宋体" w:cs="宋体"/>
          <w:bCs/>
          <w:color w:val="000000" w:themeColor="text1"/>
          <w:szCs w:val="21"/>
          <w:highlight w:val="none"/>
          <w:lang w:val="en-US" w:eastAsia="zh-CN"/>
          <w14:textFill>
            <w14:solidFill>
              <w14:schemeClr w14:val="tx1"/>
            </w14:solidFill>
          </w14:textFill>
        </w:rPr>
        <w:t>其它专业监理人员根据现场实际工程情况和委托人的要求及时到场。</w:t>
      </w:r>
      <w:r>
        <w:rPr>
          <w:rFonts w:hint="default" w:hAnsi="宋体"/>
          <w:sz w:val="21"/>
          <w:szCs w:val="24"/>
          <w:highlight w:val="none"/>
        </w:rPr>
        <w:t>具备与本项目相适应的任职条件和工作技能满足不同施工阶段的监理需求。</w:t>
      </w:r>
    </w:p>
    <w:p w14:paraId="124FAE59">
      <w:pPr>
        <w:pStyle w:val="23"/>
        <w:kinsoku w:val="0"/>
        <w:overflowPunct w:val="0"/>
        <w:spacing w:line="360" w:lineRule="auto"/>
        <w:jc w:val="both"/>
        <w:rPr>
          <w:rFonts w:hint="default" w:hAnsi="宋体"/>
          <w:sz w:val="21"/>
          <w:szCs w:val="24"/>
          <w:highlight w:val="none"/>
        </w:rPr>
      </w:pPr>
      <w:r>
        <w:rPr>
          <w:rFonts w:hint="default" w:hAnsi="宋体"/>
          <w:sz w:val="21"/>
          <w:szCs w:val="24"/>
          <w:highlight w:val="none"/>
        </w:rPr>
        <w:t>4.3.2监理人员人数</w:t>
      </w:r>
    </w:p>
    <w:p w14:paraId="2485E15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本项目施工期至少投入总人月数：</w:t>
      </w:r>
      <w:r>
        <w:rPr>
          <w:rFonts w:hint="eastAsia" w:hAnsi="宋体"/>
          <w:sz w:val="21"/>
          <w:szCs w:val="24"/>
          <w:highlight w:val="none"/>
          <w:lang w:val="en-US" w:eastAsia="zh-CN"/>
        </w:rPr>
        <w:t xml:space="preserve">  </w:t>
      </w:r>
      <w:r>
        <w:rPr>
          <w:rFonts w:hint="default" w:hAnsi="宋体"/>
          <w:sz w:val="21"/>
          <w:szCs w:val="24"/>
          <w:highlight w:val="none"/>
        </w:rPr>
        <w:t>人月</w:t>
      </w:r>
    </w:p>
    <w:p w14:paraId="7438E16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以上规定的人月数为最低配置要求，实际人月数由投标人根据监理工作及施工进度自行研究确定，并在投标文件中明确，将作为评标的重要因素。为免混淆，特此说明: 1人月指每人在现场工作一个日历月。</w:t>
      </w:r>
    </w:p>
    <w:p w14:paraId="314DA74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4.3.3本项目配备的专业监理工程师必须为本单位人员，无法定允许的情况下不得更换；（监理人员进场时应根据投标文件向委托人提供项目监理人员的身份证、执／从业资格证或上岗证、社保证明或劳动合同扫描件）。</w:t>
      </w:r>
    </w:p>
    <w:p w14:paraId="799C2A3E">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其它专业监理人员根据现场实际工程情况和委托人的要求及时到场。</w:t>
      </w:r>
    </w:p>
    <w:p w14:paraId="69715C6A">
      <w:pPr>
        <w:ind w:firstLine="420" w:firstLineChars="200"/>
        <w:rPr>
          <w:rFonts w:hint="default" w:hAnsi="宋体"/>
          <w:sz w:val="21"/>
          <w:szCs w:val="24"/>
          <w:highlight w:val="none"/>
        </w:rPr>
      </w:pPr>
      <w:r>
        <w:rPr>
          <w:rFonts w:hint="default" w:hAnsi="宋体"/>
          <w:sz w:val="21"/>
          <w:szCs w:val="24"/>
          <w:highlight w:val="none"/>
        </w:rPr>
        <w:t>4.3.4设备、仪器</w:t>
      </w:r>
    </w:p>
    <w:p w14:paraId="3A6E093B">
      <w:pPr>
        <w:widowControl/>
        <w:spacing w:line="360" w:lineRule="auto"/>
        <w:ind w:firstLine="420" w:firstLineChars="200"/>
        <w:rPr>
          <w:rFonts w:hint="default" w:hAnsi="宋体" w:eastAsia="宋体"/>
          <w:sz w:val="21"/>
          <w:szCs w:val="24"/>
          <w:highlight w:val="none"/>
          <w:lang w:eastAsia="zh-CN"/>
        </w:rPr>
      </w:pPr>
      <w:r>
        <w:rPr>
          <w:rFonts w:hint="default" w:hAnsi="宋体"/>
          <w:sz w:val="21"/>
          <w:szCs w:val="24"/>
          <w:highlight w:val="none"/>
        </w:rPr>
        <w:t>根据现场实际工程情况和委托人的要求</w:t>
      </w:r>
      <w:r>
        <w:rPr>
          <w:rFonts w:hint="default" w:hAnsi="宋体"/>
          <w:sz w:val="21"/>
          <w:szCs w:val="24"/>
          <w:highlight w:val="none"/>
          <w:lang w:val="en-US" w:eastAsia="zh-CN"/>
        </w:rPr>
        <w:t>配备，满足现场监理</w:t>
      </w:r>
      <w:r>
        <w:rPr>
          <w:rFonts w:hint="eastAsia" w:ascii="Times New Roman" w:hAnsi="宋体" w:eastAsia="宋体" w:cs="Times New Roman"/>
          <w:sz w:val="21"/>
          <w:szCs w:val="24"/>
          <w:highlight w:val="none"/>
          <w:lang w:val="en-US" w:eastAsia="zh-CN"/>
        </w:rPr>
        <w:t>工作</w:t>
      </w:r>
      <w:r>
        <w:rPr>
          <w:rFonts w:hint="default" w:hAnsi="宋体"/>
          <w:sz w:val="21"/>
          <w:szCs w:val="24"/>
          <w:highlight w:val="none"/>
          <w:lang w:val="en-US" w:eastAsia="zh-CN"/>
        </w:rPr>
        <w:t>要求</w:t>
      </w:r>
      <w:r>
        <w:rPr>
          <w:rFonts w:hint="eastAsia" w:ascii="Times New Roman" w:hAnsi="宋体" w:eastAsia="宋体" w:cs="Times New Roman"/>
          <w:sz w:val="21"/>
          <w:szCs w:val="24"/>
          <w:highlight w:val="none"/>
          <w:lang w:val="en-US" w:eastAsia="zh-CN"/>
        </w:rPr>
        <w:t>。</w:t>
      </w:r>
    </w:p>
    <w:p w14:paraId="5104ADAE">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4.4 撤换总监理工程师和其他人员</w:t>
      </w:r>
    </w:p>
    <w:p w14:paraId="58E12A3A">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4.4.1  在合同生效期间，监理人不得随意更换小组人员。若在项目实施过程中，如有特殊原因确需做出监理人员调整，须提前30日书面通知委托人并经委托人书面同意或允许方可更换。</w:t>
      </w:r>
    </w:p>
    <w:p w14:paraId="15D5BD5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4.4.2 当派驻现场人员短期无法满足现场需要，委托人有权利要求监理人及时加派驻工地现场监理人员，确保工作按时完成，监理费用不再另行增加。</w:t>
      </w:r>
    </w:p>
    <w:p w14:paraId="7FAE74E5">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4.4.3  委托人有权要求监理人更换监理小组中业务能力较低、工作出现重大失误或配合不力的监理人员。监理人应接到委托人通知后5日内及时更换监理人员，并一并提供更换监理人员的资质证明文件、劳动合同、社保证明等文件。</w:t>
      </w:r>
    </w:p>
    <w:p w14:paraId="54283D94">
      <w:pPr>
        <w:pStyle w:val="23"/>
        <w:kinsoku w:val="0"/>
        <w:overflowPunct/>
        <w:ind w:firstLineChars="200"/>
        <w:rPr>
          <w:rFonts w:hint="default" w:hAnsi="宋体" w:cstheme="minorBidi"/>
          <w:b/>
          <w:sz w:val="21"/>
          <w:szCs w:val="24"/>
          <w:highlight w:val="none"/>
        </w:rPr>
      </w:pPr>
      <w:r>
        <w:rPr>
          <w:rFonts w:hint="default" w:hAnsi="宋体" w:cstheme="minorBidi"/>
          <w:b/>
          <w:sz w:val="21"/>
          <w:szCs w:val="24"/>
          <w:highlight w:val="none"/>
        </w:rPr>
        <w:t>4.5履约担保</w:t>
      </w:r>
    </w:p>
    <w:p w14:paraId="6872AB97">
      <w:pPr>
        <w:overflowPunct w:val="0"/>
        <w:spacing w:line="360" w:lineRule="auto"/>
        <w:ind w:firstLine="420" w:firstLineChars="200"/>
        <w:rPr>
          <w:rFonts w:hint="default" w:hAnsi="宋体" w:cs="宋体"/>
          <w:sz w:val="21"/>
          <w:szCs w:val="24"/>
          <w:highlight w:val="none"/>
        </w:rPr>
      </w:pPr>
      <w:r>
        <w:rPr>
          <w:rFonts w:hint="default" w:hAnsi="宋体" w:cs="宋体"/>
          <w:sz w:val="21"/>
          <w:szCs w:val="24"/>
          <w:highlight w:val="none"/>
        </w:rPr>
        <w:t>履约担保及有效期：合同签订后15天内，监理人向委托人开具合同价格10%的履约保函作为履约担保。</w:t>
      </w:r>
    </w:p>
    <w:p w14:paraId="455F7970">
      <w:pPr>
        <w:overflowPunct w:val="0"/>
        <w:spacing w:line="360" w:lineRule="auto"/>
        <w:ind w:firstLine="420" w:firstLineChars="200"/>
        <w:rPr>
          <w:rFonts w:hint="default" w:hAnsi="宋体" w:cs="宋体"/>
          <w:sz w:val="21"/>
          <w:szCs w:val="24"/>
          <w:highlight w:val="none"/>
          <w:u w:val="single"/>
        </w:rPr>
      </w:pPr>
      <w:r>
        <w:rPr>
          <w:rFonts w:hint="default" w:hAnsi="宋体" w:cs="宋体"/>
          <w:sz w:val="21"/>
          <w:szCs w:val="24"/>
          <w:highlight w:val="none"/>
        </w:rPr>
        <w:t>担保形式：</w:t>
      </w:r>
      <w:r>
        <w:rPr>
          <w:rFonts w:hint="default" w:hAnsi="宋体" w:cs="宋体"/>
          <w:sz w:val="21"/>
          <w:szCs w:val="24"/>
          <w:highlight w:val="none"/>
          <w:u w:val="single"/>
        </w:rPr>
        <w:t>银行保函。</w:t>
      </w:r>
    </w:p>
    <w:p w14:paraId="149DAB3A">
      <w:pPr>
        <w:overflowPunct w:val="0"/>
        <w:spacing w:line="360" w:lineRule="auto"/>
        <w:ind w:firstLine="420" w:firstLineChars="200"/>
        <w:rPr>
          <w:rFonts w:hint="default" w:hAnsi="宋体" w:cs="宋体"/>
          <w:sz w:val="21"/>
          <w:szCs w:val="24"/>
          <w:highlight w:val="none"/>
        </w:rPr>
      </w:pPr>
      <w:r>
        <w:rPr>
          <w:rFonts w:hint="default" w:hAnsi="宋体" w:cs="宋体"/>
          <w:sz w:val="21"/>
          <w:szCs w:val="24"/>
          <w:highlight w:val="none"/>
        </w:rPr>
        <w:t>保函需按照发包人认可的附件保函格式开具（履约保函格式参考附件1，具体格式以银行要求为准），保函有效期直至委托人签发工程竣工证书；期满后无息退还履约担保金。</w:t>
      </w:r>
    </w:p>
    <w:p w14:paraId="5A02763B">
      <w:pPr>
        <w:pStyle w:val="6"/>
        <w:spacing w:line="360" w:lineRule="auto"/>
        <w:ind w:firstLine="420" w:firstLineChars="200"/>
        <w:jc w:val="both"/>
        <w:rPr>
          <w:rFonts w:hint="default" w:ascii="Times New Roman" w:hAnsi="宋体" w:eastAsia="宋体" w:cs="宋体"/>
          <w:b w:val="0"/>
          <w:kern w:val="2"/>
          <w:sz w:val="21"/>
          <w:szCs w:val="24"/>
          <w:highlight w:val="none"/>
        </w:rPr>
      </w:pPr>
      <w:r>
        <w:rPr>
          <w:rFonts w:hint="default" w:ascii="Times New Roman" w:hAnsi="宋体" w:eastAsia="宋体" w:cs="宋体"/>
          <w:b w:val="0"/>
          <w:kern w:val="2"/>
          <w:sz w:val="21"/>
          <w:szCs w:val="24"/>
          <w:highlight w:val="none"/>
        </w:rPr>
        <w:t>监理人应保证其履约担保在委托人签发工程竣工证书前一直有效。本合同履约担保，不论因何种原因造成的工期延误，监理人的履约担保均相应顺延，并承担相应费用。</w:t>
      </w:r>
    </w:p>
    <w:p w14:paraId="37978A2B">
      <w:pPr>
        <w:pStyle w:val="6"/>
        <w:spacing w:line="360" w:lineRule="auto"/>
        <w:jc w:val="both"/>
        <w:rPr>
          <w:rFonts w:hint="default" w:hAnsi="宋体"/>
          <w:sz w:val="21"/>
          <w:szCs w:val="24"/>
          <w:highlight w:val="none"/>
        </w:rPr>
      </w:pPr>
      <w:r>
        <w:rPr>
          <w:rFonts w:hint="default" w:hAnsi="宋体"/>
          <w:sz w:val="21"/>
          <w:szCs w:val="24"/>
          <w:highlight w:val="none"/>
        </w:rPr>
        <w:t>5. 监理要求</w:t>
      </w:r>
    </w:p>
    <w:p w14:paraId="0444DBB9">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5.1 监理的范围</w:t>
      </w:r>
    </w:p>
    <w:p w14:paraId="33BABB3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5.1.1 监理范围包括：</w:t>
      </w:r>
      <w:r>
        <w:rPr>
          <w:rFonts w:hint="eastAsia" w:hAnsi="宋体"/>
          <w:sz w:val="21"/>
          <w:szCs w:val="24"/>
          <w:highlight w:val="none"/>
          <w:lang w:eastAsia="zh-CN"/>
        </w:rPr>
        <w:t>大龙山</w:t>
      </w:r>
      <w:r>
        <w:rPr>
          <w:rFonts w:hint="default" w:hAnsi="宋体"/>
          <w:sz w:val="21"/>
          <w:szCs w:val="24"/>
          <w:highlight w:val="none"/>
        </w:rPr>
        <w:t>风电场建设项目建设期全过程的监理服务工作。工作内容：进度、质量、安全、</w:t>
      </w:r>
      <w:r>
        <w:rPr>
          <w:rFonts w:hint="default" w:hAnsi="宋体"/>
          <w:spacing w:val="-8"/>
          <w:sz w:val="21"/>
          <w:szCs w:val="24"/>
          <w:highlight w:val="none"/>
        </w:rPr>
        <w:t>合同、</w:t>
      </w:r>
      <w:r>
        <w:rPr>
          <w:rFonts w:hint="default" w:hAnsi="宋体"/>
          <w:spacing w:val="-5"/>
          <w:sz w:val="21"/>
          <w:szCs w:val="24"/>
          <w:highlight w:val="none"/>
        </w:rPr>
        <w:t>安全、水环保、</w:t>
      </w:r>
      <w:r>
        <w:rPr>
          <w:rFonts w:hint="default" w:hAnsi="宋体"/>
          <w:sz w:val="21"/>
          <w:szCs w:val="24"/>
          <w:highlight w:val="none"/>
        </w:rPr>
        <w:t>投资控制和信息管理及协调参建各方关系；监理服务范围包括但不限于以上工作范围，还包括涉及</w:t>
      </w:r>
      <w:r>
        <w:rPr>
          <w:rFonts w:hint="eastAsia" w:hAnsi="宋体"/>
          <w:sz w:val="21"/>
          <w:szCs w:val="24"/>
          <w:highlight w:val="none"/>
          <w:lang w:eastAsia="zh-CN"/>
        </w:rPr>
        <w:t>大龙山</w:t>
      </w:r>
      <w:r>
        <w:rPr>
          <w:rFonts w:hint="default" w:hAnsi="宋体"/>
          <w:sz w:val="21"/>
          <w:szCs w:val="24"/>
          <w:highlight w:val="none"/>
        </w:rPr>
        <w:t>风电场建设工程发包方临时提出的工作安排。</w:t>
      </w:r>
    </w:p>
    <w:p w14:paraId="77A0F578">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5.1.2 具体监理范围：</w:t>
      </w:r>
    </w:p>
    <w:p w14:paraId="009C9AD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（1）.组织施工图纸会审;</w:t>
      </w:r>
    </w:p>
    <w:p w14:paraId="702499EF">
      <w:pPr>
        <w:widowControl/>
        <w:autoSpaceDE/>
        <w:autoSpaceDN/>
        <w:adjustRightInd/>
        <w:spacing w:line="360" w:lineRule="auto"/>
        <w:ind w:firstLine="420" w:firstLineChars="200"/>
        <w:rPr>
          <w:rFonts w:hint="eastAsia" w:hAnsi="宋体" w:eastAsia="宋体"/>
          <w:sz w:val="21"/>
          <w:szCs w:val="24"/>
          <w:highlight w:val="none"/>
          <w:lang w:eastAsia="zh-CN"/>
        </w:rPr>
      </w:pPr>
      <w:r>
        <w:rPr>
          <w:rFonts w:hint="default" w:hAnsi="宋体"/>
          <w:sz w:val="21"/>
          <w:szCs w:val="24"/>
          <w:highlight w:val="none"/>
        </w:rPr>
        <w:t>（2）.风电场项目道路（不包含业主已自主招标实施的场内道路工程）、风机及箱变基础、吊装平台、风电机组、箱变、集电线路（架空线路/直埋电缆）、110kV升压站土建及设备采购安装、机电及电气设备的安装及调试等项目施工全过程监理；其他与主体工程相关的水土保持、环境保护、植被恢复、林地土地复垦、消防等辅助工程的施工监理</w:t>
      </w:r>
      <w:r>
        <w:rPr>
          <w:rFonts w:hint="eastAsia" w:hAnsi="宋体"/>
          <w:sz w:val="21"/>
          <w:szCs w:val="24"/>
          <w:highlight w:val="none"/>
          <w:lang w:eastAsia="zh-CN"/>
        </w:rPr>
        <w:t>。</w:t>
      </w:r>
    </w:p>
    <w:p w14:paraId="79D5D22B">
      <w:pPr>
        <w:widowControl/>
        <w:autoSpaceDE/>
        <w:autoSpaceDN/>
        <w:adjustRightInd/>
        <w:spacing w:line="360" w:lineRule="auto"/>
        <w:ind w:firstLine="420" w:firstLineChars="200"/>
        <w:rPr>
          <w:rFonts w:hint="default" w:hAnsi="宋体"/>
          <w:spacing w:val="-3"/>
          <w:sz w:val="21"/>
          <w:szCs w:val="24"/>
          <w:highlight w:val="none"/>
        </w:rPr>
      </w:pPr>
      <w:r>
        <w:rPr>
          <w:rFonts w:hint="default" w:hAnsi="宋体"/>
          <w:sz w:val="21"/>
          <w:szCs w:val="24"/>
          <w:highlight w:val="none"/>
        </w:rPr>
        <w:t>（3）.</w:t>
      </w:r>
      <w:r>
        <w:rPr>
          <w:rFonts w:hint="default" w:hAnsi="宋体"/>
          <w:spacing w:val="-3"/>
          <w:sz w:val="21"/>
          <w:szCs w:val="24"/>
          <w:highlight w:val="none"/>
        </w:rPr>
        <w:t>工程验收（含水保、环保、消防、安全设施、职业卫生、档案等各专项验收和竣工验收）、移交以及质保期内的服务，除以上之外的各专项验收监理单位配合进行。</w:t>
      </w:r>
    </w:p>
    <w:p w14:paraId="34EC47E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（4）.本工程达标投产、工程创优全过程监理工作的策划和服务。</w:t>
      </w:r>
    </w:p>
    <w:p w14:paraId="1F5FB8A7">
      <w:pPr>
        <w:widowControl/>
        <w:spacing w:line="360" w:lineRule="auto"/>
        <w:ind w:firstLine="420" w:firstLineChars="200"/>
        <w:rPr>
          <w:rFonts w:hint="default"/>
          <w:highlight w:val="none"/>
        </w:rPr>
      </w:pPr>
      <w:r>
        <w:rPr>
          <w:rFonts w:hint="default" w:hAnsi="宋体"/>
          <w:sz w:val="21"/>
          <w:szCs w:val="24"/>
          <w:highlight w:val="none"/>
        </w:rPr>
        <w:t>（5）.本工程环境监理、水土保持监理均在本标范围。</w:t>
      </w:r>
    </w:p>
    <w:p w14:paraId="0962D2B8">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5.1.3阶段范围指从施工准备、建筑安装、调试、试运、质量验收、达标投产及竣工验收、缺陷责任期、保修期等各阶段监理工作。配合委托人进行设计审查及优化、设备材料采购方案审查和现场的协调管理。</w:t>
      </w:r>
    </w:p>
    <w:p w14:paraId="08EA299F">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具体的招标范围招标人在项目实施过程中可根据项目具体情况进行调整</w:t>
      </w:r>
      <w:r>
        <w:rPr>
          <w:rFonts w:hint="eastAsia" w:hAnsi="宋体"/>
          <w:sz w:val="21"/>
          <w:szCs w:val="24"/>
          <w:highlight w:val="none"/>
          <w:lang w:eastAsia="zh-CN"/>
        </w:rPr>
        <w:t>，</w:t>
      </w:r>
      <w:r>
        <w:rPr>
          <w:rFonts w:hint="default" w:hAnsi="宋体"/>
          <w:sz w:val="21"/>
          <w:szCs w:val="24"/>
          <w:highlight w:val="none"/>
        </w:rPr>
        <w:t>监理人须无条件予以配合且不会据此提出任何索赔要求。</w:t>
      </w:r>
    </w:p>
    <w:p w14:paraId="4AA7F794">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5.2  监理依据</w:t>
      </w:r>
    </w:p>
    <w:p w14:paraId="2B11936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除通用合同条款中规定外，还包括但不限于：</w:t>
      </w:r>
    </w:p>
    <w:p w14:paraId="0A0EE41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（1）《建设工程监理规范》GB50319—2013及有关规定。</w:t>
      </w:r>
    </w:p>
    <w:p w14:paraId="0C37CABE">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（2）《建设工程项目管理规范》 GB50326-2017</w:t>
      </w:r>
    </w:p>
    <w:p w14:paraId="7B01348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（3）《建设工程文件档案整理规范》 GB/T50328-2014</w:t>
      </w:r>
    </w:p>
    <w:p w14:paraId="7139840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（4）《风力发电场项目建设工程验收规程》 GBT 31997-2015</w:t>
      </w:r>
    </w:p>
    <w:p w14:paraId="246FABCB">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（5）国家和云南省现行的建安工程质量评定标准、建筑工程及安装工程相关的施工验收规范、质量检验评定标准及技术规范。</w:t>
      </w:r>
    </w:p>
    <w:p w14:paraId="0D8DA55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（6）云南省、市现行定额收费标准及有关文件。</w:t>
      </w:r>
    </w:p>
    <w:p w14:paraId="516F98C8">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（7）本项目有效招标文件及设计文件；</w:t>
      </w:r>
    </w:p>
    <w:p w14:paraId="4EEF9D1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（9）设计施工图及有关标准说明。</w:t>
      </w:r>
    </w:p>
    <w:p w14:paraId="67A8225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（9）与项目有关的各参建方合同、设计图纸；委托人的相关管理制度、文件、通知等往来函件；委托人的要求等。</w:t>
      </w:r>
    </w:p>
    <w:p w14:paraId="54168CB6">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5.3  监理内容</w:t>
      </w:r>
    </w:p>
    <w:p w14:paraId="69C94C84">
      <w:pPr>
        <w:pStyle w:val="13"/>
        <w:adjustRightInd w:val="0"/>
        <w:snapToGrid w:val="0"/>
        <w:spacing w:line="360" w:lineRule="auto"/>
        <w:ind w:firstLine="422" w:firstLineChars="200"/>
        <w:rPr>
          <w:rFonts w:hint="default" w:hAnsi="宋体"/>
          <w:b/>
          <w:sz w:val="21"/>
          <w:szCs w:val="24"/>
          <w:highlight w:val="none"/>
        </w:rPr>
      </w:pPr>
      <w:r>
        <w:rPr>
          <w:rFonts w:hint="default" w:hAnsi="宋体"/>
          <w:b/>
          <w:sz w:val="21"/>
          <w:szCs w:val="24"/>
          <w:highlight w:val="none"/>
        </w:rPr>
        <w:t>5.3.1  监理工作内容</w:t>
      </w:r>
    </w:p>
    <w:p w14:paraId="017663F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除合同通用条款工作内容外，还应包括以下内容：</w:t>
      </w:r>
    </w:p>
    <w:p w14:paraId="51526B1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设置专人管理监理文件资料，及时、准确、完整地收集、整理、编制、传递监理文件资料并报委托人。及时填写、编报监理大纲、监理规划、监理日志、监理报告、监理月报、工程质量评估报告、监理工作总结和其他文件，包含阶段性文件和最终文件。</w:t>
      </w:r>
    </w:p>
    <w:p w14:paraId="2B549475">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（2）及时整理、分类汇总监理文件资料，按规定组卷形成监理档案，并向委托人、有关单位、部门移交。</w:t>
      </w:r>
    </w:p>
    <w:p w14:paraId="11AB976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（3）在委托人有需要时监理人有义务将本条约定文件的原件移交委托人。</w:t>
      </w:r>
    </w:p>
    <w:p w14:paraId="6114F09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监理服务范围包括但不限于以上工作范围，还包括涉及</w:t>
      </w:r>
      <w:r>
        <w:rPr>
          <w:rFonts w:hint="eastAsia" w:hAnsi="宋体"/>
          <w:sz w:val="21"/>
          <w:szCs w:val="24"/>
          <w:highlight w:val="none"/>
          <w:lang w:eastAsia="zh-CN"/>
        </w:rPr>
        <w:t>大龙山</w:t>
      </w:r>
      <w:r>
        <w:rPr>
          <w:rFonts w:hint="default" w:hAnsi="宋体"/>
          <w:sz w:val="21"/>
          <w:szCs w:val="24"/>
          <w:highlight w:val="none"/>
        </w:rPr>
        <w:t>电场建设工程发包方临时提出的工作安排。</w:t>
      </w:r>
    </w:p>
    <w:p w14:paraId="7E926811">
      <w:pPr>
        <w:pStyle w:val="13"/>
        <w:adjustRightInd w:val="0"/>
        <w:snapToGrid w:val="0"/>
        <w:spacing w:line="360" w:lineRule="auto"/>
        <w:ind w:firstLine="422" w:firstLineChars="200"/>
        <w:rPr>
          <w:rFonts w:hint="default" w:hAnsi="宋体"/>
          <w:b/>
          <w:sz w:val="21"/>
          <w:szCs w:val="24"/>
          <w:highlight w:val="none"/>
        </w:rPr>
      </w:pPr>
      <w:r>
        <w:rPr>
          <w:rFonts w:hint="default" w:hAnsi="宋体"/>
          <w:b/>
          <w:sz w:val="21"/>
          <w:szCs w:val="24"/>
          <w:highlight w:val="none"/>
        </w:rPr>
        <w:t>5.3.2质量控制工作内容：</w:t>
      </w:r>
    </w:p>
    <w:p w14:paraId="3CB25EF4">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（1）踏勘施工现场，熟悉现场环境，了解地质条件和地下障碍物的情况，配合委托人向施工承包人交底。</w:t>
      </w:r>
    </w:p>
    <w:p w14:paraId="6BB735DC">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配合委托人办理、收集、整理工程开工准备资料，包括：①施工图设计文件；②地质勘察报告；③施工图审查文件；④规划许可证；⑤施工许可证；⑥工程周边管线分布资料；⑦招标文件及相关文件；⑧施工合同；⑨其他相关资料。</w:t>
      </w:r>
    </w:p>
    <w:p w14:paraId="19AE53A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审查施工承包人现场质量管理体系，包括：①现场质量管理机构设置，职责与分工的情况是否与合同约定及主管部门要求相符；②质量管理制度、保证体系建立情况；③专职质量检查人员的配备情况，特种作业人员的上岗证情况。</w:t>
      </w:r>
    </w:p>
    <w:p w14:paraId="322C500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审核施工总承包、专业分包人资格，审核内容包括：①营业执照、资质证书；②安全生产许可证；③类似工程项目业绩；④拟分包工程的内容和范围是否符合合同约定；⑤财务状况、固定资产；⑥技术力量和机械设备；⑦企业主要负责人、专职管理人员和特种作业人员的资格证、上岗证。</w:t>
      </w:r>
    </w:p>
    <w:p w14:paraId="149D1DF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查验施工承包人的施工测量放线成果及保护措施，包括：①测量人员的资格证书；②测量设备的检定证书；③控制桩的校核成果、平面控制网、高程控制网和临时水准点的测量成果；④检查相应控制点的保护措施。</w:t>
      </w:r>
    </w:p>
    <w:p w14:paraId="2834928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6）核查检测机构，核查的内容有：①检测机构的资质等级及其试验、检测范围；②法定计量部门对检测设备出具的计量检定证明；③与检测内容相关的管理制度；④负责本工程检测人员的资格证书；⑤本工程的检测项目、检测计划和要求。</w:t>
      </w:r>
    </w:p>
    <w:p w14:paraId="69FF5335">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7）对进场的主要施工机械、设备进行检查，检查内容包括：①型号、规格、出厂年限应符合施工合同和施工组织设计的要求；②计量设备的定期检定证明；③定期维修保养记录；④整机或关键部件检验检测合格的有效期。</w:t>
      </w:r>
    </w:p>
    <w:p w14:paraId="2F201315">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8）审查施工承包人报送的工程材料、构配件、设备质量证明文件的有效性和符合性，并按规定对用于工程的材料采取平行检验或见证取样方式进行抽检。审查施工承包人提交的采用新材料、新工艺、新技术、新设备的论证材料及相关验收标准。参与材料、设备管理相关事宜，参与材料、设备现场验收。</w:t>
      </w:r>
    </w:p>
    <w:p w14:paraId="157A009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（9）根据工程特点和要求确定旁站的关键部位、关键工序，安排监理人员进行旁站，并及时记录旁站情况。</w:t>
      </w:r>
    </w:p>
    <w:p w14:paraId="6E654F0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10）对施工过程进行巡视检查，巡视检查基本内容包括：①按图纸、规范、标准和施工方案的实施情况；②材料、设备、构配件使用情况；③施工现场管理人员到位情况；④特种作业人员上岗资格；⑤施工环境。监理人员发现质量问题或质量隐患的，应及时做出处置。</w:t>
      </w:r>
    </w:p>
    <w:p w14:paraId="219C064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(11)对施工承包人报验的隐蔽工程、检验批、分项工程进行验收，符合要求后予以签认；分部工程由总监理工程师组织验收，符合要求后予以签认。</w:t>
      </w:r>
    </w:p>
    <w:p w14:paraId="6F3C18B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 xml:space="preserve">   （12）监理人发现施工存在质量问题的，应及时记录，并签发监理通知单，责令施工承包人整改。整改完毕后，应根据施工承包人报送的监理通知回复单对整改情况进行复查，提出复查意见。</w:t>
      </w:r>
    </w:p>
    <w:p w14:paraId="5F0094F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（13）及时提交有关质量问题、事故的书面报告，质量问题和事故处理完毕后，将完整的质量问题、事故处理记录整理归档。</w:t>
      </w:r>
    </w:p>
    <w:p w14:paraId="252BC1E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（14）审查施工承包人提交的竣工验收申请，编写工程质量评估报告。</w:t>
      </w:r>
    </w:p>
    <w:p w14:paraId="1E77C31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（15）参加工程竣工验收，签署竣工验收意见。</w:t>
      </w:r>
    </w:p>
    <w:p w14:paraId="07A48C7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（16）其余未尽事宜按照《GB 50319-2013 建设工程监理规范》及委托人要求执行。</w:t>
      </w:r>
    </w:p>
    <w:p w14:paraId="76042E0E">
      <w:pPr>
        <w:pStyle w:val="13"/>
        <w:adjustRightInd w:val="0"/>
        <w:snapToGrid w:val="0"/>
        <w:spacing w:line="360" w:lineRule="auto"/>
        <w:ind w:firstLine="422" w:firstLineChars="200"/>
        <w:rPr>
          <w:rFonts w:hint="default" w:hAnsi="宋体"/>
          <w:b/>
          <w:sz w:val="21"/>
          <w:szCs w:val="24"/>
          <w:highlight w:val="none"/>
        </w:rPr>
      </w:pPr>
      <w:r>
        <w:rPr>
          <w:rFonts w:hint="default" w:hAnsi="宋体"/>
          <w:b/>
          <w:sz w:val="21"/>
          <w:szCs w:val="24"/>
          <w:highlight w:val="none"/>
        </w:rPr>
        <w:t>5.3.3 投资控制工作内容：</w:t>
      </w:r>
    </w:p>
    <w:p w14:paraId="2833483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（1）负责工程计量工作，原则上每月计量一次。特殊项目或不可预见事件引起工程量的变化，应会同咨询、委托人、参建单位等相关单位进行计量，计量方法应协商确定。</w:t>
      </w:r>
    </w:p>
    <w:p w14:paraId="0086380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（2）审查施工承包人提交的工程支付款申请，总监理工程师审核后报咨询人审核、委托人审批，根据委托人的审批意见签发工程款支付证书。</w:t>
      </w:r>
    </w:p>
    <w:p w14:paraId="3A18955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（3）及时记录、收集、整理有关的施工和监理资料，为造价控制提供依据。监理人在签认工程联系单时应写明事件发生的时间、部位、原因和影响的工程量。</w:t>
      </w:r>
    </w:p>
    <w:p w14:paraId="3A9610C3">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根据合同约定，审查施工承包人提交的竣工结算资料，对资料的真实性、完整性、时效性、准确性提出审查意见；根据合同约定，审查施工承包人提交的竣工结算并报咨询人审核、委托人审批，签发竣工结算文件和最终工程款支付证书。</w:t>
      </w:r>
    </w:p>
    <w:p w14:paraId="1E59487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（5）其余未尽事宜按照《GB 50319-2013 建设工程监理规范》及委托人要求执行。</w:t>
      </w:r>
    </w:p>
    <w:p w14:paraId="4CB34E56">
      <w:pPr>
        <w:pStyle w:val="13"/>
        <w:adjustRightInd w:val="0"/>
        <w:snapToGrid w:val="0"/>
        <w:spacing w:line="360" w:lineRule="auto"/>
        <w:ind w:firstLine="422" w:firstLineChars="200"/>
        <w:rPr>
          <w:rFonts w:hint="default" w:hAnsi="宋体"/>
          <w:b/>
          <w:sz w:val="21"/>
          <w:szCs w:val="24"/>
          <w:highlight w:val="none"/>
        </w:rPr>
      </w:pPr>
      <w:r>
        <w:rPr>
          <w:rFonts w:hint="default" w:hAnsi="宋体"/>
          <w:b/>
          <w:sz w:val="21"/>
          <w:szCs w:val="24"/>
          <w:highlight w:val="none"/>
        </w:rPr>
        <w:t>5.3.4  进度控制工作内容：</w:t>
      </w:r>
    </w:p>
    <w:p w14:paraId="76D5491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 xml:space="preserve">（1）审查施工承包人报送的施工总进度计划、年度、月度或阶段性施工进度计划，审核的基本内容包括：①与施工合同中工期约定的符合性；②主要工程项目的完整性；③分期施工、分批动用和配套动用的要求；④阶段性施工进度计划与总进度计划的符合性；⑤各专业进度计划的协调性；⑥施工顺序满足施工工艺要求；⑦施工承包人员、工程材料、构配件、设备、施工机械设备、机具等资源供应计划满足进度计划需要；⑧施工进度计划应符合委托人提供的资金、施工图纸、施工场地、物资等施工条件。 </w:t>
      </w:r>
    </w:p>
    <w:p w14:paraId="315C891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检查进度计划的实施，记录实际进度及其相关情况，如发现实际进度与计划进度不符时，应签发监理通知指令施工承包人采取调整措施；必要时召开有关责任方参加的专题会议，确定采取的措施，由施工承包人调整进度计划，经总监理工程师批准后报送委托人。</w:t>
      </w:r>
    </w:p>
    <w:p w14:paraId="53E21C45">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（3）定期向委托人报告工程进度实施情况、采取的进度控制措施、取得的效果、相关建议以及工程延期和费用索赔风险。当工期严重滞后时，应向委托人提交专题报告。</w:t>
      </w:r>
    </w:p>
    <w:p w14:paraId="42226D28">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（4）其余未尽事宜按照《GB 50319-2013 建设工程监理规范》及委托人要求执行。</w:t>
      </w:r>
    </w:p>
    <w:p w14:paraId="17CEEE5F">
      <w:pPr>
        <w:pStyle w:val="13"/>
        <w:adjustRightInd w:val="0"/>
        <w:snapToGrid w:val="0"/>
        <w:spacing w:line="360" w:lineRule="auto"/>
        <w:ind w:firstLine="422" w:firstLineChars="200"/>
        <w:rPr>
          <w:rFonts w:hint="default" w:hAnsi="宋体"/>
          <w:b/>
          <w:sz w:val="21"/>
          <w:szCs w:val="24"/>
          <w:highlight w:val="none"/>
        </w:rPr>
      </w:pPr>
      <w:r>
        <w:rPr>
          <w:rFonts w:hint="default" w:hAnsi="宋体"/>
          <w:b/>
          <w:sz w:val="21"/>
          <w:szCs w:val="24"/>
          <w:highlight w:val="none"/>
        </w:rPr>
        <w:t>5.3.5  安全及职卫监理、环境监理工作内容：</w:t>
      </w:r>
    </w:p>
    <w:p w14:paraId="59B0596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（1）对涉及施工安全的专项方案、技术措施进行审查，并提出审查意见。</w:t>
      </w:r>
    </w:p>
    <w:p w14:paraId="3E9CDA7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危险性较大的分部分项工程施工前，应审查施工承包人报送的专项施工方案。对超过一定规模的危险性较大的分部分项工程专项施工方案，应检查施工承包人组织专家进行论证、审查情况；应督促施工承包人根据专家论证报告修改完善，经其单位技术负责人签字后，报监理人审查。</w:t>
      </w:r>
    </w:p>
    <w:p w14:paraId="63FD382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（3）检查施工承包人安全生产管理制度的建立情况、安全生产许可证有效期、现场专职安全生产管理人员的配置情况、项目负责人和专职安全员岗位证书及特种人员的资格证书有效期等。</w:t>
      </w:r>
    </w:p>
    <w:p w14:paraId="0DFF815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（4）要求施工承包人提交与分包人签订的施工安全生产管理协议书，督促施工承包人建立检查分包人的安全生产规章制度。</w:t>
      </w:r>
    </w:p>
    <w:p w14:paraId="49A5CF43">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对施工承包人报送的建筑起重机械安拆报审表及所附资料进行审查，符合要求的，由施工承包人向当地建设行政主管部门办理告知手续后，方可进行安装或拆卸。对起重机械设备基础进行验收；在安拆、加节作业过程中，应实施旁站，并填写旁站记录；安装、加节作业完成后，按相关要求进行资料核查，参加施工承包人组织的验收，并在建筑起重机械验收记录上签署意见；监督施工项目部在建筑起重机械验收合格30天内到建设行政主管部门备案，领取使用登记牌。</w:t>
      </w:r>
    </w:p>
    <w:p w14:paraId="7F586C4B">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（6）核查施工承包人进场的特种作业人员持证上岗情况。</w:t>
      </w:r>
    </w:p>
    <w:p w14:paraId="7E66E3F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（7）对钢管、扣件、安全网进行检查，当发现材料不合格时，应立即指令施工项目部将不合格的材料撤出现场。</w:t>
      </w:r>
    </w:p>
    <w:p w14:paraId="18F42E9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（8）在施工承包人自检合格的基础上，对模板支撑体系、自升式模板体系、落地式脚手架、悬挑脚手架、工具式脚手架、临时用电和基坑支护等重要的安全设施进行检查或验收。</w:t>
      </w:r>
    </w:p>
    <w:p w14:paraId="3053D54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（9）依据专项施工方案及工程建设强制性标准对危险性较大的分部分项工程作业进行检查，发现未按专项施工方案实施时，应签发监理通知单，要求施工承包人按专项方案实施。</w:t>
      </w:r>
    </w:p>
    <w:p w14:paraId="4C304033">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10）开展安全隐患排查工作，发现工程存在安全事故隐患时，应签发施工现场安全隐患排查通知单要求施工承包人整改。必要时，应签发监理通知单，要求施工承包人进一步整改；情况严重时，应签发工程暂停令，并应及时报告委托人。施工承包人拒不整改或不停止施工时，监理人应及时向有关部门报送监理报告。</w:t>
      </w:r>
    </w:p>
    <w:p w14:paraId="0B2C5A0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11）现场发生安全事故时，应立即签发工程暂停令，督促施工承包人迅速保护现场，抢救人员，采取措施防止事态发展扩大，同时收集与事故有关的资料，参与、配合事故调查和处理。事故调查处理结束后，应按照事故调查组提出的处理意见和防范措施建议，检查施工承包人落实情况，审查施工承包人报送的工程复工报审表，并由总监理工程师签署意见。</w:t>
      </w:r>
    </w:p>
    <w:p w14:paraId="59DB4E1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（12）核查施工承包人安全生产措施费用投入和使用情况及施工承包人报送的安全生产措施费用支付申请，并签署意见。</w:t>
      </w:r>
    </w:p>
    <w:p w14:paraId="1BDBE05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13）监理人在项目施工阶段，应依据委托人经批准的安全评价、水保、环评、职业卫生评价等行政许可文件或委托人的委托，将水环境保护监理工作、安全监理工作、职业卫生监理等工作纳入工程监理实施细则。项目竣工验收时，向委托人提交工程环境监理总结报告等类型的文件。在项目各专项验收前，监理人均应按照现行法律法规配合委托人完成行政许可验收并提交相关监理文件资料。</w:t>
      </w:r>
    </w:p>
    <w:p w14:paraId="655077D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（14）其余未尽事宜按照《GB 50319-2013 建设工程监理规范》及委托人要求执行。</w:t>
      </w:r>
    </w:p>
    <w:p w14:paraId="55E88E09">
      <w:pPr>
        <w:pStyle w:val="13"/>
        <w:adjustRightInd w:val="0"/>
        <w:snapToGrid w:val="0"/>
        <w:spacing w:line="360" w:lineRule="auto"/>
        <w:ind w:firstLine="422" w:firstLineChars="200"/>
        <w:rPr>
          <w:rFonts w:hint="default" w:hAnsi="宋体"/>
          <w:b/>
          <w:sz w:val="21"/>
          <w:szCs w:val="24"/>
          <w:highlight w:val="none"/>
        </w:rPr>
      </w:pPr>
      <w:r>
        <w:rPr>
          <w:rFonts w:hint="default" w:hAnsi="宋体"/>
          <w:b/>
          <w:sz w:val="21"/>
          <w:szCs w:val="24"/>
          <w:highlight w:val="none"/>
        </w:rPr>
        <w:t>5.3.6  合同管理的工作内容：</w:t>
      </w:r>
    </w:p>
    <w:p w14:paraId="5E26D9FB">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按委托人授权处理工程变更，包括：①对委托人要求的工程变更提出评估意见，并督促施工承包人按会签后的工程变更单组织施工；②组织委托人、施工承包人按施工合同约定协商确定工程变更费用及工期变化，会签工程变更单；③在工程变更实施前与委托人、施工承包人协商确定工程变更的计价原则、方法或价款；④当委托人与施工承包人不能就工程变更费用达成一致时，提出暂定价格作为临时支付工程款的依据，最终结算时以委托人与施工承包人达成的协议为依据；⑤将已批准的工程变更内容及时在图纸中进行登记和标识。</w:t>
      </w:r>
    </w:p>
    <w:p w14:paraId="3974DEE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按委托人授权处理费用索赔，包括：①对可能导致索赔的原因有充分的预测和防范；②通过合同管理防止索赔事件的发生；③对已发生的索赔事件及时采取措施，以降低影响及损失；④及时收集、整理有关工程费用索赔的原始资料，为处理费用索赔提供依据；⑤主持索赔的处理，审核索赔报告，提出监理意见。</w:t>
      </w:r>
    </w:p>
    <w:p w14:paraId="58F6DF9A">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（3）按委托人授权处理工程延期或工期延误，包括：①签署工程临时延期报审表，并通报委托人；②延期事件结束后，签署最终延期报审表，并报委托人；③按施工合同约定处理工期延误。</w:t>
      </w:r>
    </w:p>
    <w:p w14:paraId="4A6BCB3B">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（4）调解施工合同争议。在施工合同争议的仲裁或诉讼过程中，按仲裁机关或法院要求提供与争议有关的证据。</w:t>
      </w:r>
    </w:p>
    <w:p w14:paraId="4488200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（5）按施工合同约定与委托人与施工承包人协商确定施工合同解除后的有关事宜。</w:t>
      </w:r>
    </w:p>
    <w:p w14:paraId="2FA84B85">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（6）指定专人做好与本工程有关的各种信息资料的收集、整理工作，并及时向委托人反馈。</w:t>
      </w:r>
    </w:p>
    <w:p w14:paraId="41889B38">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（7）做好参与本工程建设有关各方（质量监督、检测、测绘、勘察、设计、消防、电梯安装、供水供电等）的协调工作，加强沟通，促进工程实施过程各项工作的顺利进展。</w:t>
      </w:r>
    </w:p>
    <w:p w14:paraId="2A56B92F">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（8）其余未尽事宜按照《GB 50319-2013 建设工程监理规范》及委托人要求执行。</w:t>
      </w:r>
    </w:p>
    <w:p w14:paraId="467D3801">
      <w:pPr>
        <w:pStyle w:val="13"/>
        <w:snapToGrid w:val="0"/>
        <w:spacing w:line="360" w:lineRule="auto"/>
        <w:ind w:firstLine="422" w:firstLineChars="200"/>
        <w:rPr>
          <w:rFonts w:hint="default" w:hAnsi="宋体"/>
          <w:b/>
          <w:sz w:val="21"/>
          <w:szCs w:val="24"/>
          <w:highlight w:val="none"/>
        </w:rPr>
      </w:pPr>
      <w:r>
        <w:rPr>
          <w:rFonts w:hint="default" w:hAnsi="宋体"/>
          <w:b/>
          <w:sz w:val="21"/>
          <w:szCs w:val="24"/>
          <w:highlight w:val="none"/>
        </w:rPr>
        <w:t>5.3.7  工程保修期间及质保期相关服务的工作内容：</w:t>
      </w:r>
    </w:p>
    <w:p w14:paraId="138F962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（1）协助委托人签订本项目的保修合同及保修终止合同并定期回访。</w:t>
      </w:r>
    </w:p>
    <w:p w14:paraId="6BA7F49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委托人在保修期内发现问题后，通知监理人的有关人员，监理人必须在收到通知后48小时内到现场负责解决问题，对委托人提出的工程质量缺陷，安排监理人员进行检查和记录，要求施工承包人予以修复，并监督实施，合格后予以签认。</w:t>
      </w:r>
    </w:p>
    <w:p w14:paraId="05C51B2F">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（3）对工程质量缺陷原因进行调查，分析并确定责任归属。对非施工承包人原因造成的工程质量缺陷，应核实修复工程费用，签发工程款支付证书，并报委托人。</w:t>
      </w:r>
    </w:p>
    <w:p w14:paraId="5221B218">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（4）监理人应对每一维修项目建立详细的维修档案。</w:t>
      </w:r>
    </w:p>
    <w:p w14:paraId="235EE45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（5）监理人负责保修期内工程保修结算及保修期内发生的雇请第三方维修费用的认可及责任方的确认。</w:t>
      </w:r>
    </w:p>
    <w:p w14:paraId="3DA30BA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 xml:space="preserve">（6）对于使用单位提出的质量缺陷，经委托人同意后，监理人应组织权威机构进行鉴定，并将鉴定结果报委托人。    </w:t>
      </w:r>
    </w:p>
    <w:p w14:paraId="2529155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 xml:space="preserve">（7）其余未尽事宜按照《GB 50319-2013 建设工程监理规范》及委托人要求执行。                            </w:t>
      </w:r>
    </w:p>
    <w:p w14:paraId="12746DC9">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5.4 监理文件要求</w:t>
      </w:r>
    </w:p>
    <w:p w14:paraId="03A01BEA">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5.4.3监理人应向委托人提供的信息文件包括以下但不局限于：</w:t>
      </w:r>
    </w:p>
    <w:p w14:paraId="67C812DF">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5.4.3.1 定期监理月报的具体内容：</w:t>
      </w:r>
    </w:p>
    <w:p w14:paraId="5E1AAEF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5.4.3.1.1本月工程实施概况，包括：</w:t>
      </w:r>
    </w:p>
    <w:p w14:paraId="7082D2D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（1）工程进展情况；实际进度与计划进度的比较；施工单位人、机、料进场及使</w:t>
      </w:r>
    </w:p>
    <w:p w14:paraId="135954D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用情况；本期在施部位的工程照片。</w:t>
      </w:r>
    </w:p>
    <w:p w14:paraId="250F140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（2）工程质量情况；分项分部工程验收情况；材料、构配件、设备进场检验情况；</w:t>
      </w:r>
    </w:p>
    <w:p w14:paraId="5538A0F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主要施工试验情况；本期工程质量分析。</w:t>
      </w:r>
    </w:p>
    <w:p w14:paraId="7F92104E">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（3）施工单位安全生产管理工作评述。</w:t>
      </w:r>
    </w:p>
    <w:p w14:paraId="659B7C0E">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（4）已完工程量与已付工程款的统计及说明。</w:t>
      </w:r>
    </w:p>
    <w:p w14:paraId="0384FF0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5.4.3.1.2 本月监理工作情况，包括：</w:t>
      </w:r>
    </w:p>
    <w:p w14:paraId="68EDFD7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（1）工程进度控制方面的工作情况；</w:t>
      </w:r>
    </w:p>
    <w:p w14:paraId="6C5846B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（2）工程质量控制方面的工作情况；</w:t>
      </w:r>
    </w:p>
    <w:p w14:paraId="5B1B8D6F">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（3）安全生产管理方面的工作情况；</w:t>
      </w:r>
    </w:p>
    <w:p w14:paraId="090AA0BE">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（4）工程计量与工程款支付方面的工作情况；</w:t>
      </w:r>
    </w:p>
    <w:p w14:paraId="0DDB3FD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（5）合同其他事项的管理工作情况；</w:t>
      </w:r>
    </w:p>
    <w:p w14:paraId="1419B6D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（6）监理工作统计及工作照片。</w:t>
      </w:r>
    </w:p>
    <w:p w14:paraId="6731A78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5.4.3.1.3 本月工程实施的主要问题分析及处理情况，包括：</w:t>
      </w:r>
    </w:p>
    <w:p w14:paraId="78EDE8EF">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（1）工程进度控制方面的主要问题分析及处理情况；</w:t>
      </w:r>
    </w:p>
    <w:p w14:paraId="19F0CC14">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（2）工程质量控制方面的主要问题分析及处理情况；</w:t>
      </w:r>
    </w:p>
    <w:p w14:paraId="1F0F084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（3 ) 施工单位安全生产管理方面的主要问题分析及处理情况；</w:t>
      </w:r>
    </w:p>
    <w:p w14:paraId="34927218">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（4）工程计量与工程款支付方面的主要问题分析及处理情况；</w:t>
      </w:r>
    </w:p>
    <w:p w14:paraId="063E4FC8">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（5）合同其他事项管理方面的主要问题分析及处理情况。</w:t>
      </w:r>
    </w:p>
    <w:p w14:paraId="75CAEB7A">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5.4.3.1.4 每月25日前，报送本月《监理月报》（需配有文字及图片）份数：捌份。以上定期信息分周、月、季、年报，提供时间：周报为每周一，月、季报为当月/当季最后一月的25日，年报为次年元月3日。报送内容根据项目进展情况，适时调整。</w:t>
      </w:r>
    </w:p>
    <w:p w14:paraId="2E5981CA">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5.4.3.2 根据监理工程进展情况的不定期报告</w:t>
      </w:r>
    </w:p>
    <w:p w14:paraId="309F0B6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（1）关于工程优化设计或变更或施工进展的建议；</w:t>
      </w:r>
    </w:p>
    <w:p w14:paraId="7C12BB15">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（2）资金、资源投入及合理配置的建议；</w:t>
      </w:r>
    </w:p>
    <w:p w14:paraId="2E91C9FF">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（3）工程进展预测分析报告；</w:t>
      </w:r>
    </w:p>
    <w:p w14:paraId="22F59E9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（4）其他监理业务往来文件。</w:t>
      </w:r>
    </w:p>
    <w:p w14:paraId="16DADB3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（5）工程环境监理总结报告等行政许可类文件</w:t>
      </w:r>
    </w:p>
    <w:p w14:paraId="63B1F59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5.4.3.3 监理过程文件</w:t>
      </w:r>
    </w:p>
    <w:p w14:paraId="2FBB268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（1）施工措施计划批复文件；</w:t>
      </w:r>
    </w:p>
    <w:p w14:paraId="50CF6B5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（2）施工进度调整批复文件；</w:t>
      </w:r>
    </w:p>
    <w:p w14:paraId="2972E0E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（3）监理协调会议纪要文件；</w:t>
      </w:r>
    </w:p>
    <w:p w14:paraId="774980FF">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（4）其他监理业务往来文件。</w:t>
      </w:r>
    </w:p>
    <w:p w14:paraId="1A3AE71C">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（5）影像资料</w:t>
      </w:r>
    </w:p>
    <w:p w14:paraId="7FBCC0C3">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5.4.4 归档文件报送份数：</w:t>
      </w:r>
    </w:p>
    <w:p w14:paraId="24D7676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文件报送份数按相应规定执行，原则上不少于8份。项目实施过程中，根据实际情况再作调整。</w:t>
      </w:r>
    </w:p>
    <w:p w14:paraId="33B75ACC">
      <w:pPr>
        <w:pStyle w:val="6"/>
        <w:spacing w:line="360" w:lineRule="auto"/>
        <w:jc w:val="both"/>
        <w:rPr>
          <w:rFonts w:hint="default" w:hAnsi="宋体"/>
          <w:sz w:val="21"/>
          <w:szCs w:val="24"/>
          <w:highlight w:val="none"/>
        </w:rPr>
      </w:pPr>
      <w:r>
        <w:rPr>
          <w:rFonts w:hint="default" w:hAnsi="宋体"/>
          <w:sz w:val="21"/>
          <w:szCs w:val="24"/>
          <w:highlight w:val="none"/>
        </w:rPr>
        <w:t>6.开始监理和完成监理</w:t>
      </w:r>
    </w:p>
    <w:p w14:paraId="3E1D35E9">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6.1 开始监理</w:t>
      </w:r>
    </w:p>
    <w:p w14:paraId="692B5EDA">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6.1.1 合同生效后（委托人和监理人的法定代表人或其授权的代理人在合同书上签字并加合同专用章后本合同生效）。</w:t>
      </w:r>
    </w:p>
    <w:p w14:paraId="6E86C4DC">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工程具备开工条件或委托人需要监理人开始进场协助配合相关服务的，监理服务期限自委托人发出进场通知后开始监理日期起计算。</w:t>
      </w:r>
    </w:p>
    <w:p w14:paraId="60665ECF">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6.1.2 监理人不得以委托人未能发出开始监理通知或者不具备监理条件，提出价格调整要求或者解除合同，委托人不承担由此增加的费用或周期延误。</w:t>
      </w:r>
    </w:p>
    <w:p w14:paraId="25A473CD">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6.2 监理服务周期的延期</w:t>
      </w:r>
    </w:p>
    <w:p w14:paraId="47C8BCB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6.2.1本项目监理服务周期为：委托人与监理人签订的合同生效后，委托人发出进场通知之日起至本工程竣工、全部竣工资料归档止。</w:t>
      </w:r>
    </w:p>
    <w:p w14:paraId="5C235B8F">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6.2.2 监理服务周期到期后，自到期之日起6个月内，因工程收尾、竣工验收、工程结算、合同处理等事项需要监理人提供服务的，委托人不予调整监理服务报酬；自监理服务到期之日起6个月之后，委托人提出增加监理服务的，监理人应当按照本合同约定的监理人义务提供服务，委托人应当增加监理服务报酬，延期服务报酬计算原则为：计算期限从延期后第7个月开始，计算方法参考监理人投入资源的投标报价水平，以实际投入资源的数量进行结算。</w:t>
      </w:r>
    </w:p>
    <w:p w14:paraId="74123AA2">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6.3 完成监理</w:t>
      </w:r>
    </w:p>
    <w:p w14:paraId="2013F0D5">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工作中监理人提供的《监理建议书》等文件，委托人只做技术上的认可，不作为经济上的认可。该项工作属于委托人工作内容且报价时已包含该项工作，费用优惠不计。</w:t>
      </w:r>
    </w:p>
    <w:p w14:paraId="0A29D8E7">
      <w:pPr>
        <w:pStyle w:val="6"/>
        <w:spacing w:line="360" w:lineRule="auto"/>
        <w:jc w:val="both"/>
        <w:rPr>
          <w:rFonts w:hint="default" w:hAnsi="宋体"/>
          <w:sz w:val="21"/>
          <w:szCs w:val="24"/>
          <w:highlight w:val="none"/>
        </w:rPr>
      </w:pPr>
      <w:r>
        <w:rPr>
          <w:rFonts w:hint="default" w:hAnsi="宋体"/>
          <w:sz w:val="21"/>
          <w:szCs w:val="24"/>
          <w:highlight w:val="none"/>
        </w:rPr>
        <w:t>7.监理责任与保险</w:t>
      </w:r>
    </w:p>
    <w:p w14:paraId="0E375A8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保险：监理人根据工程情况对监理责任进行保险，并在合同履行期间保持足额、有效，监理人应将投保计列在监理费内，委托人不再单独支付此费用。</w:t>
      </w:r>
    </w:p>
    <w:p w14:paraId="4B3C41BA">
      <w:pPr>
        <w:pStyle w:val="6"/>
        <w:spacing w:line="360" w:lineRule="auto"/>
        <w:jc w:val="both"/>
        <w:rPr>
          <w:rFonts w:hint="default" w:hAnsi="宋体"/>
          <w:sz w:val="21"/>
          <w:szCs w:val="24"/>
          <w:highlight w:val="none"/>
        </w:rPr>
      </w:pPr>
      <w:r>
        <w:rPr>
          <w:rFonts w:hint="default" w:hAnsi="宋体"/>
          <w:sz w:val="21"/>
          <w:szCs w:val="24"/>
          <w:highlight w:val="none"/>
        </w:rPr>
        <w:t>8.合同变更</w:t>
      </w:r>
    </w:p>
    <w:p w14:paraId="705C2115">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8.1 变更情形</w:t>
      </w:r>
    </w:p>
    <w:p w14:paraId="7F88BD26">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按照通用条款执行</w:t>
      </w:r>
    </w:p>
    <w:p w14:paraId="7F9B023D">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8.2 合理化建议</w:t>
      </w:r>
    </w:p>
    <w:p w14:paraId="6CB9FAF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工作中监理人有义务在监理服务过程中发现设计图纸有误、不明确之处、存在不经济、不合理的部分等，有责任和义务向委托人提出合理化建议和方案。监理人提供的工作方案、工作计划、实施细则等文件，委托人只做技术上的认可，不作为经济上的认可。该项工作属于监理人工作内容且报价时已包含该项工作， 不因此调整。</w:t>
      </w:r>
    </w:p>
    <w:p w14:paraId="1958965A">
      <w:pPr>
        <w:pStyle w:val="6"/>
        <w:spacing w:line="360" w:lineRule="auto"/>
        <w:jc w:val="both"/>
        <w:rPr>
          <w:rFonts w:hint="default" w:hAnsi="宋体"/>
          <w:sz w:val="21"/>
          <w:szCs w:val="24"/>
          <w:highlight w:val="none"/>
        </w:rPr>
      </w:pPr>
      <w:r>
        <w:rPr>
          <w:rFonts w:hint="default" w:hAnsi="宋体"/>
          <w:sz w:val="21"/>
          <w:szCs w:val="24"/>
          <w:highlight w:val="none"/>
        </w:rPr>
        <w:t>9.合同价格与支付</w:t>
      </w:r>
    </w:p>
    <w:p w14:paraId="031764FE">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9.1 合同价格</w:t>
      </w:r>
    </w:p>
    <w:p w14:paraId="07A0529B">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9.1.1本合同价格为固定含税总价，除合同另有约定外，不予调整。</w:t>
      </w:r>
    </w:p>
    <w:p w14:paraId="05D7C263">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9.1.2合同价格包括：包括收集资料、踏勘现场、制订纲要、实施监理、编制监理文件等全部费用和国家规定的增值税税金。具体包括：监理人人员的工资、加班费、福利费、工会经费、劳保用品费、现场必备的办公器具（包括计算机）、测量设备、检测设备和交通工具合理的购置及使用费用以及食宿费、电话费、水电费、试验费、交通费、安全措施费、保险费、税费等为完成本工程监理服务所必须的全部费用。</w:t>
      </w:r>
    </w:p>
    <w:p w14:paraId="689CF17B">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9.1.3监理人应按合同约定提交监理范围的工作考勤和委托人核准的附加工作、额外工作人员的考勤记录。</w:t>
      </w:r>
    </w:p>
    <w:p w14:paraId="09587348">
      <w:pPr>
        <w:pStyle w:val="23"/>
        <w:kinsoku w:val="0"/>
        <w:overflowPunct w:val="0"/>
        <w:spacing w:line="360" w:lineRule="auto"/>
        <w:rPr>
          <w:rFonts w:hint="default" w:hAnsi="宋体"/>
          <w:b/>
          <w:highlight w:val="none"/>
        </w:rPr>
      </w:pPr>
      <w:r>
        <w:rPr>
          <w:rFonts w:hint="default" w:hAnsi="宋体" w:asciiTheme="minorHAnsi" w:cstheme="minorBidi"/>
          <w:b/>
          <w:bCs w:val="0"/>
          <w:color w:val="000000" w:themeColor="text1"/>
          <w:szCs w:val="24"/>
          <w:highlight w:val="none"/>
          <w:lang w:val="en-US" w:eastAsia="zh-CN"/>
          <w14:textFill>
            <w14:solidFill>
              <w14:schemeClr w14:val="tx1"/>
            </w14:solidFill>
          </w14:textFill>
        </w:rPr>
        <w:t>9.2预付款</w:t>
      </w:r>
    </w:p>
    <w:p w14:paraId="69893841">
      <w:pPr>
        <w:widowControl/>
        <w:autoSpaceDE/>
        <w:autoSpaceDN/>
        <w:adjustRightInd/>
        <w:spacing w:line="360" w:lineRule="auto"/>
        <w:ind w:firstLine="422" w:firstLineChars="200"/>
        <w:rPr>
          <w:rFonts w:hint="default" w:hAnsi="宋体"/>
          <w:sz w:val="21"/>
          <w:szCs w:val="24"/>
          <w:highlight w:val="none"/>
        </w:rPr>
      </w:pPr>
      <w:r>
        <w:rPr>
          <w:rFonts w:hint="default" w:hAnsi="宋体"/>
          <w:b/>
          <w:sz w:val="21"/>
          <w:szCs w:val="24"/>
          <w:highlight w:val="none"/>
        </w:rPr>
        <w:t xml:space="preserve">  </w:t>
      </w:r>
      <w:r>
        <w:rPr>
          <w:rFonts w:hint="default" w:hAnsi="宋体"/>
          <w:sz w:val="21"/>
          <w:szCs w:val="24"/>
          <w:highlight w:val="none"/>
        </w:rPr>
        <w:t>9.2.1预付款应专用于本工程的监理。本合同6.1条款所规定的开始监理之日起30天内，监理人可提交预付款支付申请</w:t>
      </w:r>
      <w:r>
        <w:rPr>
          <w:rFonts w:hint="default" w:hAnsi="宋体"/>
          <w:sz w:val="21"/>
          <w:szCs w:val="24"/>
          <w:highlight w:val="none"/>
          <w:u w:val="none"/>
        </w:rPr>
        <w:t>，预付款金额为本合同价款总额的10%</w:t>
      </w:r>
      <w:r>
        <w:rPr>
          <w:rFonts w:hint="default" w:hAnsi="宋体"/>
          <w:sz w:val="21"/>
          <w:szCs w:val="24"/>
          <w:highlight w:val="none"/>
        </w:rPr>
        <w:t>，预付款不扣回，监理人应提供增值税专用发票。</w:t>
      </w:r>
    </w:p>
    <w:p w14:paraId="5D2AC0A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9.2.2委托人应当在收到预付款支付申请后30天内，将预付款支付给监理人。</w:t>
      </w:r>
    </w:p>
    <w:p w14:paraId="7F4C5E93">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9.3 中期支付</w:t>
      </w:r>
    </w:p>
    <w:p w14:paraId="24CCEF7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9.3.1 中期支付节点及条件</w:t>
      </w:r>
    </w:p>
    <w:p w14:paraId="147054B4">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委托人按工程进度节点向监理人支付中期支付款。中期支付按以下节点支付：</w:t>
      </w:r>
    </w:p>
    <w:p w14:paraId="3C3ADAE8">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（1）首台风机基础浇筑完成，支付签约合同价10%的监理费。</w:t>
      </w:r>
    </w:p>
    <w:p w14:paraId="2ED56F85">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（2）完成50%风机吊装后支付签约合同价20%的监理费。</w:t>
      </w:r>
    </w:p>
    <w:p w14:paraId="70C2939E">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（3）完成首台风机并网发电后支付签约合同价20%的监理费。</w:t>
      </w:r>
    </w:p>
    <w:p w14:paraId="4FD0A398">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（4）全部风机并网发电并通过试运行后支付签约合同价20%的监理费。</w:t>
      </w:r>
    </w:p>
    <w:p w14:paraId="1E58D3E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（5）完成竣工验收且资料归档后，支付签约合同价10%的监理费。</w:t>
      </w:r>
    </w:p>
    <w:p w14:paraId="0A1F901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（6）当缺陷责任期满，整体验收合格完成，执行完监理合同，解除全部合同责任时按合同价格扣除已支付金额，支付剩余监理费。</w:t>
      </w:r>
    </w:p>
    <w:p w14:paraId="0539701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支付条件：</w:t>
      </w:r>
    </w:p>
    <w:p w14:paraId="65D38EE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（1）完成支付节点规定的工作。</w:t>
      </w:r>
    </w:p>
    <w:p w14:paraId="45D88E6A">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（2）监理人应提供等额的增值税专用发票。</w:t>
      </w:r>
    </w:p>
    <w:p w14:paraId="3949FEF0">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（3）提供建工程款支付申请、审批手续。在上述手续办理完毕后50天内委托人向监理方支付合同价款。</w:t>
      </w:r>
    </w:p>
    <w:p w14:paraId="7699F1BE">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 xml:space="preserve"> 9.3.2 监理人应按委托人批准的结算报表格式，向委托人提交中期支付申请结算报表4份，并附相应的支持性证明文件。</w:t>
      </w:r>
    </w:p>
    <w:p w14:paraId="59FA5FD3">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 xml:space="preserve"> 9.3.3 委托人应当在收到中期支付申请后的30天内，将应付款项支付给监理人。委托人未能在前述时间内完成审批或不予答复的，视为委托人同意中期支付申请。</w:t>
      </w:r>
    </w:p>
    <w:p w14:paraId="172BADA2">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9.4 费用结算</w:t>
      </w:r>
    </w:p>
    <w:p w14:paraId="63B218E4">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9.4.1当缺陷责任期满，整体验收合格完成，执行完监理合同，解除全部合同责任时支付剩余部份。</w:t>
      </w:r>
    </w:p>
    <w:p w14:paraId="68720BF9">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9.4.2 监理服务周期到期后，自到期之日起6个月内，因工程收尾、竣工验收、工程结算、合同处理等事项需要监理人提供服务的，委托人不予调整监理服务报酬；超过六个月之后，委托人提出增加监理服务的，只调增超出期限的费用，具体调增计算原则为：计算期限从延期后第7个月开始，计算方法参考监理人投入资源的投标报价水平，以实际投入资源的数量进行结算。</w:t>
      </w:r>
    </w:p>
    <w:p w14:paraId="1C11A97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参考监理人投入资源的投标报价水平，以实际出勤人员天数进行计算。</w:t>
      </w:r>
    </w:p>
    <w:p w14:paraId="6A8AA63B">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9.4.3 因工程规模、监理范围的变化导致监理人的正常工作量增加（或减少）时，按增加（或减少）工作量（只包含建筑安装工程费）所占工程投资额（工程投资额是指投标人须知前附表1.1.8建筑安装工程费）的比例，相应调增（或调减）监理费。</w:t>
      </w:r>
    </w:p>
    <w:p w14:paraId="1284501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9.4.4 监理人应按合同约定提交监理范围的工作考勤和委托人核准的附加工作、额外工作人员的考勤记录。</w:t>
      </w:r>
      <w:r>
        <w:rPr>
          <w:rFonts w:hint="default" w:hAnsi="宋体" w:cs="宋体"/>
          <w:color w:val="000000"/>
          <w:sz w:val="24"/>
          <w:szCs w:val="21"/>
          <w:highlight w:val="none"/>
        </w:rPr>
        <w:t>在监理服务期限内，监理人按照投标时列明的人数开展工作，监理人减少人员按照其分项报价费用进行扣减。</w:t>
      </w:r>
    </w:p>
    <w:p w14:paraId="6795A836">
      <w:pPr>
        <w:pStyle w:val="6"/>
        <w:spacing w:line="360" w:lineRule="auto"/>
        <w:jc w:val="both"/>
        <w:rPr>
          <w:rFonts w:hint="default" w:hAnsi="宋体"/>
          <w:sz w:val="21"/>
          <w:szCs w:val="24"/>
          <w:highlight w:val="none"/>
        </w:rPr>
      </w:pPr>
      <w:r>
        <w:rPr>
          <w:rFonts w:hint="default" w:hAnsi="宋体"/>
          <w:sz w:val="21"/>
          <w:szCs w:val="24"/>
          <w:highlight w:val="none"/>
        </w:rPr>
        <w:t>11.违约</w:t>
      </w:r>
    </w:p>
    <w:p w14:paraId="43654ED8">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11.1 监理人违约</w:t>
      </w:r>
    </w:p>
    <w:p w14:paraId="12D4E704">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11.1.1</w:t>
      </w:r>
    </w:p>
    <w:p w14:paraId="1AA5EBE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委托人有权依据监理合同对监理机构的监理工作进行检查、监督和考核。如监理人未按投标时组织机构以及计划派遣人员及设备、未及时提交工程建设监理档案资料等未按合同约定履行相关义务，导致项目无法正常开展情况。委托人有权要求监理人发出警告，且每出现一次，监理人应按监理总费用的1％向委托人支付违约金，委托人可从当期进度款中直接扣除，不足部分由监理人补足。</w:t>
      </w:r>
    </w:p>
    <w:p w14:paraId="082EF668">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（2）监理人的工作人员在工作中应对自身人员、财产安全负责，如由于监理人的工作成员自身原因而发生的安全责任事故，均由监理人自行承担。</w:t>
      </w:r>
    </w:p>
    <w:p w14:paraId="2A7EFA32">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（3）发现监理人有转包行为的，委托人有权单方面解除合同，不再支付已发生的监理费用，已支付监理费用应退还委托人。</w:t>
      </w:r>
    </w:p>
    <w:p w14:paraId="65E9884E">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（4）监理人在实施过程中，确因特殊原因导致无法履行合同时，双方协商解决。</w:t>
      </w:r>
    </w:p>
    <w:p w14:paraId="478C74E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（5）监理人根据本条支付违约金后，委托人有权要求监理人继续履行合同，监理人拒绝履行或履行仍不符合合同约定的，委托人有权单方解除合同，监理人应承担由此给委托人造成的全部损失。</w:t>
      </w:r>
    </w:p>
    <w:p w14:paraId="747F43E5">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6）委托人对监理人的服务质量、人员情况及配合程度进行监理服务质量评估，如监理人在服务过程中达不到本合同约定的服务要求，则委托人有权从监理人当期进度款中扣除进度款5%作为考核扣款（考核扣款不予退还），且委托人根据具体情况有权调整监理人的服务内容及范围。</w:t>
      </w:r>
    </w:p>
    <w:p w14:paraId="571091E2">
      <w:pPr>
        <w:pStyle w:val="23"/>
        <w:ind w:firstLine="480" w:firstLineChars="200"/>
        <w:rPr>
          <w:rFonts w:hint="default"/>
          <w:sz w:val="21"/>
          <w:szCs w:val="24"/>
          <w:highlight w:val="none"/>
        </w:rPr>
      </w:pPr>
      <w:r>
        <w:rPr>
          <w:rFonts w:hint="default" w:hAnsi="宋体" w:cs="宋体"/>
          <w:color w:val="000000"/>
          <w:sz w:val="24"/>
          <w:szCs w:val="21"/>
          <w:highlight w:val="none"/>
        </w:rPr>
        <w:t>（7）对监理弄虚作假，未经委托人审核监理人确认的签证、工程量增加、台班数量、日工数量等，均由监理方承担责任，由此导致委托人承担责任的， 有权向监理人追偿。</w:t>
      </w:r>
    </w:p>
    <w:p w14:paraId="5076A91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11.1.2委托人的违约。</w:t>
      </w:r>
    </w:p>
    <w:p w14:paraId="4D7B90CF">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委托人未按合同约定支付监理服务费用的，除继续支付外，需以应付金额为基数，按贷款市场报价利率（LPR）计算的金额向监理人支付违约金。</w:t>
      </w:r>
    </w:p>
    <w:p w14:paraId="1B02382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在本合同实施过程中，如果本合同运用的有关监理的法律、法规发生变化时，签约双方应充分协商，对本合同不适用的条款进行调整或变更。</w:t>
      </w:r>
    </w:p>
    <w:p w14:paraId="299E543A">
      <w:pPr>
        <w:pStyle w:val="6"/>
        <w:spacing w:line="360" w:lineRule="auto"/>
        <w:jc w:val="both"/>
        <w:rPr>
          <w:rFonts w:hint="default" w:hAnsi="宋体"/>
          <w:sz w:val="21"/>
          <w:szCs w:val="24"/>
          <w:highlight w:val="none"/>
        </w:rPr>
      </w:pPr>
      <w:r>
        <w:rPr>
          <w:rFonts w:hint="default" w:hAnsi="宋体"/>
          <w:sz w:val="21"/>
          <w:szCs w:val="24"/>
          <w:highlight w:val="none"/>
        </w:rPr>
        <w:t>12.争议解决</w:t>
      </w:r>
    </w:p>
    <w:p w14:paraId="562C2B51">
      <w:pPr>
        <w:spacing w:line="360" w:lineRule="auto"/>
        <w:ind w:firstLine="420" w:firstLineChars="200"/>
        <w:rPr>
          <w:rFonts w:hint="default" w:hAnsi="宋体"/>
          <w:sz w:val="21"/>
          <w:szCs w:val="24"/>
          <w:highlight w:val="none"/>
        </w:rPr>
      </w:pPr>
      <w:r>
        <w:rPr>
          <w:rFonts w:hint="default" w:hAnsi="宋体"/>
          <w:sz w:val="21"/>
          <w:szCs w:val="24"/>
          <w:highlight w:val="none"/>
        </w:rPr>
        <w:t xml:space="preserve"> 12.1 合同在履行过程中发生争议，委托人与监理人应及时协商解决；如未能达成一致，可提交有关主管部门调解；协商或调解不成的，按下列第</w:t>
      </w:r>
      <w:r>
        <w:rPr>
          <w:rFonts w:hint="default" w:hAnsi="宋体"/>
          <w:sz w:val="21"/>
          <w:szCs w:val="24"/>
          <w:highlight w:val="none"/>
          <w:u w:val="single"/>
        </w:rPr>
        <w:t xml:space="preserve"> 二  </w:t>
      </w:r>
      <w:r>
        <w:rPr>
          <w:rFonts w:hint="default" w:hAnsi="宋体"/>
          <w:sz w:val="21"/>
          <w:szCs w:val="24"/>
          <w:highlight w:val="none"/>
        </w:rPr>
        <w:t>种方式解决：</w:t>
      </w:r>
    </w:p>
    <w:p w14:paraId="0D9D751D">
      <w:pPr>
        <w:spacing w:line="360" w:lineRule="auto"/>
        <w:ind w:firstLine="420" w:firstLineChars="200"/>
        <w:rPr>
          <w:rFonts w:hint="default" w:hAnsi="宋体"/>
          <w:sz w:val="21"/>
          <w:szCs w:val="24"/>
          <w:highlight w:val="none"/>
        </w:rPr>
      </w:pPr>
      <w:r>
        <w:rPr>
          <w:rFonts w:hint="default" w:hAnsi="宋体"/>
          <w:sz w:val="21"/>
          <w:szCs w:val="24"/>
          <w:highlight w:val="none"/>
        </w:rPr>
        <w:t>（一）提交</w:t>
      </w:r>
      <w:r>
        <w:rPr>
          <w:rFonts w:hint="default" w:hAnsi="宋体"/>
          <w:sz w:val="21"/>
          <w:szCs w:val="24"/>
          <w:highlight w:val="none"/>
          <w:u w:val="single"/>
        </w:rPr>
        <w:t xml:space="preserve">　         </w:t>
      </w:r>
      <w:r>
        <w:rPr>
          <w:rFonts w:hint="default" w:hAnsi="宋体"/>
          <w:sz w:val="21"/>
          <w:szCs w:val="24"/>
          <w:highlight w:val="none"/>
        </w:rPr>
        <w:t xml:space="preserve"> 仲裁委员会仲裁；</w:t>
      </w:r>
    </w:p>
    <w:p w14:paraId="19CE1D06">
      <w:pPr>
        <w:spacing w:line="360" w:lineRule="auto"/>
        <w:ind w:firstLine="420" w:firstLineChars="200"/>
        <w:rPr>
          <w:rFonts w:hint="default" w:hAnsi="宋体"/>
          <w:sz w:val="21"/>
          <w:szCs w:val="24"/>
          <w:highlight w:val="none"/>
        </w:rPr>
      </w:pPr>
      <w:r>
        <w:rPr>
          <w:rFonts w:hint="default" w:hAnsi="宋体"/>
          <w:sz w:val="21"/>
          <w:szCs w:val="24"/>
          <w:highlight w:val="none"/>
        </w:rPr>
        <w:t>（二）依法向</w:t>
      </w:r>
      <w:r>
        <w:rPr>
          <w:rFonts w:hint="default" w:hAnsi="宋体"/>
          <w:sz w:val="21"/>
          <w:szCs w:val="24"/>
          <w:highlight w:val="none"/>
          <w:u w:val="single"/>
        </w:rPr>
        <w:t>工程所在地有管辖权</w:t>
      </w:r>
      <w:r>
        <w:rPr>
          <w:rFonts w:hint="default" w:hAnsi="宋体"/>
          <w:sz w:val="21"/>
          <w:szCs w:val="24"/>
          <w:highlight w:val="none"/>
        </w:rPr>
        <w:t>的人民法院起诉。</w:t>
      </w:r>
    </w:p>
    <w:p w14:paraId="0A49DC03">
      <w:pPr>
        <w:pStyle w:val="6"/>
        <w:spacing w:line="360" w:lineRule="auto"/>
        <w:jc w:val="both"/>
        <w:rPr>
          <w:rFonts w:hint="default" w:hAnsi="宋体"/>
          <w:sz w:val="21"/>
          <w:szCs w:val="24"/>
          <w:highlight w:val="none"/>
        </w:rPr>
      </w:pPr>
      <w:r>
        <w:rPr>
          <w:rFonts w:hint="default" w:hAnsi="宋体"/>
          <w:sz w:val="21"/>
          <w:szCs w:val="24"/>
          <w:highlight w:val="none"/>
        </w:rPr>
        <w:t>13.合同生效、解除、终止</w:t>
      </w:r>
    </w:p>
    <w:p w14:paraId="4ADB995F">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13.1 合同生效</w:t>
      </w:r>
    </w:p>
    <w:p w14:paraId="46E4CF44">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委托人和监理人的法定代表人或其授权的代理人在合同书上签字并加盖单位合同专用章后本合同生效。</w:t>
      </w:r>
    </w:p>
    <w:p w14:paraId="1EAC4702">
      <w:pPr>
        <w:pStyle w:val="23"/>
        <w:kinsoku w:val="0"/>
        <w:overflowPunct w:val="0"/>
        <w:spacing w:line="360" w:lineRule="auto"/>
        <w:jc w:val="both"/>
        <w:rPr>
          <w:rFonts w:hint="default" w:hAnsi="宋体"/>
          <w:b/>
          <w:sz w:val="21"/>
          <w:szCs w:val="24"/>
          <w:highlight w:val="none"/>
        </w:rPr>
      </w:pPr>
      <w:r>
        <w:rPr>
          <w:rFonts w:hint="default" w:hAnsi="宋体"/>
          <w:b/>
          <w:sz w:val="21"/>
          <w:szCs w:val="24"/>
          <w:highlight w:val="none"/>
        </w:rPr>
        <w:t>13.2 合同解除</w:t>
      </w:r>
    </w:p>
    <w:p w14:paraId="31496745">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13.2.1 本合同履行期限内，由于双方无法预见和控制的原因导致本合同全部或部分无法继续履行或继续履行已无意义，经双方协商一致，可以解除本合同。</w:t>
      </w:r>
    </w:p>
    <w:p w14:paraId="2118C6BE">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13.2.2 解除本合同必须采取书面形式。</w:t>
      </w:r>
    </w:p>
    <w:p w14:paraId="29319CED">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13.2.3 本合同解除后，本合同约定的有关结算、争议解决方式的条款仍然有效。</w:t>
      </w:r>
    </w:p>
    <w:p w14:paraId="05A4DB05">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13.2.4 合同单方解除权</w:t>
      </w:r>
    </w:p>
    <w:p w14:paraId="4A73C65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（1）监理人的项目监理人员及组织机构必须为投标时的人员及组织机构。若出现实际投入的监理人员与投标时的人员不符按未能履约处理，委托人有权单方面解除合同。</w:t>
      </w:r>
    </w:p>
    <w:p w14:paraId="4739D4E3">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（2）监理人的项目监理人员人数少于投标时人数，委托人有权单方面解除合同。</w:t>
      </w:r>
    </w:p>
    <w:p w14:paraId="586C4D2C">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（3）委托人发现监理人派驻现场的人员不能满足项目实施要求，有权要求监理人更换或增派相关人员，监理人应立即执行，否则将视监理人违约。超过三次的，委托人有权单方解除合同。</w:t>
      </w:r>
    </w:p>
    <w:p w14:paraId="2CB739D7">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（4）监理人在实施过程中无故不履行或要求委托人停止履行合同时，委托人有权单方面解除合同。</w:t>
      </w:r>
    </w:p>
    <w:p w14:paraId="222DD2EF">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（5）发现监理人有转包行为的，委托人有权单方面解除合同。</w:t>
      </w:r>
    </w:p>
    <w:p w14:paraId="375B8C2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（6）其它合同约定的委托人享有的单方解除权。</w:t>
      </w:r>
    </w:p>
    <w:p w14:paraId="2F06A603">
      <w:pPr>
        <w:spacing w:line="360" w:lineRule="auto"/>
        <w:ind w:firstLine="422" w:firstLineChars="200"/>
        <w:outlineLvl w:val="4"/>
        <w:rPr>
          <w:rFonts w:hint="default" w:hAnsi="宋体"/>
          <w:b/>
          <w:smallCaps/>
          <w:sz w:val="21"/>
          <w:szCs w:val="24"/>
          <w:highlight w:val="none"/>
        </w:rPr>
      </w:pPr>
      <w:r>
        <w:rPr>
          <w:rFonts w:hint="default" w:hAnsi="宋体"/>
          <w:b/>
          <w:smallCaps/>
          <w:sz w:val="21"/>
          <w:szCs w:val="24"/>
          <w:highlight w:val="none"/>
        </w:rPr>
        <w:t>13.3 合同终止</w:t>
      </w:r>
    </w:p>
    <w:p w14:paraId="77817C0F">
      <w:pPr>
        <w:widowControl/>
        <w:autoSpaceDE/>
        <w:autoSpaceDN/>
        <w:adjustRightInd/>
        <w:spacing w:line="360" w:lineRule="auto"/>
        <w:ind w:firstLine="422" w:firstLineChars="200"/>
        <w:rPr>
          <w:rFonts w:hint="default" w:hAnsi="宋体"/>
          <w:sz w:val="21"/>
          <w:szCs w:val="24"/>
          <w:highlight w:val="none"/>
        </w:rPr>
      </w:pPr>
      <w:r>
        <w:rPr>
          <w:rFonts w:hint="default" w:hAnsi="宋体"/>
          <w:b/>
          <w:smallCaps/>
          <w:sz w:val="21"/>
          <w:szCs w:val="24"/>
          <w:highlight w:val="none"/>
        </w:rPr>
        <w:t xml:space="preserve">13.3.1 </w:t>
      </w:r>
      <w:r>
        <w:rPr>
          <w:rFonts w:hint="default" w:hAnsi="宋体"/>
          <w:smallCaps/>
          <w:sz w:val="21"/>
          <w:szCs w:val="24"/>
          <w:highlight w:val="none"/>
        </w:rPr>
        <w:t>以下条</w:t>
      </w:r>
      <w:r>
        <w:rPr>
          <w:rFonts w:hint="default" w:hAnsi="宋体"/>
          <w:sz w:val="21"/>
          <w:szCs w:val="24"/>
          <w:highlight w:val="none"/>
        </w:rPr>
        <w:t>件全部满足时，本合同终止：</w:t>
      </w:r>
      <w:r>
        <w:rPr>
          <w:rFonts w:hint="default" w:hAnsi="宋体"/>
          <w:sz w:val="21"/>
          <w:szCs w:val="24"/>
          <w:highlight w:val="none"/>
        </w:rPr>
        <w:br w:type="textWrapping"/>
      </w:r>
      <w:r>
        <w:rPr>
          <w:rFonts w:hint="default" w:hAnsi="宋体"/>
          <w:sz w:val="21"/>
          <w:szCs w:val="24"/>
          <w:highlight w:val="none"/>
        </w:rPr>
        <w:t>　 （1）监理人完成本合同约定的全部工作和义务；</w:t>
      </w:r>
      <w:r>
        <w:rPr>
          <w:rFonts w:hint="default" w:hAnsi="宋体"/>
          <w:sz w:val="21"/>
          <w:szCs w:val="24"/>
          <w:highlight w:val="none"/>
        </w:rPr>
        <w:br w:type="textWrapping"/>
      </w:r>
      <w:r>
        <w:rPr>
          <w:rFonts w:hint="default" w:hAnsi="宋体"/>
          <w:sz w:val="21"/>
          <w:szCs w:val="24"/>
          <w:highlight w:val="none"/>
        </w:rPr>
        <w:t>　 （2）委托人与监理人结清并支付酬金。</w:t>
      </w:r>
    </w:p>
    <w:p w14:paraId="553978F1">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（3）监理人将委托人提供的资料交还且需提交委托人的资料已归档。</w:t>
      </w:r>
    </w:p>
    <w:p w14:paraId="77B08D17">
      <w:pPr>
        <w:pStyle w:val="6"/>
        <w:spacing w:line="360" w:lineRule="auto"/>
        <w:ind w:firstLine="211" w:firstLineChars="100"/>
        <w:jc w:val="both"/>
        <w:rPr>
          <w:rFonts w:hint="default" w:hAnsi="宋体"/>
          <w:sz w:val="21"/>
          <w:szCs w:val="24"/>
          <w:highlight w:val="none"/>
        </w:rPr>
      </w:pPr>
      <w:r>
        <w:rPr>
          <w:rFonts w:hint="default" w:hAnsi="宋体"/>
          <w:sz w:val="21"/>
          <w:szCs w:val="24"/>
          <w:highlight w:val="none"/>
        </w:rPr>
        <w:t>14.其他事项</w:t>
      </w:r>
    </w:p>
    <w:p w14:paraId="204670C6">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14.1监理人同意按照本合同的约定，承担本合同中议定范围内的监理。</w:t>
      </w:r>
    </w:p>
    <w:p w14:paraId="4E3E8E03">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14.2 委托人同意按照本合同约定的期限、方式、币种、额度向监理人支付酬金。</w:t>
      </w:r>
    </w:p>
    <w:p w14:paraId="470997EE">
      <w:pPr>
        <w:widowControl/>
        <w:autoSpaceDE/>
        <w:autoSpaceDN/>
        <w:adjustRightInd/>
        <w:spacing w:line="360" w:lineRule="auto"/>
        <w:ind w:firstLine="420" w:firstLineChars="200"/>
        <w:rPr>
          <w:rFonts w:hint="default" w:hAnsi="宋体"/>
          <w:sz w:val="21"/>
          <w:szCs w:val="24"/>
          <w:highlight w:val="none"/>
        </w:rPr>
      </w:pPr>
      <w:r>
        <w:rPr>
          <w:rFonts w:hint="default" w:hAnsi="宋体"/>
          <w:sz w:val="21"/>
          <w:szCs w:val="24"/>
          <w:highlight w:val="none"/>
        </w:rPr>
        <w:t>14.3 本合同一式陆份，委托人执肆份，监理人执贰份，具有同等法律效力。</w:t>
      </w:r>
    </w:p>
    <w:p w14:paraId="02343BE2">
      <w:pPr>
        <w:widowControl/>
        <w:overflowPunct w:val="0"/>
        <w:ind w:left="0" w:firstLine="420" w:firstLineChars="200"/>
        <w:rPr>
          <w:rFonts w:hint="default" w:ascii="Times New Roman" w:hAnsi="宋体" w:eastAsia="宋体" w:cs="Times New Roman"/>
          <w:b w:val="0"/>
          <w:sz w:val="21"/>
          <w:szCs w:val="24"/>
          <w:highlight w:val="none"/>
        </w:rPr>
      </w:pPr>
      <w:r>
        <w:rPr>
          <w:rFonts w:hint="default" w:hAnsi="宋体"/>
          <w:sz w:val="21"/>
          <w:szCs w:val="24"/>
          <w:highlight w:val="none"/>
        </w:rPr>
        <w:t>14.4 本合同如有未尽事宜，双方协商解决，另行签订补充协议。</w:t>
      </w:r>
      <w:bookmarkStart w:id="352" w:name="_Toc146500122"/>
      <w:bookmarkStart w:id="353" w:name="_Toc32423"/>
      <w:bookmarkStart w:id="354" w:name="_Toc9706"/>
      <w:bookmarkStart w:id="355" w:name="_Toc55310066"/>
      <w:bookmarkStart w:id="356" w:name="_Toc30620"/>
      <w:bookmarkStart w:id="357" w:name="_Toc23243"/>
      <w:bookmarkStart w:id="358" w:name="_Toc32149"/>
      <w:bookmarkStart w:id="359" w:name="_Toc13274"/>
      <w:bookmarkStart w:id="360" w:name="_Toc27531"/>
    </w:p>
    <w:p w14:paraId="1F0CA9A7">
      <w:pPr>
        <w:pStyle w:val="23"/>
        <w:overflowPunct w:val="0"/>
        <w:ind w:left="0"/>
        <w:rPr>
          <w:rFonts w:hint="default" w:ascii="宋体" w:hAnsi="宋体" w:eastAsia="宋体" w:cs="Times New Roman"/>
          <w:b/>
          <w:sz w:val="28"/>
          <w:szCs w:val="24"/>
          <w:highlight w:val="none"/>
        </w:rPr>
      </w:pPr>
    </w:p>
    <w:p w14:paraId="44E76B5C">
      <w:pPr>
        <w:overflowPunct w:val="0"/>
        <w:ind w:left="0"/>
        <w:rPr>
          <w:rFonts w:hint="default" w:ascii="宋体" w:hAnsi="宋体" w:eastAsia="宋体" w:cs="Times New Roman"/>
          <w:b/>
          <w:sz w:val="28"/>
          <w:szCs w:val="24"/>
          <w:highlight w:val="none"/>
        </w:rPr>
      </w:pPr>
    </w:p>
    <w:p w14:paraId="1CB67248">
      <w:pPr>
        <w:pStyle w:val="23"/>
        <w:overflowPunct w:val="0"/>
        <w:ind w:left="0"/>
        <w:rPr>
          <w:rFonts w:hint="default" w:ascii="宋体" w:hAnsi="宋体" w:eastAsia="宋体" w:cs="Times New Roman"/>
          <w:b/>
          <w:sz w:val="28"/>
          <w:szCs w:val="24"/>
          <w:highlight w:val="none"/>
        </w:rPr>
      </w:pPr>
    </w:p>
    <w:bookmarkEnd w:id="352"/>
    <w:p w14:paraId="4E622327">
      <w:pPr>
        <w:overflowPunct w:val="0"/>
        <w:spacing w:before="15" w:line="360" w:lineRule="auto"/>
        <w:ind w:left="0"/>
        <w:outlineLvl w:val="2"/>
        <w:rPr>
          <w:rFonts w:hint="default" w:hAnsi="宋体"/>
          <w:sz w:val="28"/>
          <w:szCs w:val="24"/>
          <w:highlight w:val="none"/>
        </w:rPr>
      </w:pPr>
      <w:r>
        <w:rPr>
          <w:rFonts w:hint="default" w:hAnsi="宋体"/>
          <w:b/>
          <w:sz w:val="28"/>
          <w:szCs w:val="24"/>
          <w:highlight w:val="none"/>
        </w:rPr>
        <w:br w:type="page"/>
      </w:r>
      <w:bookmarkStart w:id="361" w:name="_Toc146500124"/>
      <w:r>
        <w:rPr>
          <w:rFonts w:hint="default" w:hAnsi="宋体"/>
          <w:b/>
          <w:sz w:val="28"/>
          <w:szCs w:val="24"/>
          <w:highlight w:val="none"/>
        </w:rPr>
        <w:t>附件一：履约保证金格式</w:t>
      </w:r>
      <w:bookmarkEnd w:id="361"/>
    </w:p>
    <w:p w14:paraId="3C834E12">
      <w:pPr>
        <w:pStyle w:val="23"/>
        <w:overflowPunct w:val="0"/>
        <w:spacing w:line="360" w:lineRule="auto"/>
        <w:rPr>
          <w:rFonts w:hint="default" w:hAnsi="宋体"/>
          <w:sz w:val="20"/>
          <w:szCs w:val="24"/>
          <w:highlight w:val="none"/>
        </w:rPr>
      </w:pPr>
    </w:p>
    <w:p w14:paraId="6647C93E">
      <w:pPr>
        <w:pStyle w:val="23"/>
        <w:overflowPunct w:val="0"/>
        <w:spacing w:before="36" w:line="360" w:lineRule="auto"/>
        <w:ind w:left="100"/>
        <w:rPr>
          <w:rFonts w:hint="default" w:hAnsi="宋体"/>
          <w:sz w:val="21"/>
          <w:szCs w:val="24"/>
          <w:highlight w:val="none"/>
        </w:rPr>
      </w:pPr>
      <w:r>
        <w:rPr>
          <w:rFonts w:hint="default" w:hAnsi="宋体"/>
          <w:sz w:val="21"/>
          <w:szCs w:val="24"/>
          <w:highlight w:val="none"/>
        </w:rPr>
        <w:t>如采用银行保函，格式如下，具体以银行开具的保函为准。</w:t>
      </w:r>
    </w:p>
    <w:p w14:paraId="4C264CAF">
      <w:pPr>
        <w:overflowPunct w:val="0"/>
        <w:spacing w:line="360" w:lineRule="auto"/>
        <w:ind w:left="102"/>
        <w:jc w:val="center"/>
        <w:rPr>
          <w:rFonts w:hint="default" w:hAnsi="宋体"/>
          <w:sz w:val="28"/>
          <w:szCs w:val="24"/>
          <w:highlight w:val="none"/>
        </w:rPr>
      </w:pPr>
      <w:r>
        <w:rPr>
          <w:rFonts w:hint="default" w:hAnsi="宋体"/>
          <w:sz w:val="28"/>
          <w:szCs w:val="24"/>
          <w:highlight w:val="none"/>
        </w:rPr>
        <w:t>履约保证金</w:t>
      </w:r>
    </w:p>
    <w:p w14:paraId="390D2403">
      <w:pPr>
        <w:pStyle w:val="23"/>
        <w:overflowPunct w:val="0"/>
        <w:spacing w:line="360" w:lineRule="auto"/>
        <w:rPr>
          <w:rFonts w:hint="default" w:hAnsi="宋体"/>
          <w:sz w:val="20"/>
          <w:szCs w:val="24"/>
          <w:highlight w:val="none"/>
        </w:rPr>
      </w:pPr>
    </w:p>
    <w:p w14:paraId="0499A189">
      <w:pPr>
        <w:pStyle w:val="23"/>
        <w:tabs>
          <w:tab w:val="left" w:pos="2305"/>
        </w:tabs>
        <w:overflowPunct w:val="0"/>
        <w:spacing w:line="360" w:lineRule="auto"/>
        <w:rPr>
          <w:rFonts w:hint="default" w:hAnsi="宋体"/>
          <w:sz w:val="21"/>
          <w:szCs w:val="24"/>
          <w:highlight w:val="none"/>
        </w:rPr>
      </w:pPr>
      <w:r>
        <w:rPr>
          <w:rFonts w:hint="default" w:hAnsi="宋体"/>
          <w:sz w:val="21"/>
          <w:szCs w:val="24"/>
          <w:highlight w:val="none"/>
          <w:u w:val="single" w:color="000000"/>
        </w:rPr>
        <w:t xml:space="preserve"> </w:t>
      </w:r>
      <w:r>
        <w:rPr>
          <w:rFonts w:hint="default" w:hAnsi="宋体"/>
          <w:sz w:val="21"/>
          <w:szCs w:val="24"/>
          <w:highlight w:val="none"/>
          <w:u w:val="single" w:color="000000"/>
        </w:rPr>
        <w:tab/>
      </w:r>
      <w:r>
        <w:rPr>
          <w:rFonts w:hint="default" w:hAnsi="宋体"/>
          <w:spacing w:val="-2"/>
          <w:sz w:val="21"/>
          <w:szCs w:val="24"/>
          <w:highlight w:val="none"/>
        </w:rPr>
        <w:t>（委托人名称</w:t>
      </w:r>
      <w:r>
        <w:rPr>
          <w:rFonts w:hint="default" w:hAnsi="宋体"/>
          <w:spacing w:val="-106"/>
          <w:sz w:val="21"/>
          <w:szCs w:val="24"/>
          <w:highlight w:val="none"/>
        </w:rPr>
        <w:t>）</w:t>
      </w:r>
      <w:r>
        <w:rPr>
          <w:rFonts w:hint="default" w:hAnsi="宋体"/>
          <w:sz w:val="21"/>
          <w:szCs w:val="24"/>
          <w:highlight w:val="none"/>
        </w:rPr>
        <w:t>：</w:t>
      </w:r>
    </w:p>
    <w:p w14:paraId="001EAF00">
      <w:pPr>
        <w:pStyle w:val="23"/>
        <w:tabs>
          <w:tab w:val="left" w:pos="7485"/>
          <w:tab w:val="left" w:pos="8115"/>
        </w:tabs>
        <w:overflowPunct w:val="0"/>
        <w:spacing w:line="360" w:lineRule="auto"/>
        <w:rPr>
          <w:rFonts w:hint="default" w:hAnsi="宋体"/>
          <w:sz w:val="21"/>
          <w:szCs w:val="24"/>
          <w:highlight w:val="none"/>
        </w:rPr>
      </w:pPr>
      <w:r>
        <w:rPr>
          <w:rFonts w:hint="default" w:hAnsi="宋体"/>
          <w:sz w:val="21"/>
          <w:szCs w:val="24"/>
          <w:highlight w:val="none"/>
        </w:rPr>
        <w:t>鉴</w:t>
      </w:r>
      <w:r>
        <w:rPr>
          <w:rFonts w:hint="default" w:hAnsi="宋体"/>
          <w:spacing w:val="-94"/>
          <w:sz w:val="21"/>
          <w:szCs w:val="24"/>
          <w:highlight w:val="none"/>
        </w:rPr>
        <w:t>于</w:t>
      </w:r>
      <w:r>
        <w:rPr>
          <w:rFonts w:hint="default" w:hAnsi="宋体"/>
          <w:spacing w:val="-1"/>
          <w:sz w:val="21"/>
          <w:szCs w:val="24"/>
          <w:highlight w:val="none"/>
        </w:rPr>
        <w:t>（</w:t>
      </w:r>
      <w:r>
        <w:rPr>
          <w:rFonts w:hint="default" w:hAnsi="宋体"/>
          <w:spacing w:val="-3"/>
          <w:sz w:val="21"/>
          <w:szCs w:val="24"/>
          <w:highlight w:val="none"/>
        </w:rPr>
        <w:t>委</w:t>
      </w:r>
      <w:r>
        <w:rPr>
          <w:rFonts w:hint="default" w:hAnsi="宋体"/>
          <w:sz w:val="21"/>
          <w:szCs w:val="24"/>
          <w:highlight w:val="none"/>
        </w:rPr>
        <w:t>托</w:t>
      </w:r>
      <w:r>
        <w:rPr>
          <w:rFonts w:hint="default" w:hAnsi="宋体"/>
          <w:spacing w:val="-3"/>
          <w:sz w:val="21"/>
          <w:szCs w:val="24"/>
          <w:highlight w:val="none"/>
        </w:rPr>
        <w:t>人</w:t>
      </w:r>
      <w:r>
        <w:rPr>
          <w:rFonts w:hint="default" w:hAnsi="宋体"/>
          <w:sz w:val="21"/>
          <w:szCs w:val="24"/>
          <w:highlight w:val="none"/>
        </w:rPr>
        <w:t>名</w:t>
      </w:r>
      <w:r>
        <w:rPr>
          <w:rFonts w:hint="default" w:hAnsi="宋体"/>
          <w:spacing w:val="-3"/>
          <w:sz w:val="21"/>
          <w:szCs w:val="24"/>
          <w:highlight w:val="none"/>
        </w:rPr>
        <w:t>称</w:t>
      </w:r>
      <w:r>
        <w:rPr>
          <w:rFonts w:hint="default" w:hAnsi="宋体"/>
          <w:spacing w:val="-94"/>
          <w:sz w:val="21"/>
          <w:szCs w:val="24"/>
          <w:highlight w:val="none"/>
        </w:rPr>
        <w:t>，</w:t>
      </w:r>
      <w:r>
        <w:rPr>
          <w:rFonts w:hint="default" w:hAnsi="宋体"/>
          <w:sz w:val="21"/>
          <w:szCs w:val="24"/>
          <w:highlight w:val="none"/>
        </w:rPr>
        <w:t>以</w:t>
      </w:r>
      <w:r>
        <w:rPr>
          <w:rFonts w:hint="default" w:hAnsi="宋体"/>
          <w:spacing w:val="-3"/>
          <w:sz w:val="21"/>
          <w:szCs w:val="24"/>
          <w:highlight w:val="none"/>
        </w:rPr>
        <w:t>下简</w:t>
      </w:r>
      <w:r>
        <w:rPr>
          <w:rFonts w:hint="default" w:hAnsi="宋体"/>
          <w:sz w:val="21"/>
          <w:szCs w:val="24"/>
          <w:highlight w:val="none"/>
        </w:rPr>
        <w:t>称</w:t>
      </w:r>
      <w:r>
        <w:rPr>
          <w:rFonts w:hint="default" w:hAnsi="宋体"/>
          <w:spacing w:val="-1"/>
          <w:sz w:val="21"/>
          <w:szCs w:val="24"/>
          <w:highlight w:val="none"/>
        </w:rPr>
        <w:t>“</w:t>
      </w:r>
      <w:r>
        <w:rPr>
          <w:rFonts w:hint="default" w:hAnsi="宋体"/>
          <w:spacing w:val="-3"/>
          <w:sz w:val="21"/>
          <w:szCs w:val="24"/>
          <w:highlight w:val="none"/>
        </w:rPr>
        <w:t>委</w:t>
      </w:r>
      <w:r>
        <w:rPr>
          <w:rFonts w:hint="default" w:hAnsi="宋体"/>
          <w:sz w:val="21"/>
          <w:szCs w:val="24"/>
          <w:highlight w:val="none"/>
        </w:rPr>
        <w:t>托</w:t>
      </w:r>
      <w:r>
        <w:rPr>
          <w:rFonts w:hint="default" w:hAnsi="宋体"/>
          <w:spacing w:val="-1"/>
          <w:sz w:val="21"/>
          <w:szCs w:val="24"/>
          <w:highlight w:val="none"/>
        </w:rPr>
        <w:t>人</w:t>
      </w:r>
      <w:r>
        <w:rPr>
          <w:rFonts w:hint="default" w:hAnsi="宋体"/>
          <w:spacing w:val="-3"/>
          <w:sz w:val="21"/>
          <w:szCs w:val="24"/>
          <w:highlight w:val="none"/>
        </w:rPr>
        <w:t>”</w:t>
      </w:r>
      <w:r>
        <w:rPr>
          <w:rFonts w:hint="default" w:hAnsi="宋体"/>
          <w:spacing w:val="-94"/>
          <w:sz w:val="21"/>
          <w:szCs w:val="24"/>
          <w:highlight w:val="none"/>
        </w:rPr>
        <w:t>）</w:t>
      </w:r>
      <w:r>
        <w:rPr>
          <w:rFonts w:hint="default" w:hAnsi="宋体"/>
          <w:sz w:val="21"/>
          <w:szCs w:val="24"/>
          <w:highlight w:val="none"/>
        </w:rPr>
        <w:t>接</w:t>
      </w:r>
      <w:r>
        <w:rPr>
          <w:rFonts w:hint="default" w:hAnsi="宋体"/>
          <w:spacing w:val="-94"/>
          <w:sz w:val="21"/>
          <w:szCs w:val="24"/>
          <w:highlight w:val="none"/>
        </w:rPr>
        <w:t>受</w:t>
      </w:r>
      <w:r>
        <w:rPr>
          <w:rFonts w:hint="default" w:hAnsi="宋体"/>
          <w:spacing w:val="-3"/>
          <w:sz w:val="21"/>
          <w:szCs w:val="24"/>
          <w:highlight w:val="none"/>
        </w:rPr>
        <w:t>（</w:t>
      </w:r>
      <w:r>
        <w:rPr>
          <w:rFonts w:hint="default" w:hAnsi="宋体"/>
          <w:sz w:val="21"/>
          <w:szCs w:val="24"/>
          <w:highlight w:val="none"/>
        </w:rPr>
        <w:t>监</w:t>
      </w:r>
      <w:r>
        <w:rPr>
          <w:rFonts w:hint="default" w:hAnsi="宋体"/>
          <w:spacing w:val="-3"/>
          <w:sz w:val="21"/>
          <w:szCs w:val="24"/>
          <w:highlight w:val="none"/>
        </w:rPr>
        <w:t>理</w:t>
      </w:r>
      <w:r>
        <w:rPr>
          <w:rFonts w:hint="default" w:hAnsi="宋体"/>
          <w:spacing w:val="-2"/>
          <w:sz w:val="21"/>
          <w:szCs w:val="24"/>
          <w:highlight w:val="none"/>
        </w:rPr>
        <w:t>人</w:t>
      </w:r>
      <w:r>
        <w:rPr>
          <w:rFonts w:hint="default" w:hAnsi="宋体"/>
          <w:sz w:val="21"/>
          <w:szCs w:val="24"/>
          <w:highlight w:val="none"/>
        </w:rPr>
        <w:t>名</w:t>
      </w:r>
      <w:r>
        <w:rPr>
          <w:rFonts w:hint="default" w:hAnsi="宋体"/>
          <w:spacing w:val="-3"/>
          <w:sz w:val="21"/>
          <w:szCs w:val="24"/>
          <w:highlight w:val="none"/>
        </w:rPr>
        <w:t>称</w:t>
      </w:r>
      <w:r>
        <w:rPr>
          <w:rFonts w:hint="default" w:hAnsi="宋体"/>
          <w:spacing w:val="-92"/>
          <w:sz w:val="21"/>
          <w:szCs w:val="24"/>
          <w:highlight w:val="none"/>
        </w:rPr>
        <w:t>，</w:t>
      </w:r>
      <w:r>
        <w:rPr>
          <w:rFonts w:hint="default" w:hAnsi="宋体"/>
          <w:spacing w:val="-3"/>
          <w:sz w:val="21"/>
          <w:szCs w:val="24"/>
          <w:highlight w:val="none"/>
        </w:rPr>
        <w:t>以</w:t>
      </w:r>
      <w:r>
        <w:rPr>
          <w:rFonts w:hint="default" w:hAnsi="宋体"/>
          <w:spacing w:val="-1"/>
          <w:sz w:val="21"/>
          <w:szCs w:val="24"/>
          <w:highlight w:val="none"/>
        </w:rPr>
        <w:t>下</w:t>
      </w:r>
      <w:r>
        <w:rPr>
          <w:rFonts w:hint="default" w:hAnsi="宋体"/>
          <w:spacing w:val="-3"/>
          <w:sz w:val="21"/>
          <w:szCs w:val="24"/>
          <w:highlight w:val="none"/>
        </w:rPr>
        <w:t>称</w:t>
      </w:r>
      <w:r>
        <w:rPr>
          <w:rFonts w:hint="default" w:hAnsi="宋体"/>
          <w:spacing w:val="-1"/>
          <w:sz w:val="21"/>
          <w:szCs w:val="24"/>
          <w:highlight w:val="none"/>
        </w:rPr>
        <w:t>“</w:t>
      </w:r>
      <w:r>
        <w:rPr>
          <w:rFonts w:hint="default" w:hAnsi="宋体"/>
          <w:sz w:val="21"/>
          <w:szCs w:val="24"/>
          <w:highlight w:val="none"/>
        </w:rPr>
        <w:t>监</w:t>
      </w:r>
      <w:r>
        <w:rPr>
          <w:rFonts w:hint="default" w:hAnsi="宋体"/>
          <w:spacing w:val="-3"/>
          <w:sz w:val="21"/>
          <w:szCs w:val="24"/>
          <w:highlight w:val="none"/>
        </w:rPr>
        <w:t>理</w:t>
      </w:r>
      <w:r>
        <w:rPr>
          <w:rFonts w:hint="default" w:hAnsi="宋体"/>
          <w:sz w:val="21"/>
          <w:szCs w:val="24"/>
          <w:highlight w:val="none"/>
        </w:rPr>
        <w:t>人</w:t>
      </w:r>
      <w:r>
        <w:rPr>
          <w:rFonts w:hint="default" w:hAnsi="宋体"/>
          <w:spacing w:val="-3"/>
          <w:sz w:val="21"/>
          <w:szCs w:val="24"/>
          <w:highlight w:val="none"/>
        </w:rPr>
        <w:t>”</w:t>
      </w:r>
      <w:r>
        <w:rPr>
          <w:rFonts w:hint="default" w:hAnsi="宋体"/>
          <w:spacing w:val="-94"/>
          <w:sz w:val="21"/>
          <w:szCs w:val="24"/>
          <w:highlight w:val="none"/>
        </w:rPr>
        <w:t>）</w:t>
      </w:r>
      <w:r>
        <w:rPr>
          <w:rFonts w:hint="default" w:hAnsi="宋体"/>
          <w:sz w:val="21"/>
          <w:szCs w:val="24"/>
          <w:highlight w:val="none"/>
        </w:rPr>
        <w:t>于</w:t>
      </w:r>
      <w:r>
        <w:rPr>
          <w:rFonts w:hint="default" w:hAnsi="宋体"/>
          <w:sz w:val="21"/>
          <w:szCs w:val="24"/>
          <w:highlight w:val="none"/>
          <w:u w:val="single" w:color="000000"/>
        </w:rPr>
        <w:t xml:space="preserve"> </w:t>
      </w:r>
      <w:r>
        <w:rPr>
          <w:rFonts w:hint="default" w:hAnsi="宋体"/>
          <w:sz w:val="21"/>
          <w:szCs w:val="24"/>
          <w:highlight w:val="none"/>
          <w:u w:val="single" w:color="000000"/>
        </w:rPr>
        <w:tab/>
      </w:r>
      <w:r>
        <w:rPr>
          <w:rFonts w:hint="default" w:hAnsi="宋体"/>
          <w:sz w:val="21"/>
          <w:szCs w:val="24"/>
          <w:highlight w:val="none"/>
        </w:rPr>
        <w:t>年</w:t>
      </w:r>
      <w:r>
        <w:rPr>
          <w:rFonts w:hint="default" w:hAnsi="宋体"/>
          <w:sz w:val="21"/>
          <w:szCs w:val="24"/>
          <w:highlight w:val="none"/>
          <w:u w:val="single" w:color="000000"/>
        </w:rPr>
        <w:t xml:space="preserve"> </w:t>
      </w:r>
      <w:r>
        <w:rPr>
          <w:rFonts w:hint="default" w:hAnsi="宋体"/>
          <w:sz w:val="21"/>
          <w:szCs w:val="24"/>
          <w:highlight w:val="none"/>
          <w:u w:val="single" w:color="000000"/>
        </w:rPr>
        <w:tab/>
      </w:r>
      <w:r>
        <w:rPr>
          <w:rFonts w:hint="default" w:hAnsi="宋体"/>
          <w:sz w:val="21"/>
          <w:szCs w:val="24"/>
          <w:highlight w:val="none"/>
        </w:rPr>
        <w:t>月</w:t>
      </w:r>
      <w:r>
        <w:rPr>
          <w:rFonts w:hint="default" w:hAnsi="宋体"/>
          <w:sz w:val="21"/>
          <w:szCs w:val="24"/>
          <w:highlight w:val="none"/>
          <w:u w:val="single"/>
        </w:rPr>
        <w:t xml:space="preserve">    </w:t>
      </w:r>
      <w:r>
        <w:rPr>
          <w:rFonts w:hint="default" w:hAnsi="宋体"/>
          <w:sz w:val="21"/>
          <w:szCs w:val="24"/>
          <w:highlight w:val="none"/>
        </w:rPr>
        <w:t>日</w:t>
      </w:r>
      <w:r>
        <w:rPr>
          <w:rFonts w:hint="default" w:hAnsi="宋体"/>
          <w:spacing w:val="-3"/>
          <w:sz w:val="21"/>
          <w:szCs w:val="24"/>
          <w:highlight w:val="none"/>
        </w:rPr>
        <w:t>参</w:t>
      </w:r>
      <w:r>
        <w:rPr>
          <w:rFonts w:hint="default" w:hAnsi="宋体"/>
          <w:sz w:val="21"/>
          <w:szCs w:val="24"/>
          <w:highlight w:val="none"/>
        </w:rPr>
        <w:t>加</w:t>
      </w:r>
      <w:r>
        <w:rPr>
          <w:rFonts w:hint="default" w:hAnsi="宋体"/>
          <w:sz w:val="21"/>
          <w:szCs w:val="24"/>
          <w:highlight w:val="none"/>
          <w:u w:val="single"/>
        </w:rPr>
        <w:t xml:space="preserve">                           </w:t>
      </w:r>
      <w:r>
        <w:rPr>
          <w:rFonts w:hint="default" w:hAnsi="宋体"/>
          <w:spacing w:val="-1"/>
          <w:sz w:val="21"/>
          <w:szCs w:val="24"/>
          <w:highlight w:val="none"/>
        </w:rPr>
        <w:t>（</w:t>
      </w:r>
      <w:r>
        <w:rPr>
          <w:rFonts w:hint="default" w:hAnsi="宋体"/>
          <w:sz w:val="21"/>
          <w:szCs w:val="24"/>
          <w:highlight w:val="none"/>
        </w:rPr>
        <w:t>项</w:t>
      </w:r>
      <w:r>
        <w:rPr>
          <w:rFonts w:hint="default" w:hAnsi="宋体"/>
          <w:spacing w:val="-3"/>
          <w:sz w:val="21"/>
          <w:szCs w:val="24"/>
          <w:highlight w:val="none"/>
        </w:rPr>
        <w:t>目</w:t>
      </w:r>
      <w:r>
        <w:rPr>
          <w:rFonts w:hint="default" w:hAnsi="宋体"/>
          <w:sz w:val="21"/>
          <w:szCs w:val="24"/>
          <w:highlight w:val="none"/>
        </w:rPr>
        <w:t>名</w:t>
      </w:r>
      <w:r>
        <w:rPr>
          <w:rFonts w:hint="default" w:hAnsi="宋体"/>
          <w:spacing w:val="-3"/>
          <w:sz w:val="21"/>
          <w:szCs w:val="24"/>
          <w:highlight w:val="none"/>
        </w:rPr>
        <w:t>称</w:t>
      </w:r>
      <w:r>
        <w:rPr>
          <w:rFonts w:hint="default" w:hAnsi="宋体"/>
          <w:spacing w:val="-20"/>
          <w:sz w:val="21"/>
          <w:szCs w:val="24"/>
          <w:highlight w:val="none"/>
        </w:rPr>
        <w:t>）</w:t>
      </w:r>
      <w:r>
        <w:rPr>
          <w:rFonts w:hint="default" w:hAnsi="宋体"/>
          <w:spacing w:val="-3"/>
          <w:sz w:val="21"/>
          <w:szCs w:val="24"/>
          <w:highlight w:val="none"/>
        </w:rPr>
        <w:t>监</w:t>
      </w:r>
      <w:r>
        <w:rPr>
          <w:rFonts w:hint="default" w:hAnsi="宋体"/>
          <w:sz w:val="21"/>
          <w:szCs w:val="24"/>
          <w:highlight w:val="none"/>
        </w:rPr>
        <w:t>理</w:t>
      </w:r>
      <w:r>
        <w:rPr>
          <w:rFonts w:hint="default" w:hAnsi="宋体"/>
          <w:spacing w:val="-3"/>
          <w:sz w:val="21"/>
          <w:szCs w:val="24"/>
          <w:highlight w:val="none"/>
        </w:rPr>
        <w:t>招</w:t>
      </w:r>
      <w:r>
        <w:rPr>
          <w:rFonts w:hint="default" w:hAnsi="宋体"/>
          <w:sz w:val="21"/>
          <w:szCs w:val="24"/>
          <w:highlight w:val="none"/>
        </w:rPr>
        <w:t>标</w:t>
      </w:r>
      <w:r>
        <w:rPr>
          <w:rFonts w:hint="default" w:hAnsi="宋体"/>
          <w:spacing w:val="-3"/>
          <w:sz w:val="21"/>
          <w:szCs w:val="24"/>
          <w:highlight w:val="none"/>
        </w:rPr>
        <w:t>项</w:t>
      </w:r>
      <w:r>
        <w:rPr>
          <w:rFonts w:hint="default" w:hAnsi="宋体"/>
          <w:sz w:val="21"/>
          <w:szCs w:val="24"/>
          <w:highlight w:val="none"/>
        </w:rPr>
        <w:t>目的</w:t>
      </w:r>
      <w:r>
        <w:rPr>
          <w:rFonts w:hint="default" w:hAnsi="宋体"/>
          <w:spacing w:val="-3"/>
          <w:sz w:val="21"/>
          <w:szCs w:val="24"/>
          <w:highlight w:val="none"/>
        </w:rPr>
        <w:t>投</w:t>
      </w:r>
      <w:r>
        <w:rPr>
          <w:rFonts w:hint="default" w:hAnsi="宋体"/>
          <w:sz w:val="21"/>
          <w:szCs w:val="24"/>
          <w:highlight w:val="none"/>
        </w:rPr>
        <w:t>标</w:t>
      </w:r>
      <w:r>
        <w:rPr>
          <w:rFonts w:hint="default" w:hAnsi="宋体"/>
          <w:spacing w:val="-22"/>
          <w:sz w:val="21"/>
          <w:szCs w:val="24"/>
          <w:highlight w:val="none"/>
        </w:rPr>
        <w:t>。</w:t>
      </w:r>
      <w:r>
        <w:rPr>
          <w:rFonts w:hint="default" w:hAnsi="宋体"/>
          <w:sz w:val="21"/>
          <w:szCs w:val="24"/>
          <w:highlight w:val="none"/>
        </w:rPr>
        <w:t>我</w:t>
      </w:r>
      <w:r>
        <w:rPr>
          <w:rFonts w:hint="default" w:hAnsi="宋体"/>
          <w:spacing w:val="-3"/>
          <w:sz w:val="21"/>
          <w:szCs w:val="24"/>
          <w:highlight w:val="none"/>
        </w:rPr>
        <w:t>方</w:t>
      </w:r>
      <w:r>
        <w:rPr>
          <w:rFonts w:hint="default" w:hAnsi="宋体"/>
          <w:sz w:val="21"/>
          <w:szCs w:val="24"/>
          <w:highlight w:val="none"/>
        </w:rPr>
        <w:t>愿</w:t>
      </w:r>
      <w:r>
        <w:rPr>
          <w:rFonts w:hint="default" w:hAnsi="宋体"/>
          <w:spacing w:val="-3"/>
          <w:sz w:val="21"/>
          <w:szCs w:val="24"/>
          <w:highlight w:val="none"/>
        </w:rPr>
        <w:t>意</w:t>
      </w:r>
      <w:r>
        <w:rPr>
          <w:rFonts w:hint="default" w:hAnsi="宋体"/>
          <w:sz w:val="21"/>
          <w:szCs w:val="24"/>
          <w:highlight w:val="none"/>
        </w:rPr>
        <w:t>无</w:t>
      </w:r>
      <w:r>
        <w:rPr>
          <w:rFonts w:hint="default" w:hAnsi="宋体"/>
          <w:spacing w:val="-3"/>
          <w:sz w:val="21"/>
          <w:szCs w:val="24"/>
          <w:highlight w:val="none"/>
        </w:rPr>
        <w:t>条</w:t>
      </w:r>
      <w:r>
        <w:rPr>
          <w:rFonts w:hint="default" w:hAnsi="宋体"/>
          <w:sz w:val="21"/>
          <w:szCs w:val="24"/>
          <w:highlight w:val="none"/>
        </w:rPr>
        <w:t>件地</w:t>
      </w:r>
      <w:r>
        <w:rPr>
          <w:rFonts w:hint="default" w:hAnsi="宋体"/>
          <w:spacing w:val="-22"/>
          <w:sz w:val="21"/>
          <w:szCs w:val="24"/>
          <w:highlight w:val="none"/>
        </w:rPr>
        <w:t>、</w:t>
      </w:r>
      <w:r>
        <w:rPr>
          <w:rFonts w:hint="default" w:hAnsi="宋体"/>
          <w:sz w:val="21"/>
          <w:szCs w:val="24"/>
          <w:highlight w:val="none"/>
        </w:rPr>
        <w:t>不</w:t>
      </w:r>
      <w:r>
        <w:rPr>
          <w:rFonts w:hint="default" w:hAnsi="宋体"/>
          <w:spacing w:val="-3"/>
          <w:sz w:val="21"/>
          <w:szCs w:val="24"/>
          <w:highlight w:val="none"/>
        </w:rPr>
        <w:t>可</w:t>
      </w:r>
      <w:r>
        <w:rPr>
          <w:rFonts w:hint="default" w:hAnsi="宋体"/>
          <w:sz w:val="21"/>
          <w:szCs w:val="24"/>
          <w:highlight w:val="none"/>
        </w:rPr>
        <w:t>撤</w:t>
      </w:r>
      <w:r>
        <w:rPr>
          <w:rFonts w:hint="default" w:hAnsi="宋体"/>
          <w:spacing w:val="-3"/>
          <w:sz w:val="21"/>
          <w:szCs w:val="24"/>
          <w:highlight w:val="none"/>
        </w:rPr>
        <w:t>销</w:t>
      </w:r>
      <w:r>
        <w:rPr>
          <w:rFonts w:hint="default" w:hAnsi="宋体"/>
          <w:sz w:val="21"/>
          <w:szCs w:val="24"/>
          <w:highlight w:val="none"/>
        </w:rPr>
        <w:t>地就监理人履行与你方订立的合同，向你方提供担保。</w:t>
      </w:r>
    </w:p>
    <w:p w14:paraId="2F26BF04">
      <w:pPr>
        <w:pStyle w:val="142"/>
        <w:numPr>
          <w:ilvl w:val="0"/>
          <w:numId w:val="15"/>
        </w:numPr>
        <w:tabs>
          <w:tab w:val="left" w:pos="785"/>
          <w:tab w:val="left" w:pos="4564"/>
          <w:tab w:val="left" w:pos="6559"/>
        </w:tabs>
        <w:overflowPunct w:val="0"/>
        <w:spacing w:line="360" w:lineRule="auto"/>
        <w:ind w:left="0" w:firstLine="420"/>
        <w:rPr>
          <w:rFonts w:hint="default" w:hAnsi="宋体"/>
          <w:sz w:val="21"/>
          <w:szCs w:val="24"/>
          <w:highlight w:val="none"/>
        </w:rPr>
      </w:pPr>
      <w:r>
        <w:rPr>
          <w:rFonts w:hint="default" w:hAnsi="宋体"/>
          <w:spacing w:val="-3"/>
          <w:sz w:val="21"/>
          <w:szCs w:val="24"/>
          <w:highlight w:val="none"/>
        </w:rPr>
        <w:t>担</w:t>
      </w:r>
      <w:r>
        <w:rPr>
          <w:rFonts w:hint="default" w:hAnsi="宋体"/>
          <w:sz w:val="21"/>
          <w:szCs w:val="24"/>
          <w:highlight w:val="none"/>
        </w:rPr>
        <w:t>保</w:t>
      </w:r>
      <w:r>
        <w:rPr>
          <w:rFonts w:hint="default" w:hAnsi="宋体"/>
          <w:spacing w:val="-3"/>
          <w:sz w:val="21"/>
          <w:szCs w:val="24"/>
          <w:highlight w:val="none"/>
        </w:rPr>
        <w:t>金</w:t>
      </w:r>
      <w:r>
        <w:rPr>
          <w:rFonts w:hint="default" w:hAnsi="宋体"/>
          <w:sz w:val="21"/>
          <w:szCs w:val="24"/>
          <w:highlight w:val="none"/>
        </w:rPr>
        <w:t>额</w:t>
      </w:r>
      <w:r>
        <w:rPr>
          <w:rFonts w:hint="default" w:hAnsi="宋体"/>
          <w:spacing w:val="-3"/>
          <w:sz w:val="21"/>
          <w:szCs w:val="24"/>
          <w:highlight w:val="none"/>
        </w:rPr>
        <w:t>人</w:t>
      </w:r>
      <w:r>
        <w:rPr>
          <w:rFonts w:hint="default" w:hAnsi="宋体"/>
          <w:sz w:val="21"/>
          <w:szCs w:val="24"/>
          <w:highlight w:val="none"/>
        </w:rPr>
        <w:t>民</w:t>
      </w:r>
      <w:r>
        <w:rPr>
          <w:rFonts w:hint="default" w:hAnsi="宋体"/>
          <w:spacing w:val="-3"/>
          <w:sz w:val="21"/>
          <w:szCs w:val="24"/>
          <w:highlight w:val="none"/>
        </w:rPr>
        <w:t>币</w:t>
      </w:r>
      <w:r>
        <w:rPr>
          <w:rFonts w:hint="default" w:hAnsi="宋体"/>
          <w:sz w:val="21"/>
          <w:szCs w:val="24"/>
          <w:highlight w:val="none"/>
        </w:rPr>
        <w:t>（</w:t>
      </w:r>
      <w:r>
        <w:rPr>
          <w:rFonts w:hint="default" w:hAnsi="宋体"/>
          <w:spacing w:val="-3"/>
          <w:sz w:val="21"/>
          <w:szCs w:val="24"/>
          <w:highlight w:val="none"/>
        </w:rPr>
        <w:t>大写</w:t>
      </w:r>
      <w:r>
        <w:rPr>
          <w:rFonts w:hint="default" w:hAnsi="宋体"/>
          <w:sz w:val="21"/>
          <w:szCs w:val="24"/>
          <w:highlight w:val="none"/>
        </w:rPr>
        <w:t>）</w:t>
      </w:r>
      <w:r>
        <w:rPr>
          <w:rFonts w:hint="default" w:hAnsi="宋体"/>
          <w:sz w:val="21"/>
          <w:szCs w:val="24"/>
          <w:highlight w:val="none"/>
          <w:u w:val="single" w:color="000000"/>
        </w:rPr>
        <w:t xml:space="preserve"> </w:t>
      </w:r>
      <w:r>
        <w:rPr>
          <w:rFonts w:hint="default" w:hAnsi="宋体"/>
          <w:sz w:val="21"/>
          <w:szCs w:val="24"/>
          <w:highlight w:val="none"/>
          <w:u w:val="single" w:color="000000"/>
        </w:rPr>
        <w:tab/>
      </w:r>
      <w:r>
        <w:rPr>
          <w:rFonts w:hint="default" w:hAnsi="宋体"/>
          <w:sz w:val="21"/>
          <w:szCs w:val="24"/>
          <w:highlight w:val="none"/>
        </w:rPr>
        <w:t>（¥）</w:t>
      </w:r>
      <w:r>
        <w:rPr>
          <w:rFonts w:hint="default" w:hAnsi="宋体"/>
          <w:sz w:val="21"/>
          <w:szCs w:val="24"/>
          <w:highlight w:val="none"/>
          <w:u w:val="single" w:color="000000"/>
        </w:rPr>
        <w:t xml:space="preserve"> </w:t>
      </w:r>
      <w:r>
        <w:rPr>
          <w:rFonts w:hint="default" w:hAnsi="宋体"/>
          <w:sz w:val="21"/>
          <w:szCs w:val="24"/>
          <w:highlight w:val="none"/>
          <w:u w:val="single" w:color="000000"/>
        </w:rPr>
        <w:tab/>
      </w:r>
      <w:r>
        <w:rPr>
          <w:rFonts w:hint="default" w:hAnsi="宋体"/>
          <w:sz w:val="21"/>
          <w:szCs w:val="24"/>
          <w:highlight w:val="none"/>
        </w:rPr>
        <w:t>。</w:t>
      </w:r>
    </w:p>
    <w:p w14:paraId="72227A25">
      <w:pPr>
        <w:pStyle w:val="142"/>
        <w:numPr>
          <w:ilvl w:val="0"/>
          <w:numId w:val="15"/>
        </w:numPr>
        <w:tabs>
          <w:tab w:val="left" w:pos="790"/>
        </w:tabs>
        <w:overflowPunct w:val="0"/>
        <w:spacing w:line="360" w:lineRule="auto"/>
        <w:ind w:left="0" w:firstLine="420"/>
        <w:rPr>
          <w:rFonts w:hint="default" w:hAnsi="宋体"/>
          <w:spacing w:val="-3"/>
          <w:sz w:val="21"/>
          <w:szCs w:val="24"/>
          <w:highlight w:val="none"/>
        </w:rPr>
      </w:pPr>
      <w:r>
        <w:rPr>
          <w:rFonts w:hint="default" w:hAnsi="宋体"/>
          <w:sz w:val="21"/>
          <w:szCs w:val="24"/>
          <w:highlight w:val="none"/>
        </w:rPr>
        <w:t>担保有效期自委托人与监理人签订的合同生效之日起至委托人签发竣工验收证书之日</w:t>
      </w:r>
      <w:r>
        <w:rPr>
          <w:rFonts w:hint="default" w:hAnsi="宋体"/>
          <w:spacing w:val="-25"/>
          <w:sz w:val="21"/>
          <w:szCs w:val="24"/>
          <w:highlight w:val="none"/>
        </w:rPr>
        <w:t xml:space="preserve">起 </w:t>
      </w:r>
      <w:r>
        <w:rPr>
          <w:rFonts w:hint="default" w:hAnsi="宋体"/>
          <w:sz w:val="21"/>
          <w:szCs w:val="24"/>
          <w:highlight w:val="none"/>
        </w:rPr>
        <w:t xml:space="preserve">28 </w:t>
      </w:r>
      <w:r>
        <w:rPr>
          <w:rFonts w:hint="default" w:hAnsi="宋体"/>
          <w:spacing w:val="-3"/>
          <w:sz w:val="21"/>
          <w:szCs w:val="24"/>
          <w:highlight w:val="none"/>
        </w:rPr>
        <w:t>日后失效。</w:t>
      </w:r>
    </w:p>
    <w:p w14:paraId="0A2B824E">
      <w:pPr>
        <w:pStyle w:val="142"/>
        <w:numPr>
          <w:ilvl w:val="0"/>
          <w:numId w:val="15"/>
        </w:numPr>
        <w:tabs>
          <w:tab w:val="left" w:pos="785"/>
        </w:tabs>
        <w:overflowPunct w:val="0"/>
        <w:spacing w:line="360" w:lineRule="auto"/>
        <w:ind w:left="0" w:firstLine="420"/>
        <w:rPr>
          <w:rFonts w:hint="default" w:hAnsi="宋体"/>
          <w:spacing w:val="-3"/>
          <w:sz w:val="21"/>
          <w:szCs w:val="24"/>
          <w:highlight w:val="none"/>
        </w:rPr>
      </w:pPr>
      <w:r>
        <w:rPr>
          <w:rFonts w:hint="default" w:hAnsi="宋体"/>
          <w:spacing w:val="-5"/>
          <w:sz w:val="21"/>
          <w:szCs w:val="24"/>
          <w:highlight w:val="none"/>
        </w:rPr>
        <w:t xml:space="preserve">在本担保有效期内，如果监理人不履行合同约定的义务或其履行不符合合同的约定，我方在收到你方以书面形式提出的在担保金额内的赔偿要求后，在 </w:t>
      </w:r>
      <w:r>
        <w:rPr>
          <w:rFonts w:hint="default" w:hAnsi="宋体"/>
          <w:sz w:val="21"/>
          <w:szCs w:val="24"/>
          <w:highlight w:val="none"/>
        </w:rPr>
        <w:t>7</w:t>
      </w:r>
      <w:r>
        <w:rPr>
          <w:rFonts w:hint="default" w:hAnsi="宋体"/>
          <w:spacing w:val="17"/>
          <w:sz w:val="21"/>
          <w:szCs w:val="24"/>
          <w:highlight w:val="none"/>
        </w:rPr>
        <w:t xml:space="preserve"> </w:t>
      </w:r>
      <w:r>
        <w:rPr>
          <w:rFonts w:hint="default" w:hAnsi="宋体"/>
          <w:spacing w:val="-3"/>
          <w:sz w:val="21"/>
          <w:szCs w:val="24"/>
          <w:highlight w:val="none"/>
        </w:rPr>
        <w:t>日内无条件支付。</w:t>
      </w:r>
    </w:p>
    <w:p w14:paraId="7C7B6BEE">
      <w:pPr>
        <w:pStyle w:val="142"/>
        <w:numPr>
          <w:ilvl w:val="0"/>
          <w:numId w:val="15"/>
        </w:numPr>
        <w:tabs>
          <w:tab w:val="left" w:pos="785"/>
        </w:tabs>
        <w:overflowPunct w:val="0"/>
        <w:spacing w:line="360" w:lineRule="auto"/>
        <w:ind w:left="0" w:firstLine="420"/>
        <w:rPr>
          <w:rFonts w:hint="default" w:hAnsi="宋体"/>
          <w:spacing w:val="-5"/>
          <w:sz w:val="21"/>
          <w:szCs w:val="24"/>
          <w:highlight w:val="none"/>
        </w:rPr>
      </w:pPr>
      <w:r>
        <w:rPr>
          <w:rFonts w:hint="default" w:hAnsi="宋体"/>
          <w:spacing w:val="-5"/>
          <w:sz w:val="21"/>
          <w:szCs w:val="24"/>
          <w:highlight w:val="none"/>
        </w:rPr>
        <w:t>委托人和监理人变更合同时，无论我方是否收到该变更，我方承担本担保规定的义务不变。</w:t>
      </w:r>
    </w:p>
    <w:p w14:paraId="4466AD67">
      <w:pPr>
        <w:pStyle w:val="23"/>
        <w:overflowPunct w:val="0"/>
        <w:spacing w:line="360" w:lineRule="auto"/>
        <w:rPr>
          <w:rFonts w:hint="default" w:hAnsi="宋体"/>
          <w:sz w:val="20"/>
          <w:szCs w:val="24"/>
          <w:highlight w:val="none"/>
        </w:rPr>
      </w:pPr>
    </w:p>
    <w:p w14:paraId="2AE3530E">
      <w:pPr>
        <w:pStyle w:val="23"/>
        <w:tabs>
          <w:tab w:val="left" w:pos="7589"/>
        </w:tabs>
        <w:overflowPunct w:val="0"/>
        <w:spacing w:line="360" w:lineRule="auto"/>
        <w:ind w:firstLine="3360" w:firstLineChars="1600"/>
        <w:rPr>
          <w:rFonts w:hint="default" w:hAnsi="宋体"/>
          <w:sz w:val="21"/>
          <w:szCs w:val="24"/>
          <w:highlight w:val="none"/>
        </w:rPr>
      </w:pPr>
      <w:r>
        <w:rPr>
          <w:rFonts w:hint="default" w:hAnsi="宋体"/>
          <w:sz w:val="21"/>
          <w:szCs w:val="24"/>
          <w:highlight w:val="none"/>
        </w:rPr>
        <w:t>担保</w:t>
      </w:r>
      <w:r>
        <w:rPr>
          <w:rFonts w:hint="default" w:hAnsi="宋体"/>
          <w:spacing w:val="-3"/>
          <w:sz w:val="21"/>
          <w:szCs w:val="24"/>
          <w:highlight w:val="none"/>
        </w:rPr>
        <w:t>人</w:t>
      </w:r>
      <w:r>
        <w:rPr>
          <w:rFonts w:hint="default" w:hAnsi="宋体"/>
          <w:sz w:val="21"/>
          <w:szCs w:val="24"/>
          <w:highlight w:val="none"/>
        </w:rPr>
        <w:t>名称：</w:t>
      </w:r>
      <w:r>
        <w:rPr>
          <w:rFonts w:hint="default" w:hAnsi="宋体"/>
          <w:sz w:val="21"/>
          <w:szCs w:val="24"/>
          <w:highlight w:val="none"/>
          <w:u w:val="single"/>
        </w:rPr>
        <w:t xml:space="preserve">                           </w:t>
      </w:r>
      <w:r>
        <w:rPr>
          <w:rFonts w:hint="default" w:hAnsi="宋体"/>
          <w:sz w:val="21"/>
          <w:szCs w:val="24"/>
          <w:highlight w:val="none"/>
          <w:u w:val="single" w:color="000000"/>
        </w:rPr>
        <w:t>（</w:t>
      </w:r>
      <w:r>
        <w:rPr>
          <w:rFonts w:hint="default" w:hAnsi="宋体"/>
          <w:spacing w:val="-3"/>
          <w:sz w:val="21"/>
          <w:szCs w:val="24"/>
          <w:highlight w:val="none"/>
        </w:rPr>
        <w:t>盖</w:t>
      </w:r>
      <w:r>
        <w:rPr>
          <w:rFonts w:hint="default" w:hAnsi="宋体"/>
          <w:sz w:val="21"/>
          <w:szCs w:val="24"/>
          <w:highlight w:val="none"/>
        </w:rPr>
        <w:t>单</w:t>
      </w:r>
      <w:r>
        <w:rPr>
          <w:rFonts w:hint="default" w:hAnsi="宋体"/>
          <w:spacing w:val="-3"/>
          <w:sz w:val="21"/>
          <w:szCs w:val="24"/>
          <w:highlight w:val="none"/>
        </w:rPr>
        <w:t>位章</w:t>
      </w:r>
      <w:r>
        <w:rPr>
          <w:rFonts w:hint="default" w:hAnsi="宋体"/>
          <w:sz w:val="21"/>
          <w:szCs w:val="24"/>
          <w:highlight w:val="none"/>
        </w:rPr>
        <w:t>）</w:t>
      </w:r>
    </w:p>
    <w:p w14:paraId="17E47054">
      <w:pPr>
        <w:pStyle w:val="23"/>
        <w:tabs>
          <w:tab w:val="left" w:pos="6614"/>
        </w:tabs>
        <w:overflowPunct w:val="0"/>
        <w:spacing w:line="360" w:lineRule="auto"/>
        <w:ind w:firstLine="3360" w:firstLineChars="1600"/>
        <w:rPr>
          <w:rFonts w:hint="default" w:hAnsi="宋体"/>
          <w:sz w:val="21"/>
          <w:szCs w:val="24"/>
          <w:highlight w:val="none"/>
        </w:rPr>
      </w:pPr>
      <w:r>
        <w:rPr>
          <w:rFonts w:hint="default" w:hAnsi="宋体"/>
          <w:sz w:val="21"/>
          <w:szCs w:val="24"/>
          <w:highlight w:val="none"/>
        </w:rPr>
        <w:t>法定</w:t>
      </w:r>
      <w:r>
        <w:rPr>
          <w:rFonts w:hint="default" w:hAnsi="宋体"/>
          <w:spacing w:val="-3"/>
          <w:sz w:val="21"/>
          <w:szCs w:val="24"/>
          <w:highlight w:val="none"/>
        </w:rPr>
        <w:t>代</w:t>
      </w:r>
      <w:r>
        <w:rPr>
          <w:rFonts w:hint="default" w:hAnsi="宋体"/>
          <w:sz w:val="21"/>
          <w:szCs w:val="24"/>
          <w:highlight w:val="none"/>
        </w:rPr>
        <w:t>表</w:t>
      </w:r>
      <w:r>
        <w:rPr>
          <w:rFonts w:hint="default" w:hAnsi="宋体"/>
          <w:spacing w:val="-3"/>
          <w:sz w:val="21"/>
          <w:szCs w:val="24"/>
          <w:highlight w:val="none"/>
        </w:rPr>
        <w:t>人</w:t>
      </w:r>
      <w:r>
        <w:rPr>
          <w:rFonts w:hint="default" w:hAnsi="宋体"/>
          <w:sz w:val="21"/>
          <w:szCs w:val="24"/>
          <w:highlight w:val="none"/>
        </w:rPr>
        <w:t>或</w:t>
      </w:r>
      <w:r>
        <w:rPr>
          <w:rFonts w:hint="default" w:hAnsi="宋体"/>
          <w:spacing w:val="-3"/>
          <w:sz w:val="21"/>
          <w:szCs w:val="24"/>
          <w:highlight w:val="none"/>
        </w:rPr>
        <w:t>其</w:t>
      </w:r>
      <w:r>
        <w:rPr>
          <w:rFonts w:hint="default" w:hAnsi="宋体"/>
          <w:sz w:val="21"/>
          <w:szCs w:val="24"/>
          <w:highlight w:val="none"/>
        </w:rPr>
        <w:t>委</w:t>
      </w:r>
      <w:r>
        <w:rPr>
          <w:rFonts w:hint="default" w:hAnsi="宋体"/>
          <w:spacing w:val="-3"/>
          <w:sz w:val="21"/>
          <w:szCs w:val="24"/>
          <w:highlight w:val="none"/>
        </w:rPr>
        <w:t>托</w:t>
      </w:r>
      <w:r>
        <w:rPr>
          <w:rFonts w:hint="default" w:hAnsi="宋体"/>
          <w:sz w:val="21"/>
          <w:szCs w:val="24"/>
          <w:highlight w:val="none"/>
        </w:rPr>
        <w:t>代</w:t>
      </w:r>
      <w:r>
        <w:rPr>
          <w:rFonts w:hint="default" w:hAnsi="宋体"/>
          <w:spacing w:val="-3"/>
          <w:sz w:val="21"/>
          <w:szCs w:val="24"/>
          <w:highlight w:val="none"/>
        </w:rPr>
        <w:t>理</w:t>
      </w:r>
      <w:r>
        <w:rPr>
          <w:rFonts w:hint="default" w:hAnsi="宋体"/>
          <w:sz w:val="21"/>
          <w:szCs w:val="24"/>
          <w:highlight w:val="none"/>
        </w:rPr>
        <w:t>人：</w:t>
      </w:r>
      <w:r>
        <w:rPr>
          <w:rFonts w:hint="default" w:hAnsi="宋体"/>
          <w:sz w:val="21"/>
          <w:szCs w:val="24"/>
          <w:highlight w:val="none"/>
          <w:u w:val="single"/>
        </w:rPr>
        <w:t xml:space="preserve">                </w:t>
      </w:r>
      <w:r>
        <w:rPr>
          <w:rFonts w:hint="default" w:hAnsi="宋体"/>
          <w:sz w:val="21"/>
          <w:szCs w:val="24"/>
          <w:highlight w:val="none"/>
        </w:rPr>
        <w:t>（</w:t>
      </w:r>
      <w:r>
        <w:rPr>
          <w:rFonts w:hint="default" w:hAnsi="宋体"/>
          <w:spacing w:val="-3"/>
          <w:sz w:val="21"/>
          <w:szCs w:val="24"/>
          <w:highlight w:val="none"/>
        </w:rPr>
        <w:t>签</w:t>
      </w:r>
      <w:r>
        <w:rPr>
          <w:rFonts w:hint="default" w:hAnsi="宋体"/>
          <w:sz w:val="21"/>
          <w:szCs w:val="24"/>
          <w:highlight w:val="none"/>
        </w:rPr>
        <w:t>字）</w:t>
      </w:r>
    </w:p>
    <w:p w14:paraId="47C297E4">
      <w:pPr>
        <w:pStyle w:val="23"/>
        <w:tabs>
          <w:tab w:val="left" w:pos="2205"/>
          <w:tab w:val="left" w:pos="8760"/>
        </w:tabs>
        <w:overflowPunct w:val="0"/>
        <w:spacing w:line="360" w:lineRule="auto"/>
        <w:ind w:firstLine="3360" w:firstLineChars="1600"/>
        <w:rPr>
          <w:rFonts w:hint="default" w:hAnsi="宋体"/>
          <w:sz w:val="21"/>
          <w:szCs w:val="24"/>
          <w:highlight w:val="none"/>
        </w:rPr>
      </w:pPr>
      <w:r>
        <w:rPr>
          <w:rFonts w:hint="default" w:hAnsi="宋体"/>
          <w:sz w:val="21"/>
          <w:szCs w:val="24"/>
          <w:highlight w:val="none"/>
        </w:rPr>
        <w:t>地址</w:t>
      </w:r>
      <w:r>
        <w:rPr>
          <w:rFonts w:hint="default" w:hAnsi="宋体"/>
          <w:spacing w:val="-3"/>
          <w:sz w:val="21"/>
          <w:szCs w:val="24"/>
          <w:highlight w:val="none"/>
        </w:rPr>
        <w:t>：</w:t>
      </w:r>
      <w:r>
        <w:rPr>
          <w:rFonts w:hint="default" w:hAnsi="宋体"/>
          <w:sz w:val="21"/>
          <w:szCs w:val="24"/>
          <w:highlight w:val="none"/>
          <w:u w:val="single" w:color="000000"/>
        </w:rPr>
        <w:t xml:space="preserve"> </w:t>
      </w:r>
      <w:r>
        <w:rPr>
          <w:rFonts w:hint="default" w:hAnsi="宋体"/>
          <w:sz w:val="21"/>
          <w:szCs w:val="24"/>
          <w:highlight w:val="none"/>
          <w:u w:val="single" w:color="000000"/>
        </w:rPr>
        <w:tab/>
      </w:r>
    </w:p>
    <w:p w14:paraId="3253662C">
      <w:pPr>
        <w:pStyle w:val="23"/>
        <w:tabs>
          <w:tab w:val="left" w:pos="8760"/>
        </w:tabs>
        <w:overflowPunct w:val="0"/>
        <w:spacing w:line="360" w:lineRule="auto"/>
        <w:ind w:firstLine="3360" w:firstLineChars="1600"/>
        <w:rPr>
          <w:rFonts w:hint="default" w:hAnsi="宋体"/>
          <w:sz w:val="21"/>
          <w:szCs w:val="24"/>
          <w:highlight w:val="none"/>
          <w:u w:val="single"/>
        </w:rPr>
      </w:pPr>
      <w:r>
        <w:rPr>
          <w:rFonts w:hint="default" w:hAnsi="宋体"/>
          <w:sz w:val="21"/>
          <w:szCs w:val="24"/>
          <w:highlight w:val="none"/>
        </w:rPr>
        <w:t>邮政</w:t>
      </w:r>
      <w:r>
        <w:rPr>
          <w:rFonts w:hint="default" w:hAnsi="宋体"/>
          <w:spacing w:val="-3"/>
          <w:sz w:val="21"/>
          <w:szCs w:val="24"/>
          <w:highlight w:val="none"/>
        </w:rPr>
        <w:t>编</w:t>
      </w:r>
      <w:r>
        <w:rPr>
          <w:rFonts w:hint="default" w:hAnsi="宋体"/>
          <w:sz w:val="21"/>
          <w:szCs w:val="24"/>
          <w:highlight w:val="none"/>
        </w:rPr>
        <w:t>码</w:t>
      </w:r>
      <w:r>
        <w:rPr>
          <w:rFonts w:hint="default" w:hAnsi="宋体"/>
          <w:spacing w:val="-3"/>
          <w:sz w:val="21"/>
          <w:szCs w:val="24"/>
          <w:highlight w:val="none"/>
        </w:rPr>
        <w:t>：</w:t>
      </w:r>
      <w:r>
        <w:rPr>
          <w:rFonts w:hint="default" w:hAnsi="宋体"/>
          <w:sz w:val="21"/>
          <w:szCs w:val="24"/>
          <w:highlight w:val="none"/>
          <w:u w:val="single"/>
        </w:rPr>
        <w:t xml:space="preserve">                                         </w:t>
      </w:r>
    </w:p>
    <w:p w14:paraId="28E63C3B">
      <w:pPr>
        <w:pStyle w:val="23"/>
        <w:tabs>
          <w:tab w:val="left" w:pos="8760"/>
        </w:tabs>
        <w:overflowPunct w:val="0"/>
        <w:spacing w:line="360" w:lineRule="auto"/>
        <w:ind w:firstLine="3360" w:firstLineChars="1600"/>
        <w:rPr>
          <w:rFonts w:hint="default" w:hAnsi="宋体"/>
          <w:sz w:val="21"/>
          <w:szCs w:val="24"/>
          <w:highlight w:val="none"/>
          <w:u w:val="single"/>
        </w:rPr>
      </w:pPr>
      <w:r>
        <w:rPr>
          <w:rFonts w:hint="default" w:hAnsi="宋体"/>
          <w:sz w:val="21"/>
          <w:szCs w:val="24"/>
          <w:highlight w:val="none"/>
        </w:rPr>
        <w:t>电话</w:t>
      </w:r>
      <w:r>
        <w:rPr>
          <w:rFonts w:hint="default" w:hAnsi="宋体"/>
          <w:spacing w:val="-3"/>
          <w:sz w:val="21"/>
          <w:szCs w:val="24"/>
          <w:highlight w:val="none"/>
        </w:rPr>
        <w:t>：</w:t>
      </w:r>
      <w:r>
        <w:rPr>
          <w:rFonts w:hint="default" w:hAnsi="宋体"/>
          <w:sz w:val="21"/>
          <w:szCs w:val="24"/>
          <w:highlight w:val="none"/>
          <w:u w:val="single"/>
        </w:rPr>
        <w:t xml:space="preserve">                                               </w:t>
      </w:r>
    </w:p>
    <w:p w14:paraId="31E6D45D">
      <w:pPr>
        <w:pStyle w:val="23"/>
        <w:tabs>
          <w:tab w:val="left" w:pos="3043"/>
          <w:tab w:val="left" w:pos="8760"/>
        </w:tabs>
        <w:overflowPunct w:val="0"/>
        <w:spacing w:line="360" w:lineRule="auto"/>
        <w:ind w:firstLine="3570" w:firstLineChars="1700"/>
        <w:rPr>
          <w:rFonts w:hint="default" w:hAnsi="宋体"/>
          <w:sz w:val="21"/>
          <w:szCs w:val="24"/>
          <w:highlight w:val="none"/>
        </w:rPr>
      </w:pPr>
      <w:r>
        <w:rPr>
          <w:rFonts w:hint="default" w:hAnsi="宋体"/>
          <w:sz w:val="21"/>
          <w:szCs w:val="24"/>
          <w:highlight w:val="none"/>
          <w:u w:val="single"/>
        </w:rPr>
        <w:t xml:space="preserve">       </w:t>
      </w:r>
      <w:r>
        <w:rPr>
          <w:rFonts w:hint="default" w:hAnsi="宋体"/>
          <w:sz w:val="21"/>
          <w:szCs w:val="24"/>
          <w:highlight w:val="none"/>
        </w:rPr>
        <w:t>年</w:t>
      </w:r>
      <w:r>
        <w:rPr>
          <w:rFonts w:hint="default" w:hAnsi="宋体"/>
          <w:sz w:val="21"/>
          <w:szCs w:val="24"/>
          <w:highlight w:val="none"/>
          <w:u w:val="single"/>
        </w:rPr>
        <w:t xml:space="preserve">      </w:t>
      </w:r>
      <w:r>
        <w:rPr>
          <w:rFonts w:hint="default" w:hAnsi="宋体"/>
          <w:spacing w:val="-3"/>
          <w:sz w:val="21"/>
          <w:szCs w:val="24"/>
          <w:highlight w:val="none"/>
        </w:rPr>
        <w:t>月</w:t>
      </w:r>
      <w:r>
        <w:rPr>
          <w:rFonts w:hint="default" w:hAnsi="宋体"/>
          <w:sz w:val="21"/>
          <w:szCs w:val="24"/>
          <w:highlight w:val="none"/>
          <w:u w:val="single"/>
        </w:rPr>
        <w:t xml:space="preserve">      </w:t>
      </w:r>
      <w:r>
        <w:rPr>
          <w:rFonts w:hint="default" w:hAnsi="宋体"/>
          <w:sz w:val="21"/>
          <w:szCs w:val="24"/>
          <w:highlight w:val="none"/>
        </w:rPr>
        <w:t>日</w:t>
      </w:r>
    </w:p>
    <w:p w14:paraId="1BAECF26">
      <w:pPr>
        <w:pStyle w:val="45"/>
        <w:keepNext w:val="0"/>
        <w:keepLines w:val="0"/>
        <w:pageBreakBefore w:val="0"/>
        <w:widowControl w:val="0"/>
        <w:kinsoku/>
        <w:wordWrap/>
        <w:overflowPunct/>
        <w:topLinePunct w:val="0"/>
        <w:autoSpaceDE/>
        <w:autoSpaceDN/>
        <w:bidi w:val="0"/>
        <w:spacing w:line="360" w:lineRule="auto"/>
        <w:textAlignment w:val="auto"/>
        <w:outlineLvl w:val="1"/>
        <w:rPr>
          <w:rFonts w:hint="eastAsia" w:ascii="宋体" w:hAnsi="宋体" w:eastAsia="宋体" w:cs="宋体"/>
          <w:color w:val="auto"/>
          <w:highlight w:val="none"/>
        </w:rPr>
      </w:pPr>
    </w:p>
    <w:p w14:paraId="68903330">
      <w:pPr>
        <w:pStyle w:val="45"/>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highlight w:val="none"/>
          <w:lang w:eastAsia="zh-CN"/>
        </w:rPr>
      </w:pPr>
      <w:bookmarkStart w:id="362" w:name="_Toc1288272627"/>
      <w:bookmarkStart w:id="363" w:name="_Toc69516034"/>
      <w:bookmarkStart w:id="364" w:name="_Toc1665394662"/>
      <w:bookmarkStart w:id="365" w:name="_Toc118621427"/>
      <w:bookmarkStart w:id="366" w:name="_Toc1323697249"/>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五</w:t>
      </w:r>
      <w:r>
        <w:rPr>
          <w:rFonts w:hint="eastAsia" w:ascii="宋体" w:hAnsi="宋体" w:eastAsia="宋体" w:cs="宋体"/>
          <w:color w:val="auto"/>
          <w:highlight w:val="none"/>
        </w:rPr>
        <w:t xml:space="preserve">章  </w:t>
      </w:r>
      <w:r>
        <w:rPr>
          <w:rFonts w:hint="eastAsia" w:ascii="宋体" w:hAnsi="宋体" w:eastAsia="宋体" w:cs="宋体"/>
          <w:color w:val="auto"/>
          <w:highlight w:val="none"/>
          <w:lang w:val="en-US" w:eastAsia="zh-CN"/>
        </w:rPr>
        <w:t>采购人</w:t>
      </w:r>
      <w:r>
        <w:rPr>
          <w:rFonts w:hint="eastAsia" w:ascii="宋体" w:hAnsi="宋体" w:eastAsia="宋体" w:cs="宋体"/>
          <w:color w:val="auto"/>
          <w:highlight w:val="none"/>
        </w:rPr>
        <w:t>要求</w:t>
      </w:r>
      <w:bookmarkEnd w:id="353"/>
      <w:bookmarkEnd w:id="354"/>
      <w:bookmarkEnd w:id="355"/>
      <w:bookmarkEnd w:id="356"/>
      <w:bookmarkEnd w:id="357"/>
      <w:bookmarkEnd w:id="358"/>
      <w:bookmarkEnd w:id="359"/>
      <w:bookmarkEnd w:id="360"/>
      <w:bookmarkEnd w:id="362"/>
      <w:bookmarkEnd w:id="363"/>
      <w:bookmarkEnd w:id="364"/>
      <w:bookmarkEnd w:id="365"/>
      <w:bookmarkEnd w:id="366"/>
    </w:p>
    <w:p w14:paraId="43F73397">
      <w:pPr>
        <w:overflowPunct w:val="0"/>
        <w:spacing w:line="360" w:lineRule="auto"/>
        <w:ind w:firstLine="0" w:firstLineChars="0"/>
        <w:rPr>
          <w:rFonts w:hint="default" w:hAnsi="宋体"/>
          <w:w w:val="95"/>
          <w:sz w:val="21"/>
          <w:szCs w:val="24"/>
          <w:highlight w:val="none"/>
        </w:rPr>
      </w:pPr>
      <w:bookmarkStart w:id="367" w:name="_Toc55310067"/>
      <w:r>
        <w:rPr>
          <w:rFonts w:hint="eastAsia" w:hAnsi="宋体"/>
          <w:sz w:val="21"/>
          <w:szCs w:val="24"/>
          <w:highlight w:val="none"/>
          <w:lang w:eastAsia="zh-CN"/>
        </w:rPr>
        <w:t>采购人</w:t>
      </w:r>
      <w:r>
        <w:rPr>
          <w:rFonts w:hint="default" w:hAnsi="宋体"/>
          <w:sz w:val="21"/>
          <w:szCs w:val="24"/>
          <w:highlight w:val="none"/>
        </w:rPr>
        <w:t>要求通常包括但不限于以下内容：</w:t>
      </w:r>
    </w:p>
    <w:p w14:paraId="131F55B7">
      <w:pPr>
        <w:pStyle w:val="6"/>
        <w:tabs>
          <w:tab w:val="left" w:pos="727"/>
        </w:tabs>
        <w:overflowPunct w:val="0"/>
        <w:ind w:left="0"/>
        <w:jc w:val="left"/>
        <w:rPr>
          <w:rFonts w:hint="default" w:ascii="Arial" w:hAnsi="宋体" w:eastAsia="仿宋_GB2312"/>
          <w:sz w:val="24"/>
          <w:szCs w:val="24"/>
          <w:highlight w:val="none"/>
        </w:rPr>
      </w:pPr>
      <w:bookmarkStart w:id="368" w:name="bookmark163"/>
      <w:bookmarkEnd w:id="368"/>
      <w:bookmarkStart w:id="369" w:name="_Toc146500128"/>
      <w:r>
        <w:rPr>
          <w:rFonts w:hint="default" w:ascii="Arial" w:hAnsi="宋体" w:eastAsia="仿宋_GB2312"/>
          <w:sz w:val="24"/>
          <w:szCs w:val="24"/>
          <w:highlight w:val="none"/>
        </w:rPr>
        <w:t>一、监理要求</w:t>
      </w:r>
      <w:bookmarkEnd w:id="369"/>
    </w:p>
    <w:p w14:paraId="2E494753">
      <w:pPr>
        <w:pStyle w:val="6"/>
        <w:tabs>
          <w:tab w:val="left" w:pos="727"/>
        </w:tabs>
        <w:overflowPunct w:val="0"/>
        <w:spacing w:line="360" w:lineRule="auto"/>
        <w:jc w:val="left"/>
        <w:rPr>
          <w:rFonts w:hint="default" w:hAnsi="宋体"/>
          <w:b/>
          <w:sz w:val="24"/>
          <w:szCs w:val="24"/>
          <w:highlight w:val="none"/>
        </w:rPr>
      </w:pPr>
      <w:bookmarkStart w:id="370" w:name="_Toc146500129"/>
      <w:r>
        <w:rPr>
          <w:rFonts w:hint="default" w:hAnsi="宋体"/>
          <w:b/>
          <w:sz w:val="24"/>
          <w:szCs w:val="24"/>
          <w:highlight w:val="none"/>
        </w:rPr>
        <w:t>1.项目概况</w:t>
      </w:r>
      <w:bookmarkEnd w:id="370"/>
    </w:p>
    <w:p w14:paraId="3FB5F6D1">
      <w:pPr>
        <w:pStyle w:val="23"/>
        <w:tabs>
          <w:tab w:val="left" w:pos="1343"/>
          <w:tab w:val="left" w:pos="2697"/>
          <w:tab w:val="left" w:pos="3264"/>
          <w:tab w:val="left" w:pos="4896"/>
          <w:tab w:val="left" w:pos="6005"/>
          <w:tab w:val="left" w:pos="7085"/>
          <w:tab w:val="left" w:pos="7498"/>
        </w:tabs>
        <w:overflowPunct w:val="0"/>
        <w:spacing w:line="360" w:lineRule="auto"/>
        <w:ind w:firstLine="420" w:firstLineChars="200"/>
        <w:jc w:val="both"/>
        <w:rPr>
          <w:rFonts w:hint="default" w:hAnsi="宋体"/>
          <w:sz w:val="21"/>
          <w:szCs w:val="24"/>
          <w:highlight w:val="none"/>
        </w:rPr>
      </w:pPr>
      <w:r>
        <w:rPr>
          <w:rFonts w:hint="eastAsia" w:hAnsi="宋体"/>
          <w:color w:val="auto"/>
          <w:sz w:val="21"/>
          <w:szCs w:val="21"/>
          <w:highlight w:val="none"/>
          <w:lang w:val="en-US" w:eastAsia="zh-CN"/>
        </w:rPr>
        <w:t>大龙山</w:t>
      </w:r>
      <w:r>
        <w:rPr>
          <w:rFonts w:hint="eastAsia" w:hAnsi="宋体"/>
          <w:color w:val="auto"/>
          <w:sz w:val="21"/>
          <w:szCs w:val="21"/>
          <w:highlight w:val="none"/>
        </w:rPr>
        <w:t>风电场项目已列入云南省202</w:t>
      </w:r>
      <w:r>
        <w:rPr>
          <w:rFonts w:hint="eastAsia" w:hAnsi="宋体"/>
          <w:color w:val="auto"/>
          <w:sz w:val="21"/>
          <w:szCs w:val="21"/>
          <w:highlight w:val="none"/>
          <w:lang w:eastAsia="zh-CN"/>
        </w:rPr>
        <w:t>5</w:t>
      </w:r>
      <w:r>
        <w:rPr>
          <w:rFonts w:hint="eastAsia" w:hAnsi="宋体"/>
          <w:color w:val="auto"/>
          <w:sz w:val="21"/>
          <w:szCs w:val="21"/>
          <w:highlight w:val="none"/>
        </w:rPr>
        <w:t>年第</w:t>
      </w:r>
      <w:r>
        <w:rPr>
          <w:rFonts w:hint="eastAsia" w:hAnsi="宋体"/>
          <w:color w:val="auto"/>
          <w:sz w:val="21"/>
          <w:szCs w:val="21"/>
          <w:highlight w:val="none"/>
          <w:lang w:val="en-US" w:eastAsia="zh-CN"/>
        </w:rPr>
        <w:t>一</w:t>
      </w:r>
      <w:r>
        <w:rPr>
          <w:rFonts w:hint="eastAsia" w:hAnsi="宋体"/>
          <w:color w:val="auto"/>
          <w:sz w:val="21"/>
          <w:szCs w:val="21"/>
          <w:highlight w:val="none"/>
        </w:rPr>
        <w:t>批新能源项目开发建设项目清单，项目已取得《云南省发展和改革委员会关于</w:t>
      </w:r>
      <w:r>
        <w:rPr>
          <w:rFonts w:hint="eastAsia" w:hAnsi="宋体"/>
          <w:color w:val="auto"/>
          <w:sz w:val="21"/>
          <w:szCs w:val="21"/>
          <w:highlight w:val="none"/>
          <w:lang w:val="en-US" w:eastAsia="zh-CN"/>
        </w:rPr>
        <w:t>玉溪市华宁县大龙山</w:t>
      </w:r>
      <w:r>
        <w:rPr>
          <w:rFonts w:hint="eastAsia" w:hAnsi="宋体"/>
          <w:color w:val="auto"/>
          <w:sz w:val="21"/>
          <w:szCs w:val="21"/>
          <w:highlight w:val="none"/>
        </w:rPr>
        <w:t>风电场项目核准的批复》</w:t>
      </w:r>
      <w:r>
        <w:rPr>
          <w:rFonts w:hint="eastAsia" w:ascii="宋体" w:hAnsi="宋体" w:cs="宋体"/>
          <w:sz w:val="24"/>
          <w:szCs w:val="24"/>
          <w:highlight w:val="none"/>
        </w:rPr>
        <w:t>项目代码：2506-530</w:t>
      </w:r>
      <w:r>
        <w:rPr>
          <w:rFonts w:hint="eastAsia" w:ascii="宋体" w:hAnsi="宋体" w:cs="宋体"/>
          <w:sz w:val="24"/>
          <w:szCs w:val="24"/>
          <w:highlight w:val="none"/>
          <w:lang w:val="en-US" w:eastAsia="zh-CN"/>
        </w:rPr>
        <w:t>424</w:t>
      </w:r>
      <w:r>
        <w:rPr>
          <w:rFonts w:hint="eastAsia" w:ascii="宋体" w:hAnsi="宋体" w:cs="宋体"/>
          <w:sz w:val="24"/>
          <w:szCs w:val="24"/>
          <w:highlight w:val="none"/>
        </w:rPr>
        <w:t>-04-01-</w:t>
      </w:r>
      <w:r>
        <w:rPr>
          <w:rFonts w:hint="eastAsia" w:ascii="宋体" w:hAnsi="宋体" w:cs="宋体"/>
          <w:sz w:val="24"/>
          <w:szCs w:val="24"/>
          <w:highlight w:val="none"/>
          <w:lang w:val="en-US" w:eastAsia="zh-CN"/>
        </w:rPr>
        <w:t>815071</w:t>
      </w:r>
      <w:r>
        <w:rPr>
          <w:rFonts w:hint="eastAsia" w:hAnsi="宋体"/>
          <w:color w:val="auto"/>
          <w:sz w:val="21"/>
          <w:szCs w:val="21"/>
          <w:highlight w:val="none"/>
        </w:rPr>
        <w:t>，项目业主为</w:t>
      </w:r>
      <w:r>
        <w:rPr>
          <w:rFonts w:hint="eastAsia" w:hAnsi="宋体"/>
          <w:color w:val="auto"/>
          <w:sz w:val="21"/>
          <w:szCs w:val="21"/>
          <w:highlight w:val="none"/>
          <w:lang w:val="en-US" w:eastAsia="zh-CN"/>
        </w:rPr>
        <w:t>华宁</w:t>
      </w:r>
      <w:r>
        <w:rPr>
          <w:rFonts w:hint="eastAsia" w:hAnsi="宋体"/>
          <w:color w:val="auto"/>
          <w:sz w:val="21"/>
          <w:szCs w:val="21"/>
          <w:highlight w:val="none"/>
        </w:rPr>
        <w:t>云能投新能源开发有限公司，建设资金来自银行贷款和企业自筹，已落实</w:t>
      </w:r>
      <w:r>
        <w:rPr>
          <w:rFonts w:hint="eastAsia" w:hAnsi="宋体"/>
          <w:sz w:val="21"/>
          <w:szCs w:val="24"/>
          <w:highlight w:val="none"/>
          <w:lang w:eastAsia="zh-CN"/>
        </w:rPr>
        <w:t>。</w:t>
      </w:r>
      <w:r>
        <w:rPr>
          <w:rFonts w:hint="default" w:hAnsi="宋体"/>
          <w:sz w:val="21"/>
          <w:szCs w:val="24"/>
          <w:highlight w:val="none"/>
        </w:rPr>
        <w:t>项目已具备招标条件，现对该项目的工程监理服务进行</w:t>
      </w:r>
      <w:r>
        <w:rPr>
          <w:rFonts w:hint="eastAsia" w:ascii="宋体" w:hAnsi="宋体" w:cs="宋体"/>
          <w:sz w:val="24"/>
          <w:szCs w:val="24"/>
          <w:highlight w:val="none"/>
        </w:rPr>
        <w:t>竞争性谈判</w:t>
      </w:r>
      <w:r>
        <w:rPr>
          <w:rFonts w:hint="default" w:hAnsi="宋体"/>
          <w:sz w:val="21"/>
          <w:szCs w:val="24"/>
          <w:highlight w:val="none"/>
        </w:rPr>
        <w:t>。</w:t>
      </w:r>
    </w:p>
    <w:p w14:paraId="33082562">
      <w:pPr>
        <w:tabs>
          <w:tab w:val="left" w:pos="3566"/>
        </w:tabs>
        <w:overflowPunct w:val="0"/>
        <w:spacing w:line="360" w:lineRule="auto"/>
        <w:ind w:firstLine="420" w:firstLineChars="200"/>
        <w:rPr>
          <w:rFonts w:hint="eastAsia" w:hAnsi="宋体" w:asciiTheme="minorHAnsi" w:eastAsiaTheme="minorEastAsia" w:cstheme="minorBidi"/>
          <w:color w:val="auto"/>
          <w:spacing w:val="0"/>
          <w:sz w:val="21"/>
          <w:szCs w:val="21"/>
          <w:highlight w:val="none"/>
        </w:rPr>
      </w:pPr>
      <w:r>
        <w:rPr>
          <w:rFonts w:hint="eastAsia" w:hAnsi="宋体" w:asciiTheme="minorHAnsi" w:eastAsiaTheme="minorEastAsia" w:cstheme="minorBidi"/>
          <w:color w:val="auto"/>
          <w:sz w:val="21"/>
          <w:szCs w:val="21"/>
          <w:highlight w:val="none"/>
          <w:lang w:val="en-US" w:eastAsia="zh-CN"/>
        </w:rPr>
        <w:t>大龙山</w:t>
      </w:r>
      <w:r>
        <w:rPr>
          <w:rFonts w:hint="eastAsia" w:hAnsi="宋体" w:asciiTheme="minorHAnsi" w:eastAsiaTheme="minorEastAsia" w:cstheme="minorBidi"/>
          <w:color w:val="auto"/>
          <w:sz w:val="21"/>
          <w:szCs w:val="21"/>
          <w:highlight w:val="none"/>
        </w:rPr>
        <w:t>风电场项目场址位于</w:t>
      </w:r>
      <w:r>
        <w:rPr>
          <w:rFonts w:hint="eastAsia" w:hAnsi="宋体" w:asciiTheme="minorHAnsi" w:eastAsiaTheme="minorEastAsia" w:cstheme="minorBidi"/>
          <w:color w:val="auto"/>
          <w:sz w:val="21"/>
          <w:szCs w:val="21"/>
          <w:highlight w:val="none"/>
          <w:lang w:val="en-US" w:eastAsia="zh-CN"/>
        </w:rPr>
        <w:t>玉溪市华宁县青龙镇东北部的</w:t>
      </w:r>
      <w:r>
        <w:rPr>
          <w:rFonts w:hint="eastAsia" w:hAnsi="宋体" w:asciiTheme="minorHAnsi" w:eastAsiaTheme="minorEastAsia" w:cstheme="minorBidi"/>
          <w:color w:val="auto"/>
          <w:sz w:val="21"/>
          <w:szCs w:val="21"/>
          <w:highlight w:val="none"/>
        </w:rPr>
        <w:t>山脊及山顶台地上，场址中心距离华宁县城直线距离约35km</w:t>
      </w:r>
      <w:r>
        <w:rPr>
          <w:rFonts w:hint="eastAsia" w:hAnsi="宋体" w:asciiTheme="minorHAnsi" w:eastAsiaTheme="minorEastAsia" w:cstheme="minorBidi"/>
          <w:color w:val="auto"/>
          <w:sz w:val="21"/>
          <w:szCs w:val="21"/>
          <w:highlight w:val="none"/>
          <w:lang w:eastAsia="zh-CN"/>
        </w:rPr>
        <w:t>。</w:t>
      </w:r>
      <w:r>
        <w:rPr>
          <w:rFonts w:hint="eastAsia" w:hAnsi="宋体" w:asciiTheme="minorHAnsi" w:eastAsiaTheme="minorEastAsia" w:cstheme="minorBidi"/>
          <w:color w:val="auto"/>
          <w:sz w:val="21"/>
          <w:szCs w:val="21"/>
          <w:highlight w:val="none"/>
        </w:rPr>
        <w:t>项目拟安装9台单机容量6.25MW的风电机组，装机规模为56.25MW。风电场主要由1座</w:t>
      </w:r>
      <w:r>
        <w:rPr>
          <w:rFonts w:hint="eastAsia" w:hAnsi="宋体" w:asciiTheme="minorHAnsi" w:eastAsiaTheme="minorEastAsia" w:cstheme="minorBidi"/>
          <w:color w:val="auto"/>
          <w:sz w:val="21"/>
          <w:szCs w:val="21"/>
          <w:highlight w:val="none"/>
          <w:lang w:val="en-US" w:eastAsia="zh-CN"/>
        </w:rPr>
        <w:t>11</w:t>
      </w:r>
      <w:r>
        <w:rPr>
          <w:rFonts w:hint="eastAsia" w:hAnsi="宋体" w:asciiTheme="minorHAnsi" w:eastAsiaTheme="minorEastAsia" w:cstheme="minorBidi"/>
          <w:color w:val="auto"/>
          <w:sz w:val="21"/>
          <w:szCs w:val="21"/>
          <w:highlight w:val="none"/>
        </w:rPr>
        <w:t>0kV升压站、1台主变、</w:t>
      </w:r>
      <w:r>
        <w:rPr>
          <w:rFonts w:hint="eastAsia" w:hAnsi="宋体" w:asciiTheme="minorHAnsi" w:eastAsiaTheme="minorEastAsia" w:cstheme="minorBidi"/>
          <w:color w:val="auto"/>
          <w:sz w:val="21"/>
          <w:szCs w:val="21"/>
          <w:highlight w:val="none"/>
          <w:lang w:val="en-US" w:eastAsia="zh-CN"/>
        </w:rPr>
        <w:t>9</w:t>
      </w:r>
      <w:r>
        <w:rPr>
          <w:rFonts w:hint="eastAsia" w:hAnsi="宋体" w:asciiTheme="minorHAnsi" w:eastAsiaTheme="minorEastAsia" w:cstheme="minorBidi"/>
          <w:color w:val="auto"/>
          <w:sz w:val="21"/>
          <w:szCs w:val="21"/>
          <w:highlight w:val="none"/>
        </w:rPr>
        <w:t>台风机、</w:t>
      </w:r>
      <w:r>
        <w:rPr>
          <w:rFonts w:hint="eastAsia" w:hAnsi="宋体" w:asciiTheme="minorHAnsi" w:eastAsiaTheme="minorEastAsia" w:cstheme="minorBidi"/>
          <w:color w:val="auto"/>
          <w:sz w:val="21"/>
          <w:szCs w:val="21"/>
          <w:highlight w:val="none"/>
          <w:lang w:val="en-US" w:eastAsia="zh-CN"/>
        </w:rPr>
        <w:t>9</w:t>
      </w:r>
      <w:r>
        <w:rPr>
          <w:rFonts w:hint="eastAsia" w:hAnsi="宋体" w:asciiTheme="minorHAnsi" w:eastAsiaTheme="minorEastAsia" w:cstheme="minorBidi"/>
          <w:color w:val="auto"/>
          <w:sz w:val="21"/>
          <w:szCs w:val="21"/>
          <w:highlight w:val="none"/>
        </w:rPr>
        <w:t>台箱式变压器、</w:t>
      </w:r>
      <w:r>
        <w:rPr>
          <w:rFonts w:hint="eastAsia" w:hAnsi="宋体" w:asciiTheme="minorHAnsi" w:eastAsiaTheme="minorEastAsia" w:cstheme="minorBidi"/>
          <w:color w:val="auto"/>
          <w:sz w:val="21"/>
          <w:szCs w:val="21"/>
          <w:highlight w:val="none"/>
          <w:lang w:val="en-US" w:eastAsia="zh-CN"/>
        </w:rPr>
        <w:t>2</w:t>
      </w:r>
      <w:r>
        <w:rPr>
          <w:rFonts w:hint="eastAsia" w:hAnsi="宋体" w:asciiTheme="minorHAnsi" w:eastAsiaTheme="minorEastAsia" w:cstheme="minorBidi"/>
          <w:color w:val="auto"/>
          <w:sz w:val="21"/>
          <w:szCs w:val="21"/>
          <w:highlight w:val="none"/>
        </w:rPr>
        <w:t>回35kV集电线路、进场及场内道路组成</w:t>
      </w:r>
      <w:r>
        <w:rPr>
          <w:rFonts w:hint="eastAsia" w:hAnsi="宋体" w:asciiTheme="minorHAnsi" w:eastAsiaTheme="minorEastAsia" w:cstheme="minorBidi"/>
          <w:color w:val="auto"/>
          <w:sz w:val="21"/>
          <w:szCs w:val="21"/>
          <w:highlight w:val="none"/>
          <w:lang w:eastAsia="zh-CN"/>
        </w:rPr>
        <w:t>。</w:t>
      </w:r>
    </w:p>
    <w:p w14:paraId="362820ED">
      <w:pPr>
        <w:pStyle w:val="6"/>
        <w:tabs>
          <w:tab w:val="left" w:pos="727"/>
        </w:tabs>
        <w:overflowPunct w:val="0"/>
        <w:spacing w:line="360" w:lineRule="auto"/>
        <w:jc w:val="left"/>
        <w:rPr>
          <w:rFonts w:hint="default" w:hAnsi="宋体"/>
          <w:b/>
          <w:sz w:val="24"/>
          <w:szCs w:val="24"/>
          <w:highlight w:val="none"/>
        </w:rPr>
      </w:pPr>
      <w:bookmarkStart w:id="371" w:name="_Toc146500130"/>
      <w:r>
        <w:rPr>
          <w:rFonts w:hint="default" w:hAnsi="宋体"/>
          <w:b/>
          <w:sz w:val="24"/>
          <w:szCs w:val="24"/>
          <w:highlight w:val="none"/>
        </w:rPr>
        <w:t>2.监理范围及内容</w:t>
      </w:r>
      <w:bookmarkEnd w:id="371"/>
    </w:p>
    <w:p w14:paraId="2C244DE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监理单位承担全部监理工作。主要内容如下：</w:t>
      </w:r>
    </w:p>
    <w:p w14:paraId="5ADA99C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2.1 监理范围：</w:t>
      </w:r>
    </w:p>
    <w:p w14:paraId="2E3A1C5D">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（1）组织施工图纸会审和设计交底会议；</w:t>
      </w:r>
    </w:p>
    <w:p w14:paraId="3FE3CD04">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风电场项目场内外道路（含改扩建部分）、风机及箱变基础、吊装平台、风电机组、箱变、集电线路（架空线路/直埋电缆）、辅助生产设施、综合楼建设及室外工程、机电及电气设备的安装及调试等项目施工全过程监理；其他与主体工程相关的水土保持、环境保护、植被恢复、消防等辅助工程的施工监理</w:t>
      </w:r>
      <w:r>
        <w:rPr>
          <w:rFonts w:hint="eastAsia" w:hAnsi="宋体"/>
          <w:sz w:val="21"/>
          <w:szCs w:val="24"/>
          <w:highlight w:val="none"/>
          <w:lang w:val="en-US" w:eastAsia="zh-CN"/>
        </w:rPr>
        <w:t>以及宁州葫芦地光伏电站建设构网型配储项目监理工作</w:t>
      </w:r>
      <w:r>
        <w:rPr>
          <w:rFonts w:hint="default" w:hAnsi="宋体"/>
          <w:sz w:val="21"/>
          <w:szCs w:val="24"/>
          <w:highlight w:val="none"/>
        </w:rPr>
        <w:t>；</w:t>
      </w:r>
    </w:p>
    <w:p w14:paraId="70F6C6E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（3）工程验收（含水保、环保、消防、安全设施、职业卫生、档案等各专项验收和竣工验收）、移交以及质保期内的服务，配合进行除以上之外的各专项验收。</w:t>
      </w:r>
    </w:p>
    <w:p w14:paraId="40C44F81">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（4）本工程达标投产、工程创优（需设专人配合招标人的创优工作）全过程监理工作的策划和服务。</w:t>
      </w:r>
    </w:p>
    <w:p w14:paraId="3FB35C9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（5）本工程环境监理、水土保持监理均在本标范围。</w:t>
      </w:r>
    </w:p>
    <w:p w14:paraId="2331AD5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2.2 监理内容：</w:t>
      </w:r>
    </w:p>
    <w:p w14:paraId="6007A8F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2.2.1 项目建设目标：以上级公司批准的设计概算投资为工程造价限额，安全、环保、优质、高效、廉洁地建成本工程，达到同期同类型风力发电工程先进水平，高标准达标投,。</w:t>
      </w:r>
    </w:p>
    <w:p w14:paraId="417332C2">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2.2.2 本项目实行总监理工程师负责制。监理人应根据所承接的监理业务，设立由总监理工程师、总监理工程师代表、专业监理工程师和其他人员所组成的现场常驻项目监理机构。总监理工程师在合同授权范围内发布有关指令，</w:t>
      </w:r>
      <w:r>
        <w:rPr>
          <w:rFonts w:hint="eastAsia" w:hAnsi="宋体"/>
          <w:sz w:val="21"/>
          <w:szCs w:val="24"/>
          <w:highlight w:val="none"/>
          <w:lang w:eastAsia="zh-CN"/>
        </w:rPr>
        <w:t>采购人</w:t>
      </w:r>
      <w:r>
        <w:rPr>
          <w:rFonts w:hint="default" w:hAnsi="宋体"/>
          <w:sz w:val="21"/>
          <w:szCs w:val="24"/>
          <w:highlight w:val="none"/>
        </w:rPr>
        <w:t>不得擅自变更监理工程师的指令。</w:t>
      </w:r>
    </w:p>
    <w:p w14:paraId="0E7C718C">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 xml:space="preserve">2.2.3 </w:t>
      </w:r>
      <w:r>
        <w:rPr>
          <w:rFonts w:hint="eastAsia" w:hAnsi="宋体"/>
          <w:sz w:val="21"/>
          <w:szCs w:val="24"/>
          <w:highlight w:val="none"/>
          <w:lang w:eastAsia="zh-CN"/>
        </w:rPr>
        <w:t>采购人</w:t>
      </w:r>
      <w:r>
        <w:rPr>
          <w:rFonts w:hint="default" w:hAnsi="宋体"/>
          <w:sz w:val="21"/>
          <w:szCs w:val="24"/>
          <w:highlight w:val="none"/>
        </w:rPr>
        <w:t>必须在监理人实施监理前，将监理人、监理范围、总监理工程师的姓名及监理权限书面通知承包人，并在与承包人签订的合同中予以明确。总监理工程师也应及时将其所授予专业监理工程师有关权限，书面通知各承包人。总监理工程师变更时，须经</w:t>
      </w:r>
      <w:r>
        <w:rPr>
          <w:rFonts w:hint="eastAsia" w:hAnsi="宋体"/>
          <w:sz w:val="21"/>
          <w:szCs w:val="24"/>
          <w:highlight w:val="none"/>
          <w:lang w:eastAsia="zh-CN"/>
        </w:rPr>
        <w:t>采购人</w:t>
      </w:r>
      <w:r>
        <w:rPr>
          <w:rFonts w:hint="default" w:hAnsi="宋体"/>
          <w:sz w:val="21"/>
          <w:szCs w:val="24"/>
          <w:highlight w:val="none"/>
        </w:rPr>
        <w:t>书面同意并通知各有关承包人。各承包人应为监理人开展工作提供便利，并按照要求提供完整的有关记录、报表等各种资料。</w:t>
      </w:r>
    </w:p>
    <w:p w14:paraId="404856A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2.2.4 监理人应制定本工程的监理规划并经</w:t>
      </w:r>
      <w:r>
        <w:rPr>
          <w:rFonts w:hint="eastAsia" w:hAnsi="宋体"/>
          <w:sz w:val="21"/>
          <w:szCs w:val="24"/>
          <w:highlight w:val="none"/>
          <w:lang w:eastAsia="zh-CN"/>
        </w:rPr>
        <w:t>采购人</w:t>
      </w:r>
      <w:r>
        <w:rPr>
          <w:rFonts w:hint="default" w:hAnsi="宋体"/>
          <w:sz w:val="21"/>
          <w:szCs w:val="24"/>
          <w:highlight w:val="none"/>
        </w:rPr>
        <w:t>批准后实施。总监理工程师应组织各专业监理人员制定专业监理实施细则报</w:t>
      </w:r>
      <w:r>
        <w:rPr>
          <w:rFonts w:hint="eastAsia" w:hAnsi="宋体"/>
          <w:sz w:val="21"/>
          <w:szCs w:val="24"/>
          <w:highlight w:val="none"/>
          <w:lang w:eastAsia="zh-CN"/>
        </w:rPr>
        <w:t>采购人</w:t>
      </w:r>
      <w:r>
        <w:rPr>
          <w:rFonts w:hint="default" w:hAnsi="宋体"/>
          <w:sz w:val="21"/>
          <w:szCs w:val="24"/>
          <w:highlight w:val="none"/>
        </w:rPr>
        <w:t>备案，各专业按备案的实施细则开展监理工作。主要工作内容如下：</w:t>
      </w:r>
    </w:p>
    <w:p w14:paraId="3DCE8CDD">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2.2.4.1 施工准备阶段的监理工作内容</w:t>
      </w:r>
    </w:p>
    <w:p w14:paraId="46E4842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（1）收到工程设计文件后编制监理规划，并在第一次工地会议7天前报</w:t>
      </w:r>
      <w:r>
        <w:rPr>
          <w:rFonts w:hint="eastAsia" w:hAnsi="宋体"/>
          <w:sz w:val="21"/>
          <w:szCs w:val="24"/>
          <w:highlight w:val="none"/>
          <w:lang w:eastAsia="zh-CN"/>
        </w:rPr>
        <w:t>采购人</w:t>
      </w:r>
      <w:r>
        <w:rPr>
          <w:rFonts w:hint="default" w:hAnsi="宋体"/>
          <w:sz w:val="21"/>
          <w:szCs w:val="24"/>
          <w:highlight w:val="none"/>
        </w:rPr>
        <w:t>。根据有关规定和监理工作需要，编制监理实施细则；</w:t>
      </w:r>
    </w:p>
    <w:p w14:paraId="2E6F8F8F">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（2）组织监理人员熟悉施工合同条件、工程标准和合同目标，并协助</w:t>
      </w:r>
      <w:r>
        <w:rPr>
          <w:rFonts w:hint="eastAsia" w:hAnsi="宋体"/>
          <w:sz w:val="21"/>
          <w:szCs w:val="24"/>
          <w:highlight w:val="none"/>
          <w:lang w:eastAsia="zh-CN"/>
        </w:rPr>
        <w:t>采购人</w:t>
      </w:r>
      <w:r>
        <w:rPr>
          <w:rFonts w:hint="default" w:hAnsi="宋体"/>
          <w:sz w:val="21"/>
          <w:szCs w:val="24"/>
          <w:highlight w:val="none"/>
        </w:rPr>
        <w:t>完成合同项目结构分解。</w:t>
      </w:r>
    </w:p>
    <w:p w14:paraId="1DABA148">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（3）熟悉设计文件，参加</w:t>
      </w:r>
      <w:r>
        <w:rPr>
          <w:rFonts w:hint="eastAsia" w:hAnsi="宋体"/>
          <w:sz w:val="21"/>
          <w:szCs w:val="24"/>
          <w:highlight w:val="none"/>
          <w:lang w:eastAsia="zh-CN"/>
        </w:rPr>
        <w:t>采购人</w:t>
      </w:r>
      <w:r>
        <w:rPr>
          <w:rFonts w:hint="default" w:hAnsi="宋体"/>
          <w:sz w:val="21"/>
          <w:szCs w:val="24"/>
          <w:highlight w:val="none"/>
        </w:rPr>
        <w:t>主持的图纸会审和设计交底会，总监理工程师应参与会议纪要会签。</w:t>
      </w:r>
    </w:p>
    <w:p w14:paraId="710AD794">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（4）审核承包人现场项目部的质量管理体系、职业健康安全与环境管理体系，满足要求时予以确认。</w:t>
      </w:r>
    </w:p>
    <w:p w14:paraId="64B8A12A">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（5）组织审查承包人报送的施工组织设计，提出审查意见后报</w:t>
      </w:r>
      <w:r>
        <w:rPr>
          <w:rFonts w:hint="eastAsia" w:hAnsi="宋体"/>
          <w:sz w:val="21"/>
          <w:szCs w:val="24"/>
          <w:highlight w:val="none"/>
          <w:lang w:eastAsia="zh-CN"/>
        </w:rPr>
        <w:t>采购人</w:t>
      </w:r>
      <w:r>
        <w:rPr>
          <w:rFonts w:hint="default" w:hAnsi="宋体"/>
          <w:sz w:val="21"/>
          <w:szCs w:val="24"/>
          <w:highlight w:val="none"/>
        </w:rPr>
        <w:t>。</w:t>
      </w:r>
    </w:p>
    <w:p w14:paraId="3F944EC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（6）审核承包人报送的分包单位有关资质资料，符合规定，由总监理工程师签认，报</w:t>
      </w:r>
      <w:r>
        <w:rPr>
          <w:rFonts w:hint="eastAsia" w:hAnsi="宋体"/>
          <w:sz w:val="21"/>
          <w:szCs w:val="24"/>
          <w:highlight w:val="none"/>
          <w:lang w:eastAsia="zh-CN"/>
        </w:rPr>
        <w:t>采购人</w:t>
      </w:r>
      <w:r>
        <w:rPr>
          <w:rFonts w:hint="default" w:hAnsi="宋体"/>
          <w:sz w:val="21"/>
          <w:szCs w:val="24"/>
          <w:highlight w:val="none"/>
        </w:rPr>
        <w:t>批准后，分包工程予以开工。</w:t>
      </w:r>
    </w:p>
    <w:p w14:paraId="3F37C70C">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（7）督促承包人对</w:t>
      </w:r>
      <w:r>
        <w:rPr>
          <w:rFonts w:hint="eastAsia" w:hAnsi="宋体"/>
          <w:sz w:val="21"/>
          <w:szCs w:val="24"/>
          <w:highlight w:val="none"/>
          <w:lang w:eastAsia="zh-CN"/>
        </w:rPr>
        <w:t>采购人</w:t>
      </w:r>
      <w:r>
        <w:rPr>
          <w:rFonts w:hint="default" w:hAnsi="宋体"/>
          <w:sz w:val="21"/>
          <w:szCs w:val="24"/>
          <w:highlight w:val="none"/>
        </w:rPr>
        <w:t>提供的基准点进行复测，并审批承包人控制网或加密控制网的布设、保护、复测和原状地形图测绘的方案（重点进行施工区域原始地形测量和施工红线复测）。监理工程师对承包人实测过程进行监督和复核，并主持厂（站）区控制网的检查验收工作。</w:t>
      </w:r>
    </w:p>
    <w:p w14:paraId="1874BAA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（8）参加由</w:t>
      </w:r>
      <w:r>
        <w:rPr>
          <w:rFonts w:hint="eastAsia" w:hAnsi="宋体"/>
          <w:sz w:val="21"/>
          <w:szCs w:val="24"/>
          <w:highlight w:val="none"/>
          <w:lang w:eastAsia="zh-CN"/>
        </w:rPr>
        <w:t>采购人</w:t>
      </w:r>
      <w:r>
        <w:rPr>
          <w:rFonts w:hint="default" w:hAnsi="宋体"/>
          <w:sz w:val="21"/>
          <w:szCs w:val="24"/>
          <w:highlight w:val="none"/>
        </w:rPr>
        <w:t>主持召开的第一次工地会议，负责起草会议纪要，并经参会各方代表会签。</w:t>
      </w:r>
    </w:p>
    <w:p w14:paraId="715A4357">
      <w:pPr>
        <w:overflowPunct w:val="0"/>
        <w:spacing w:line="360" w:lineRule="auto"/>
        <w:ind w:firstLine="420" w:firstLineChars="200"/>
        <w:rPr>
          <w:rFonts w:hint="default" w:hAnsi="宋体"/>
          <w:sz w:val="21"/>
          <w:szCs w:val="24"/>
          <w:highlight w:val="none"/>
        </w:rPr>
      </w:pPr>
      <w:bookmarkStart w:id="372" w:name="_Toc266172922"/>
      <w:bookmarkStart w:id="373" w:name="_Toc266173200"/>
      <w:bookmarkStart w:id="374" w:name="_Toc265700181"/>
      <w:r>
        <w:rPr>
          <w:rFonts w:hint="default" w:hAnsi="宋体"/>
          <w:sz w:val="21"/>
          <w:szCs w:val="24"/>
          <w:highlight w:val="none"/>
        </w:rPr>
        <w:t>（9）组织施工承包人主要负责人进行监理交底，负责起草会议纪要。</w:t>
      </w:r>
    </w:p>
    <w:p w14:paraId="7E0E842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（10）组织审查施工承包人报送的工程开工报审资料，具备开工条件时签发开工指令，报</w:t>
      </w:r>
      <w:r>
        <w:rPr>
          <w:rFonts w:hint="eastAsia" w:hAnsi="宋体"/>
          <w:sz w:val="21"/>
          <w:szCs w:val="24"/>
          <w:highlight w:val="none"/>
          <w:lang w:eastAsia="zh-CN"/>
        </w:rPr>
        <w:t>采购人</w:t>
      </w:r>
      <w:r>
        <w:rPr>
          <w:rFonts w:hint="default" w:hAnsi="宋体"/>
          <w:sz w:val="21"/>
          <w:szCs w:val="24"/>
          <w:highlight w:val="none"/>
        </w:rPr>
        <w:t>。</w:t>
      </w:r>
    </w:p>
    <w:p w14:paraId="6952FF5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2.2.4.2 施工实施阶段的监理工作</w:t>
      </w:r>
      <w:bookmarkEnd w:id="372"/>
      <w:bookmarkEnd w:id="373"/>
      <w:bookmarkEnd w:id="374"/>
    </w:p>
    <w:p w14:paraId="624A31F0">
      <w:pPr>
        <w:overflowPunct w:val="0"/>
        <w:spacing w:line="360" w:lineRule="auto"/>
        <w:ind w:firstLine="420" w:firstLineChars="200"/>
        <w:rPr>
          <w:rFonts w:hint="default" w:hAnsi="宋体"/>
          <w:sz w:val="21"/>
          <w:szCs w:val="24"/>
          <w:highlight w:val="none"/>
        </w:rPr>
      </w:pPr>
      <w:bookmarkStart w:id="375" w:name="_Toc266172923"/>
      <w:bookmarkStart w:id="376" w:name="_Toc265700182"/>
      <w:bookmarkStart w:id="377" w:name="_Toc266173201"/>
      <w:r>
        <w:rPr>
          <w:rFonts w:hint="default" w:hAnsi="宋体"/>
          <w:sz w:val="21"/>
          <w:szCs w:val="24"/>
          <w:highlight w:val="none"/>
        </w:rPr>
        <w:t>（1）工程质量控制</w:t>
      </w:r>
      <w:bookmarkEnd w:id="375"/>
      <w:bookmarkEnd w:id="376"/>
      <w:bookmarkEnd w:id="377"/>
    </w:p>
    <w:p w14:paraId="384037AE">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1）审核承包人的施工组织设计、施工方案，并由总监理工程师签认后报</w:t>
      </w:r>
      <w:r>
        <w:rPr>
          <w:rFonts w:hint="eastAsia" w:hAnsi="宋体"/>
          <w:sz w:val="21"/>
          <w:szCs w:val="24"/>
          <w:highlight w:val="none"/>
          <w:lang w:eastAsia="zh-CN"/>
        </w:rPr>
        <w:t>采购人</w:t>
      </w:r>
      <w:r>
        <w:rPr>
          <w:rFonts w:hint="default" w:hAnsi="宋体"/>
          <w:sz w:val="21"/>
          <w:szCs w:val="24"/>
          <w:highlight w:val="none"/>
        </w:rPr>
        <w:t>。</w:t>
      </w:r>
    </w:p>
    <w:p w14:paraId="75CAFE8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2）审查承包人编制的质量计划和工程项目质量验收及评定划分表，提出监理意见，报</w:t>
      </w:r>
      <w:r>
        <w:rPr>
          <w:rFonts w:hint="eastAsia" w:hAnsi="宋体"/>
          <w:sz w:val="21"/>
          <w:szCs w:val="24"/>
          <w:highlight w:val="none"/>
          <w:lang w:eastAsia="zh-CN"/>
        </w:rPr>
        <w:t>采购人</w:t>
      </w:r>
      <w:r>
        <w:rPr>
          <w:rFonts w:hint="default" w:hAnsi="宋体"/>
          <w:sz w:val="21"/>
          <w:szCs w:val="24"/>
          <w:highlight w:val="none"/>
        </w:rPr>
        <w:t>批准后监督实施。</w:t>
      </w:r>
    </w:p>
    <w:p w14:paraId="086CE4BC">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3）督促承包人报送重点部位、关键工序的施工工艺方案和工程质量保证措施，审核同意后签认。</w:t>
      </w:r>
    </w:p>
    <w:p w14:paraId="38CA6491">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4）审核并签认承包人报送的关于使用新技术、新产品、新材料、新工艺和新设备的施工工艺措施和证明材料。</w:t>
      </w:r>
    </w:p>
    <w:p w14:paraId="63423E20">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5）考查现场试验室及外委试验单位资质。</w:t>
      </w:r>
    </w:p>
    <w:p w14:paraId="666E1E5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6）审核承包人报送的主要工程材料、半成品、构配件生产厂商的资质，符合后予以签认。</w:t>
      </w:r>
    </w:p>
    <w:p w14:paraId="78CC7A4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7）审核承包人报送的拟进场工程材料、半成品和构配件的质量证明文件，并按有关规定进行抽样检查。对有复试要求的，经现场见证取样后送检，查验承包人报送的复试报告。未经验收或验收不合格的工程材料、半成品和构配件，监理人应拒签认，并签发监理工程师通知单，指令施工承包人限期将不合格的工程材料、半成品和构配件撤出施工现场。</w:t>
      </w:r>
    </w:p>
    <w:p w14:paraId="1C9F89AC">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8）参与设备开箱验收，对开箱验收中发现的设备质量缺陷，督促相关单位处理。</w:t>
      </w:r>
    </w:p>
    <w:p w14:paraId="0A7708A8">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9）对施工过程进行巡视和检查，对工程项目的关键部位、关键工序的施工过程进行旁站监理。</w:t>
      </w:r>
    </w:p>
    <w:p w14:paraId="02DFD93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10）对承包人报送的隐蔽工程报验申请表和自检记录，进行现场检查，符合要求予以签认，允许承包人隐蔽并进行下一道工序的施工。对未经验收或验收不合格的工序，拒绝签认，并严禁承包人进行下一道工序的施工。</w:t>
      </w:r>
    </w:p>
    <w:p w14:paraId="5E9F8801">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11）审核承包人报送的单位工程、分部工程、分项工程质量报验资料，并进行现场检查，符合要求予以签认。</w:t>
      </w:r>
    </w:p>
    <w:p w14:paraId="59EAB84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12）对施工过程中出现的质量缺陷，及时下达书面通知，要求承包人整改，并检查确认整改结果。</w:t>
      </w:r>
    </w:p>
    <w:p w14:paraId="7058816C">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13）对施工过程中存在重大质量隐患，可能造成质量事故或已经造成质量事故的，经</w:t>
      </w:r>
      <w:r>
        <w:rPr>
          <w:rFonts w:hint="eastAsia" w:hAnsi="宋体"/>
          <w:sz w:val="21"/>
          <w:szCs w:val="24"/>
          <w:highlight w:val="none"/>
          <w:lang w:eastAsia="zh-CN"/>
        </w:rPr>
        <w:t>采购人</w:t>
      </w:r>
      <w:r>
        <w:rPr>
          <w:rFonts w:hint="default" w:hAnsi="宋体"/>
          <w:sz w:val="21"/>
          <w:szCs w:val="24"/>
          <w:highlight w:val="none"/>
        </w:rPr>
        <w:t>同意后下达工程暂停令,要求承包人停工整改。整改完毕并经复查合格后，报</w:t>
      </w:r>
      <w:r>
        <w:rPr>
          <w:rFonts w:hint="eastAsia" w:hAnsi="宋体"/>
          <w:sz w:val="21"/>
          <w:szCs w:val="24"/>
          <w:highlight w:val="none"/>
          <w:lang w:eastAsia="zh-CN"/>
        </w:rPr>
        <w:t>采购人</w:t>
      </w:r>
      <w:r>
        <w:rPr>
          <w:rFonts w:hint="default" w:hAnsi="宋体"/>
          <w:sz w:val="21"/>
          <w:szCs w:val="24"/>
          <w:highlight w:val="none"/>
        </w:rPr>
        <w:t>批准复工。</w:t>
      </w:r>
    </w:p>
    <w:p w14:paraId="591A5F6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14）如发生工程质量事故，总监理工程师应签发《工程暂停令》，并要求停止进行质量缺陷部位和与其有关联部位及下道工序施工，应要求施工单位采取必要的措施，防止事故扩大并保护好现场。同时，要求质量事故发生单位迅速按类别和等级向</w:t>
      </w:r>
      <w:r>
        <w:rPr>
          <w:rFonts w:hint="eastAsia" w:hAnsi="宋体"/>
          <w:sz w:val="21"/>
          <w:szCs w:val="24"/>
          <w:highlight w:val="none"/>
          <w:lang w:eastAsia="zh-CN"/>
        </w:rPr>
        <w:t>采购人</w:t>
      </w:r>
      <w:r>
        <w:rPr>
          <w:rFonts w:hint="default" w:hAnsi="宋体"/>
          <w:sz w:val="21"/>
          <w:szCs w:val="24"/>
          <w:highlight w:val="none"/>
        </w:rPr>
        <w:t>和相应的主管部门上报，并于24小时内写出书面报告。</w:t>
      </w:r>
    </w:p>
    <w:p w14:paraId="10B87B2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15）根据消缺清单对承包人的消缺方案进行审核，符合要求后予以签认，并根据承包人报送的消缺报验申请表和自检记录进行检查验收。</w:t>
      </w:r>
    </w:p>
    <w:p w14:paraId="5330EB28">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16）组织工程竣工预验收，对发现的缺陷督促承包人整改，并复查。</w:t>
      </w:r>
    </w:p>
    <w:p w14:paraId="2D4692ED">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17）接受并配合由工程质量监督机构组织的工程质量监督检查工作。</w:t>
      </w:r>
    </w:p>
    <w:p w14:paraId="52265781">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18）在巡视、旁站和检验过程中，发现工程质量、施工安全存在事故隐患的，要求施工承包人整改并报</w:t>
      </w:r>
      <w:r>
        <w:rPr>
          <w:rFonts w:hint="eastAsia" w:hAnsi="宋体"/>
          <w:sz w:val="21"/>
          <w:szCs w:val="24"/>
          <w:highlight w:val="none"/>
          <w:lang w:eastAsia="zh-CN"/>
        </w:rPr>
        <w:t>采购人</w:t>
      </w:r>
      <w:r>
        <w:rPr>
          <w:rFonts w:hint="default" w:hAnsi="宋体"/>
          <w:sz w:val="21"/>
          <w:szCs w:val="24"/>
          <w:highlight w:val="none"/>
        </w:rPr>
        <w:t>。</w:t>
      </w:r>
    </w:p>
    <w:p w14:paraId="6815B3F3">
      <w:pPr>
        <w:overflowPunct w:val="0"/>
        <w:spacing w:line="360" w:lineRule="auto"/>
        <w:ind w:firstLine="420" w:firstLineChars="200"/>
        <w:rPr>
          <w:rFonts w:hint="default" w:hAnsi="宋体"/>
          <w:sz w:val="21"/>
          <w:szCs w:val="24"/>
          <w:highlight w:val="none"/>
        </w:rPr>
      </w:pPr>
      <w:bookmarkStart w:id="378" w:name="_Toc266173202"/>
      <w:bookmarkStart w:id="379" w:name="_Toc266172924"/>
      <w:bookmarkStart w:id="380" w:name="_Toc265651286"/>
      <w:bookmarkStart w:id="381" w:name="_Toc265700183"/>
      <w:bookmarkStart w:id="382" w:name="_Toc17685"/>
      <w:r>
        <w:rPr>
          <w:rFonts w:hint="default" w:hAnsi="宋体"/>
          <w:sz w:val="21"/>
          <w:szCs w:val="24"/>
          <w:highlight w:val="none"/>
        </w:rPr>
        <w:t>（2）工程进度控制</w:t>
      </w:r>
      <w:bookmarkEnd w:id="378"/>
      <w:bookmarkEnd w:id="379"/>
      <w:bookmarkEnd w:id="380"/>
      <w:bookmarkEnd w:id="381"/>
      <w:bookmarkEnd w:id="382"/>
    </w:p>
    <w:p w14:paraId="775F054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1）协助</w:t>
      </w:r>
      <w:r>
        <w:rPr>
          <w:rFonts w:hint="eastAsia" w:hAnsi="宋体"/>
          <w:sz w:val="21"/>
          <w:szCs w:val="24"/>
          <w:highlight w:val="none"/>
          <w:lang w:eastAsia="zh-CN"/>
        </w:rPr>
        <w:t>采购人</w:t>
      </w:r>
      <w:r>
        <w:rPr>
          <w:rFonts w:hint="default" w:hAnsi="宋体"/>
          <w:sz w:val="21"/>
          <w:szCs w:val="24"/>
          <w:highlight w:val="none"/>
        </w:rPr>
        <w:t>编制总体工程施工里程碑进度计划。</w:t>
      </w:r>
    </w:p>
    <w:p w14:paraId="2B1E5FDF">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2）组织审查施工图交付计划、设备材料供应计划、施工进度计划和调试进度计划。</w:t>
      </w:r>
    </w:p>
    <w:p w14:paraId="15AFF143">
      <w:pPr>
        <w:overflowPunct w:val="0"/>
        <w:spacing w:line="360" w:lineRule="auto"/>
        <w:ind w:firstLine="420" w:firstLineChars="200"/>
        <w:rPr>
          <w:rFonts w:hint="default" w:hAnsi="宋体"/>
          <w:sz w:val="21"/>
          <w:szCs w:val="24"/>
          <w:highlight w:val="none"/>
        </w:rPr>
      </w:pPr>
      <w:bookmarkStart w:id="383" w:name="_Toc7143"/>
      <w:bookmarkStart w:id="384" w:name="_Toc266173203"/>
      <w:bookmarkStart w:id="385" w:name="_Toc266172925"/>
      <w:bookmarkStart w:id="386" w:name="_Toc265651287"/>
      <w:bookmarkStart w:id="387" w:name="_Toc265700184"/>
      <w:r>
        <w:rPr>
          <w:rFonts w:hint="default" w:hAnsi="宋体"/>
          <w:sz w:val="21"/>
          <w:szCs w:val="24"/>
          <w:highlight w:val="none"/>
        </w:rPr>
        <w:t>3）对进度目标进行风险分析，执行防范性对策。</w:t>
      </w:r>
    </w:p>
    <w:p w14:paraId="0F8F5E7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4）对工程进度计划进行动态控制，对实施情况进行跟踪、检查和分析，记录实际进度及相关情况。</w:t>
      </w:r>
    </w:p>
    <w:p w14:paraId="271DC71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5）在进度控制过程中，发现实际进度滞后于计划进度，若涉及对合同工期控制目标的调整或合同商务条件的变化，与</w:t>
      </w:r>
      <w:r>
        <w:rPr>
          <w:rFonts w:hint="eastAsia" w:hAnsi="宋体"/>
          <w:sz w:val="21"/>
          <w:szCs w:val="24"/>
          <w:highlight w:val="none"/>
          <w:lang w:eastAsia="zh-CN"/>
        </w:rPr>
        <w:t>采购人</w:t>
      </w:r>
      <w:r>
        <w:rPr>
          <w:rFonts w:hint="default" w:hAnsi="宋体"/>
          <w:sz w:val="21"/>
          <w:szCs w:val="24"/>
          <w:highlight w:val="none"/>
        </w:rPr>
        <w:t>、施工承包人研究解决方案，制定相应措施，并经</w:t>
      </w:r>
      <w:r>
        <w:rPr>
          <w:rFonts w:hint="eastAsia" w:hAnsi="宋体"/>
          <w:sz w:val="21"/>
          <w:szCs w:val="24"/>
          <w:highlight w:val="none"/>
          <w:lang w:eastAsia="zh-CN"/>
        </w:rPr>
        <w:t>采购人</w:t>
      </w:r>
      <w:r>
        <w:rPr>
          <w:rFonts w:hint="default" w:hAnsi="宋体"/>
          <w:sz w:val="21"/>
          <w:szCs w:val="24"/>
          <w:highlight w:val="none"/>
        </w:rPr>
        <w:t>批准后执行。</w:t>
      </w:r>
    </w:p>
    <w:p w14:paraId="6B284912">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6）当工程必须延长工期时，依据施工合同约定，要求施工承包人重新调整施工进度计划，与</w:t>
      </w:r>
      <w:r>
        <w:rPr>
          <w:rFonts w:hint="eastAsia" w:hAnsi="宋体"/>
          <w:sz w:val="21"/>
          <w:szCs w:val="24"/>
          <w:highlight w:val="none"/>
          <w:lang w:eastAsia="zh-CN"/>
        </w:rPr>
        <w:t>采购人</w:t>
      </w:r>
      <w:r>
        <w:rPr>
          <w:rFonts w:hint="default" w:hAnsi="宋体"/>
          <w:sz w:val="21"/>
          <w:szCs w:val="24"/>
          <w:highlight w:val="none"/>
        </w:rPr>
        <w:t>共同签认。</w:t>
      </w:r>
    </w:p>
    <w:p w14:paraId="5E85266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7）在监理月报中向</w:t>
      </w:r>
      <w:r>
        <w:rPr>
          <w:rFonts w:hint="eastAsia" w:hAnsi="宋体"/>
          <w:sz w:val="21"/>
          <w:szCs w:val="24"/>
          <w:highlight w:val="none"/>
          <w:lang w:eastAsia="zh-CN"/>
        </w:rPr>
        <w:t>采购人</w:t>
      </w:r>
      <w:r>
        <w:rPr>
          <w:rFonts w:hint="default" w:hAnsi="宋体"/>
          <w:sz w:val="21"/>
          <w:szCs w:val="24"/>
          <w:highlight w:val="none"/>
        </w:rPr>
        <w:t>报告工程进度和采取进度控制措施的执行情况，并提出进度偏差的分析意见。</w:t>
      </w:r>
    </w:p>
    <w:p w14:paraId="44FE72D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8）督促施工承包人按施工合同约定的期限定期编制施工进度报告。</w:t>
      </w:r>
    </w:p>
    <w:p w14:paraId="18BB90AA">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（3）工程造价控制</w:t>
      </w:r>
      <w:bookmarkEnd w:id="383"/>
      <w:bookmarkEnd w:id="384"/>
      <w:bookmarkEnd w:id="385"/>
      <w:bookmarkEnd w:id="386"/>
      <w:bookmarkEnd w:id="387"/>
    </w:p>
    <w:p w14:paraId="4C94E42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1）依据承包合同有关条款、设计及施工文件，对工程项目造价目标进行风险分析，并向</w:t>
      </w:r>
      <w:r>
        <w:rPr>
          <w:rFonts w:hint="eastAsia" w:hAnsi="宋体"/>
          <w:sz w:val="21"/>
          <w:szCs w:val="24"/>
          <w:highlight w:val="none"/>
          <w:lang w:eastAsia="zh-CN"/>
        </w:rPr>
        <w:t>采购人</w:t>
      </w:r>
      <w:r>
        <w:rPr>
          <w:rFonts w:hint="default" w:hAnsi="宋体"/>
          <w:sz w:val="21"/>
          <w:szCs w:val="24"/>
          <w:highlight w:val="none"/>
        </w:rPr>
        <w:t>提出防范性对策和建议。</w:t>
      </w:r>
    </w:p>
    <w:p w14:paraId="3C781AF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2）依据承包合同约定进行工程预付款审核和签认。</w:t>
      </w:r>
    </w:p>
    <w:p w14:paraId="4BB8CA8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3）审核工程量清单和工程款支付申请表。</w:t>
      </w:r>
    </w:p>
    <w:p w14:paraId="2855EE7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4）拒绝计量和拒签未经监理人质量验收合格的工程量或不符合承包合同约定的工程量。</w:t>
      </w:r>
    </w:p>
    <w:p w14:paraId="5BC1149F">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5）从质量、安全、造价、项目的功能要求和工期等方面审查工程变更方案，并宜在工程变更实施前与</w:t>
      </w:r>
      <w:r>
        <w:rPr>
          <w:rFonts w:hint="eastAsia" w:hAnsi="宋体"/>
          <w:sz w:val="21"/>
          <w:szCs w:val="24"/>
          <w:highlight w:val="none"/>
          <w:lang w:eastAsia="zh-CN"/>
        </w:rPr>
        <w:t>采购人</w:t>
      </w:r>
      <w:r>
        <w:rPr>
          <w:rFonts w:hint="default" w:hAnsi="宋体"/>
          <w:sz w:val="21"/>
          <w:szCs w:val="24"/>
          <w:highlight w:val="none"/>
        </w:rPr>
        <w:t>、承包人协商确定工程变更的价款。</w:t>
      </w:r>
    </w:p>
    <w:p w14:paraId="15C943D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6）依据授权和承包合同约定的条款处理工程变更等所引起的工程费用增减、合同费用索赔、合同价格调整事宜。</w:t>
      </w:r>
    </w:p>
    <w:p w14:paraId="02CC1ACF">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7）收集、整理有关的施工、调试和监理文件，为处理合同价款、费用索赔等提供依据。</w:t>
      </w:r>
    </w:p>
    <w:p w14:paraId="3FB5A850">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8）建立工作量统计报表，对实际完成情况和计划完成情况进行比较、分析，制定调整措施，向</w:t>
      </w:r>
      <w:r>
        <w:rPr>
          <w:rFonts w:hint="eastAsia" w:hAnsi="宋体"/>
          <w:sz w:val="21"/>
          <w:szCs w:val="24"/>
          <w:highlight w:val="none"/>
          <w:lang w:eastAsia="zh-CN"/>
        </w:rPr>
        <w:t>采购人</w:t>
      </w:r>
      <w:r>
        <w:rPr>
          <w:rFonts w:hint="default" w:hAnsi="宋体"/>
          <w:sz w:val="21"/>
          <w:szCs w:val="24"/>
          <w:highlight w:val="none"/>
        </w:rPr>
        <w:t>提出调整建议。</w:t>
      </w:r>
    </w:p>
    <w:p w14:paraId="3666010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9）审核承包人按照承包合同的约定提供的竣工结算文件。</w:t>
      </w:r>
    </w:p>
    <w:p w14:paraId="700AC82E">
      <w:pPr>
        <w:overflowPunct w:val="0"/>
        <w:spacing w:line="360" w:lineRule="auto"/>
        <w:ind w:firstLine="420" w:firstLineChars="200"/>
        <w:rPr>
          <w:rFonts w:hint="default" w:hAnsi="宋体"/>
          <w:sz w:val="21"/>
          <w:szCs w:val="24"/>
          <w:highlight w:val="none"/>
        </w:rPr>
      </w:pPr>
      <w:bookmarkStart w:id="388" w:name="_Toc266173204"/>
      <w:bookmarkStart w:id="389" w:name="_Toc265651288"/>
      <w:bookmarkStart w:id="390" w:name="_Toc13277"/>
      <w:bookmarkStart w:id="391" w:name="_Toc266172926"/>
      <w:bookmarkStart w:id="392" w:name="_Toc265700185"/>
      <w:r>
        <w:rPr>
          <w:rFonts w:hint="default" w:hAnsi="宋体"/>
          <w:sz w:val="21"/>
          <w:szCs w:val="24"/>
          <w:highlight w:val="none"/>
        </w:rPr>
        <w:t>（4）职业健康安全与环境监理</w:t>
      </w:r>
      <w:bookmarkEnd w:id="388"/>
      <w:bookmarkEnd w:id="389"/>
      <w:bookmarkEnd w:id="390"/>
      <w:bookmarkEnd w:id="391"/>
      <w:bookmarkEnd w:id="392"/>
    </w:p>
    <w:p w14:paraId="09D3B772">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1）依据法律法规、工程建设强制性标准，对施工承包人安全管理进行监督。</w:t>
      </w:r>
    </w:p>
    <w:p w14:paraId="07BA3B40">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2）编制职业健康安全与环境监理实施细则，明确监理的方法、措施和控制要点。</w:t>
      </w:r>
    </w:p>
    <w:p w14:paraId="346E4FD5">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将安全生产的监理工作内容纳入监理规划和监理实施细则，并根据风力发电场工程特点、周边环境、施工工艺等，设置专门部门或具有相应资格的监理工程师负责施工安全监督工作，明确安全生产的监理工作流程和控制要点。</w:t>
      </w:r>
    </w:p>
    <w:p w14:paraId="6C78B390">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4）检査承包人职业健康安全与环境管理体系，规章制度和监督机构的建立、健全及专职安全生产管理人员配备情况，督促承包人对其分包单位进行检查。</w:t>
      </w:r>
    </w:p>
    <w:p w14:paraId="28F05DB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检查施工承包人的工程项目安全生产管理规章制度、安全生产管理机构的建立及专职安全生产管理人员配备情况。重点审查施工承包人安全生产许可证及项目经理、技术负责人、专职安全员资格证书和特种作业人员的操作资格证书。</w:t>
      </w:r>
    </w:p>
    <w:p w14:paraId="3C0E21A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6）审查安全、文明施工措施费用使用情况，并进行监督检查。</w:t>
      </w:r>
    </w:p>
    <w:p w14:paraId="5FF23FCE">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7）监督承包人按照批准的施工组织设计中的安全技术措施或者安全专项施工方案组织施工。</w:t>
      </w:r>
    </w:p>
    <w:p w14:paraId="50AE51A4">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8）定期对施工现场安全生产情况进行检查，对发现的各类安全事故隐患，应书面通知承包人，并督促其立即整改；情况严重的，应下达工程暂停令，要求承包人停工整改，并同时报告</w:t>
      </w:r>
      <w:r>
        <w:rPr>
          <w:rFonts w:hint="eastAsia" w:hAnsi="宋体"/>
          <w:sz w:val="21"/>
          <w:szCs w:val="24"/>
          <w:highlight w:val="none"/>
          <w:lang w:eastAsia="zh-CN"/>
        </w:rPr>
        <w:t>采购人</w:t>
      </w:r>
      <w:r>
        <w:rPr>
          <w:rFonts w:hint="default" w:hAnsi="宋体"/>
          <w:sz w:val="21"/>
          <w:szCs w:val="24"/>
          <w:highlight w:val="none"/>
        </w:rPr>
        <w:t>。安全事故隐患消除后，应检查整改结果，签署复查或复工意见。承包人拒不整改或不停止施工的，监理人应及时通过</w:t>
      </w:r>
      <w:r>
        <w:rPr>
          <w:rFonts w:hint="eastAsia" w:hAnsi="宋体"/>
          <w:sz w:val="21"/>
          <w:szCs w:val="24"/>
          <w:highlight w:val="none"/>
          <w:lang w:eastAsia="zh-CN"/>
        </w:rPr>
        <w:t>采购人</w:t>
      </w:r>
      <w:r>
        <w:rPr>
          <w:rFonts w:hint="default" w:hAnsi="宋体"/>
          <w:sz w:val="21"/>
          <w:szCs w:val="24"/>
          <w:highlight w:val="none"/>
        </w:rPr>
        <w:t>向工程所在地建设主管部门或工程项目的行业主管部门报告。以电话形式报告的，应当有记录，并及时补充书面报告。检查、整改、复查、报告等情况应记载在监理日志、监理月报中。</w:t>
      </w:r>
    </w:p>
    <w:p w14:paraId="65D8989D">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9）要求施工承包人组织编制危险性较大的分部分项工程专项施工方案，并对超过一定规模的危险性较大的分部分项工程，应要求施工承包人组织专家进行论证。专家论证前专项施工方案应当通过施工承包人审核和总监理工程师审查。</w:t>
      </w:r>
    </w:p>
    <w:p w14:paraId="467F05E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10）核查施工现场起重机械等大型施工设备的进场和验收手续，并签署意见。</w:t>
      </w:r>
    </w:p>
    <w:p w14:paraId="085FE40F">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11）检查施工现场各种安全标志和安全防护措施是否符合标准。</w:t>
      </w:r>
    </w:p>
    <w:p w14:paraId="45BA6B1D">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12）编制安全生产监理应急预案，督促承包人进行安全自查工作、应急救援预案演练，并对承包人自查及演练情况进行抽査，参加</w:t>
      </w:r>
      <w:r>
        <w:rPr>
          <w:rFonts w:hint="eastAsia" w:hAnsi="宋体"/>
          <w:sz w:val="21"/>
          <w:szCs w:val="24"/>
          <w:highlight w:val="none"/>
          <w:lang w:eastAsia="zh-CN"/>
        </w:rPr>
        <w:t>采购人</w:t>
      </w:r>
      <w:r>
        <w:rPr>
          <w:rFonts w:hint="default" w:hAnsi="宋体"/>
          <w:sz w:val="21"/>
          <w:szCs w:val="24"/>
          <w:highlight w:val="none"/>
        </w:rPr>
        <w:t>组织的安全生产应急救援演练。</w:t>
      </w:r>
    </w:p>
    <w:p w14:paraId="0A4421B5">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13）监督承包人做好施工节能减排、水土保持等环境保护工作。</w:t>
      </w:r>
    </w:p>
    <w:p w14:paraId="6AE86059">
      <w:pPr>
        <w:overflowPunct w:val="0"/>
        <w:spacing w:line="360" w:lineRule="auto"/>
        <w:ind w:firstLine="420" w:firstLineChars="200"/>
        <w:rPr>
          <w:rFonts w:hint="default" w:hAnsi="宋体"/>
          <w:sz w:val="21"/>
          <w:szCs w:val="24"/>
          <w:highlight w:val="none"/>
        </w:rPr>
      </w:pPr>
      <w:bookmarkStart w:id="393" w:name="_Toc266172927"/>
      <w:bookmarkStart w:id="394" w:name="_Toc265651289"/>
      <w:bookmarkStart w:id="395" w:name="_Toc266173205"/>
      <w:bookmarkStart w:id="396" w:name="_Toc265700186"/>
      <w:bookmarkStart w:id="397" w:name="_Toc22763"/>
      <w:r>
        <w:rPr>
          <w:rFonts w:hint="default" w:hAnsi="宋体"/>
          <w:sz w:val="21"/>
          <w:szCs w:val="24"/>
          <w:highlight w:val="none"/>
        </w:rPr>
        <w:t>（5）工程协调</w:t>
      </w:r>
      <w:bookmarkEnd w:id="393"/>
      <w:bookmarkEnd w:id="394"/>
      <w:bookmarkEnd w:id="395"/>
      <w:bookmarkEnd w:id="396"/>
      <w:bookmarkEnd w:id="397"/>
    </w:p>
    <w:p w14:paraId="7907DE52">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1）根据</w:t>
      </w:r>
      <w:r>
        <w:rPr>
          <w:rFonts w:hint="eastAsia" w:hAnsi="宋体"/>
          <w:sz w:val="21"/>
          <w:szCs w:val="24"/>
          <w:highlight w:val="none"/>
          <w:lang w:eastAsia="zh-CN"/>
        </w:rPr>
        <w:t>采购人</w:t>
      </w:r>
      <w:r>
        <w:rPr>
          <w:rFonts w:hint="default" w:hAnsi="宋体"/>
          <w:sz w:val="21"/>
          <w:szCs w:val="24"/>
          <w:highlight w:val="none"/>
        </w:rPr>
        <w:t>的授权建立监理协调制度，明确程序、方式、内容和责任。</w:t>
      </w:r>
    </w:p>
    <w:p w14:paraId="7AFC24EE">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2）要求施工承包人定期报送施工报表，包括安置、安全、进度等，掌握施工情况。</w:t>
      </w:r>
    </w:p>
    <w:p w14:paraId="693B1131">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定期主持召开监理例会并根据工程需要主持或参加专题会议，签发会议纪要。会议纪要内容应包括检查上次例会议定事项的落实情况，分析未完事项原因；检查分析工程项目进度计划完成情况，提出下一阶段进度目标及其落实措施；检查分析工程项目质量情况、职业健康安全与环境状况，针对存在的问题提出改进措施；解决需要协调的其他事项。</w:t>
      </w:r>
    </w:p>
    <w:p w14:paraId="0A2DF449">
      <w:pPr>
        <w:overflowPunct w:val="0"/>
        <w:spacing w:line="360" w:lineRule="auto"/>
        <w:ind w:firstLine="420" w:firstLineChars="200"/>
        <w:rPr>
          <w:rFonts w:hint="default" w:hAnsi="宋体"/>
          <w:sz w:val="21"/>
          <w:szCs w:val="24"/>
          <w:highlight w:val="none"/>
        </w:rPr>
      </w:pPr>
      <w:bookmarkStart w:id="398" w:name="_Toc266173206"/>
      <w:bookmarkStart w:id="399" w:name="_Toc266172928"/>
      <w:bookmarkStart w:id="400" w:name="_Toc265700187"/>
      <w:r>
        <w:rPr>
          <w:rFonts w:hint="default" w:hAnsi="宋体"/>
          <w:sz w:val="21"/>
          <w:szCs w:val="24"/>
          <w:highlight w:val="none"/>
        </w:rPr>
        <w:t>2.2.4.3</w:t>
      </w:r>
      <w:bookmarkEnd w:id="398"/>
      <w:bookmarkEnd w:id="399"/>
      <w:bookmarkEnd w:id="400"/>
      <w:r>
        <w:rPr>
          <w:rFonts w:hint="default" w:hAnsi="宋体"/>
          <w:sz w:val="21"/>
          <w:szCs w:val="24"/>
          <w:highlight w:val="none"/>
        </w:rPr>
        <w:t xml:space="preserve"> 单位工程完工验收监理工作</w:t>
      </w:r>
    </w:p>
    <w:p w14:paraId="33149BA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（1）总监理工程师应组织审查施工单位报送的单位工程完工验收申请报告，组织单位工程完工预验收，落实单位工程完工验收条件。</w:t>
      </w:r>
    </w:p>
    <w:p w14:paraId="6C7B733A">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（2）项目监理机构应在预验收合格基础上及时提请</w:t>
      </w:r>
      <w:r>
        <w:rPr>
          <w:rFonts w:hint="eastAsia" w:hAnsi="宋体"/>
          <w:sz w:val="21"/>
          <w:szCs w:val="24"/>
          <w:highlight w:val="none"/>
          <w:lang w:eastAsia="zh-CN"/>
        </w:rPr>
        <w:t>采购人</w:t>
      </w:r>
      <w:r>
        <w:rPr>
          <w:rFonts w:hint="default" w:hAnsi="宋体"/>
          <w:sz w:val="21"/>
          <w:szCs w:val="24"/>
          <w:highlight w:val="none"/>
        </w:rPr>
        <w:t>组织单位工程完工验收。</w:t>
      </w:r>
    </w:p>
    <w:p w14:paraId="2AA5CB21">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（3）单位工程完工验收前，项目监理机构应及时提交单位工程质量评估报告。</w:t>
      </w:r>
    </w:p>
    <w:p w14:paraId="70C4E3C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（4）单位工程完工验收结束后，监理人应履行单位工程完工验收签字手续。</w:t>
      </w:r>
    </w:p>
    <w:p w14:paraId="76CBE71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（5）工程通过单位工程完工验收后，项目监理机构应督促施工单位依据施工合同文件的约定，及时向</w:t>
      </w:r>
      <w:r>
        <w:rPr>
          <w:rFonts w:hint="eastAsia" w:hAnsi="宋体"/>
          <w:sz w:val="21"/>
          <w:szCs w:val="24"/>
          <w:highlight w:val="none"/>
          <w:lang w:eastAsia="zh-CN"/>
        </w:rPr>
        <w:t>采购人</w:t>
      </w:r>
      <w:r>
        <w:rPr>
          <w:rFonts w:hint="default" w:hAnsi="宋体"/>
          <w:sz w:val="21"/>
          <w:szCs w:val="24"/>
          <w:highlight w:val="none"/>
        </w:rPr>
        <w:t>移交应保留或拆除的临建工程项目清单、文件、图片等资料。</w:t>
      </w:r>
    </w:p>
    <w:p w14:paraId="00DEE242">
      <w:pPr>
        <w:overflowPunct w:val="0"/>
        <w:spacing w:line="360" w:lineRule="auto"/>
        <w:ind w:firstLine="420" w:firstLineChars="200"/>
        <w:rPr>
          <w:rFonts w:hint="default" w:hAnsi="宋体"/>
          <w:sz w:val="21"/>
          <w:szCs w:val="24"/>
          <w:highlight w:val="none"/>
        </w:rPr>
      </w:pPr>
      <w:bookmarkStart w:id="401" w:name="_Toc265700190"/>
      <w:bookmarkStart w:id="402" w:name="_Toc265651291"/>
      <w:bookmarkStart w:id="403" w:name="_Toc266173209"/>
      <w:bookmarkStart w:id="404" w:name="_Toc266172931"/>
      <w:bookmarkStart w:id="405" w:name="_Toc3529"/>
      <w:r>
        <w:rPr>
          <w:rFonts w:hint="default" w:hAnsi="宋体"/>
          <w:sz w:val="21"/>
          <w:szCs w:val="24"/>
          <w:highlight w:val="none"/>
        </w:rPr>
        <w:t>2.2.4.4 工程启动验收与移交生产验收的监理工作</w:t>
      </w:r>
      <w:bookmarkEnd w:id="401"/>
      <w:bookmarkEnd w:id="402"/>
      <w:bookmarkEnd w:id="403"/>
      <w:bookmarkEnd w:id="404"/>
      <w:bookmarkEnd w:id="405"/>
    </w:p>
    <w:p w14:paraId="66153E9D">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（1）单台机组启动调试试运验收</w:t>
      </w:r>
    </w:p>
    <w:p w14:paraId="3D988050">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1）在单台机组安装及其配套工程完工验收合格后，协助</w:t>
      </w:r>
      <w:r>
        <w:rPr>
          <w:rFonts w:hint="eastAsia" w:hAnsi="宋体"/>
          <w:sz w:val="21"/>
          <w:szCs w:val="24"/>
          <w:highlight w:val="none"/>
          <w:lang w:eastAsia="zh-CN"/>
        </w:rPr>
        <w:t>采购人</w:t>
      </w:r>
      <w:r>
        <w:rPr>
          <w:rFonts w:hint="default" w:hAnsi="宋体"/>
          <w:sz w:val="21"/>
          <w:szCs w:val="24"/>
          <w:highlight w:val="none"/>
        </w:rPr>
        <w:t>组织开展单台机组启动调试试运验收，单台机组启动调试试运验收应执行《风力发电场项目建设工程验收规程》DL/T5191的相应内容。</w:t>
      </w:r>
    </w:p>
    <w:p w14:paraId="6C0D813E">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2）协助</w:t>
      </w:r>
      <w:r>
        <w:rPr>
          <w:rFonts w:hint="eastAsia" w:hAnsi="宋体"/>
          <w:sz w:val="21"/>
          <w:szCs w:val="24"/>
          <w:highlight w:val="none"/>
          <w:lang w:eastAsia="zh-CN"/>
        </w:rPr>
        <w:t>采购人</w:t>
      </w:r>
      <w:r>
        <w:rPr>
          <w:rFonts w:hint="default" w:hAnsi="宋体"/>
          <w:sz w:val="21"/>
          <w:szCs w:val="24"/>
          <w:highlight w:val="none"/>
        </w:rPr>
        <w:t>落实单台机组启动调试试运验收条件，参与单台机组启动调试大纲和试运方案的审查。</w:t>
      </w:r>
    </w:p>
    <w:p w14:paraId="1F04DB6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3）参加施工承包人进行的工程实体的自查和资料的检查，对需要整改的部位或设备组件问题的处理结果进行存世检查。</w:t>
      </w:r>
    </w:p>
    <w:p w14:paraId="7972C2F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4）参与签署单台机组启动调试试运验收意见，并督促供应商和施工承包人完成遗留问题或缺陷的处理。</w:t>
      </w:r>
    </w:p>
    <w:p w14:paraId="7D5B58CD">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（2）工程整套启动试运验收</w:t>
      </w:r>
    </w:p>
    <w:p w14:paraId="2066F24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1）在本期工程最后一台风力发现机组启动调试试运验收结束后，进行工程整套启动试运验收，工程整套启动试运验收应执行《风力发电场项目建设工程验收规程》DL/T5191的相应内容。</w:t>
      </w:r>
    </w:p>
    <w:p w14:paraId="49721995">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2）参加工程整套启动试运验收，协助</w:t>
      </w:r>
      <w:r>
        <w:rPr>
          <w:rFonts w:hint="eastAsia" w:hAnsi="宋体"/>
          <w:sz w:val="21"/>
          <w:szCs w:val="24"/>
          <w:highlight w:val="none"/>
          <w:lang w:eastAsia="zh-CN"/>
        </w:rPr>
        <w:t>采购人</w:t>
      </w:r>
      <w:r>
        <w:rPr>
          <w:rFonts w:hint="default" w:hAnsi="宋体"/>
          <w:sz w:val="21"/>
          <w:szCs w:val="24"/>
          <w:highlight w:val="none"/>
        </w:rPr>
        <w:t>落实工程整套启动调试试运验收条件，参与审查工程整套启动调试试运方案。</w:t>
      </w:r>
    </w:p>
    <w:p w14:paraId="4CF8F998">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3）向工程整套启动验收委员会提交本验收阶段的监理工作总结。</w:t>
      </w:r>
    </w:p>
    <w:p w14:paraId="45DE879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4）按工程建设档案管理的有关规定，督促和检查施工承包人验收资料归档情况，审查施工承包人向工程整套启动验收委员会提交的施工报告、施工记录及有关试验检测报告等资料。</w:t>
      </w:r>
    </w:p>
    <w:p w14:paraId="520DA6AC">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5）在启动试运过程中，协助处理启动试运中的有关问题并履行相关签字手续。</w:t>
      </w:r>
    </w:p>
    <w:p w14:paraId="09C01CAD">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6）督促施工承包人及时完成工程整套启动试运验收遗留工程和消缺工作，并进行跟踪检查。</w:t>
      </w:r>
    </w:p>
    <w:p w14:paraId="1878B104">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（3）工程移交生产验收</w:t>
      </w:r>
    </w:p>
    <w:p w14:paraId="5E6AB0B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1）协助</w:t>
      </w:r>
      <w:r>
        <w:rPr>
          <w:rFonts w:hint="eastAsia" w:hAnsi="宋体"/>
          <w:sz w:val="21"/>
          <w:szCs w:val="24"/>
          <w:highlight w:val="none"/>
          <w:lang w:eastAsia="zh-CN"/>
        </w:rPr>
        <w:t>采购人</w:t>
      </w:r>
      <w:r>
        <w:rPr>
          <w:rFonts w:hint="default" w:hAnsi="宋体"/>
          <w:sz w:val="21"/>
          <w:szCs w:val="24"/>
          <w:highlight w:val="none"/>
        </w:rPr>
        <w:t>落实工程移交生产验收条件，参加</w:t>
      </w:r>
      <w:r>
        <w:rPr>
          <w:rFonts w:hint="eastAsia" w:hAnsi="宋体"/>
          <w:sz w:val="21"/>
          <w:szCs w:val="24"/>
          <w:highlight w:val="none"/>
          <w:lang w:eastAsia="zh-CN"/>
        </w:rPr>
        <w:t>采购人</w:t>
      </w:r>
      <w:r>
        <w:rPr>
          <w:rFonts w:hint="default" w:hAnsi="宋体"/>
          <w:sz w:val="21"/>
          <w:szCs w:val="24"/>
          <w:highlight w:val="none"/>
        </w:rPr>
        <w:t>组织的工程移交生产验收。工程移交验收应执行《风力发电场项目建设工程验收规程》DL/T5191的相应内容。</w:t>
      </w:r>
    </w:p>
    <w:p w14:paraId="4FF6309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2）参加地方消防主管部门按设计范围和规定的技术条件进行的全场消防系统和全场消防器材配置的检查。</w:t>
      </w:r>
    </w:p>
    <w:p w14:paraId="5D907A3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3）工程竣工验收前，督促施工承包人编制竣工验收报告。对施工承包人报送的竣工资料进行审查，并对工程实体质量进行工程竣工预验收。对存在的问题，及时要求施工承包人整改。工程竣工预验收合格后，按</w:t>
      </w:r>
      <w:r>
        <w:rPr>
          <w:rFonts w:hint="eastAsia" w:hAnsi="宋体"/>
          <w:sz w:val="21"/>
          <w:szCs w:val="24"/>
          <w:highlight w:val="none"/>
          <w:lang w:eastAsia="zh-CN"/>
        </w:rPr>
        <w:t>采购人</w:t>
      </w:r>
      <w:r>
        <w:rPr>
          <w:rFonts w:hint="default" w:hAnsi="宋体"/>
          <w:sz w:val="21"/>
          <w:szCs w:val="24"/>
          <w:highlight w:val="none"/>
        </w:rPr>
        <w:t>要求编写工程质量评估报告。</w:t>
      </w:r>
    </w:p>
    <w:p w14:paraId="13D7AB42">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4）工程竣工验收前，提供相关监理档案资料，编制工程竣工验收监理工作总结并报</w:t>
      </w:r>
      <w:r>
        <w:rPr>
          <w:rFonts w:hint="eastAsia" w:hAnsi="宋体"/>
          <w:sz w:val="21"/>
          <w:szCs w:val="24"/>
          <w:highlight w:val="none"/>
          <w:lang w:eastAsia="zh-CN"/>
        </w:rPr>
        <w:t>采购人</w:t>
      </w:r>
      <w:r>
        <w:rPr>
          <w:rFonts w:hint="default" w:hAnsi="宋体"/>
          <w:sz w:val="21"/>
          <w:szCs w:val="24"/>
          <w:highlight w:val="none"/>
        </w:rPr>
        <w:t>。</w:t>
      </w:r>
    </w:p>
    <w:p w14:paraId="7B902A2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5）协助</w:t>
      </w:r>
      <w:r>
        <w:rPr>
          <w:rFonts w:hint="eastAsia" w:hAnsi="宋体"/>
          <w:sz w:val="21"/>
          <w:szCs w:val="24"/>
          <w:highlight w:val="none"/>
          <w:lang w:eastAsia="zh-CN"/>
        </w:rPr>
        <w:t>采购人</w:t>
      </w:r>
      <w:r>
        <w:rPr>
          <w:rFonts w:hint="default" w:hAnsi="宋体"/>
          <w:sz w:val="21"/>
          <w:szCs w:val="24"/>
          <w:highlight w:val="none"/>
        </w:rPr>
        <w:t>完成合同变更处理，及时完成对竣工支付报告和报表的审查，签发经合同双方协商一致部分的价款支付证书。</w:t>
      </w:r>
    </w:p>
    <w:p w14:paraId="5179213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6）参加由</w:t>
      </w:r>
      <w:r>
        <w:rPr>
          <w:rFonts w:hint="eastAsia" w:hAnsi="宋体"/>
          <w:sz w:val="21"/>
          <w:szCs w:val="24"/>
          <w:highlight w:val="none"/>
          <w:lang w:eastAsia="zh-CN"/>
        </w:rPr>
        <w:t>采购人</w:t>
      </w:r>
      <w:r>
        <w:rPr>
          <w:rFonts w:hint="default" w:hAnsi="宋体"/>
          <w:sz w:val="21"/>
          <w:szCs w:val="24"/>
          <w:highlight w:val="none"/>
        </w:rPr>
        <w:t>组织的竣工验收，配合竣工验收委员会的工作，并对验收结论履行相关签字手续。</w:t>
      </w:r>
    </w:p>
    <w:p w14:paraId="7404854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2.2.4.5 参加</w:t>
      </w:r>
      <w:r>
        <w:rPr>
          <w:rFonts w:hint="eastAsia" w:hAnsi="宋体"/>
          <w:sz w:val="21"/>
          <w:szCs w:val="24"/>
          <w:highlight w:val="none"/>
          <w:lang w:eastAsia="zh-CN"/>
        </w:rPr>
        <w:t>采购人</w:t>
      </w:r>
      <w:r>
        <w:rPr>
          <w:rFonts w:hint="default" w:hAnsi="宋体"/>
          <w:sz w:val="21"/>
          <w:szCs w:val="24"/>
          <w:highlight w:val="none"/>
        </w:rPr>
        <w:t>各专项验收、达标投产各阶段相应工作。</w:t>
      </w:r>
    </w:p>
    <w:p w14:paraId="00404197">
      <w:pPr>
        <w:pStyle w:val="6"/>
        <w:tabs>
          <w:tab w:val="left" w:pos="727"/>
        </w:tabs>
        <w:overflowPunct w:val="0"/>
        <w:spacing w:line="360" w:lineRule="auto"/>
        <w:jc w:val="left"/>
        <w:rPr>
          <w:rFonts w:hint="default" w:hAnsi="宋体"/>
          <w:b/>
          <w:sz w:val="24"/>
          <w:szCs w:val="24"/>
          <w:highlight w:val="none"/>
        </w:rPr>
      </w:pPr>
      <w:bookmarkStart w:id="406" w:name="_Toc146500131"/>
      <w:r>
        <w:rPr>
          <w:rFonts w:hint="default" w:hAnsi="宋体"/>
          <w:b/>
          <w:sz w:val="24"/>
          <w:szCs w:val="24"/>
          <w:highlight w:val="none"/>
        </w:rPr>
        <w:t>3.监理依据</w:t>
      </w:r>
      <w:bookmarkEnd w:id="406"/>
    </w:p>
    <w:p w14:paraId="09ACD68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监理依据包括但不限于以下内容：</w:t>
      </w:r>
    </w:p>
    <w:p w14:paraId="69B35BB5">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（1）国家关于建设监理的有关法律、法规及行业的有关规定。</w:t>
      </w:r>
    </w:p>
    <w:p w14:paraId="260F80F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（2）国家关于工程建设的有关法律、法规及行业的有关规定。</w:t>
      </w:r>
    </w:p>
    <w:p w14:paraId="2E30A38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（3）国家及行业颁发的施工及验收规程、规范和质量验收评定标准。</w:t>
      </w:r>
    </w:p>
    <w:p w14:paraId="0DBC601C">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（4）审定的工程勘察文件、设计文件及经批准的设计变更。</w:t>
      </w:r>
    </w:p>
    <w:p w14:paraId="574D83EE">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（5）设备厂家提供的图纸及技术说明书。</w:t>
      </w:r>
    </w:p>
    <w:p w14:paraId="0103089D">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（6）本工程的委托监理合同及补充合同。</w:t>
      </w:r>
    </w:p>
    <w:p w14:paraId="015476C1">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（7）</w:t>
      </w:r>
      <w:r>
        <w:rPr>
          <w:rFonts w:hint="eastAsia" w:hAnsi="宋体"/>
          <w:sz w:val="21"/>
          <w:szCs w:val="24"/>
          <w:highlight w:val="none"/>
          <w:lang w:eastAsia="zh-CN"/>
        </w:rPr>
        <w:t>采购人</w:t>
      </w:r>
      <w:r>
        <w:rPr>
          <w:rFonts w:hint="default" w:hAnsi="宋体"/>
          <w:sz w:val="21"/>
          <w:szCs w:val="24"/>
          <w:highlight w:val="none"/>
        </w:rPr>
        <w:t>与勘察、设计、施工承包商、调试承包商、设备厂商等第三方签订的本工程的有关合同。</w:t>
      </w:r>
    </w:p>
    <w:p w14:paraId="0E97588F">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（8）合同履行过程中与监理服务有关的来往函件。</w:t>
      </w:r>
    </w:p>
    <w:p w14:paraId="24B87BD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（9）以上规程、规范应按最新颁发的执行。监理人还应执行</w:t>
      </w:r>
      <w:r>
        <w:rPr>
          <w:rFonts w:hint="eastAsia" w:hAnsi="宋体"/>
          <w:sz w:val="21"/>
          <w:szCs w:val="24"/>
          <w:highlight w:val="none"/>
          <w:lang w:eastAsia="zh-CN"/>
        </w:rPr>
        <w:t>采购人</w:t>
      </w:r>
      <w:r>
        <w:rPr>
          <w:rFonts w:hint="default" w:hAnsi="宋体"/>
          <w:sz w:val="21"/>
          <w:szCs w:val="24"/>
          <w:highlight w:val="none"/>
        </w:rPr>
        <w:t>安全、质量、健康、环境等体系文件的要求，执行</w:t>
      </w:r>
      <w:r>
        <w:rPr>
          <w:rFonts w:hint="eastAsia" w:hAnsi="宋体"/>
          <w:sz w:val="21"/>
          <w:szCs w:val="24"/>
          <w:highlight w:val="none"/>
          <w:lang w:eastAsia="zh-CN"/>
        </w:rPr>
        <w:t>采购人</w:t>
      </w:r>
      <w:r>
        <w:rPr>
          <w:rFonts w:hint="default" w:hAnsi="宋体"/>
          <w:sz w:val="21"/>
          <w:szCs w:val="24"/>
          <w:highlight w:val="none"/>
        </w:rPr>
        <w:t>的企业标准。</w:t>
      </w:r>
    </w:p>
    <w:p w14:paraId="4E79550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（10）其他：无</w:t>
      </w:r>
    </w:p>
    <w:p w14:paraId="5B1902E7">
      <w:pPr>
        <w:pStyle w:val="6"/>
        <w:tabs>
          <w:tab w:val="left" w:pos="727"/>
        </w:tabs>
        <w:overflowPunct w:val="0"/>
        <w:spacing w:line="360" w:lineRule="auto"/>
        <w:jc w:val="left"/>
        <w:rPr>
          <w:rFonts w:hint="default" w:hAnsi="宋体"/>
          <w:b/>
          <w:sz w:val="24"/>
          <w:szCs w:val="24"/>
          <w:highlight w:val="none"/>
        </w:rPr>
      </w:pPr>
      <w:bookmarkStart w:id="407" w:name="_Toc146500132"/>
      <w:r>
        <w:rPr>
          <w:rFonts w:hint="default" w:hAnsi="宋体"/>
          <w:b/>
          <w:sz w:val="24"/>
          <w:szCs w:val="24"/>
          <w:highlight w:val="none"/>
        </w:rPr>
        <w:t>4.监理人员和试验检测仪器设备要求</w:t>
      </w:r>
      <w:bookmarkEnd w:id="407"/>
    </w:p>
    <w:p w14:paraId="1B2025BC">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监理人员具备与本项目相适应的任职条件和工作技能满足不同施工阶段的监理需求；检测仪器的配置应能满足本项目工程日常监理工作需求。</w:t>
      </w:r>
    </w:p>
    <w:p w14:paraId="54263524">
      <w:pPr>
        <w:pStyle w:val="21"/>
        <w:spacing w:line="360" w:lineRule="auto"/>
        <w:ind w:firstLine="630" w:firstLineChars="300"/>
        <w:rPr>
          <w:rFonts w:hint="default" w:hAnsi="宋体"/>
          <w:sz w:val="21"/>
          <w:szCs w:val="24"/>
          <w:highlight w:val="none"/>
        </w:rPr>
      </w:pPr>
      <w:r>
        <w:rPr>
          <w:rFonts w:hint="default" w:hAnsi="宋体"/>
          <w:sz w:val="21"/>
          <w:szCs w:val="24"/>
          <w:highlight w:val="none"/>
        </w:rPr>
        <w:t>监理人员最低配置数量见下表</w:t>
      </w:r>
    </w:p>
    <w:p w14:paraId="3017DD7B">
      <w:pPr>
        <w:pStyle w:val="21"/>
        <w:ind w:firstLine="2310" w:firstLineChars="1100"/>
        <w:rPr>
          <w:rFonts w:hint="default" w:hAnsi="宋体"/>
          <w:sz w:val="21"/>
          <w:szCs w:val="24"/>
          <w:highlight w:val="none"/>
        </w:rPr>
      </w:pPr>
      <w:r>
        <w:rPr>
          <w:rFonts w:hint="eastAsia" w:hAnsi="宋体"/>
          <w:sz w:val="21"/>
          <w:szCs w:val="24"/>
          <w:highlight w:val="none"/>
          <w:lang w:val="en-US" w:eastAsia="zh-CN"/>
        </w:rPr>
        <w:t>大龙山</w:t>
      </w:r>
      <w:r>
        <w:rPr>
          <w:rFonts w:hint="default" w:hAnsi="宋体"/>
          <w:sz w:val="21"/>
          <w:szCs w:val="24"/>
          <w:highlight w:val="none"/>
        </w:rPr>
        <w:t>风电场施工期间监理人员最低配置数量表</w:t>
      </w:r>
    </w:p>
    <w:tbl>
      <w:tblPr>
        <w:tblStyle w:val="4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5"/>
        <w:gridCol w:w="3954"/>
        <w:gridCol w:w="3019"/>
      </w:tblGrid>
      <w:tr w14:paraId="17C5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3333"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1DE8984">
            <w:pPr>
              <w:pStyle w:val="21"/>
              <w:jc w:val="center"/>
              <w:rPr>
                <w:rFonts w:hint="default" w:hAnsi="宋体"/>
                <w:sz w:val="21"/>
                <w:szCs w:val="24"/>
                <w:highlight w:val="none"/>
              </w:rPr>
            </w:pPr>
            <w:r>
              <w:rPr>
                <w:rFonts w:hint="default" w:hAnsi="宋体"/>
                <w:sz w:val="21"/>
                <w:szCs w:val="24"/>
                <w:highlight w:val="none"/>
              </w:rPr>
              <w:t>人员类别</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42AFF85">
            <w:pPr>
              <w:pStyle w:val="21"/>
              <w:jc w:val="center"/>
              <w:rPr>
                <w:rFonts w:hint="default" w:hAnsi="宋体"/>
                <w:sz w:val="21"/>
                <w:szCs w:val="24"/>
                <w:highlight w:val="none"/>
              </w:rPr>
            </w:pPr>
            <w:r>
              <w:rPr>
                <w:rFonts w:hint="default" w:hAnsi="宋体"/>
                <w:sz w:val="21"/>
                <w:szCs w:val="24"/>
                <w:highlight w:val="none"/>
              </w:rPr>
              <w:t>人数</w:t>
            </w:r>
          </w:p>
        </w:tc>
      </w:tr>
      <w:tr w14:paraId="6455D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3333"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7D5CB09">
            <w:pPr>
              <w:pStyle w:val="21"/>
              <w:ind w:firstLine="1260" w:firstLineChars="600"/>
              <w:jc w:val="center"/>
              <w:rPr>
                <w:rFonts w:hint="default" w:hAnsi="宋体"/>
                <w:sz w:val="21"/>
                <w:szCs w:val="24"/>
                <w:highlight w:val="none"/>
              </w:rPr>
            </w:pPr>
            <w:r>
              <w:rPr>
                <w:rFonts w:hint="default" w:hAnsi="宋体"/>
                <w:sz w:val="21"/>
                <w:szCs w:val="24"/>
                <w:highlight w:val="none"/>
              </w:rPr>
              <w:t>总监理工程师</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75DBD00">
            <w:pPr>
              <w:pStyle w:val="21"/>
              <w:jc w:val="center"/>
              <w:rPr>
                <w:rFonts w:hint="default" w:hAnsi="宋体"/>
                <w:sz w:val="21"/>
                <w:szCs w:val="24"/>
                <w:highlight w:val="none"/>
              </w:rPr>
            </w:pPr>
            <w:r>
              <w:rPr>
                <w:rFonts w:hint="default" w:hAnsi="宋体"/>
                <w:sz w:val="21"/>
                <w:szCs w:val="24"/>
                <w:highlight w:val="none"/>
              </w:rPr>
              <w:t>1人</w:t>
            </w:r>
          </w:p>
        </w:tc>
      </w:tr>
      <w:tr w14:paraId="6364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3333"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D3BA3D2">
            <w:pPr>
              <w:pStyle w:val="21"/>
              <w:ind w:firstLine="1260" w:firstLineChars="600"/>
              <w:jc w:val="center"/>
              <w:rPr>
                <w:rFonts w:hint="default" w:hAnsi="宋体"/>
                <w:sz w:val="21"/>
                <w:szCs w:val="24"/>
                <w:highlight w:val="none"/>
              </w:rPr>
            </w:pPr>
            <w:r>
              <w:rPr>
                <w:rFonts w:hint="default" w:hAnsi="宋体"/>
                <w:sz w:val="21"/>
                <w:szCs w:val="24"/>
                <w:highlight w:val="none"/>
              </w:rPr>
              <w:t>总监理工程师代表</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B370D6">
            <w:pPr>
              <w:pStyle w:val="21"/>
              <w:jc w:val="center"/>
              <w:rPr>
                <w:rFonts w:hint="default" w:hAnsi="宋体"/>
                <w:sz w:val="21"/>
                <w:szCs w:val="24"/>
                <w:highlight w:val="none"/>
              </w:rPr>
            </w:pPr>
            <w:r>
              <w:rPr>
                <w:rFonts w:hint="eastAsia" w:hAnsi="宋体"/>
                <w:sz w:val="21"/>
                <w:szCs w:val="24"/>
                <w:highlight w:val="none"/>
                <w:lang w:val="en-US" w:eastAsia="zh-CN"/>
              </w:rPr>
              <w:t>1</w:t>
            </w:r>
            <w:r>
              <w:rPr>
                <w:rFonts w:hint="default" w:hAnsi="宋体"/>
                <w:sz w:val="21"/>
                <w:szCs w:val="24"/>
                <w:highlight w:val="none"/>
              </w:rPr>
              <w:t>人</w:t>
            </w:r>
          </w:p>
        </w:tc>
      </w:tr>
      <w:tr w14:paraId="1DF5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1151"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1776047">
            <w:pPr>
              <w:pStyle w:val="21"/>
              <w:ind w:firstLine="840" w:firstLineChars="400"/>
              <w:jc w:val="center"/>
              <w:rPr>
                <w:rFonts w:hint="default" w:hAnsi="宋体"/>
                <w:sz w:val="21"/>
                <w:szCs w:val="24"/>
                <w:highlight w:val="none"/>
              </w:rPr>
            </w:pPr>
            <w:r>
              <w:rPr>
                <w:rFonts w:hint="default" w:hAnsi="宋体"/>
                <w:sz w:val="21"/>
                <w:szCs w:val="24"/>
                <w:highlight w:val="none"/>
              </w:rPr>
              <w:t>专</w:t>
            </w:r>
          </w:p>
          <w:p w14:paraId="695E2FD1">
            <w:pPr>
              <w:pStyle w:val="21"/>
              <w:ind w:firstLine="840" w:firstLineChars="400"/>
              <w:jc w:val="center"/>
              <w:rPr>
                <w:rFonts w:hint="default" w:hAnsi="宋体"/>
                <w:sz w:val="21"/>
                <w:szCs w:val="24"/>
                <w:highlight w:val="none"/>
              </w:rPr>
            </w:pPr>
            <w:r>
              <w:rPr>
                <w:rFonts w:hint="default" w:hAnsi="宋体"/>
                <w:sz w:val="21"/>
                <w:szCs w:val="24"/>
                <w:highlight w:val="none"/>
              </w:rPr>
              <w:t>业</w:t>
            </w:r>
          </w:p>
          <w:p w14:paraId="5EF7F17F">
            <w:pPr>
              <w:pStyle w:val="21"/>
              <w:ind w:firstLine="840" w:firstLineChars="400"/>
              <w:jc w:val="center"/>
              <w:rPr>
                <w:rFonts w:hint="default" w:hAnsi="宋体"/>
                <w:sz w:val="21"/>
                <w:szCs w:val="24"/>
                <w:highlight w:val="none"/>
              </w:rPr>
            </w:pPr>
            <w:r>
              <w:rPr>
                <w:rFonts w:hint="default" w:hAnsi="宋体"/>
                <w:sz w:val="21"/>
                <w:szCs w:val="24"/>
                <w:highlight w:val="none"/>
              </w:rPr>
              <w:t>工</w:t>
            </w:r>
          </w:p>
          <w:p w14:paraId="368A781E">
            <w:pPr>
              <w:pStyle w:val="21"/>
              <w:ind w:firstLine="840" w:firstLineChars="400"/>
              <w:jc w:val="center"/>
              <w:rPr>
                <w:rFonts w:hint="default" w:hAnsi="宋体"/>
                <w:sz w:val="21"/>
                <w:szCs w:val="24"/>
                <w:highlight w:val="none"/>
              </w:rPr>
            </w:pPr>
            <w:r>
              <w:rPr>
                <w:rFonts w:hint="default" w:hAnsi="宋体"/>
                <w:sz w:val="21"/>
                <w:szCs w:val="24"/>
                <w:highlight w:val="none"/>
              </w:rPr>
              <w:t>程</w:t>
            </w:r>
          </w:p>
          <w:p w14:paraId="4E59317A">
            <w:pPr>
              <w:pStyle w:val="21"/>
              <w:ind w:firstLine="840" w:firstLineChars="400"/>
              <w:jc w:val="center"/>
              <w:rPr>
                <w:rFonts w:hint="default" w:hAnsi="宋体"/>
                <w:sz w:val="21"/>
                <w:szCs w:val="24"/>
                <w:highlight w:val="none"/>
              </w:rPr>
            </w:pPr>
            <w:r>
              <w:rPr>
                <w:rFonts w:hint="default" w:hAnsi="宋体"/>
                <w:sz w:val="21"/>
                <w:szCs w:val="24"/>
                <w:highlight w:val="none"/>
              </w:rPr>
              <w:t>师</w:t>
            </w: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A13EC41">
            <w:pPr>
              <w:pStyle w:val="21"/>
              <w:jc w:val="center"/>
              <w:rPr>
                <w:rFonts w:hint="default" w:hAnsi="宋体"/>
                <w:sz w:val="21"/>
                <w:szCs w:val="24"/>
                <w:highlight w:val="none"/>
              </w:rPr>
            </w:pPr>
            <w:r>
              <w:rPr>
                <w:rFonts w:hint="default" w:hAnsi="宋体"/>
                <w:sz w:val="21"/>
                <w:szCs w:val="24"/>
                <w:highlight w:val="none"/>
              </w:rPr>
              <w:t>土建监理工程师</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3801FB2">
            <w:pPr>
              <w:pStyle w:val="21"/>
              <w:jc w:val="center"/>
              <w:rPr>
                <w:rFonts w:hint="default" w:hAnsi="宋体"/>
                <w:sz w:val="21"/>
                <w:szCs w:val="24"/>
                <w:highlight w:val="none"/>
              </w:rPr>
            </w:pPr>
            <w:r>
              <w:rPr>
                <w:rFonts w:hint="eastAsia" w:hAnsi="宋体"/>
                <w:sz w:val="21"/>
                <w:szCs w:val="24"/>
                <w:highlight w:val="none"/>
                <w:lang w:val="en-US" w:eastAsia="zh-CN"/>
              </w:rPr>
              <w:t>1</w:t>
            </w:r>
            <w:r>
              <w:rPr>
                <w:rFonts w:hint="default" w:hAnsi="宋体"/>
                <w:sz w:val="21"/>
                <w:szCs w:val="24"/>
                <w:highlight w:val="none"/>
              </w:rPr>
              <w:t>人</w:t>
            </w:r>
          </w:p>
        </w:tc>
      </w:tr>
      <w:tr w14:paraId="146F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15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3B06BAF">
            <w:pPr>
              <w:pStyle w:val="21"/>
              <w:jc w:val="center"/>
              <w:rPr>
                <w:rFonts w:hint="default" w:hAnsi="宋体"/>
                <w:sz w:val="21"/>
                <w:szCs w:val="24"/>
                <w:highlight w:val="none"/>
              </w:rPr>
            </w:pP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0A398D0">
            <w:pPr>
              <w:pStyle w:val="21"/>
              <w:jc w:val="center"/>
              <w:rPr>
                <w:rFonts w:hint="default" w:hAnsi="宋体"/>
                <w:sz w:val="21"/>
                <w:szCs w:val="24"/>
                <w:highlight w:val="none"/>
              </w:rPr>
            </w:pPr>
            <w:r>
              <w:rPr>
                <w:rFonts w:hint="default" w:hAnsi="宋体"/>
                <w:sz w:val="21"/>
                <w:szCs w:val="24"/>
                <w:highlight w:val="none"/>
              </w:rPr>
              <w:t>道路监理工程师</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4343D3B">
            <w:pPr>
              <w:pStyle w:val="21"/>
              <w:jc w:val="center"/>
              <w:rPr>
                <w:rFonts w:hint="default" w:hAnsi="宋体"/>
                <w:sz w:val="21"/>
                <w:szCs w:val="24"/>
                <w:highlight w:val="none"/>
              </w:rPr>
            </w:pPr>
            <w:r>
              <w:rPr>
                <w:rFonts w:hint="default" w:hAnsi="宋体"/>
                <w:sz w:val="21"/>
                <w:szCs w:val="24"/>
                <w:highlight w:val="none"/>
              </w:rPr>
              <w:t>1人</w:t>
            </w:r>
          </w:p>
        </w:tc>
      </w:tr>
      <w:tr w14:paraId="3238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15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183A2CF">
            <w:pPr>
              <w:pStyle w:val="21"/>
              <w:jc w:val="center"/>
              <w:rPr>
                <w:rFonts w:hint="default" w:hAnsi="宋体"/>
                <w:sz w:val="21"/>
                <w:szCs w:val="24"/>
                <w:highlight w:val="none"/>
              </w:rPr>
            </w:pP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2C99C5C">
            <w:pPr>
              <w:pStyle w:val="21"/>
              <w:jc w:val="center"/>
              <w:rPr>
                <w:rFonts w:hint="default" w:hAnsi="宋体"/>
                <w:sz w:val="21"/>
                <w:szCs w:val="24"/>
                <w:highlight w:val="none"/>
              </w:rPr>
            </w:pPr>
            <w:r>
              <w:rPr>
                <w:rFonts w:hint="default" w:hAnsi="宋体"/>
                <w:sz w:val="21"/>
                <w:szCs w:val="24"/>
                <w:highlight w:val="none"/>
              </w:rPr>
              <w:t>电气监理工程师</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90A710D">
            <w:pPr>
              <w:pStyle w:val="21"/>
              <w:jc w:val="center"/>
              <w:rPr>
                <w:rFonts w:hint="default" w:hAnsi="宋体"/>
                <w:sz w:val="21"/>
                <w:szCs w:val="24"/>
                <w:highlight w:val="none"/>
              </w:rPr>
            </w:pPr>
            <w:r>
              <w:rPr>
                <w:rFonts w:hint="eastAsia" w:hAnsi="宋体"/>
                <w:sz w:val="21"/>
                <w:szCs w:val="24"/>
                <w:highlight w:val="none"/>
                <w:lang w:val="en-US" w:eastAsia="zh-CN"/>
              </w:rPr>
              <w:t>1</w:t>
            </w:r>
            <w:r>
              <w:rPr>
                <w:rFonts w:hint="default" w:hAnsi="宋体"/>
                <w:sz w:val="21"/>
                <w:szCs w:val="24"/>
                <w:highlight w:val="none"/>
              </w:rPr>
              <w:t>人</w:t>
            </w:r>
          </w:p>
        </w:tc>
      </w:tr>
      <w:tr w14:paraId="07DF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1" w:hRule="atLeast"/>
        </w:trPr>
        <w:tc>
          <w:tcPr>
            <w:tcW w:w="115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6B77C72">
            <w:pPr>
              <w:pStyle w:val="21"/>
              <w:jc w:val="center"/>
              <w:rPr>
                <w:rFonts w:hint="default" w:hAnsi="宋体"/>
                <w:sz w:val="21"/>
                <w:szCs w:val="24"/>
                <w:highlight w:val="none"/>
              </w:rPr>
            </w:pP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E6009C4">
            <w:pPr>
              <w:pStyle w:val="21"/>
              <w:jc w:val="center"/>
              <w:rPr>
                <w:rFonts w:hint="default" w:hAnsi="宋体"/>
                <w:sz w:val="21"/>
                <w:szCs w:val="24"/>
                <w:highlight w:val="none"/>
              </w:rPr>
            </w:pPr>
            <w:r>
              <w:rPr>
                <w:rFonts w:hint="default" w:hAnsi="宋体"/>
                <w:sz w:val="21"/>
                <w:szCs w:val="24"/>
                <w:highlight w:val="none"/>
              </w:rPr>
              <w:t>机电监理工程师</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FAF1305">
            <w:pPr>
              <w:pStyle w:val="21"/>
              <w:jc w:val="center"/>
              <w:rPr>
                <w:rFonts w:hint="default" w:hAnsi="宋体"/>
                <w:sz w:val="21"/>
                <w:szCs w:val="24"/>
                <w:highlight w:val="none"/>
              </w:rPr>
            </w:pPr>
            <w:r>
              <w:rPr>
                <w:rFonts w:hint="eastAsia" w:hAnsi="宋体"/>
                <w:sz w:val="21"/>
                <w:szCs w:val="24"/>
                <w:highlight w:val="none"/>
                <w:lang w:val="en-US" w:eastAsia="zh-CN"/>
              </w:rPr>
              <w:t>1</w:t>
            </w:r>
            <w:r>
              <w:rPr>
                <w:rFonts w:hint="default" w:hAnsi="宋体"/>
                <w:sz w:val="21"/>
                <w:szCs w:val="24"/>
                <w:highlight w:val="none"/>
              </w:rPr>
              <w:t>人</w:t>
            </w:r>
          </w:p>
        </w:tc>
      </w:tr>
      <w:tr w14:paraId="008A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15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0DDF3B4">
            <w:pPr>
              <w:pStyle w:val="21"/>
              <w:jc w:val="center"/>
              <w:rPr>
                <w:rFonts w:hint="default" w:hAnsi="宋体"/>
                <w:sz w:val="21"/>
                <w:szCs w:val="24"/>
                <w:highlight w:val="none"/>
              </w:rPr>
            </w:pP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4F728B4">
            <w:pPr>
              <w:pStyle w:val="21"/>
              <w:jc w:val="center"/>
              <w:rPr>
                <w:rFonts w:hint="default" w:hAnsi="宋体"/>
                <w:sz w:val="21"/>
                <w:szCs w:val="24"/>
                <w:highlight w:val="none"/>
              </w:rPr>
            </w:pPr>
            <w:r>
              <w:rPr>
                <w:rFonts w:hint="default" w:hAnsi="宋体"/>
                <w:sz w:val="21"/>
                <w:szCs w:val="24"/>
                <w:highlight w:val="none"/>
              </w:rPr>
              <w:t xml:space="preserve">集电线路监理工程师 </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A6B0575">
            <w:pPr>
              <w:pStyle w:val="21"/>
              <w:jc w:val="center"/>
              <w:rPr>
                <w:rFonts w:hint="default" w:hAnsi="宋体"/>
                <w:sz w:val="21"/>
                <w:szCs w:val="24"/>
                <w:highlight w:val="none"/>
              </w:rPr>
            </w:pPr>
            <w:r>
              <w:rPr>
                <w:rFonts w:hint="eastAsia" w:hAnsi="宋体"/>
                <w:sz w:val="21"/>
                <w:szCs w:val="24"/>
                <w:highlight w:val="none"/>
                <w:lang w:val="en-US" w:eastAsia="zh-CN"/>
              </w:rPr>
              <w:t>1</w:t>
            </w:r>
            <w:r>
              <w:rPr>
                <w:rFonts w:hint="default" w:hAnsi="宋体"/>
                <w:sz w:val="21"/>
                <w:szCs w:val="24"/>
                <w:highlight w:val="none"/>
              </w:rPr>
              <w:t>人</w:t>
            </w:r>
          </w:p>
        </w:tc>
      </w:tr>
      <w:tr w14:paraId="3BCE6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115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247CA74">
            <w:pPr>
              <w:pStyle w:val="21"/>
              <w:jc w:val="center"/>
              <w:rPr>
                <w:rFonts w:hint="default" w:hAnsi="宋体"/>
                <w:sz w:val="21"/>
                <w:szCs w:val="24"/>
                <w:highlight w:val="none"/>
              </w:rPr>
            </w:pP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5EC8C83">
            <w:pPr>
              <w:pStyle w:val="21"/>
              <w:jc w:val="center"/>
              <w:rPr>
                <w:rFonts w:hint="default" w:hAnsi="宋体"/>
                <w:sz w:val="21"/>
                <w:szCs w:val="24"/>
                <w:highlight w:val="none"/>
              </w:rPr>
            </w:pPr>
            <w:r>
              <w:rPr>
                <w:rFonts w:hint="default" w:hAnsi="宋体"/>
                <w:sz w:val="21"/>
                <w:szCs w:val="24"/>
                <w:highlight w:val="none"/>
              </w:rPr>
              <w:t>环、水保监理工程师</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4354E72">
            <w:pPr>
              <w:pStyle w:val="21"/>
              <w:jc w:val="center"/>
              <w:rPr>
                <w:rFonts w:hint="default" w:hAnsi="宋体"/>
                <w:sz w:val="21"/>
                <w:szCs w:val="24"/>
                <w:highlight w:val="none"/>
              </w:rPr>
            </w:pPr>
            <w:r>
              <w:rPr>
                <w:rFonts w:hint="default" w:hAnsi="宋体"/>
                <w:sz w:val="21"/>
                <w:szCs w:val="24"/>
                <w:highlight w:val="none"/>
              </w:rPr>
              <w:t>1人</w:t>
            </w:r>
          </w:p>
        </w:tc>
      </w:tr>
      <w:tr w14:paraId="4716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115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13B0CA1">
            <w:pPr>
              <w:pStyle w:val="21"/>
              <w:jc w:val="center"/>
              <w:rPr>
                <w:rFonts w:hint="default" w:hAnsi="宋体"/>
                <w:sz w:val="21"/>
                <w:szCs w:val="24"/>
                <w:highlight w:val="none"/>
              </w:rPr>
            </w:pP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9374423">
            <w:pPr>
              <w:pStyle w:val="21"/>
              <w:jc w:val="center"/>
              <w:rPr>
                <w:rFonts w:hint="default" w:hAnsi="宋体"/>
                <w:sz w:val="21"/>
                <w:szCs w:val="24"/>
                <w:highlight w:val="none"/>
              </w:rPr>
            </w:pPr>
            <w:r>
              <w:rPr>
                <w:rFonts w:hint="default" w:hAnsi="宋体"/>
                <w:sz w:val="21"/>
                <w:szCs w:val="24"/>
                <w:highlight w:val="none"/>
              </w:rPr>
              <w:t>安全监理工程师</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B469D28">
            <w:pPr>
              <w:pStyle w:val="21"/>
              <w:jc w:val="center"/>
              <w:rPr>
                <w:rFonts w:hint="default" w:hAnsi="宋体"/>
                <w:sz w:val="21"/>
                <w:szCs w:val="24"/>
                <w:highlight w:val="none"/>
              </w:rPr>
            </w:pPr>
            <w:r>
              <w:rPr>
                <w:rFonts w:hint="eastAsia" w:hAnsi="宋体"/>
                <w:sz w:val="21"/>
                <w:szCs w:val="24"/>
                <w:highlight w:val="none"/>
                <w:lang w:val="en-US" w:eastAsia="zh-CN"/>
              </w:rPr>
              <w:t>1</w:t>
            </w:r>
            <w:r>
              <w:rPr>
                <w:rFonts w:hint="default" w:hAnsi="宋体"/>
                <w:sz w:val="21"/>
                <w:szCs w:val="24"/>
                <w:highlight w:val="none"/>
              </w:rPr>
              <w:t>人</w:t>
            </w:r>
          </w:p>
        </w:tc>
      </w:tr>
      <w:tr w14:paraId="1756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115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9EC14D6">
            <w:pPr>
              <w:pStyle w:val="21"/>
              <w:jc w:val="center"/>
              <w:rPr>
                <w:rFonts w:hint="default"/>
                <w:sz w:val="24"/>
                <w:szCs w:val="24"/>
                <w:highlight w:val="none"/>
              </w:rPr>
            </w:pP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57F56C9">
            <w:pPr>
              <w:pStyle w:val="21"/>
              <w:jc w:val="center"/>
              <w:rPr>
                <w:rFonts w:hint="default" w:hAnsi="宋体"/>
                <w:sz w:val="21"/>
                <w:szCs w:val="24"/>
                <w:highlight w:val="none"/>
              </w:rPr>
            </w:pPr>
            <w:r>
              <w:rPr>
                <w:rFonts w:hint="default" w:hAnsi="宋体"/>
                <w:sz w:val="21"/>
                <w:szCs w:val="24"/>
                <w:highlight w:val="none"/>
              </w:rPr>
              <w:t>档案监理工程师</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3589A8B">
            <w:pPr>
              <w:pStyle w:val="21"/>
              <w:jc w:val="center"/>
              <w:rPr>
                <w:rFonts w:hint="default" w:hAnsi="宋体"/>
                <w:sz w:val="21"/>
                <w:szCs w:val="24"/>
                <w:highlight w:val="none"/>
              </w:rPr>
            </w:pPr>
            <w:r>
              <w:rPr>
                <w:rFonts w:hint="default" w:hAnsi="宋体"/>
                <w:sz w:val="21"/>
                <w:szCs w:val="24"/>
                <w:highlight w:val="none"/>
              </w:rPr>
              <w:t>1人</w:t>
            </w:r>
          </w:p>
        </w:tc>
      </w:tr>
      <w:tr w14:paraId="32D5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115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A791D48">
            <w:pPr>
              <w:pStyle w:val="21"/>
              <w:jc w:val="center"/>
              <w:rPr>
                <w:rFonts w:hint="default" w:hAnsi="宋体"/>
                <w:sz w:val="21"/>
                <w:szCs w:val="24"/>
                <w:highlight w:val="none"/>
              </w:rPr>
            </w:pP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147F7E3">
            <w:pPr>
              <w:pStyle w:val="21"/>
              <w:jc w:val="center"/>
              <w:rPr>
                <w:rFonts w:hint="default" w:hAnsi="宋体"/>
                <w:sz w:val="21"/>
                <w:szCs w:val="24"/>
                <w:highlight w:val="none"/>
              </w:rPr>
            </w:pPr>
            <w:r>
              <w:rPr>
                <w:rFonts w:hint="default" w:hAnsi="宋体"/>
                <w:sz w:val="21"/>
                <w:szCs w:val="24"/>
                <w:highlight w:val="none"/>
              </w:rPr>
              <w:t>测量监理工程师</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3FDC4B3">
            <w:pPr>
              <w:pStyle w:val="21"/>
              <w:jc w:val="center"/>
              <w:rPr>
                <w:rFonts w:hint="default" w:hAnsi="宋体"/>
                <w:sz w:val="21"/>
                <w:szCs w:val="24"/>
                <w:highlight w:val="none"/>
              </w:rPr>
            </w:pPr>
            <w:r>
              <w:rPr>
                <w:rFonts w:hint="eastAsia" w:hAnsi="宋体"/>
                <w:sz w:val="21"/>
                <w:szCs w:val="24"/>
                <w:highlight w:val="none"/>
                <w:lang w:val="en-US" w:eastAsia="zh-CN"/>
              </w:rPr>
              <w:t>1</w:t>
            </w:r>
            <w:r>
              <w:rPr>
                <w:rFonts w:hint="default" w:hAnsi="宋体"/>
                <w:sz w:val="21"/>
                <w:szCs w:val="24"/>
                <w:highlight w:val="none"/>
              </w:rPr>
              <w:t>人</w:t>
            </w:r>
          </w:p>
        </w:tc>
      </w:tr>
      <w:tr w14:paraId="3D54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115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4F79F2B">
            <w:pPr>
              <w:pStyle w:val="21"/>
              <w:jc w:val="center"/>
              <w:rPr>
                <w:rFonts w:hint="default" w:hAnsi="宋体"/>
                <w:sz w:val="21"/>
                <w:szCs w:val="24"/>
                <w:highlight w:val="none"/>
              </w:rPr>
            </w:pP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F937B38">
            <w:pPr>
              <w:pStyle w:val="21"/>
              <w:jc w:val="center"/>
              <w:rPr>
                <w:rFonts w:hint="default" w:hAnsi="宋体"/>
                <w:sz w:val="21"/>
                <w:szCs w:val="24"/>
                <w:highlight w:val="none"/>
              </w:rPr>
            </w:pPr>
            <w:r>
              <w:rPr>
                <w:rFonts w:hint="default" w:hAnsi="宋体"/>
                <w:sz w:val="21"/>
                <w:szCs w:val="24"/>
                <w:highlight w:val="none"/>
              </w:rPr>
              <w:t>技经监理工程师</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D7FEF45">
            <w:pPr>
              <w:pStyle w:val="21"/>
              <w:jc w:val="center"/>
              <w:rPr>
                <w:rFonts w:hint="default" w:hAnsi="宋体"/>
                <w:sz w:val="21"/>
                <w:szCs w:val="24"/>
                <w:highlight w:val="none"/>
              </w:rPr>
            </w:pPr>
            <w:r>
              <w:rPr>
                <w:rFonts w:hint="default" w:hAnsi="宋体"/>
                <w:sz w:val="21"/>
                <w:szCs w:val="24"/>
                <w:highlight w:val="none"/>
              </w:rPr>
              <w:t>1人</w:t>
            </w:r>
          </w:p>
        </w:tc>
      </w:tr>
      <w:tr w14:paraId="65DEF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115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2DBC855">
            <w:pPr>
              <w:pStyle w:val="21"/>
              <w:jc w:val="center"/>
              <w:rPr>
                <w:rFonts w:hint="default" w:hAnsi="宋体"/>
                <w:sz w:val="21"/>
                <w:szCs w:val="24"/>
                <w:highlight w:val="none"/>
              </w:rPr>
            </w:pP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03EBED0">
            <w:pPr>
              <w:pStyle w:val="21"/>
              <w:jc w:val="center"/>
              <w:rPr>
                <w:rFonts w:hint="default" w:hAnsi="宋体"/>
                <w:sz w:val="21"/>
                <w:szCs w:val="24"/>
                <w:highlight w:val="none"/>
              </w:rPr>
            </w:pPr>
            <w:r>
              <w:rPr>
                <w:rFonts w:hint="default" w:hAnsi="宋体"/>
                <w:sz w:val="21"/>
                <w:szCs w:val="24"/>
                <w:highlight w:val="none"/>
              </w:rPr>
              <w:t>合同管理监理工程师</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5387E5B">
            <w:pPr>
              <w:pStyle w:val="21"/>
              <w:jc w:val="center"/>
              <w:rPr>
                <w:rFonts w:hint="default" w:hAnsi="宋体"/>
                <w:sz w:val="21"/>
                <w:szCs w:val="24"/>
                <w:highlight w:val="none"/>
              </w:rPr>
            </w:pPr>
            <w:r>
              <w:rPr>
                <w:rFonts w:hint="default" w:hAnsi="宋体"/>
                <w:sz w:val="21"/>
                <w:szCs w:val="24"/>
                <w:highlight w:val="none"/>
              </w:rPr>
              <w:t>1人</w:t>
            </w:r>
          </w:p>
        </w:tc>
      </w:tr>
      <w:tr w14:paraId="6101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1151"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8C64DBC">
            <w:pPr>
              <w:pStyle w:val="21"/>
              <w:jc w:val="center"/>
              <w:rPr>
                <w:rFonts w:hint="default" w:hAnsi="宋体"/>
                <w:sz w:val="21"/>
                <w:szCs w:val="24"/>
                <w:highlight w:val="none"/>
              </w:rPr>
            </w:pP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6ADD5E6">
            <w:pPr>
              <w:pStyle w:val="21"/>
              <w:jc w:val="center"/>
              <w:rPr>
                <w:rFonts w:hint="default" w:hAnsi="宋体"/>
                <w:sz w:val="21"/>
                <w:szCs w:val="24"/>
                <w:highlight w:val="none"/>
              </w:rPr>
            </w:pPr>
            <w:r>
              <w:rPr>
                <w:rFonts w:hint="default" w:hAnsi="宋体"/>
                <w:sz w:val="21"/>
                <w:szCs w:val="24"/>
                <w:highlight w:val="none"/>
              </w:rPr>
              <w:t>监理员</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767A1D0">
            <w:pPr>
              <w:pStyle w:val="21"/>
              <w:jc w:val="center"/>
              <w:rPr>
                <w:rFonts w:hint="default" w:hAnsi="宋体"/>
                <w:sz w:val="21"/>
                <w:szCs w:val="24"/>
                <w:highlight w:val="none"/>
              </w:rPr>
            </w:pPr>
          </w:p>
        </w:tc>
      </w:tr>
      <w:tr w14:paraId="0CCA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115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91B16D5">
            <w:pPr>
              <w:pStyle w:val="21"/>
              <w:jc w:val="center"/>
              <w:rPr>
                <w:rFonts w:hint="default" w:hAnsi="宋体"/>
                <w:sz w:val="21"/>
                <w:szCs w:val="24"/>
                <w:highlight w:val="none"/>
              </w:rPr>
            </w:pPr>
          </w:p>
        </w:tc>
        <w:tc>
          <w:tcPr>
            <w:tcW w:w="21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88B6FC4">
            <w:pPr>
              <w:pStyle w:val="21"/>
              <w:jc w:val="center"/>
              <w:rPr>
                <w:rFonts w:hint="default" w:hAnsi="宋体"/>
                <w:sz w:val="21"/>
                <w:szCs w:val="24"/>
                <w:highlight w:val="none"/>
              </w:rPr>
            </w:pPr>
            <w:r>
              <w:rPr>
                <w:rFonts w:hint="default" w:hAnsi="宋体"/>
                <w:sz w:val="21"/>
                <w:szCs w:val="24"/>
                <w:highlight w:val="none"/>
              </w:rPr>
              <w:t>资料员</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B4DFAFE">
            <w:pPr>
              <w:pStyle w:val="21"/>
              <w:jc w:val="center"/>
              <w:rPr>
                <w:rFonts w:hint="default" w:hAnsi="宋体"/>
                <w:sz w:val="21"/>
                <w:szCs w:val="24"/>
                <w:highlight w:val="none"/>
              </w:rPr>
            </w:pPr>
          </w:p>
        </w:tc>
      </w:tr>
      <w:tr w14:paraId="6666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3333"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B9CBB79">
            <w:pPr>
              <w:pStyle w:val="21"/>
              <w:ind w:firstLine="2100" w:firstLineChars="1000"/>
              <w:jc w:val="center"/>
              <w:rPr>
                <w:rFonts w:hint="default" w:hAnsi="宋体"/>
                <w:sz w:val="21"/>
                <w:szCs w:val="24"/>
                <w:highlight w:val="none"/>
              </w:rPr>
            </w:pPr>
            <w:r>
              <w:rPr>
                <w:rFonts w:hint="default" w:hAnsi="宋体"/>
                <w:sz w:val="21"/>
                <w:szCs w:val="24"/>
                <w:highlight w:val="none"/>
              </w:rPr>
              <w:t>合计</w:t>
            </w:r>
          </w:p>
        </w:tc>
        <w:tc>
          <w:tcPr>
            <w:tcW w:w="16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1003C9">
            <w:pPr>
              <w:pStyle w:val="21"/>
              <w:jc w:val="center"/>
              <w:rPr>
                <w:rFonts w:hint="default" w:hAnsi="宋体"/>
                <w:sz w:val="21"/>
                <w:szCs w:val="24"/>
                <w:highlight w:val="none"/>
              </w:rPr>
            </w:pPr>
            <w:r>
              <w:rPr>
                <w:rFonts w:hint="eastAsia" w:hAnsi="宋体"/>
                <w:sz w:val="21"/>
                <w:szCs w:val="24"/>
                <w:highlight w:val="none"/>
                <w:lang w:val="en-US" w:eastAsia="zh-CN"/>
              </w:rPr>
              <w:t>13</w:t>
            </w:r>
            <w:r>
              <w:rPr>
                <w:rFonts w:hint="default" w:hAnsi="宋体"/>
                <w:sz w:val="21"/>
                <w:szCs w:val="24"/>
                <w:highlight w:val="none"/>
              </w:rPr>
              <w:t>人</w:t>
            </w:r>
          </w:p>
        </w:tc>
      </w:tr>
    </w:tbl>
    <w:p w14:paraId="079FB9AA">
      <w:pPr>
        <w:pStyle w:val="21"/>
        <w:ind w:firstLine="630" w:firstLineChars="300"/>
        <w:rPr>
          <w:rFonts w:hint="default" w:hAnsi="宋体"/>
          <w:sz w:val="21"/>
          <w:szCs w:val="24"/>
          <w:highlight w:val="none"/>
        </w:rPr>
      </w:pPr>
      <w:r>
        <w:rPr>
          <w:rFonts w:hint="default" w:hAnsi="宋体"/>
          <w:sz w:val="21"/>
          <w:szCs w:val="24"/>
          <w:highlight w:val="none"/>
        </w:rPr>
        <w:t>设备、仪器最低配置数量见下表</w:t>
      </w:r>
    </w:p>
    <w:p w14:paraId="32C8A026">
      <w:pPr>
        <w:pStyle w:val="21"/>
        <w:ind w:firstLine="630" w:firstLineChars="300"/>
        <w:rPr>
          <w:rFonts w:hint="default" w:hAnsi="宋体"/>
          <w:sz w:val="21"/>
          <w:szCs w:val="24"/>
          <w:highlight w:val="none"/>
        </w:rPr>
      </w:pPr>
    </w:p>
    <w:p w14:paraId="680F5DE7">
      <w:pPr>
        <w:pStyle w:val="21"/>
        <w:ind w:firstLine="2310" w:firstLineChars="1100"/>
        <w:rPr>
          <w:rFonts w:hint="default" w:hAnsi="宋体"/>
          <w:sz w:val="21"/>
          <w:szCs w:val="24"/>
          <w:highlight w:val="none"/>
        </w:rPr>
      </w:pPr>
      <w:r>
        <w:rPr>
          <w:rFonts w:hint="default" w:hAnsi="宋体"/>
          <w:sz w:val="21"/>
          <w:szCs w:val="24"/>
          <w:highlight w:val="none"/>
        </w:rPr>
        <w:t>投入监理工程的设备、仪器最低配置数量表</w:t>
      </w:r>
    </w:p>
    <w:tbl>
      <w:tblPr>
        <w:tblStyle w:val="4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6"/>
        <w:gridCol w:w="3957"/>
        <w:gridCol w:w="2555"/>
      </w:tblGrid>
      <w:tr w14:paraId="25663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CD8EC1A">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序号</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BBD9B86">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设备名称</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B7809F2">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数量</w:t>
            </w:r>
          </w:p>
        </w:tc>
      </w:tr>
      <w:tr w14:paraId="2EFC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2FA96ED">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1</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3182E33">
            <w:pPr>
              <w:pStyle w:val="274"/>
              <w:spacing w:line="360" w:lineRule="auto"/>
              <w:jc w:val="center"/>
              <w:rPr>
                <w:rFonts w:hint="default" w:hAnsi="宋体"/>
                <w:snapToGrid w:val="0"/>
                <w:kern w:val="0"/>
                <w:sz w:val="21"/>
                <w:szCs w:val="24"/>
                <w:highlight w:val="none"/>
              </w:rPr>
            </w:pPr>
            <w:r>
              <w:rPr>
                <w:rFonts w:hint="eastAsia" w:hAnsi="宋体"/>
                <w:snapToGrid w:val="0"/>
                <w:kern w:val="0"/>
                <w:sz w:val="21"/>
                <w:szCs w:val="24"/>
                <w:highlight w:val="none"/>
                <w:lang w:val="en-US" w:eastAsia="zh-CN"/>
              </w:rPr>
              <w:t>接地</w:t>
            </w:r>
            <w:r>
              <w:rPr>
                <w:rFonts w:hint="default" w:hAnsi="宋体"/>
                <w:snapToGrid w:val="0"/>
                <w:kern w:val="0"/>
                <w:sz w:val="21"/>
                <w:szCs w:val="24"/>
                <w:highlight w:val="none"/>
              </w:rPr>
              <w:t>电阻测试仪</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FDE08B8">
            <w:pPr>
              <w:pStyle w:val="274"/>
              <w:spacing w:line="360" w:lineRule="auto"/>
              <w:jc w:val="center"/>
              <w:rPr>
                <w:rFonts w:hint="eastAsia" w:hAnsi="宋体" w:eastAsia="宋体"/>
                <w:snapToGrid w:val="0"/>
                <w:kern w:val="0"/>
                <w:sz w:val="21"/>
                <w:szCs w:val="24"/>
                <w:highlight w:val="none"/>
                <w:lang w:eastAsia="zh-CN"/>
              </w:rPr>
            </w:pPr>
            <w:r>
              <w:rPr>
                <w:rFonts w:hint="eastAsia" w:hAnsi="宋体"/>
                <w:snapToGrid w:val="0"/>
                <w:kern w:val="0"/>
                <w:sz w:val="21"/>
                <w:szCs w:val="24"/>
                <w:highlight w:val="none"/>
                <w:lang w:val="en-US" w:eastAsia="zh-CN"/>
              </w:rPr>
              <w:t>1</w:t>
            </w:r>
          </w:p>
        </w:tc>
      </w:tr>
      <w:tr w14:paraId="507C7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DFB8CFC">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2</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137804D">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万用表</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2EDE99">
            <w:pPr>
              <w:pStyle w:val="274"/>
              <w:spacing w:line="360" w:lineRule="auto"/>
              <w:jc w:val="center"/>
              <w:rPr>
                <w:rFonts w:hint="eastAsia" w:hAnsi="宋体" w:eastAsia="宋体"/>
                <w:snapToGrid w:val="0"/>
                <w:kern w:val="0"/>
                <w:sz w:val="21"/>
                <w:szCs w:val="24"/>
                <w:highlight w:val="none"/>
                <w:lang w:eastAsia="zh-CN"/>
              </w:rPr>
            </w:pPr>
            <w:r>
              <w:rPr>
                <w:rFonts w:hint="eastAsia" w:hAnsi="宋体"/>
                <w:snapToGrid w:val="0"/>
                <w:kern w:val="0"/>
                <w:sz w:val="21"/>
                <w:szCs w:val="24"/>
                <w:highlight w:val="none"/>
                <w:lang w:val="en-US" w:eastAsia="zh-CN"/>
              </w:rPr>
              <w:t>2</w:t>
            </w:r>
          </w:p>
        </w:tc>
      </w:tr>
      <w:tr w14:paraId="2205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4"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364E16">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3</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CADD593">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扭力</w:t>
            </w:r>
            <w:r>
              <w:rPr>
                <w:rFonts w:hint="default" w:hAnsi="宋体"/>
                <w:sz w:val="24"/>
                <w:szCs w:val="24"/>
                <w:highlight w:val="none"/>
              </w:rPr>
              <w:t>扳手</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3E81073">
            <w:pPr>
              <w:pStyle w:val="274"/>
              <w:spacing w:line="360" w:lineRule="auto"/>
              <w:jc w:val="center"/>
              <w:rPr>
                <w:rFonts w:hint="eastAsia" w:hAnsi="宋体" w:eastAsia="宋体"/>
                <w:snapToGrid w:val="0"/>
                <w:kern w:val="0"/>
                <w:sz w:val="21"/>
                <w:szCs w:val="24"/>
                <w:highlight w:val="none"/>
                <w:lang w:eastAsia="zh-CN"/>
              </w:rPr>
            </w:pPr>
            <w:r>
              <w:rPr>
                <w:rFonts w:hint="eastAsia" w:hAnsi="宋体"/>
                <w:snapToGrid w:val="0"/>
                <w:kern w:val="0"/>
                <w:sz w:val="21"/>
                <w:szCs w:val="24"/>
                <w:highlight w:val="none"/>
                <w:lang w:val="en-US" w:eastAsia="zh-CN"/>
              </w:rPr>
              <w:t>2</w:t>
            </w:r>
          </w:p>
        </w:tc>
      </w:tr>
      <w:tr w14:paraId="66A9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63915FA">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4</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7A4E35D">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全站仪</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EAA535">
            <w:pPr>
              <w:pStyle w:val="274"/>
              <w:spacing w:line="360" w:lineRule="auto"/>
              <w:jc w:val="center"/>
              <w:rPr>
                <w:rFonts w:hint="eastAsia" w:hAnsi="宋体" w:eastAsia="宋体"/>
                <w:snapToGrid w:val="0"/>
                <w:kern w:val="0"/>
                <w:sz w:val="21"/>
                <w:szCs w:val="24"/>
                <w:highlight w:val="none"/>
                <w:lang w:eastAsia="zh-CN"/>
              </w:rPr>
            </w:pPr>
            <w:r>
              <w:rPr>
                <w:rFonts w:hint="eastAsia" w:hAnsi="宋体"/>
                <w:snapToGrid w:val="0"/>
                <w:kern w:val="0"/>
                <w:sz w:val="21"/>
                <w:szCs w:val="24"/>
                <w:highlight w:val="none"/>
                <w:lang w:val="en-US" w:eastAsia="zh-CN"/>
              </w:rPr>
              <w:t>1</w:t>
            </w:r>
          </w:p>
        </w:tc>
      </w:tr>
      <w:tr w14:paraId="3C6A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9F85ED3">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5</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3AE59BB">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经纬仪</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BC60998">
            <w:pPr>
              <w:pStyle w:val="274"/>
              <w:spacing w:line="360" w:lineRule="auto"/>
              <w:jc w:val="center"/>
              <w:rPr>
                <w:rFonts w:hint="eastAsia" w:hAnsi="宋体" w:eastAsia="宋体"/>
                <w:snapToGrid w:val="0"/>
                <w:kern w:val="0"/>
                <w:sz w:val="21"/>
                <w:szCs w:val="24"/>
                <w:highlight w:val="none"/>
                <w:lang w:eastAsia="zh-CN"/>
              </w:rPr>
            </w:pPr>
            <w:r>
              <w:rPr>
                <w:rFonts w:hint="eastAsia" w:hAnsi="宋体"/>
                <w:snapToGrid w:val="0"/>
                <w:kern w:val="0"/>
                <w:sz w:val="21"/>
                <w:szCs w:val="24"/>
                <w:highlight w:val="none"/>
                <w:lang w:val="en-US" w:eastAsia="zh-CN"/>
              </w:rPr>
              <w:t>1</w:t>
            </w:r>
          </w:p>
        </w:tc>
      </w:tr>
      <w:tr w14:paraId="63B1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69DA121">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6</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340674E">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混泥土强度回弹仪</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C35025">
            <w:pPr>
              <w:pStyle w:val="274"/>
              <w:spacing w:line="360" w:lineRule="auto"/>
              <w:jc w:val="center"/>
              <w:rPr>
                <w:rFonts w:hint="eastAsia" w:hAnsi="宋体" w:eastAsia="宋体"/>
                <w:snapToGrid w:val="0"/>
                <w:kern w:val="0"/>
                <w:sz w:val="21"/>
                <w:szCs w:val="24"/>
                <w:highlight w:val="none"/>
                <w:lang w:eastAsia="zh-CN"/>
              </w:rPr>
            </w:pPr>
            <w:r>
              <w:rPr>
                <w:rFonts w:hint="eastAsia" w:hAnsi="宋体"/>
                <w:snapToGrid w:val="0"/>
                <w:kern w:val="0"/>
                <w:sz w:val="21"/>
                <w:szCs w:val="24"/>
                <w:highlight w:val="none"/>
                <w:lang w:val="en-US" w:eastAsia="zh-CN"/>
              </w:rPr>
              <w:t>1</w:t>
            </w:r>
          </w:p>
        </w:tc>
      </w:tr>
      <w:tr w14:paraId="0446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CE7ADF">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7</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2CC887">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坍落度筒及棒</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B99BD1">
            <w:pPr>
              <w:pStyle w:val="274"/>
              <w:spacing w:line="360" w:lineRule="auto"/>
              <w:jc w:val="center"/>
              <w:rPr>
                <w:rFonts w:hint="eastAsia" w:hAnsi="宋体" w:eastAsia="宋体"/>
                <w:snapToGrid w:val="0"/>
                <w:kern w:val="0"/>
                <w:sz w:val="21"/>
                <w:szCs w:val="24"/>
                <w:highlight w:val="none"/>
                <w:lang w:eastAsia="zh-CN"/>
              </w:rPr>
            </w:pPr>
            <w:r>
              <w:rPr>
                <w:rFonts w:hint="eastAsia" w:hAnsi="宋体"/>
                <w:snapToGrid w:val="0"/>
                <w:kern w:val="0"/>
                <w:sz w:val="21"/>
                <w:szCs w:val="24"/>
                <w:highlight w:val="none"/>
                <w:lang w:val="en-US" w:eastAsia="zh-CN"/>
              </w:rPr>
              <w:t>2</w:t>
            </w:r>
          </w:p>
        </w:tc>
      </w:tr>
      <w:tr w14:paraId="2908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D038CA">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8</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57EE3FA">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常规测量用具</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599849B">
            <w:pPr>
              <w:pStyle w:val="274"/>
              <w:spacing w:line="360" w:lineRule="auto"/>
              <w:jc w:val="center"/>
              <w:rPr>
                <w:rFonts w:hint="default" w:hAnsi="宋体" w:eastAsia="宋体"/>
                <w:snapToGrid w:val="0"/>
                <w:kern w:val="0"/>
                <w:sz w:val="21"/>
                <w:szCs w:val="24"/>
                <w:highlight w:val="none"/>
                <w:lang w:val="en-US" w:eastAsia="zh-CN"/>
              </w:rPr>
            </w:pPr>
            <w:r>
              <w:rPr>
                <w:rFonts w:hint="eastAsia" w:hAnsi="宋体"/>
                <w:snapToGrid w:val="0"/>
                <w:kern w:val="0"/>
                <w:sz w:val="21"/>
                <w:szCs w:val="24"/>
                <w:highlight w:val="none"/>
                <w:lang w:val="en-US" w:eastAsia="zh-CN"/>
              </w:rPr>
              <w:t>2</w:t>
            </w:r>
          </w:p>
        </w:tc>
      </w:tr>
      <w:tr w14:paraId="1C2D4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70A45D7">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9</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9598D6C">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土建检测工具包</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FD88E0B">
            <w:pPr>
              <w:pStyle w:val="274"/>
              <w:spacing w:line="360" w:lineRule="auto"/>
              <w:jc w:val="center"/>
              <w:rPr>
                <w:rFonts w:hint="eastAsia" w:hAnsi="宋体" w:eastAsia="宋体"/>
                <w:snapToGrid w:val="0"/>
                <w:kern w:val="0"/>
                <w:sz w:val="21"/>
                <w:szCs w:val="24"/>
                <w:highlight w:val="none"/>
                <w:lang w:eastAsia="zh-CN"/>
              </w:rPr>
            </w:pPr>
            <w:r>
              <w:rPr>
                <w:rFonts w:hint="eastAsia" w:hAnsi="宋体"/>
                <w:snapToGrid w:val="0"/>
                <w:kern w:val="0"/>
                <w:sz w:val="21"/>
                <w:szCs w:val="24"/>
                <w:highlight w:val="none"/>
                <w:lang w:val="en-US" w:eastAsia="zh-CN"/>
              </w:rPr>
              <w:t>2</w:t>
            </w:r>
          </w:p>
        </w:tc>
      </w:tr>
      <w:tr w14:paraId="1C93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976DAB">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10</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7A290F6">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测距仪</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47637AF">
            <w:pPr>
              <w:pStyle w:val="274"/>
              <w:spacing w:line="360" w:lineRule="auto"/>
              <w:jc w:val="center"/>
              <w:rPr>
                <w:rFonts w:hint="eastAsia" w:hAnsi="宋体" w:eastAsia="宋体"/>
                <w:snapToGrid w:val="0"/>
                <w:kern w:val="0"/>
                <w:sz w:val="21"/>
                <w:szCs w:val="24"/>
                <w:highlight w:val="none"/>
                <w:lang w:eastAsia="zh-CN"/>
              </w:rPr>
            </w:pPr>
            <w:r>
              <w:rPr>
                <w:rFonts w:hint="eastAsia" w:hAnsi="宋体"/>
                <w:snapToGrid w:val="0"/>
                <w:kern w:val="0"/>
                <w:sz w:val="21"/>
                <w:szCs w:val="24"/>
                <w:highlight w:val="none"/>
                <w:lang w:val="en-US" w:eastAsia="zh-CN"/>
              </w:rPr>
              <w:t>2</w:t>
            </w:r>
          </w:p>
        </w:tc>
      </w:tr>
      <w:tr w14:paraId="2A81E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15EE80A">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11</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F81D1E7">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工作手册：如项目必备的规范标准、图集</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12EC8BA">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若干</w:t>
            </w:r>
          </w:p>
        </w:tc>
      </w:tr>
      <w:tr w14:paraId="0B63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FA2E8A">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12</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72D58A1">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安全设施：安全帽、手电筒、安全鞋</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A4CBBAB">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若干</w:t>
            </w:r>
          </w:p>
        </w:tc>
      </w:tr>
      <w:tr w14:paraId="4C56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7E8DA7D">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13</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36699D0">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工作服</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9543BBD">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按人员配备</w:t>
            </w:r>
          </w:p>
        </w:tc>
      </w:tr>
      <w:tr w14:paraId="24A3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AA37877">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14</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397BD31">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安全设施：安全带</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DC12E30">
            <w:pPr>
              <w:pStyle w:val="274"/>
              <w:spacing w:line="360" w:lineRule="auto"/>
              <w:jc w:val="center"/>
              <w:rPr>
                <w:rFonts w:hint="eastAsia" w:hAnsi="宋体" w:eastAsia="宋体"/>
                <w:snapToGrid w:val="0"/>
                <w:kern w:val="0"/>
                <w:sz w:val="21"/>
                <w:szCs w:val="24"/>
                <w:highlight w:val="none"/>
                <w:lang w:eastAsia="zh-CN"/>
              </w:rPr>
            </w:pPr>
            <w:r>
              <w:rPr>
                <w:rFonts w:hint="default" w:hAnsi="宋体"/>
                <w:snapToGrid w:val="0"/>
                <w:kern w:val="0"/>
                <w:sz w:val="21"/>
                <w:szCs w:val="24"/>
                <w:highlight w:val="none"/>
              </w:rPr>
              <w:t>按人员配备</w:t>
            </w:r>
          </w:p>
        </w:tc>
      </w:tr>
      <w:tr w14:paraId="4075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AEB9F9C">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15</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DC25DB">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便携式测风仪</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89D6DB1">
            <w:pPr>
              <w:pStyle w:val="274"/>
              <w:spacing w:line="360" w:lineRule="auto"/>
              <w:jc w:val="center"/>
              <w:rPr>
                <w:rFonts w:hint="eastAsia" w:hAnsi="宋体" w:eastAsia="宋体"/>
                <w:snapToGrid w:val="0"/>
                <w:kern w:val="0"/>
                <w:sz w:val="21"/>
                <w:szCs w:val="24"/>
                <w:highlight w:val="none"/>
                <w:lang w:eastAsia="zh-CN"/>
              </w:rPr>
            </w:pPr>
            <w:r>
              <w:rPr>
                <w:rFonts w:hint="eastAsia" w:hAnsi="宋体"/>
                <w:snapToGrid w:val="0"/>
                <w:kern w:val="0"/>
                <w:sz w:val="21"/>
                <w:szCs w:val="24"/>
                <w:highlight w:val="none"/>
                <w:lang w:val="en-US" w:eastAsia="zh-CN"/>
              </w:rPr>
              <w:t>2</w:t>
            </w:r>
          </w:p>
        </w:tc>
      </w:tr>
      <w:tr w14:paraId="41BBA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FE6BA44">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16</w:t>
            </w: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96FC721">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越野车</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3DF5832">
            <w:pPr>
              <w:pStyle w:val="274"/>
              <w:spacing w:line="360" w:lineRule="auto"/>
              <w:jc w:val="center"/>
              <w:rPr>
                <w:rFonts w:hint="eastAsia" w:hAnsi="宋体" w:eastAsia="宋体"/>
                <w:snapToGrid w:val="0"/>
                <w:kern w:val="0"/>
                <w:sz w:val="21"/>
                <w:szCs w:val="24"/>
                <w:highlight w:val="none"/>
                <w:lang w:eastAsia="zh-CN"/>
              </w:rPr>
            </w:pPr>
            <w:r>
              <w:rPr>
                <w:rFonts w:hint="eastAsia" w:hAnsi="宋体"/>
                <w:snapToGrid w:val="0"/>
                <w:kern w:val="0"/>
                <w:sz w:val="21"/>
                <w:szCs w:val="24"/>
                <w:highlight w:val="none"/>
                <w:lang w:val="en-US" w:eastAsia="zh-CN"/>
              </w:rPr>
              <w:t>2</w:t>
            </w:r>
          </w:p>
        </w:tc>
      </w:tr>
      <w:tr w14:paraId="5725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4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22FC23C">
            <w:pPr>
              <w:pStyle w:val="274"/>
              <w:spacing w:line="360" w:lineRule="auto"/>
              <w:jc w:val="center"/>
              <w:rPr>
                <w:rFonts w:hint="default" w:hAnsi="宋体"/>
                <w:snapToGrid w:val="0"/>
                <w:kern w:val="0"/>
                <w:sz w:val="21"/>
                <w:szCs w:val="24"/>
                <w:highlight w:val="none"/>
              </w:rPr>
            </w:pPr>
          </w:p>
        </w:tc>
        <w:tc>
          <w:tcPr>
            <w:tcW w:w="21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316E8B3">
            <w:pPr>
              <w:pStyle w:val="274"/>
              <w:spacing w:line="360" w:lineRule="auto"/>
              <w:jc w:val="center"/>
              <w:rPr>
                <w:rFonts w:hint="default" w:hAnsi="宋体"/>
                <w:snapToGrid w:val="0"/>
                <w:kern w:val="0"/>
                <w:sz w:val="21"/>
                <w:szCs w:val="24"/>
                <w:highlight w:val="none"/>
              </w:rPr>
            </w:pPr>
            <w:r>
              <w:rPr>
                <w:rFonts w:hint="default" w:hAnsi="宋体"/>
                <w:snapToGrid w:val="0"/>
                <w:kern w:val="0"/>
                <w:sz w:val="21"/>
                <w:szCs w:val="24"/>
                <w:highlight w:val="none"/>
              </w:rPr>
              <w:t>......</w:t>
            </w:r>
          </w:p>
        </w:tc>
        <w:tc>
          <w:tcPr>
            <w:tcW w:w="1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9EF1C3">
            <w:pPr>
              <w:pStyle w:val="274"/>
              <w:spacing w:line="360" w:lineRule="auto"/>
              <w:jc w:val="center"/>
              <w:rPr>
                <w:rFonts w:hint="default" w:hAnsi="宋体"/>
                <w:snapToGrid w:val="0"/>
                <w:kern w:val="0"/>
                <w:sz w:val="21"/>
                <w:szCs w:val="24"/>
                <w:highlight w:val="none"/>
              </w:rPr>
            </w:pPr>
          </w:p>
        </w:tc>
      </w:tr>
    </w:tbl>
    <w:p w14:paraId="2B9E8D1F">
      <w:pPr>
        <w:pStyle w:val="23"/>
        <w:rPr>
          <w:rFonts w:hint="default"/>
          <w:highlight w:val="none"/>
        </w:rPr>
      </w:pPr>
    </w:p>
    <w:p w14:paraId="12F0D877">
      <w:pPr>
        <w:pStyle w:val="6"/>
        <w:tabs>
          <w:tab w:val="left" w:pos="727"/>
        </w:tabs>
        <w:overflowPunct w:val="0"/>
        <w:spacing w:line="360" w:lineRule="auto"/>
        <w:jc w:val="left"/>
        <w:rPr>
          <w:rFonts w:hint="default" w:hAnsi="宋体"/>
          <w:b/>
          <w:sz w:val="24"/>
          <w:szCs w:val="24"/>
          <w:highlight w:val="none"/>
        </w:rPr>
      </w:pPr>
      <w:bookmarkStart w:id="408" w:name="_Toc146500133"/>
      <w:r>
        <w:rPr>
          <w:rFonts w:hint="default" w:hAnsi="宋体"/>
          <w:b/>
          <w:sz w:val="24"/>
          <w:szCs w:val="24"/>
          <w:highlight w:val="none"/>
        </w:rPr>
        <w:t>5.监理平行检测试验要求</w:t>
      </w:r>
      <w:bookmarkEnd w:id="408"/>
    </w:p>
    <w:p w14:paraId="47E6BB24">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5.1 规范</w:t>
      </w:r>
      <w:bookmarkStart w:id="409" w:name="_Toc322694688"/>
      <w:bookmarkStart w:id="410" w:name="_Toc212470686"/>
      <w:bookmarkStart w:id="411" w:name="_Toc325972315"/>
      <w:bookmarkStart w:id="412" w:name="_Toc322694633"/>
      <w:bookmarkStart w:id="413" w:name="_Toc401585803"/>
      <w:bookmarkStart w:id="414" w:name="_Toc325972314"/>
      <w:r>
        <w:rPr>
          <w:rFonts w:hint="default" w:hAnsi="宋体"/>
          <w:sz w:val="21"/>
          <w:szCs w:val="24"/>
          <w:highlight w:val="none"/>
        </w:rPr>
        <w:t>性引用文件</w:t>
      </w:r>
    </w:p>
    <w:p w14:paraId="19084C6A">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 xml:space="preserve">GB </w:t>
      </w:r>
      <w:bookmarkEnd w:id="409"/>
      <w:bookmarkEnd w:id="410"/>
      <w:bookmarkEnd w:id="411"/>
      <w:bookmarkEnd w:id="412"/>
      <w:bookmarkEnd w:id="413"/>
      <w:r>
        <w:rPr>
          <w:rFonts w:hint="default" w:hAnsi="宋体"/>
          <w:sz w:val="21"/>
          <w:szCs w:val="24"/>
          <w:highlight w:val="none"/>
        </w:rPr>
        <w:t>175-2007 通用硅酸盐水泥</w:t>
      </w:r>
    </w:p>
    <w:p w14:paraId="410295A2">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GB/T 1499.1-2017 钢筋混凝土用钢第1部分：热轧光圆钢筋</w:t>
      </w:r>
    </w:p>
    <w:p w14:paraId="654819E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"http://www.csres.com/detail/310473.html" \t "http://www.csres.com/_blank" </w:instrText>
      </w:r>
      <w:r>
        <w:rPr>
          <w:rFonts w:hint="default" w:hAnsi="宋体"/>
          <w:sz w:val="21"/>
          <w:szCs w:val="24"/>
          <w:highlight w:val="none"/>
        </w:rPr>
        <w:fldChar w:fldCharType="separate"/>
      </w:r>
      <w:r>
        <w:rPr>
          <w:rFonts w:hint="default" w:hAnsi="宋体"/>
          <w:sz w:val="21"/>
          <w:szCs w:val="24"/>
          <w:highlight w:val="none"/>
        </w:rPr>
        <w:t>GB/T 1499.2-2018</w:t>
      </w:r>
      <w:r>
        <w:rPr>
          <w:rFonts w:hint="default" w:hAnsi="宋体"/>
          <w:sz w:val="21"/>
          <w:szCs w:val="24"/>
          <w:highlight w:val="none"/>
        </w:rPr>
        <w:fldChar w:fldCharType="end"/>
      </w:r>
      <w:r>
        <w:rPr>
          <w:rFonts w:hint="default" w:hAnsi="宋体"/>
          <w:sz w:val="21"/>
          <w:szCs w:val="24"/>
          <w:highlight w:val="none"/>
        </w:rPr>
        <w:t>钢筋混凝土用钢第2部分：热轧带肋钢筋</w:t>
      </w:r>
    </w:p>
    <w:p w14:paraId="71B9BB20">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"http://www.csres.com/detail/214620.html" \t "http://www.csres.com/_blank" </w:instrText>
      </w:r>
      <w:r>
        <w:rPr>
          <w:rFonts w:hint="default" w:hAnsi="宋体"/>
          <w:sz w:val="21"/>
          <w:szCs w:val="24"/>
          <w:highlight w:val="none"/>
        </w:rPr>
        <w:fldChar w:fldCharType="separate"/>
      </w:r>
      <w:r>
        <w:rPr>
          <w:rFonts w:hint="default" w:hAnsi="宋体"/>
          <w:sz w:val="21"/>
          <w:szCs w:val="24"/>
          <w:highlight w:val="none"/>
        </w:rPr>
        <w:t>GB/T 1499.3-2010</w:t>
      </w:r>
      <w:r>
        <w:rPr>
          <w:rFonts w:hint="default" w:hAnsi="宋体"/>
          <w:sz w:val="21"/>
          <w:szCs w:val="24"/>
          <w:highlight w:val="none"/>
        </w:rPr>
        <w:fldChar w:fldCharType="end"/>
      </w:r>
      <w:r>
        <w:rPr>
          <w:rFonts w:hint="default" w:hAnsi="宋体"/>
          <w:sz w:val="21"/>
          <w:szCs w:val="24"/>
          <w:highlight w:val="none"/>
        </w:rPr>
        <w:t>钢筋混凝土用钢第3部分：钢筋焊接网</w:t>
      </w:r>
    </w:p>
    <w:p w14:paraId="70AA3BC1">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GB/T 1596</w:t>
      </w:r>
      <w:r>
        <w:rPr>
          <w:rFonts w:hint="default" w:hAnsi="宋体"/>
          <w:sz w:val="21"/>
          <w:szCs w:val="24"/>
          <w:highlight w:val="none"/>
        </w:rPr>
        <w:fldChar w:fldCharType="begin"/>
      </w:r>
      <w:r>
        <w:rPr>
          <w:rFonts w:hint="default" w:hAnsi="宋体"/>
          <w:sz w:val="21"/>
          <w:szCs w:val="24"/>
          <w:highlight w:val="none"/>
        </w:rPr>
        <w:instrText xml:space="preserve"> HYPERLINK "http://www.csres.com/detail/301743.html" \t "http://www.csres.com/_blank" </w:instrText>
      </w:r>
      <w:r>
        <w:rPr>
          <w:rFonts w:hint="default" w:hAnsi="宋体"/>
          <w:sz w:val="21"/>
          <w:szCs w:val="24"/>
          <w:highlight w:val="none"/>
        </w:rPr>
        <w:fldChar w:fldCharType="separate"/>
      </w:r>
      <w:r>
        <w:rPr>
          <w:rFonts w:hint="default" w:hAnsi="宋体"/>
          <w:sz w:val="21"/>
          <w:szCs w:val="24"/>
          <w:highlight w:val="none"/>
        </w:rPr>
        <w:t>-2017</w:t>
      </w:r>
      <w:r>
        <w:rPr>
          <w:rFonts w:hint="default" w:hAnsi="宋体"/>
          <w:sz w:val="21"/>
          <w:szCs w:val="24"/>
          <w:highlight w:val="none"/>
        </w:rPr>
        <w:fldChar w:fldCharType="end"/>
      </w:r>
      <w:r>
        <w:rPr>
          <w:rFonts w:hint="default" w:hAnsi="宋体"/>
          <w:sz w:val="21"/>
          <w:szCs w:val="24"/>
          <w:highlight w:val="none"/>
        </w:rPr>
        <w:t>用于水泥和混凝土中的粉煤灰</w:t>
      </w:r>
    </w:p>
    <w:p w14:paraId="5BFF445F">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"http://www.csres.com/detail/197265.html" \t "http://www.csres.com/_blank" </w:instrText>
      </w:r>
      <w:r>
        <w:rPr>
          <w:rFonts w:hint="default" w:hAnsi="宋体"/>
          <w:sz w:val="21"/>
          <w:szCs w:val="24"/>
          <w:highlight w:val="none"/>
        </w:rPr>
        <w:fldChar w:fldCharType="separate"/>
      </w:r>
      <w:r>
        <w:rPr>
          <w:rFonts w:hint="default" w:hAnsi="宋体"/>
          <w:sz w:val="21"/>
          <w:szCs w:val="24"/>
          <w:highlight w:val="none"/>
        </w:rPr>
        <w:t>GB 8076-2008</w:t>
      </w:r>
      <w:r>
        <w:rPr>
          <w:rFonts w:hint="default" w:hAnsi="宋体"/>
          <w:sz w:val="21"/>
          <w:szCs w:val="24"/>
          <w:highlight w:val="none"/>
        </w:rPr>
        <w:fldChar w:fldCharType="end"/>
      </w:r>
      <w:r>
        <w:rPr>
          <w:rFonts w:hint="default" w:hAnsi="宋体"/>
          <w:sz w:val="21"/>
          <w:szCs w:val="24"/>
          <w:highlight w:val="none"/>
        </w:rPr>
        <w:t>混凝土外加剂</w:t>
      </w:r>
    </w:p>
    <w:p w14:paraId="6A1A86A5">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"http://www.csres.com/detail/212269.html" \t "http://www.csres.com/_blank" </w:instrText>
      </w:r>
      <w:r>
        <w:rPr>
          <w:rFonts w:hint="default" w:hAnsi="宋体"/>
          <w:sz w:val="21"/>
          <w:szCs w:val="24"/>
          <w:highlight w:val="none"/>
        </w:rPr>
        <w:fldChar w:fldCharType="separate"/>
      </w:r>
      <w:r>
        <w:rPr>
          <w:rFonts w:hint="default" w:hAnsi="宋体"/>
          <w:sz w:val="21"/>
          <w:szCs w:val="24"/>
          <w:highlight w:val="none"/>
        </w:rPr>
        <w:t>GB 50010-2010</w:t>
      </w:r>
      <w:r>
        <w:rPr>
          <w:rFonts w:hint="default" w:hAnsi="宋体"/>
          <w:sz w:val="21"/>
          <w:szCs w:val="24"/>
          <w:highlight w:val="none"/>
        </w:rPr>
        <w:fldChar w:fldCharType="end"/>
      </w:r>
      <w:r>
        <w:rPr>
          <w:rFonts w:hint="default" w:hAnsi="宋体"/>
          <w:sz w:val="21"/>
          <w:szCs w:val="24"/>
          <w:highlight w:val="none"/>
        </w:rPr>
        <w:t>混凝土结构设计规范（2015年版）</w:t>
      </w:r>
    </w:p>
    <w:p w14:paraId="65B92A5D">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"http://www.csres.com/detail/213001.html" \t "http://www.csres.com/_blank" </w:instrText>
      </w:r>
      <w:r>
        <w:rPr>
          <w:rFonts w:hint="default" w:hAnsi="宋体"/>
          <w:sz w:val="21"/>
          <w:szCs w:val="24"/>
          <w:highlight w:val="none"/>
        </w:rPr>
        <w:fldChar w:fldCharType="separate"/>
      </w:r>
      <w:r>
        <w:rPr>
          <w:rFonts w:hint="default" w:hAnsi="宋体"/>
          <w:sz w:val="21"/>
          <w:szCs w:val="24"/>
          <w:highlight w:val="none"/>
        </w:rPr>
        <w:t>GB/T 50107-2010</w:t>
      </w:r>
      <w:r>
        <w:rPr>
          <w:rFonts w:hint="default" w:hAnsi="宋体"/>
          <w:sz w:val="21"/>
          <w:szCs w:val="24"/>
          <w:highlight w:val="none"/>
        </w:rPr>
        <w:fldChar w:fldCharType="end"/>
      </w:r>
      <w:r>
        <w:rPr>
          <w:rFonts w:hint="default" w:hAnsi="宋体"/>
          <w:sz w:val="21"/>
          <w:szCs w:val="24"/>
          <w:highlight w:val="none"/>
        </w:rPr>
        <w:t>混凝土强度检查验收评定标准</w:t>
      </w:r>
    </w:p>
    <w:p w14:paraId="67EC042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"http://www.csres.com/detail/235053.html" \t "http://www.csres.com/_blank" </w:instrText>
      </w:r>
      <w:r>
        <w:rPr>
          <w:rFonts w:hint="default" w:hAnsi="宋体"/>
          <w:sz w:val="21"/>
          <w:szCs w:val="24"/>
          <w:highlight w:val="none"/>
        </w:rPr>
        <w:fldChar w:fldCharType="separate"/>
      </w:r>
      <w:r>
        <w:rPr>
          <w:rFonts w:hint="default" w:hAnsi="宋体"/>
          <w:sz w:val="21"/>
          <w:szCs w:val="24"/>
          <w:highlight w:val="none"/>
        </w:rPr>
        <w:t>GB 50119-2013</w:t>
      </w:r>
      <w:r>
        <w:rPr>
          <w:rFonts w:hint="default" w:hAnsi="宋体"/>
          <w:sz w:val="21"/>
          <w:szCs w:val="24"/>
          <w:highlight w:val="none"/>
        </w:rPr>
        <w:fldChar w:fldCharType="end"/>
      </w:r>
      <w:r>
        <w:rPr>
          <w:rFonts w:hint="default" w:hAnsi="宋体"/>
          <w:sz w:val="21"/>
          <w:szCs w:val="24"/>
          <w:highlight w:val="none"/>
        </w:rPr>
        <w:t>混凝土外加剂应用技术规范</w:t>
      </w:r>
    </w:p>
    <w:p w14:paraId="2281D921">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"http://www.csres.com/detail/217204.html" \t "http://www.csres.com/_blank" </w:instrText>
      </w:r>
      <w:r>
        <w:rPr>
          <w:rFonts w:hint="default" w:hAnsi="宋体"/>
          <w:sz w:val="21"/>
          <w:szCs w:val="24"/>
          <w:highlight w:val="none"/>
        </w:rPr>
        <w:fldChar w:fldCharType="separate"/>
      </w:r>
      <w:r>
        <w:rPr>
          <w:rFonts w:hint="default" w:hAnsi="宋体"/>
          <w:sz w:val="21"/>
          <w:szCs w:val="24"/>
          <w:highlight w:val="none"/>
        </w:rPr>
        <w:t>GB 50164-2011</w:t>
      </w:r>
      <w:r>
        <w:rPr>
          <w:rFonts w:hint="default" w:hAnsi="宋体"/>
          <w:sz w:val="21"/>
          <w:szCs w:val="24"/>
          <w:highlight w:val="none"/>
        </w:rPr>
        <w:fldChar w:fldCharType="end"/>
      </w:r>
      <w:r>
        <w:rPr>
          <w:rFonts w:hint="default" w:hAnsi="宋体"/>
          <w:sz w:val="21"/>
          <w:szCs w:val="24"/>
          <w:highlight w:val="none"/>
        </w:rPr>
        <w:t>混凝土质量控制标准</w:t>
      </w:r>
    </w:p>
    <w:p w14:paraId="7DE65C8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GB 50202-2018 建筑地基基础施工质量验收规范</w:t>
      </w:r>
    </w:p>
    <w:p w14:paraId="42C9D6C4">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"http://www.csres.com/detail/257336.html" \t "http://www.csres.com/_blank" </w:instrText>
      </w:r>
      <w:r>
        <w:rPr>
          <w:rFonts w:hint="default" w:hAnsi="宋体"/>
          <w:sz w:val="21"/>
          <w:szCs w:val="24"/>
          <w:highlight w:val="none"/>
        </w:rPr>
        <w:fldChar w:fldCharType="separate"/>
      </w:r>
      <w:r>
        <w:rPr>
          <w:rFonts w:hint="default" w:hAnsi="宋体"/>
          <w:sz w:val="21"/>
          <w:szCs w:val="24"/>
          <w:highlight w:val="none"/>
        </w:rPr>
        <w:t>GB 50204-2015</w:t>
      </w:r>
      <w:r>
        <w:rPr>
          <w:rFonts w:hint="default" w:hAnsi="宋体"/>
          <w:sz w:val="21"/>
          <w:szCs w:val="24"/>
          <w:highlight w:val="none"/>
        </w:rPr>
        <w:fldChar w:fldCharType="end"/>
      </w:r>
      <w:r>
        <w:rPr>
          <w:rFonts w:hint="default" w:hAnsi="宋体"/>
          <w:sz w:val="21"/>
          <w:szCs w:val="24"/>
          <w:highlight w:val="none"/>
        </w:rPr>
        <w:t>混凝土结构工程施工质量验收规范</w:t>
      </w:r>
    </w:p>
    <w:p w14:paraId="08E949B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"http://www.csres.com/detail/345052.html" \t "http://www.csres.com/_blank" </w:instrText>
      </w:r>
      <w:r>
        <w:rPr>
          <w:rFonts w:hint="default" w:hAnsi="宋体"/>
          <w:sz w:val="21"/>
          <w:szCs w:val="24"/>
          <w:highlight w:val="none"/>
        </w:rPr>
        <w:fldChar w:fldCharType="separate"/>
      </w:r>
      <w:r>
        <w:rPr>
          <w:rFonts w:hint="default" w:hAnsi="宋体"/>
          <w:sz w:val="21"/>
          <w:szCs w:val="24"/>
          <w:highlight w:val="none"/>
        </w:rPr>
        <w:t>GB 50205-2020</w:t>
      </w:r>
      <w:r>
        <w:rPr>
          <w:rFonts w:hint="default" w:hAnsi="宋体"/>
          <w:sz w:val="21"/>
          <w:szCs w:val="24"/>
          <w:highlight w:val="none"/>
        </w:rPr>
        <w:fldChar w:fldCharType="end"/>
      </w:r>
      <w:r>
        <w:rPr>
          <w:rFonts w:hint="default" w:hAnsi="宋体"/>
          <w:sz w:val="21"/>
          <w:szCs w:val="24"/>
          <w:highlight w:val="none"/>
        </w:rPr>
        <w:t>钢结构工程施工质量验收规范</w:t>
      </w:r>
    </w:p>
    <w:p w14:paraId="1508CC3E">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GB 50300-2013 建筑工程施工质量验收统一标准</w:t>
      </w:r>
    </w:p>
    <w:p w14:paraId="00A45395">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GB 50328-2014 建设工程文件归档规范（2019年版）</w:t>
      </w:r>
    </w:p>
    <w:p w14:paraId="1BE178AF">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GB 50319-2013 建设工程监理规范</w:t>
      </w:r>
    </w:p>
    <w:p w14:paraId="31A256B0">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"http://www.csres.com/detail/227406.html" \t "http://www.csres.com/_blank" </w:instrText>
      </w:r>
      <w:r>
        <w:rPr>
          <w:rFonts w:hint="default" w:hAnsi="宋体"/>
          <w:sz w:val="21"/>
          <w:szCs w:val="24"/>
          <w:highlight w:val="none"/>
        </w:rPr>
        <w:fldChar w:fldCharType="separate"/>
      </w:r>
      <w:r>
        <w:rPr>
          <w:rFonts w:hint="default" w:hAnsi="宋体"/>
          <w:sz w:val="21"/>
          <w:szCs w:val="24"/>
          <w:highlight w:val="none"/>
        </w:rPr>
        <w:t xml:space="preserve">DL/T5210-2018 </w:t>
      </w:r>
      <w:r>
        <w:rPr>
          <w:rFonts w:hint="default" w:hAnsi="宋体"/>
          <w:sz w:val="21"/>
          <w:szCs w:val="24"/>
          <w:highlight w:val="none"/>
        </w:rPr>
        <w:fldChar w:fldCharType="end"/>
      </w:r>
      <w:r>
        <w:rPr>
          <w:rFonts w:hint="default" w:hAnsi="宋体"/>
          <w:sz w:val="21"/>
          <w:szCs w:val="24"/>
          <w:highlight w:val="none"/>
        </w:rPr>
        <w:t>电力建设施工质量验收及评价规程</w:t>
      </w:r>
    </w:p>
    <w:p w14:paraId="6FCDE98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"http://www.csres.com/detail/210001.html" \t "http://www.csres.com/_blank" </w:instrText>
      </w:r>
      <w:r>
        <w:rPr>
          <w:rFonts w:hint="default" w:hAnsi="宋体"/>
          <w:sz w:val="21"/>
          <w:szCs w:val="24"/>
          <w:highlight w:val="none"/>
        </w:rPr>
        <w:fldChar w:fldCharType="separate"/>
      </w:r>
      <w:r>
        <w:rPr>
          <w:rFonts w:hint="default" w:hAnsi="宋体"/>
          <w:sz w:val="21"/>
          <w:szCs w:val="24"/>
          <w:highlight w:val="none"/>
        </w:rPr>
        <w:t>DL/T 5434-2009</w:t>
      </w:r>
      <w:r>
        <w:rPr>
          <w:rFonts w:hint="default" w:hAnsi="宋体"/>
          <w:sz w:val="21"/>
          <w:szCs w:val="24"/>
          <w:highlight w:val="none"/>
        </w:rPr>
        <w:fldChar w:fldCharType="end"/>
      </w:r>
      <w:r>
        <w:rPr>
          <w:rFonts w:hint="default" w:hAnsi="宋体"/>
          <w:sz w:val="21"/>
          <w:szCs w:val="24"/>
          <w:highlight w:val="none"/>
        </w:rPr>
        <w:t>电力建设工程监理规范</w:t>
      </w:r>
    </w:p>
    <w:p w14:paraId="0B289A51">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"http://www.csres.com/detail/227813.html" \t "http://www.csres.com/_blank" </w:instrText>
      </w:r>
      <w:r>
        <w:rPr>
          <w:rFonts w:hint="default" w:hAnsi="宋体"/>
          <w:sz w:val="21"/>
          <w:szCs w:val="24"/>
          <w:highlight w:val="none"/>
        </w:rPr>
        <w:fldChar w:fldCharType="separate"/>
      </w:r>
      <w:r>
        <w:rPr>
          <w:rFonts w:hint="default" w:hAnsi="宋体"/>
          <w:sz w:val="21"/>
          <w:szCs w:val="24"/>
          <w:highlight w:val="none"/>
        </w:rPr>
        <w:t>NB/T 31022-2012</w:t>
      </w:r>
      <w:r>
        <w:rPr>
          <w:rFonts w:hint="default" w:hAnsi="宋体"/>
          <w:sz w:val="21"/>
          <w:szCs w:val="24"/>
          <w:highlight w:val="none"/>
        </w:rPr>
        <w:fldChar w:fldCharType="end"/>
      </w:r>
      <w:r>
        <w:rPr>
          <w:rFonts w:hint="default" w:hAnsi="宋体"/>
          <w:sz w:val="21"/>
          <w:szCs w:val="24"/>
          <w:highlight w:val="none"/>
        </w:rPr>
        <w:t>风力发电工程达标投产验收规程</w:t>
      </w:r>
    </w:p>
    <w:p w14:paraId="71B9F53F">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w:instrText>
      </w:r>
      <w:bookmarkStart w:id="415" w:name="_Toc322697544"/>
      <w:bookmarkEnd w:id="415"/>
      <w:r>
        <w:rPr>
          <w:rFonts w:hint="default" w:hAnsi="宋体"/>
          <w:sz w:val="21"/>
          <w:szCs w:val="24"/>
          <w:highlight w:val="none"/>
        </w:rPr>
        <w:instrText xml:space="preserve">YPERLINK "http://www.csres.com/detail/187864.html" \t "http://www.csres.com/_blank" </w:instrText>
      </w:r>
      <w:r>
        <w:rPr>
          <w:rFonts w:hint="default" w:hAnsi="宋体"/>
          <w:sz w:val="21"/>
          <w:szCs w:val="24"/>
          <w:highlight w:val="none"/>
        </w:rPr>
        <w:fldChar w:fldCharType="separate"/>
      </w:r>
      <w:r>
        <w:rPr>
          <w:rFonts w:hint="default" w:hAnsi="宋体"/>
          <w:sz w:val="21"/>
          <w:szCs w:val="24"/>
          <w:highlight w:val="none"/>
        </w:rPr>
        <w:t>JGJ 52-2006</w:t>
      </w:r>
      <w:r>
        <w:rPr>
          <w:rFonts w:hint="default" w:hAnsi="宋体"/>
          <w:sz w:val="21"/>
          <w:szCs w:val="24"/>
          <w:highlight w:val="none"/>
        </w:rPr>
        <w:fldChar w:fldCharType="end"/>
      </w:r>
      <w:r>
        <w:rPr>
          <w:rFonts w:hint="default" w:hAnsi="宋体"/>
          <w:sz w:val="21"/>
          <w:szCs w:val="24"/>
          <w:highlight w:val="none"/>
        </w:rPr>
        <w:t>普通混凝土用砂、石质量及检验方法标准</w:t>
      </w:r>
    </w:p>
    <w:p w14:paraId="2EB903DA">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"http://www.csres.com/detail/217229.html" \t "http://www.csres.com/_blank" </w:instrText>
      </w:r>
      <w:r>
        <w:rPr>
          <w:rFonts w:hint="default" w:hAnsi="宋体"/>
          <w:sz w:val="21"/>
          <w:szCs w:val="24"/>
          <w:highlight w:val="none"/>
        </w:rPr>
        <w:fldChar w:fldCharType="separate"/>
      </w:r>
      <w:r>
        <w:rPr>
          <w:rFonts w:hint="default" w:hAnsi="宋体"/>
          <w:sz w:val="21"/>
          <w:szCs w:val="24"/>
          <w:highlight w:val="none"/>
        </w:rPr>
        <w:t>JGJ 55-2011</w:t>
      </w:r>
      <w:r>
        <w:rPr>
          <w:rFonts w:hint="default" w:hAnsi="宋体"/>
          <w:sz w:val="21"/>
          <w:szCs w:val="24"/>
          <w:highlight w:val="none"/>
        </w:rPr>
        <w:fldChar w:fldCharType="end"/>
      </w:r>
      <w:r>
        <w:rPr>
          <w:rFonts w:hint="default" w:hAnsi="宋体"/>
          <w:sz w:val="21"/>
          <w:szCs w:val="24"/>
          <w:highlight w:val="none"/>
        </w:rPr>
        <w:t>普通混凝土配合比设计规程</w:t>
      </w:r>
    </w:p>
    <w:p w14:paraId="1890EC8A">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JGJ 63-2006 混凝土用水标准</w:t>
      </w:r>
    </w:p>
    <w:p w14:paraId="42A21E6F">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"http://www.csres.com/detail/192772.html" \t "http://www.csres.com/_blank" </w:instrText>
      </w:r>
      <w:r>
        <w:rPr>
          <w:rFonts w:hint="default" w:hAnsi="宋体"/>
          <w:sz w:val="21"/>
          <w:szCs w:val="24"/>
          <w:highlight w:val="none"/>
        </w:rPr>
        <w:fldChar w:fldCharType="separate"/>
      </w:r>
      <w:r>
        <w:rPr>
          <w:rFonts w:hint="default" w:hAnsi="宋体"/>
          <w:sz w:val="21"/>
          <w:szCs w:val="24"/>
          <w:highlight w:val="none"/>
        </w:rPr>
        <w:t>JGJ 94-2008</w:t>
      </w:r>
      <w:r>
        <w:rPr>
          <w:rFonts w:hint="default" w:hAnsi="宋体"/>
          <w:sz w:val="21"/>
          <w:szCs w:val="24"/>
          <w:highlight w:val="none"/>
        </w:rPr>
        <w:fldChar w:fldCharType="end"/>
      </w:r>
      <w:r>
        <w:rPr>
          <w:rFonts w:hint="default" w:hAnsi="宋体"/>
          <w:sz w:val="21"/>
          <w:szCs w:val="24"/>
          <w:highlight w:val="none"/>
        </w:rPr>
        <w:t>建筑桩基技术规范</w:t>
      </w:r>
    </w:p>
    <w:p w14:paraId="1D0BB9F5">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"http://www.csres.com/detail/242108.html" \t "http://www.csres.com/_blank" </w:instrText>
      </w:r>
      <w:r>
        <w:rPr>
          <w:rFonts w:hint="default" w:hAnsi="宋体"/>
          <w:sz w:val="21"/>
          <w:szCs w:val="24"/>
          <w:highlight w:val="none"/>
        </w:rPr>
        <w:fldChar w:fldCharType="separate"/>
      </w:r>
      <w:r>
        <w:rPr>
          <w:rFonts w:hint="default" w:hAnsi="宋体"/>
          <w:sz w:val="21"/>
          <w:szCs w:val="24"/>
          <w:highlight w:val="none"/>
        </w:rPr>
        <w:t>JGJ 106-2014</w:t>
      </w:r>
      <w:r>
        <w:rPr>
          <w:rFonts w:hint="default" w:hAnsi="宋体"/>
          <w:sz w:val="21"/>
          <w:szCs w:val="24"/>
          <w:highlight w:val="none"/>
        </w:rPr>
        <w:fldChar w:fldCharType="end"/>
      </w:r>
      <w:r>
        <w:rPr>
          <w:rFonts w:hint="default" w:hAnsi="宋体"/>
          <w:sz w:val="21"/>
          <w:szCs w:val="24"/>
          <w:highlight w:val="none"/>
        </w:rPr>
        <w:t>建筑桩基检测规范</w:t>
      </w:r>
    </w:p>
    <w:p w14:paraId="7F73203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fldChar w:fldCharType="begin"/>
      </w:r>
      <w:r>
        <w:rPr>
          <w:rFonts w:hint="default" w:hAnsi="宋体"/>
          <w:sz w:val="21"/>
          <w:szCs w:val="24"/>
          <w:highlight w:val="none"/>
        </w:rPr>
        <w:instrText xml:space="preserve"> HYPERLINK "http://www.csres.com/detail/225408.html" \t "http://www.csres.com/_blank" </w:instrText>
      </w:r>
      <w:r>
        <w:rPr>
          <w:rFonts w:hint="default" w:hAnsi="宋体"/>
          <w:sz w:val="21"/>
          <w:szCs w:val="24"/>
          <w:highlight w:val="none"/>
        </w:rPr>
        <w:fldChar w:fldCharType="separate"/>
      </w:r>
      <w:r>
        <w:rPr>
          <w:rFonts w:hint="default" w:hAnsi="宋体"/>
          <w:sz w:val="21"/>
          <w:szCs w:val="24"/>
          <w:highlight w:val="none"/>
        </w:rPr>
        <w:t>JGJ 120-2012</w:t>
      </w:r>
      <w:r>
        <w:rPr>
          <w:rFonts w:hint="default" w:hAnsi="宋体"/>
          <w:sz w:val="21"/>
          <w:szCs w:val="24"/>
          <w:highlight w:val="none"/>
        </w:rPr>
        <w:fldChar w:fldCharType="end"/>
      </w:r>
      <w:r>
        <w:rPr>
          <w:rFonts w:hint="default" w:hAnsi="宋体"/>
          <w:sz w:val="21"/>
          <w:szCs w:val="24"/>
          <w:highlight w:val="none"/>
        </w:rPr>
        <w:t>建筑基坑支护规程</w:t>
      </w:r>
    </w:p>
    <w:p w14:paraId="00DD3E44">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5.2 检测</w:t>
      </w:r>
      <w:bookmarkEnd w:id="414"/>
      <w:r>
        <w:rPr>
          <w:rFonts w:hint="default" w:hAnsi="宋体"/>
          <w:sz w:val="21"/>
          <w:szCs w:val="24"/>
          <w:highlight w:val="none"/>
        </w:rPr>
        <w:t>参数项目表</w:t>
      </w:r>
    </w:p>
    <w:p w14:paraId="33D80ADB">
      <w:pPr>
        <w:overflowPunct w:val="0"/>
        <w:spacing w:line="360" w:lineRule="auto"/>
        <w:ind w:firstLine="420" w:firstLineChars="200"/>
        <w:rPr>
          <w:rFonts w:hint="default" w:hAnsi="宋体"/>
          <w:sz w:val="21"/>
          <w:szCs w:val="24"/>
          <w:highlight w:val="none"/>
        </w:rPr>
      </w:pPr>
      <w:r>
        <w:rPr>
          <w:rFonts w:hint="eastAsia" w:hAnsi="宋体"/>
          <w:sz w:val="21"/>
          <w:szCs w:val="24"/>
          <w:highlight w:val="none"/>
          <w:lang w:eastAsia="zh-CN"/>
        </w:rPr>
        <w:t>供应商</w:t>
      </w:r>
      <w:r>
        <w:rPr>
          <w:rFonts w:hint="default" w:hAnsi="宋体"/>
          <w:sz w:val="21"/>
          <w:szCs w:val="24"/>
          <w:highlight w:val="none"/>
        </w:rPr>
        <w:t>依据《建设工程监理规范》及强条要求对本工程重要工序及部位必须进行平行检测，检测频率不少于施工单位检测数量的10%。</w:t>
      </w:r>
    </w:p>
    <w:p w14:paraId="3F349AE8">
      <w:pPr>
        <w:pStyle w:val="6"/>
        <w:tabs>
          <w:tab w:val="left" w:pos="727"/>
        </w:tabs>
        <w:overflowPunct w:val="0"/>
        <w:spacing w:line="360" w:lineRule="auto"/>
        <w:jc w:val="left"/>
        <w:rPr>
          <w:rFonts w:hint="default" w:hAnsi="宋体"/>
          <w:b/>
          <w:sz w:val="24"/>
          <w:szCs w:val="24"/>
          <w:highlight w:val="none"/>
        </w:rPr>
      </w:pPr>
      <w:bookmarkStart w:id="416" w:name="_Toc146500134"/>
      <w:r>
        <w:rPr>
          <w:rFonts w:hint="default" w:hAnsi="宋体"/>
          <w:b/>
          <w:sz w:val="24"/>
          <w:szCs w:val="24"/>
          <w:highlight w:val="none"/>
        </w:rPr>
        <w:t>6.其他要求</w:t>
      </w:r>
      <w:bookmarkEnd w:id="416"/>
    </w:p>
    <w:p w14:paraId="1007F9D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6.1监理人应配备专业人员从事档案管理与合同管理。</w:t>
      </w:r>
    </w:p>
    <w:p w14:paraId="7BCA0F2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6.2监理人应配备专职人员从事计划进度、技经管理。</w:t>
      </w:r>
    </w:p>
    <w:p w14:paraId="560D1FCE">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6.3所有参与监理的工作人员都应持有相应的专业资格证书。</w:t>
      </w:r>
    </w:p>
    <w:p w14:paraId="167A69B8">
      <w:pPr>
        <w:pStyle w:val="5"/>
        <w:tabs>
          <w:tab w:val="left" w:pos="502"/>
        </w:tabs>
        <w:overflowPunct w:val="0"/>
        <w:spacing w:line="360" w:lineRule="auto"/>
        <w:ind w:left="0" w:firstLine="0"/>
        <w:rPr>
          <w:rFonts w:hint="default" w:ascii="宋体" w:hAnsi="宋体" w:eastAsia="宋体"/>
          <w:sz w:val="28"/>
          <w:szCs w:val="24"/>
          <w:highlight w:val="none"/>
        </w:rPr>
      </w:pPr>
      <w:bookmarkStart w:id="417" w:name="bookmark164"/>
      <w:bookmarkEnd w:id="417"/>
      <w:bookmarkStart w:id="418" w:name="_Toc122194798"/>
      <w:bookmarkStart w:id="419" w:name="_Toc1894795756"/>
      <w:bookmarkStart w:id="420" w:name="_Toc224076827"/>
      <w:bookmarkStart w:id="421" w:name="_Toc966075752"/>
      <w:bookmarkStart w:id="422" w:name="_Toc146500135"/>
      <w:bookmarkStart w:id="423" w:name="_Toc1373584852"/>
      <w:r>
        <w:rPr>
          <w:rFonts w:hint="default" w:ascii="宋体" w:hAnsi="宋体" w:eastAsia="宋体"/>
          <w:sz w:val="28"/>
          <w:szCs w:val="24"/>
          <w:highlight w:val="none"/>
        </w:rPr>
        <w:t>二、适用规范标准</w:t>
      </w:r>
      <w:bookmarkEnd w:id="418"/>
      <w:bookmarkEnd w:id="419"/>
      <w:bookmarkEnd w:id="420"/>
      <w:bookmarkEnd w:id="421"/>
      <w:bookmarkEnd w:id="422"/>
      <w:bookmarkEnd w:id="423"/>
    </w:p>
    <w:p w14:paraId="45767820">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包括但不限于以下内容：</w:t>
      </w:r>
    </w:p>
    <w:p w14:paraId="0C4A2AEC">
      <w:pPr>
        <w:overflowPunct w:val="0"/>
        <w:spacing w:line="360" w:lineRule="auto"/>
        <w:ind w:firstLine="420" w:firstLineChars="200"/>
        <w:rPr>
          <w:rFonts w:hint="default" w:hAnsi="宋体"/>
          <w:sz w:val="21"/>
          <w:szCs w:val="24"/>
          <w:highlight w:val="none"/>
        </w:rPr>
      </w:pPr>
      <w:bookmarkStart w:id="424" w:name="_Toc146500136"/>
      <w:r>
        <w:rPr>
          <w:rFonts w:hint="default" w:hAnsi="宋体"/>
          <w:sz w:val="21"/>
          <w:szCs w:val="24"/>
          <w:highlight w:val="none"/>
        </w:rPr>
        <w:t>1.《建设工程监理规范》(GB50319-2013)</w:t>
      </w:r>
      <w:bookmarkEnd w:id="424"/>
    </w:p>
    <w:p w14:paraId="72C885A1">
      <w:pPr>
        <w:overflowPunct w:val="0"/>
        <w:spacing w:line="360" w:lineRule="auto"/>
        <w:ind w:firstLine="420" w:firstLineChars="200"/>
        <w:rPr>
          <w:rFonts w:hint="default" w:hAnsi="宋体"/>
          <w:sz w:val="21"/>
          <w:szCs w:val="24"/>
          <w:highlight w:val="none"/>
        </w:rPr>
      </w:pPr>
      <w:bookmarkStart w:id="425" w:name="_Toc146500137"/>
      <w:r>
        <w:rPr>
          <w:rFonts w:hint="default" w:hAnsi="宋体"/>
          <w:sz w:val="21"/>
          <w:szCs w:val="24"/>
          <w:highlight w:val="none"/>
        </w:rPr>
        <w:t>2.国家现行相关法律、法规、规范、标准、规程</w:t>
      </w:r>
      <w:bookmarkEnd w:id="425"/>
    </w:p>
    <w:p w14:paraId="3729F5C9">
      <w:pPr>
        <w:overflowPunct w:val="0"/>
        <w:spacing w:line="360" w:lineRule="auto"/>
        <w:ind w:firstLine="420" w:firstLineChars="200"/>
        <w:rPr>
          <w:rFonts w:hint="default" w:hAnsi="宋体"/>
          <w:sz w:val="21"/>
          <w:szCs w:val="24"/>
          <w:highlight w:val="none"/>
        </w:rPr>
      </w:pPr>
      <w:bookmarkStart w:id="426" w:name="_Toc146500138"/>
      <w:r>
        <w:rPr>
          <w:rFonts w:hint="default" w:hAnsi="宋体"/>
          <w:sz w:val="21"/>
          <w:szCs w:val="24"/>
          <w:highlight w:val="none"/>
        </w:rPr>
        <w:t>3.云南省地方现行标准</w:t>
      </w:r>
      <w:bookmarkEnd w:id="426"/>
    </w:p>
    <w:p w14:paraId="7DE78FD1">
      <w:pPr>
        <w:pStyle w:val="5"/>
        <w:tabs>
          <w:tab w:val="left" w:pos="502"/>
        </w:tabs>
        <w:overflowPunct w:val="0"/>
        <w:spacing w:line="360" w:lineRule="auto"/>
        <w:ind w:left="0" w:firstLine="0"/>
        <w:rPr>
          <w:rFonts w:hint="default" w:ascii="宋体" w:hAnsi="宋体" w:eastAsia="宋体"/>
          <w:sz w:val="28"/>
          <w:szCs w:val="24"/>
          <w:highlight w:val="none"/>
        </w:rPr>
      </w:pPr>
      <w:bookmarkStart w:id="427" w:name="bookmark165"/>
      <w:bookmarkEnd w:id="427"/>
      <w:bookmarkStart w:id="428" w:name="_Toc363984053"/>
      <w:bookmarkStart w:id="429" w:name="_Toc146500139"/>
      <w:bookmarkStart w:id="430" w:name="_Toc1337276182"/>
      <w:bookmarkStart w:id="431" w:name="_Toc434608349"/>
      <w:bookmarkStart w:id="432" w:name="_Toc1501766812"/>
      <w:bookmarkStart w:id="433" w:name="_Toc64874053"/>
      <w:r>
        <w:rPr>
          <w:rFonts w:hint="default" w:ascii="宋体" w:hAnsi="宋体" w:eastAsia="宋体"/>
          <w:sz w:val="28"/>
          <w:szCs w:val="24"/>
          <w:highlight w:val="none"/>
        </w:rPr>
        <w:t>三、成果文件要求</w:t>
      </w:r>
      <w:bookmarkEnd w:id="428"/>
      <w:bookmarkEnd w:id="429"/>
      <w:bookmarkEnd w:id="430"/>
      <w:bookmarkEnd w:id="431"/>
      <w:bookmarkEnd w:id="432"/>
      <w:bookmarkEnd w:id="433"/>
    </w:p>
    <w:p w14:paraId="46F9F703">
      <w:pPr>
        <w:pStyle w:val="6"/>
        <w:tabs>
          <w:tab w:val="left" w:pos="727"/>
        </w:tabs>
        <w:overflowPunct w:val="0"/>
        <w:spacing w:line="360" w:lineRule="auto"/>
        <w:jc w:val="left"/>
        <w:rPr>
          <w:rFonts w:hint="default" w:hAnsi="宋体"/>
          <w:b/>
          <w:sz w:val="24"/>
          <w:szCs w:val="24"/>
          <w:highlight w:val="none"/>
        </w:rPr>
      </w:pPr>
      <w:bookmarkStart w:id="434" w:name="_Toc146500140"/>
      <w:r>
        <w:rPr>
          <w:rFonts w:hint="default" w:hAnsi="宋体"/>
          <w:b/>
          <w:sz w:val="24"/>
          <w:szCs w:val="24"/>
          <w:highlight w:val="none"/>
        </w:rPr>
        <w:t>1.成果文件的组成按监理规范要求包括不限于以下内容：</w:t>
      </w:r>
      <w:bookmarkEnd w:id="434"/>
    </w:p>
    <w:p w14:paraId="1A460EC5">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监理单位提供监理资料，资料必须及时整理、真实完整、分类有序。监理单位的管理应有总监理工程师负责，并指定专人具体实施。监理资料应在各阶段监理工作结束后及时归档整理。监理档案的编制及保存应按有关规定执行。施工阶段的监理资料应包括以下内容：</w:t>
      </w:r>
    </w:p>
    <w:p w14:paraId="55044D25">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1.1 各类施工合同文件及委托监理合同；</w:t>
      </w:r>
    </w:p>
    <w:p w14:paraId="570DE61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1.2 勘察设计文件：设计交底与图纸会审会议纪要、工程变更资料、施工同期记录签证单</w:t>
      </w:r>
    </w:p>
    <w:p w14:paraId="2022C25C">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1.3 施工组织设计（方案）报审表、工程材料、构配件、设备报审表及相关质量证明文件、分包单位资格报审表、工程报验申请表、质量缺陷与事故处理文件、检查试验资料、测量核验资料、隐蔽工程验收资料、分部工程、单位工程等验收资料、工程竣工报验单，工程项目施工阶段质量评估报告等专题报告等。</w:t>
      </w:r>
    </w:p>
    <w:p w14:paraId="40DAEC21">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1.4 工程开工/复工报审表、施工进度计划报审表、工程临时延期报申请表、工程临时延期申请表、工程最终延期审批表、工程暂停令等。</w:t>
      </w:r>
    </w:p>
    <w:p w14:paraId="4C6F6DD0">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1.5 工程款支付申请表、费用洽商申请表、索赔（洽谈）文件资料、工程管理确认报告、费用洽商监理审核报告、中间结算监理审核报告、最终结算监理审核报告、工程监理认可证书。</w:t>
      </w:r>
    </w:p>
    <w:p w14:paraId="7759835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1.6 监理规划、监理实施细则、监理工作联系单、监理工程师通知单、监理工程师同志回复单、会议纪要、来往函件、监理日记、监理周报、监理月报监理工作总结。</w:t>
      </w:r>
    </w:p>
    <w:p w14:paraId="0BDBFF1D">
      <w:pPr>
        <w:pStyle w:val="6"/>
        <w:tabs>
          <w:tab w:val="left" w:pos="727"/>
        </w:tabs>
        <w:overflowPunct w:val="0"/>
        <w:spacing w:line="360" w:lineRule="auto"/>
        <w:jc w:val="left"/>
        <w:rPr>
          <w:rFonts w:hint="default" w:hAnsi="宋体"/>
          <w:b/>
          <w:sz w:val="24"/>
          <w:szCs w:val="24"/>
          <w:highlight w:val="none"/>
        </w:rPr>
      </w:pPr>
      <w:bookmarkStart w:id="435" w:name="_Toc146500141"/>
      <w:r>
        <w:rPr>
          <w:rFonts w:hint="default" w:hAnsi="宋体"/>
          <w:b/>
          <w:sz w:val="24"/>
          <w:szCs w:val="24"/>
          <w:highlight w:val="none"/>
        </w:rPr>
        <w:t>2.成果文件的深度按监理规范要求。</w:t>
      </w:r>
      <w:bookmarkEnd w:id="435"/>
    </w:p>
    <w:p w14:paraId="3E56ABEC">
      <w:pPr>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监理单位应按合同约定的文件表格填报并按监理程序进行日常监理，督促被监理单位按照格式填报。若在监理合同的实施过程中，根据工程管理的需要，协助业主升级管理表格。凡本监理合同附件中没有涵盖的管理内容，监理单位应按照本监理合同其他条款和建设工程监理规范执行。</w:t>
      </w:r>
    </w:p>
    <w:p w14:paraId="5F75DE81">
      <w:pPr>
        <w:pStyle w:val="6"/>
        <w:tabs>
          <w:tab w:val="left" w:pos="727"/>
        </w:tabs>
        <w:overflowPunct w:val="0"/>
        <w:spacing w:line="360" w:lineRule="auto"/>
        <w:jc w:val="left"/>
        <w:rPr>
          <w:rFonts w:hint="default" w:hAnsi="宋体"/>
          <w:b/>
          <w:sz w:val="24"/>
          <w:szCs w:val="24"/>
          <w:highlight w:val="none"/>
        </w:rPr>
      </w:pPr>
      <w:bookmarkStart w:id="436" w:name="_Toc146500142"/>
      <w:r>
        <w:rPr>
          <w:rFonts w:hint="default" w:hAnsi="宋体"/>
          <w:b/>
          <w:sz w:val="24"/>
          <w:szCs w:val="24"/>
          <w:highlight w:val="none"/>
        </w:rPr>
        <w:t>3.成果文件的格式要求</w:t>
      </w:r>
      <w:bookmarkEnd w:id="436"/>
    </w:p>
    <w:p w14:paraId="17B1E4F0">
      <w:pPr>
        <w:overflowPunct w:val="0"/>
        <w:spacing w:line="360" w:lineRule="auto"/>
        <w:ind w:firstLine="420" w:firstLineChars="200"/>
        <w:jc w:val="both"/>
        <w:rPr>
          <w:rFonts w:hint="default" w:hAnsi="宋体"/>
          <w:sz w:val="21"/>
          <w:szCs w:val="24"/>
          <w:highlight w:val="none"/>
        </w:rPr>
      </w:pPr>
      <w:r>
        <w:rPr>
          <w:rFonts w:hint="default" w:hAnsi="宋体"/>
          <w:sz w:val="21"/>
          <w:szCs w:val="24"/>
          <w:highlight w:val="none"/>
        </w:rPr>
        <w:t>根据合同约定要求</w:t>
      </w:r>
    </w:p>
    <w:p w14:paraId="0C2EBCDF">
      <w:pPr>
        <w:pStyle w:val="6"/>
        <w:tabs>
          <w:tab w:val="left" w:pos="727"/>
        </w:tabs>
        <w:overflowPunct w:val="0"/>
        <w:spacing w:line="360" w:lineRule="auto"/>
        <w:jc w:val="left"/>
        <w:rPr>
          <w:rFonts w:hint="default" w:hAnsi="宋体"/>
          <w:b/>
          <w:sz w:val="24"/>
          <w:szCs w:val="24"/>
          <w:highlight w:val="none"/>
        </w:rPr>
      </w:pPr>
      <w:bookmarkStart w:id="437" w:name="_Toc146500143"/>
      <w:r>
        <w:rPr>
          <w:rFonts w:hint="default" w:hAnsi="宋体"/>
          <w:b/>
          <w:sz w:val="24"/>
          <w:szCs w:val="24"/>
          <w:highlight w:val="none"/>
        </w:rPr>
        <w:t>4.成果文件的份数要求</w:t>
      </w:r>
      <w:bookmarkEnd w:id="437"/>
    </w:p>
    <w:p w14:paraId="3F312A0C">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满足业主要求</w:t>
      </w:r>
    </w:p>
    <w:p w14:paraId="09BC7026">
      <w:pPr>
        <w:pStyle w:val="6"/>
        <w:tabs>
          <w:tab w:val="left" w:pos="727"/>
        </w:tabs>
        <w:overflowPunct w:val="0"/>
        <w:spacing w:line="360" w:lineRule="auto"/>
        <w:jc w:val="left"/>
        <w:rPr>
          <w:rFonts w:hint="default" w:hAnsi="宋体"/>
          <w:b/>
          <w:sz w:val="24"/>
          <w:szCs w:val="24"/>
          <w:highlight w:val="none"/>
        </w:rPr>
      </w:pPr>
      <w:bookmarkStart w:id="438" w:name="_Toc146500144"/>
      <w:r>
        <w:rPr>
          <w:rFonts w:hint="default" w:hAnsi="宋体"/>
          <w:b/>
          <w:sz w:val="24"/>
          <w:szCs w:val="24"/>
          <w:highlight w:val="none"/>
        </w:rPr>
        <w:t>5.成果文件的载体要求</w:t>
      </w:r>
      <w:bookmarkEnd w:id="438"/>
    </w:p>
    <w:p w14:paraId="6FFB03C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（1）纸质版的要求；</w:t>
      </w:r>
    </w:p>
    <w:p w14:paraId="53D3DC97">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（2）电子版的要求；</w:t>
      </w:r>
    </w:p>
    <w:p w14:paraId="67ABDD4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（3）其他要求。</w:t>
      </w:r>
    </w:p>
    <w:p w14:paraId="0ADEA972">
      <w:pPr>
        <w:pStyle w:val="6"/>
        <w:tabs>
          <w:tab w:val="left" w:pos="727"/>
        </w:tabs>
        <w:overflowPunct w:val="0"/>
        <w:spacing w:line="360" w:lineRule="auto"/>
        <w:jc w:val="left"/>
        <w:rPr>
          <w:rFonts w:hint="default" w:hAnsi="宋体"/>
          <w:b/>
          <w:sz w:val="24"/>
          <w:szCs w:val="24"/>
          <w:highlight w:val="none"/>
        </w:rPr>
      </w:pPr>
      <w:bookmarkStart w:id="439" w:name="_Toc146500145"/>
      <w:r>
        <w:rPr>
          <w:rFonts w:hint="default" w:hAnsi="宋体"/>
          <w:b/>
          <w:sz w:val="24"/>
          <w:szCs w:val="24"/>
          <w:highlight w:val="none"/>
        </w:rPr>
        <w:t>6.成果文件的其他要求</w:t>
      </w:r>
      <w:bookmarkEnd w:id="439"/>
    </w:p>
    <w:p w14:paraId="0ADDF444">
      <w:pPr>
        <w:pStyle w:val="5"/>
        <w:tabs>
          <w:tab w:val="left" w:pos="502"/>
        </w:tabs>
        <w:overflowPunct w:val="0"/>
        <w:spacing w:line="360" w:lineRule="auto"/>
        <w:ind w:left="0" w:firstLine="0"/>
        <w:rPr>
          <w:rFonts w:hint="default" w:ascii="宋体" w:hAnsi="宋体" w:eastAsia="宋体"/>
          <w:sz w:val="28"/>
          <w:szCs w:val="24"/>
          <w:highlight w:val="none"/>
        </w:rPr>
      </w:pPr>
      <w:bookmarkStart w:id="440" w:name="bookmark166"/>
      <w:bookmarkEnd w:id="440"/>
      <w:bookmarkStart w:id="441" w:name="_Toc968247775"/>
      <w:bookmarkStart w:id="442" w:name="_Toc146500146"/>
      <w:bookmarkStart w:id="443" w:name="_Toc956626388"/>
      <w:bookmarkStart w:id="444" w:name="_Toc21992315"/>
      <w:bookmarkStart w:id="445" w:name="_Toc309368124"/>
      <w:bookmarkStart w:id="446" w:name="_Toc1742105660"/>
      <w:r>
        <w:rPr>
          <w:rFonts w:hint="default" w:ascii="宋体" w:hAnsi="宋体" w:eastAsia="宋体"/>
          <w:sz w:val="28"/>
          <w:szCs w:val="24"/>
          <w:highlight w:val="none"/>
        </w:rPr>
        <w:t>四、</w:t>
      </w:r>
      <w:r>
        <w:rPr>
          <w:rFonts w:hint="eastAsia" w:eastAsia="宋体"/>
          <w:sz w:val="28"/>
          <w:szCs w:val="24"/>
          <w:highlight w:val="none"/>
          <w:lang w:eastAsia="zh-CN"/>
        </w:rPr>
        <w:t>采购人</w:t>
      </w:r>
      <w:r>
        <w:rPr>
          <w:rFonts w:hint="default" w:ascii="宋体" w:hAnsi="宋体" w:eastAsia="宋体"/>
          <w:sz w:val="28"/>
          <w:szCs w:val="24"/>
          <w:highlight w:val="none"/>
        </w:rPr>
        <w:t>财产清单</w:t>
      </w:r>
      <w:bookmarkEnd w:id="441"/>
      <w:bookmarkEnd w:id="442"/>
      <w:bookmarkEnd w:id="443"/>
      <w:bookmarkEnd w:id="444"/>
      <w:bookmarkEnd w:id="445"/>
      <w:bookmarkEnd w:id="446"/>
    </w:p>
    <w:p w14:paraId="57621462">
      <w:pPr>
        <w:pStyle w:val="6"/>
        <w:tabs>
          <w:tab w:val="left" w:pos="727"/>
        </w:tabs>
        <w:overflowPunct w:val="0"/>
        <w:spacing w:line="360" w:lineRule="auto"/>
        <w:jc w:val="left"/>
        <w:rPr>
          <w:rFonts w:hint="default" w:hAnsi="宋体"/>
          <w:sz w:val="21"/>
          <w:szCs w:val="24"/>
          <w:highlight w:val="none"/>
        </w:rPr>
      </w:pPr>
      <w:bookmarkStart w:id="447" w:name="bookmark167"/>
      <w:bookmarkEnd w:id="447"/>
      <w:bookmarkStart w:id="448" w:name="_Toc146500147"/>
      <w:r>
        <w:rPr>
          <w:rFonts w:hint="default" w:hAnsi="宋体"/>
          <w:b/>
          <w:sz w:val="24"/>
          <w:szCs w:val="24"/>
          <w:highlight w:val="none"/>
        </w:rPr>
        <w:t>（一）</w:t>
      </w:r>
      <w:r>
        <w:rPr>
          <w:rFonts w:hint="eastAsia" w:hAnsi="宋体"/>
          <w:b/>
          <w:sz w:val="24"/>
          <w:szCs w:val="24"/>
          <w:highlight w:val="none"/>
          <w:lang w:eastAsia="zh-CN"/>
        </w:rPr>
        <w:t>采购人</w:t>
      </w:r>
      <w:r>
        <w:rPr>
          <w:rFonts w:hint="default" w:hAnsi="宋体"/>
          <w:b/>
          <w:sz w:val="24"/>
          <w:szCs w:val="24"/>
          <w:highlight w:val="none"/>
        </w:rPr>
        <w:t>提供的设备、设施</w:t>
      </w:r>
      <w:bookmarkEnd w:id="448"/>
    </w:p>
    <w:p w14:paraId="7EB1F7EA">
      <w:pPr>
        <w:overflowPunct w:val="0"/>
        <w:spacing w:line="360" w:lineRule="auto"/>
        <w:ind w:firstLine="420" w:firstLineChars="200"/>
        <w:rPr>
          <w:rFonts w:hint="default" w:hAnsi="宋体"/>
          <w:sz w:val="21"/>
          <w:szCs w:val="24"/>
          <w:highlight w:val="none"/>
        </w:rPr>
      </w:pPr>
      <w:r>
        <w:rPr>
          <w:rFonts w:hint="eastAsia" w:hAnsi="宋体"/>
          <w:sz w:val="21"/>
          <w:szCs w:val="24"/>
          <w:highlight w:val="none"/>
          <w:lang w:eastAsia="zh-CN"/>
        </w:rPr>
        <w:t>采购人</w:t>
      </w:r>
      <w:r>
        <w:rPr>
          <w:rFonts w:hint="default" w:hAnsi="宋体"/>
          <w:sz w:val="21"/>
          <w:szCs w:val="24"/>
          <w:highlight w:val="none"/>
        </w:rPr>
        <w:t>在条件允许情况下为监理人在现场的办公及生活提供便利，包含：日常办公设备、生活用品、水电消耗、维护等，费用由监理人承担。</w:t>
      </w:r>
    </w:p>
    <w:p w14:paraId="1983C04D">
      <w:pPr>
        <w:pStyle w:val="6"/>
        <w:tabs>
          <w:tab w:val="left" w:pos="727"/>
        </w:tabs>
        <w:overflowPunct w:val="0"/>
        <w:spacing w:line="360" w:lineRule="auto"/>
        <w:jc w:val="left"/>
        <w:rPr>
          <w:rFonts w:hint="default" w:hAnsi="宋体"/>
          <w:b/>
          <w:sz w:val="24"/>
          <w:szCs w:val="24"/>
          <w:highlight w:val="none"/>
        </w:rPr>
      </w:pPr>
      <w:bookmarkStart w:id="449" w:name="bookmark168"/>
      <w:bookmarkEnd w:id="449"/>
      <w:bookmarkStart w:id="450" w:name="_Toc146500148"/>
      <w:r>
        <w:rPr>
          <w:rFonts w:hint="default" w:hAnsi="宋体"/>
          <w:b/>
          <w:sz w:val="24"/>
          <w:szCs w:val="24"/>
          <w:highlight w:val="none"/>
        </w:rPr>
        <w:t>（二）</w:t>
      </w:r>
      <w:r>
        <w:rPr>
          <w:rFonts w:hint="eastAsia" w:hAnsi="宋体"/>
          <w:b/>
          <w:sz w:val="24"/>
          <w:szCs w:val="24"/>
          <w:highlight w:val="none"/>
          <w:lang w:eastAsia="zh-CN"/>
        </w:rPr>
        <w:t>采购人</w:t>
      </w:r>
      <w:r>
        <w:rPr>
          <w:rFonts w:hint="default" w:hAnsi="宋体"/>
          <w:b/>
          <w:sz w:val="24"/>
          <w:szCs w:val="24"/>
          <w:highlight w:val="none"/>
        </w:rPr>
        <w:t>提供的资料</w:t>
      </w:r>
      <w:bookmarkEnd w:id="450"/>
    </w:p>
    <w:p w14:paraId="6CED7C04">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施工场地及毗邻区域内的供水、排水、供电、供气、供热、通信、广播电视等地下管线资料、气象和水文观测资料，相邻建筑物和构筑物、地下工程的有关资料，以及其他与建设工程有关的原始资料：</w:t>
      </w:r>
    </w:p>
    <w:p w14:paraId="721242B1">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定位放线的基准点、基准线和基准标高</w:t>
      </w:r>
    </w:p>
    <w:p w14:paraId="7BB2C9D2">
      <w:pPr>
        <w:overflowPunct w:val="0"/>
        <w:spacing w:line="360" w:lineRule="auto"/>
        <w:ind w:firstLine="420" w:firstLineChars="200"/>
        <w:rPr>
          <w:rFonts w:hint="default" w:hAnsi="宋体"/>
          <w:sz w:val="21"/>
          <w:szCs w:val="24"/>
          <w:highlight w:val="none"/>
        </w:rPr>
      </w:pPr>
      <w:r>
        <w:rPr>
          <w:rFonts w:hint="eastAsia" w:hAnsi="宋体"/>
          <w:sz w:val="21"/>
          <w:szCs w:val="24"/>
          <w:highlight w:val="none"/>
          <w:lang w:eastAsia="zh-CN"/>
        </w:rPr>
        <w:t>采购人</w:t>
      </w:r>
      <w:r>
        <w:rPr>
          <w:rFonts w:hint="default" w:hAnsi="宋体"/>
          <w:sz w:val="21"/>
          <w:szCs w:val="24"/>
          <w:highlight w:val="none"/>
        </w:rPr>
        <w:t>取得的有关审批、核准和备案材料</w:t>
      </w:r>
    </w:p>
    <w:p w14:paraId="6829E6CD">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勘察文件、设计文件等资料</w:t>
      </w:r>
    </w:p>
    <w:p w14:paraId="5FEAB5BC">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技术标准、规范</w:t>
      </w:r>
    </w:p>
    <w:p w14:paraId="20C6EF7D">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工程承包合同及其他相关合同</w:t>
      </w:r>
    </w:p>
    <w:p w14:paraId="1E752BC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其他资料</w:t>
      </w:r>
    </w:p>
    <w:p w14:paraId="0291D04F">
      <w:pPr>
        <w:pStyle w:val="6"/>
        <w:tabs>
          <w:tab w:val="left" w:pos="727"/>
        </w:tabs>
        <w:overflowPunct w:val="0"/>
        <w:spacing w:line="360" w:lineRule="auto"/>
        <w:jc w:val="left"/>
        <w:rPr>
          <w:rFonts w:hint="default" w:hAnsi="宋体"/>
          <w:b/>
          <w:sz w:val="24"/>
          <w:szCs w:val="24"/>
          <w:highlight w:val="none"/>
        </w:rPr>
      </w:pPr>
      <w:bookmarkStart w:id="451" w:name="bookmark169"/>
      <w:bookmarkEnd w:id="451"/>
      <w:bookmarkStart w:id="452" w:name="_Toc146500149"/>
      <w:r>
        <w:rPr>
          <w:rFonts w:hint="default" w:hAnsi="宋体"/>
          <w:b/>
          <w:sz w:val="24"/>
          <w:szCs w:val="24"/>
          <w:highlight w:val="none"/>
        </w:rPr>
        <w:t>（三）</w:t>
      </w:r>
      <w:r>
        <w:rPr>
          <w:rFonts w:hint="eastAsia" w:hAnsi="宋体"/>
          <w:b/>
          <w:sz w:val="24"/>
          <w:szCs w:val="24"/>
          <w:highlight w:val="none"/>
          <w:lang w:eastAsia="zh-CN"/>
        </w:rPr>
        <w:t>采购人</w:t>
      </w:r>
      <w:r>
        <w:rPr>
          <w:rFonts w:hint="default" w:hAnsi="宋体"/>
          <w:b/>
          <w:sz w:val="24"/>
          <w:szCs w:val="24"/>
          <w:highlight w:val="none"/>
        </w:rPr>
        <w:t>财产使用要求及退还要求</w:t>
      </w:r>
      <w:bookmarkEnd w:id="452"/>
    </w:p>
    <w:p w14:paraId="21604C33">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所有由业主提供给监理单位使用的设施、设备和物品，均属于业主财产，监理单位在使用时应予以爱护。当监理服务完成或中止时，监理单位应将上述设施、设备、尚未使用的物品交回业主。如果在专用条款中规定由监理单位负责移交上述设施、设备和物品，此项工作可作为监理单位附加的服务，或并入监理单位的服务费用报价中。</w:t>
      </w:r>
    </w:p>
    <w:p w14:paraId="5A16A209">
      <w:pPr>
        <w:pStyle w:val="5"/>
        <w:tabs>
          <w:tab w:val="left" w:pos="502"/>
        </w:tabs>
        <w:overflowPunct w:val="0"/>
        <w:spacing w:line="360" w:lineRule="auto"/>
        <w:ind w:left="0" w:firstLine="0"/>
        <w:rPr>
          <w:rFonts w:hint="default" w:ascii="宋体" w:hAnsi="宋体" w:eastAsia="宋体"/>
          <w:sz w:val="28"/>
          <w:szCs w:val="24"/>
          <w:highlight w:val="none"/>
        </w:rPr>
      </w:pPr>
      <w:bookmarkStart w:id="453" w:name="bookmark170"/>
      <w:bookmarkEnd w:id="453"/>
      <w:bookmarkStart w:id="454" w:name="_Toc940801698"/>
      <w:bookmarkStart w:id="455" w:name="_Toc118186099"/>
      <w:bookmarkStart w:id="456" w:name="_Toc146500150"/>
      <w:bookmarkStart w:id="457" w:name="_Toc318459196"/>
      <w:bookmarkStart w:id="458" w:name="_Toc1365309524"/>
      <w:bookmarkStart w:id="459" w:name="_Toc576724556"/>
      <w:r>
        <w:rPr>
          <w:rFonts w:hint="default" w:ascii="宋体" w:hAnsi="宋体" w:eastAsia="宋体"/>
          <w:sz w:val="28"/>
          <w:szCs w:val="24"/>
          <w:highlight w:val="none"/>
        </w:rPr>
        <w:t>五、</w:t>
      </w:r>
      <w:r>
        <w:rPr>
          <w:rFonts w:hint="eastAsia" w:eastAsia="宋体"/>
          <w:sz w:val="28"/>
          <w:szCs w:val="24"/>
          <w:highlight w:val="none"/>
          <w:lang w:eastAsia="zh-CN"/>
        </w:rPr>
        <w:t>采购人</w:t>
      </w:r>
      <w:r>
        <w:rPr>
          <w:rFonts w:hint="default" w:ascii="宋体" w:hAnsi="宋体" w:eastAsia="宋体"/>
          <w:sz w:val="28"/>
          <w:szCs w:val="24"/>
          <w:highlight w:val="none"/>
        </w:rPr>
        <w:t>提供的便利条件</w:t>
      </w:r>
      <w:bookmarkEnd w:id="454"/>
      <w:bookmarkEnd w:id="455"/>
      <w:bookmarkEnd w:id="456"/>
      <w:bookmarkEnd w:id="457"/>
      <w:bookmarkEnd w:id="458"/>
      <w:bookmarkEnd w:id="459"/>
    </w:p>
    <w:p w14:paraId="658D247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w:t>
      </w:r>
      <w:r>
        <w:rPr>
          <w:rFonts w:hint="eastAsia" w:hAnsi="宋体"/>
          <w:sz w:val="21"/>
          <w:szCs w:val="24"/>
          <w:highlight w:val="none"/>
          <w:lang w:eastAsia="zh-CN"/>
        </w:rPr>
        <w:t>采购人</w:t>
      </w:r>
      <w:r>
        <w:rPr>
          <w:rFonts w:hint="default" w:hAnsi="宋体"/>
          <w:sz w:val="21"/>
          <w:szCs w:val="24"/>
          <w:highlight w:val="none"/>
        </w:rPr>
        <w:t>提供的生活条件</w:t>
      </w:r>
    </w:p>
    <w:p w14:paraId="14EE7222">
      <w:pPr>
        <w:overflowPunct w:val="0"/>
        <w:spacing w:line="360" w:lineRule="auto"/>
        <w:ind w:firstLine="420" w:firstLineChars="200"/>
        <w:rPr>
          <w:rFonts w:hint="default" w:hAnsi="宋体"/>
          <w:sz w:val="21"/>
          <w:szCs w:val="24"/>
          <w:highlight w:val="none"/>
        </w:rPr>
      </w:pPr>
      <w:r>
        <w:rPr>
          <w:rFonts w:hint="eastAsia" w:hAnsi="宋体"/>
          <w:sz w:val="21"/>
          <w:szCs w:val="24"/>
          <w:highlight w:val="none"/>
          <w:lang w:eastAsia="zh-CN"/>
        </w:rPr>
        <w:t>采购人</w:t>
      </w:r>
      <w:r>
        <w:rPr>
          <w:rFonts w:hint="default" w:hAnsi="宋体"/>
          <w:sz w:val="21"/>
          <w:szCs w:val="24"/>
          <w:highlight w:val="none"/>
        </w:rPr>
        <w:t>在条件允许情况下为监理人在现场的生活提供便利，费用由监理人承担。</w:t>
      </w:r>
    </w:p>
    <w:p w14:paraId="5C4F8EC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w:t>
      </w:r>
      <w:r>
        <w:rPr>
          <w:rFonts w:hint="eastAsia" w:hAnsi="宋体"/>
          <w:sz w:val="21"/>
          <w:szCs w:val="24"/>
          <w:highlight w:val="none"/>
          <w:lang w:eastAsia="zh-CN"/>
        </w:rPr>
        <w:t>采购人</w:t>
      </w:r>
      <w:r>
        <w:rPr>
          <w:rFonts w:hint="default" w:hAnsi="宋体"/>
          <w:sz w:val="21"/>
          <w:szCs w:val="24"/>
          <w:highlight w:val="none"/>
        </w:rPr>
        <w:t>提供的交通条件</w:t>
      </w:r>
    </w:p>
    <w:p w14:paraId="6DBA88FE">
      <w:pPr>
        <w:overflowPunct w:val="0"/>
        <w:spacing w:line="360" w:lineRule="auto"/>
        <w:ind w:firstLine="420" w:firstLineChars="200"/>
        <w:rPr>
          <w:rFonts w:hint="default" w:hAnsi="宋体"/>
          <w:sz w:val="21"/>
          <w:szCs w:val="24"/>
          <w:highlight w:val="none"/>
        </w:rPr>
      </w:pPr>
      <w:r>
        <w:rPr>
          <w:rFonts w:hint="eastAsia" w:hAnsi="宋体"/>
          <w:sz w:val="21"/>
          <w:szCs w:val="24"/>
          <w:highlight w:val="none"/>
          <w:lang w:eastAsia="zh-CN"/>
        </w:rPr>
        <w:t>采购人</w:t>
      </w:r>
      <w:r>
        <w:rPr>
          <w:rFonts w:hint="default" w:hAnsi="宋体"/>
          <w:sz w:val="21"/>
          <w:szCs w:val="24"/>
          <w:highlight w:val="none"/>
        </w:rPr>
        <w:t>不为监理人提供交通工具等，由监理人自行负责。监理服务范围内，监理人员的往来交通费用由监理人自理，监理人根据</w:t>
      </w:r>
      <w:r>
        <w:rPr>
          <w:rFonts w:hint="eastAsia" w:hAnsi="宋体"/>
          <w:sz w:val="21"/>
          <w:szCs w:val="24"/>
          <w:highlight w:val="none"/>
          <w:lang w:eastAsia="zh-CN"/>
        </w:rPr>
        <w:t>采购人</w:t>
      </w:r>
      <w:r>
        <w:rPr>
          <w:rFonts w:hint="default" w:hAnsi="宋体"/>
          <w:sz w:val="21"/>
          <w:szCs w:val="24"/>
          <w:highlight w:val="none"/>
        </w:rPr>
        <w:t>要求或</w:t>
      </w:r>
      <w:r>
        <w:rPr>
          <w:rFonts w:hint="eastAsia" w:hAnsi="宋体"/>
          <w:sz w:val="21"/>
          <w:szCs w:val="24"/>
          <w:highlight w:val="none"/>
          <w:lang w:eastAsia="zh-CN"/>
        </w:rPr>
        <w:t>采购人</w:t>
      </w:r>
      <w:r>
        <w:rPr>
          <w:rFonts w:hint="default" w:hAnsi="宋体"/>
          <w:sz w:val="21"/>
          <w:szCs w:val="24"/>
          <w:highlight w:val="none"/>
        </w:rPr>
        <w:t>安排的对工程所用的原材料、构配件、设备的生产厂家及其它施工工地进行考察或参加设备的验收及材料的抽查送检，所发生的旅差费也应由监理人自行负责。</w:t>
      </w:r>
    </w:p>
    <w:p w14:paraId="06E4767A">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w:t>
      </w:r>
      <w:r>
        <w:rPr>
          <w:rFonts w:hint="eastAsia" w:hAnsi="宋体"/>
          <w:sz w:val="21"/>
          <w:szCs w:val="24"/>
          <w:highlight w:val="none"/>
          <w:lang w:eastAsia="zh-CN"/>
        </w:rPr>
        <w:t>采购人</w:t>
      </w:r>
      <w:r>
        <w:rPr>
          <w:rFonts w:hint="default" w:hAnsi="宋体"/>
          <w:sz w:val="21"/>
          <w:szCs w:val="24"/>
          <w:highlight w:val="none"/>
        </w:rPr>
        <w:t>提供的网络、通讯条件</w:t>
      </w:r>
    </w:p>
    <w:p w14:paraId="33840E24">
      <w:pPr>
        <w:overflowPunct w:val="0"/>
        <w:spacing w:line="360" w:lineRule="auto"/>
        <w:ind w:firstLine="420" w:firstLineChars="200"/>
        <w:rPr>
          <w:rFonts w:hint="default" w:hAnsi="宋体"/>
          <w:sz w:val="21"/>
          <w:szCs w:val="24"/>
          <w:highlight w:val="none"/>
        </w:rPr>
      </w:pPr>
      <w:r>
        <w:rPr>
          <w:rFonts w:hint="eastAsia" w:hAnsi="宋体"/>
          <w:sz w:val="21"/>
          <w:szCs w:val="24"/>
          <w:highlight w:val="none"/>
          <w:lang w:eastAsia="zh-CN"/>
        </w:rPr>
        <w:t>采购人</w:t>
      </w:r>
      <w:r>
        <w:rPr>
          <w:rFonts w:hint="default" w:hAnsi="宋体"/>
          <w:sz w:val="21"/>
          <w:szCs w:val="24"/>
          <w:highlight w:val="none"/>
        </w:rPr>
        <w:t>在条件允许情况下为监理在现场的网络、通讯条件提供便利，费用由监理人承担。</w:t>
      </w:r>
    </w:p>
    <w:p w14:paraId="25A3B53F">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w:t>
      </w:r>
      <w:r>
        <w:rPr>
          <w:rFonts w:hint="eastAsia" w:hAnsi="宋体"/>
          <w:sz w:val="21"/>
          <w:szCs w:val="24"/>
          <w:highlight w:val="none"/>
          <w:lang w:eastAsia="zh-CN"/>
        </w:rPr>
        <w:t>采购人</w:t>
      </w:r>
      <w:r>
        <w:rPr>
          <w:rFonts w:hint="default" w:hAnsi="宋体"/>
          <w:sz w:val="21"/>
          <w:szCs w:val="24"/>
          <w:highlight w:val="none"/>
        </w:rPr>
        <w:t>提供的协助人员</w:t>
      </w:r>
    </w:p>
    <w:p w14:paraId="6C5B510F">
      <w:pPr>
        <w:overflowPunct w:val="0"/>
        <w:spacing w:line="360" w:lineRule="auto"/>
        <w:ind w:firstLine="420" w:firstLineChars="200"/>
        <w:rPr>
          <w:rFonts w:hint="default" w:hAnsi="宋体"/>
          <w:sz w:val="21"/>
          <w:szCs w:val="24"/>
          <w:highlight w:val="none"/>
        </w:rPr>
      </w:pPr>
      <w:r>
        <w:rPr>
          <w:rFonts w:hint="eastAsia" w:hAnsi="宋体"/>
          <w:sz w:val="21"/>
          <w:szCs w:val="24"/>
          <w:highlight w:val="none"/>
          <w:lang w:eastAsia="zh-CN"/>
        </w:rPr>
        <w:t>采购人</w:t>
      </w:r>
      <w:r>
        <w:rPr>
          <w:rFonts w:hint="default" w:hAnsi="宋体"/>
          <w:sz w:val="21"/>
          <w:szCs w:val="24"/>
          <w:highlight w:val="none"/>
        </w:rPr>
        <w:t>不向监理人提供协助人员。</w:t>
      </w:r>
    </w:p>
    <w:p w14:paraId="1567B86A">
      <w:pPr>
        <w:pStyle w:val="5"/>
        <w:tabs>
          <w:tab w:val="left" w:pos="502"/>
        </w:tabs>
        <w:overflowPunct w:val="0"/>
        <w:spacing w:line="360" w:lineRule="auto"/>
        <w:ind w:left="0" w:firstLine="0"/>
        <w:rPr>
          <w:rFonts w:hint="default" w:ascii="宋体" w:hAnsi="宋体" w:eastAsia="宋体"/>
          <w:sz w:val="28"/>
          <w:szCs w:val="24"/>
          <w:highlight w:val="none"/>
        </w:rPr>
      </w:pPr>
      <w:bookmarkStart w:id="460" w:name="bookmark171"/>
      <w:bookmarkEnd w:id="460"/>
      <w:bookmarkStart w:id="461" w:name="_Toc1860115558"/>
      <w:bookmarkStart w:id="462" w:name="_Toc1008210140"/>
      <w:bookmarkStart w:id="463" w:name="_Toc146500151"/>
      <w:bookmarkStart w:id="464" w:name="_Toc1846423698"/>
      <w:bookmarkStart w:id="465" w:name="_Toc1627983850"/>
      <w:bookmarkStart w:id="466" w:name="_Toc1511897038"/>
      <w:r>
        <w:rPr>
          <w:rFonts w:hint="default" w:ascii="宋体" w:hAnsi="宋体" w:eastAsia="宋体"/>
          <w:sz w:val="28"/>
          <w:szCs w:val="24"/>
          <w:highlight w:val="none"/>
        </w:rPr>
        <w:t>六、监理人需要自备的工作条件</w:t>
      </w:r>
      <w:bookmarkEnd w:id="461"/>
      <w:bookmarkEnd w:id="462"/>
      <w:bookmarkEnd w:id="463"/>
      <w:bookmarkEnd w:id="464"/>
      <w:bookmarkEnd w:id="465"/>
      <w:bookmarkEnd w:id="466"/>
    </w:p>
    <w:p w14:paraId="67340C12">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 监理人自备的工作手册：如本项目必备的规范标准、图集等</w:t>
      </w:r>
    </w:p>
    <w:p w14:paraId="64F67DB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2. 监理人自备的办公设备：如电脑、软件、投影、打印机、复印机、照相机等</w:t>
      </w:r>
    </w:p>
    <w:p w14:paraId="0785D83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3. 监理人自备的交通工具：如出行车辆等</w:t>
      </w:r>
    </w:p>
    <w:p w14:paraId="04442C7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4. 监理人自备的现场办公设施：如办公桌椅、文件柜等</w:t>
      </w:r>
    </w:p>
    <w:p w14:paraId="5A779492">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5. 监理人自备的安全设施：如安全帽、安全鞋、手电筒等</w:t>
      </w:r>
    </w:p>
    <w:p w14:paraId="55B4E9F6">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6. 监理人自备的试验检测仪器、设备、工具</w:t>
      </w:r>
    </w:p>
    <w:p w14:paraId="29CBC549">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7. 监理人自备的试验用房、样品用房</w:t>
      </w:r>
    </w:p>
    <w:p w14:paraId="7BD811B6">
      <w:pPr>
        <w:pStyle w:val="5"/>
        <w:tabs>
          <w:tab w:val="left" w:pos="502"/>
        </w:tabs>
        <w:overflowPunct w:val="0"/>
        <w:spacing w:line="360" w:lineRule="auto"/>
        <w:ind w:left="0" w:firstLine="0"/>
        <w:rPr>
          <w:rFonts w:hint="default" w:ascii="宋体" w:hAnsi="宋体" w:eastAsia="宋体"/>
          <w:sz w:val="28"/>
          <w:szCs w:val="24"/>
          <w:highlight w:val="none"/>
        </w:rPr>
      </w:pPr>
      <w:bookmarkStart w:id="467" w:name="bookmark172"/>
      <w:bookmarkEnd w:id="467"/>
      <w:bookmarkStart w:id="468" w:name="_Toc146500152"/>
      <w:bookmarkStart w:id="469" w:name="_Toc355310570"/>
      <w:bookmarkStart w:id="470" w:name="_Toc102873676"/>
      <w:bookmarkStart w:id="471" w:name="_Toc1184107598"/>
      <w:bookmarkStart w:id="472" w:name="_Toc210098253"/>
      <w:bookmarkStart w:id="473" w:name="_Toc1682199193"/>
      <w:r>
        <w:rPr>
          <w:rFonts w:hint="default" w:ascii="宋体" w:hAnsi="宋体" w:eastAsia="宋体"/>
          <w:sz w:val="28"/>
          <w:szCs w:val="24"/>
          <w:highlight w:val="none"/>
        </w:rPr>
        <w:t>七、</w:t>
      </w:r>
      <w:r>
        <w:rPr>
          <w:rFonts w:hint="eastAsia" w:eastAsia="宋体"/>
          <w:sz w:val="28"/>
          <w:szCs w:val="24"/>
          <w:highlight w:val="none"/>
          <w:lang w:eastAsia="zh-CN"/>
        </w:rPr>
        <w:t>采购人</w:t>
      </w:r>
      <w:r>
        <w:rPr>
          <w:rFonts w:hint="default" w:ascii="宋体" w:hAnsi="宋体" w:eastAsia="宋体"/>
          <w:sz w:val="28"/>
          <w:szCs w:val="24"/>
          <w:highlight w:val="none"/>
        </w:rPr>
        <w:t>的其他要求</w:t>
      </w:r>
      <w:bookmarkEnd w:id="468"/>
      <w:bookmarkEnd w:id="469"/>
      <w:bookmarkEnd w:id="470"/>
      <w:bookmarkEnd w:id="471"/>
      <w:bookmarkEnd w:id="472"/>
      <w:bookmarkEnd w:id="473"/>
    </w:p>
    <w:p w14:paraId="6B4C224E">
      <w:pPr>
        <w:overflowPunct w:val="0"/>
        <w:spacing w:line="360" w:lineRule="auto"/>
        <w:ind w:firstLine="420" w:firstLineChars="200"/>
        <w:rPr>
          <w:rFonts w:hint="default" w:hAnsi="宋体"/>
          <w:sz w:val="21"/>
          <w:szCs w:val="24"/>
          <w:highlight w:val="none"/>
        </w:rPr>
      </w:pPr>
      <w:r>
        <w:rPr>
          <w:rFonts w:hint="eastAsia" w:hAnsi="宋体"/>
          <w:sz w:val="21"/>
          <w:szCs w:val="24"/>
          <w:highlight w:val="none"/>
          <w:lang w:eastAsia="zh-CN"/>
        </w:rPr>
        <w:t>采购人</w:t>
      </w:r>
      <w:r>
        <w:rPr>
          <w:rFonts w:hint="default" w:hAnsi="宋体"/>
          <w:sz w:val="21"/>
          <w:szCs w:val="24"/>
          <w:highlight w:val="none"/>
        </w:rPr>
        <w:t>的其他要求</w:t>
      </w:r>
    </w:p>
    <w:p w14:paraId="464AA12B">
      <w:pPr>
        <w:overflowPunct w:val="0"/>
        <w:spacing w:line="360" w:lineRule="auto"/>
        <w:ind w:firstLine="420" w:firstLineChars="200"/>
        <w:rPr>
          <w:rFonts w:hint="default" w:hAnsi="宋体"/>
          <w:sz w:val="21"/>
          <w:szCs w:val="24"/>
          <w:highlight w:val="none"/>
        </w:rPr>
      </w:pPr>
      <w:r>
        <w:rPr>
          <w:rFonts w:hint="default" w:hAnsi="宋体"/>
          <w:sz w:val="21"/>
          <w:szCs w:val="24"/>
          <w:highlight w:val="none"/>
        </w:rPr>
        <w:t>1.监理人应逐月提交服务期的监理人员考勤。</w:t>
      </w:r>
    </w:p>
    <w:p w14:paraId="561472E3">
      <w:pPr>
        <w:pageBreakBefore w:val="0"/>
        <w:kinsoku/>
        <w:wordWrap/>
        <w:overflowPunct/>
        <w:bidi w:val="0"/>
        <w:spacing w:beforeLines="0" w:afterLines="0" w:line="360" w:lineRule="auto"/>
        <w:ind w:firstLine="420" w:firstLineChars="200"/>
        <w:textAlignment w:val="auto"/>
        <w:rPr>
          <w:rFonts w:hint="default" w:hAnsi="宋体"/>
          <w:color w:val="auto"/>
          <w:sz w:val="21"/>
          <w:szCs w:val="24"/>
          <w:highlight w:val="none"/>
        </w:rPr>
      </w:pPr>
      <w:r>
        <w:rPr>
          <w:rFonts w:hint="default" w:hAnsi="宋体"/>
          <w:sz w:val="21"/>
          <w:szCs w:val="24"/>
          <w:highlight w:val="none"/>
        </w:rPr>
        <w:t>2.保密：在监理合同有效期间或监理合同专用条款规定的期限内，未经业主的书面同意，监理单位不得泄露业主与本项目、本工程、本监理合同有关的保密资料。</w:t>
      </w:r>
    </w:p>
    <w:p w14:paraId="01E94B34">
      <w:pPr>
        <w:keepNext w:val="0"/>
        <w:keepLines w:val="0"/>
        <w:pageBreakBefore w:val="0"/>
        <w:kinsoku/>
        <w:wordWrap/>
        <w:overflowPunct/>
        <w:topLinePunct w:val="0"/>
        <w:autoSpaceDE/>
        <w:autoSpaceDN/>
        <w:bidi w:val="0"/>
        <w:adjustRightInd w:val="0"/>
        <w:snapToGrid w:val="0"/>
        <w:spacing w:before="0" w:line="360" w:lineRule="auto"/>
        <w:ind w:firstLine="420" w:firstLineChars="200"/>
        <w:jc w:val="both"/>
        <w:outlineLvl w:val="9"/>
        <w:rPr>
          <w:rFonts w:hint="eastAsia" w:ascii="宋体" w:hAnsi="宋体" w:eastAsia="宋体" w:cs="宋体"/>
          <w:color w:val="auto"/>
          <w:highlight w:val="none"/>
        </w:rPr>
      </w:pPr>
    </w:p>
    <w:p w14:paraId="0A198005">
      <w:pPr>
        <w:pStyle w:val="23"/>
        <w:rPr>
          <w:rFonts w:hint="eastAsia" w:ascii="宋体" w:hAnsi="宋体" w:eastAsia="宋体" w:cs="宋体"/>
          <w:color w:val="auto"/>
          <w:highlight w:val="none"/>
        </w:rPr>
      </w:pPr>
    </w:p>
    <w:p w14:paraId="2F600A0B">
      <w:pPr>
        <w:rPr>
          <w:rFonts w:hint="eastAsia" w:ascii="宋体" w:hAnsi="宋体" w:eastAsia="宋体" w:cs="宋体"/>
          <w:color w:val="auto"/>
          <w:highlight w:val="none"/>
        </w:rPr>
      </w:pPr>
    </w:p>
    <w:p w14:paraId="15D683F8">
      <w:pPr>
        <w:pStyle w:val="23"/>
        <w:rPr>
          <w:rFonts w:hint="eastAsia" w:ascii="宋体" w:hAnsi="宋体" w:eastAsia="宋体" w:cs="宋体"/>
          <w:color w:val="auto"/>
          <w:highlight w:val="none"/>
        </w:rPr>
      </w:pPr>
    </w:p>
    <w:p w14:paraId="6F03DD88">
      <w:pPr>
        <w:rPr>
          <w:rFonts w:hint="eastAsia" w:ascii="宋体" w:hAnsi="宋体" w:eastAsia="宋体" w:cs="宋体"/>
          <w:color w:val="auto"/>
          <w:highlight w:val="none"/>
        </w:rPr>
      </w:pPr>
    </w:p>
    <w:p w14:paraId="2CDFE298">
      <w:pPr>
        <w:pStyle w:val="23"/>
        <w:rPr>
          <w:rFonts w:hint="eastAsia"/>
          <w:highlight w:val="none"/>
        </w:rPr>
      </w:pPr>
    </w:p>
    <w:p w14:paraId="2E5B0CB9">
      <w:pPr>
        <w:pStyle w:val="45"/>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bookmarkStart w:id="474" w:name="_Toc13384"/>
      <w:bookmarkStart w:id="475" w:name="_Toc18880"/>
      <w:bookmarkStart w:id="476" w:name="_Toc16009"/>
      <w:bookmarkStart w:id="477" w:name="_Toc27242"/>
      <w:bookmarkStart w:id="478" w:name="_Toc13425"/>
      <w:bookmarkStart w:id="479" w:name="_Toc30410"/>
      <w:bookmarkStart w:id="480" w:name="_Toc2000007967"/>
      <w:bookmarkStart w:id="481" w:name="_Toc972989012"/>
      <w:bookmarkStart w:id="482" w:name="_Toc26626"/>
      <w:bookmarkStart w:id="483" w:name="_Toc1639388438"/>
      <w:bookmarkStart w:id="484" w:name="_Toc553280265"/>
      <w:bookmarkStart w:id="485" w:name="_Toc178424011"/>
      <w:r>
        <w:rPr>
          <w:rFonts w:hint="eastAsia" w:ascii="宋体" w:hAnsi="宋体" w:eastAsia="宋体" w:cs="宋体"/>
          <w:color w:val="auto"/>
          <w:highlight w:val="none"/>
          <w:lang w:val="en-US" w:eastAsia="zh-CN"/>
        </w:rPr>
        <w:t>第六</w:t>
      </w:r>
      <w:r>
        <w:rPr>
          <w:rFonts w:hint="eastAsia" w:ascii="宋体" w:hAnsi="宋体" w:eastAsia="宋体" w:cs="宋体"/>
          <w:color w:val="auto"/>
          <w:highlight w:val="none"/>
        </w:rPr>
        <w:t xml:space="preserve">章  </w:t>
      </w:r>
      <w:bookmarkEnd w:id="367"/>
      <w:bookmarkEnd w:id="474"/>
      <w:bookmarkEnd w:id="475"/>
      <w:bookmarkEnd w:id="476"/>
      <w:bookmarkEnd w:id="477"/>
      <w:bookmarkEnd w:id="478"/>
      <w:bookmarkEnd w:id="479"/>
      <w:r>
        <w:rPr>
          <w:rFonts w:hint="eastAsia" w:ascii="宋体" w:hAnsi="宋体" w:eastAsia="宋体" w:cs="宋体"/>
          <w:color w:val="auto"/>
          <w:highlight w:val="none"/>
        </w:rPr>
        <w:t>竞争性谈判响应文件格式</w:t>
      </w:r>
      <w:bookmarkEnd w:id="480"/>
      <w:bookmarkEnd w:id="481"/>
      <w:bookmarkEnd w:id="482"/>
      <w:bookmarkEnd w:id="483"/>
      <w:bookmarkEnd w:id="484"/>
      <w:bookmarkEnd w:id="485"/>
    </w:p>
    <w:p w14:paraId="68310BC3">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bookmarkStart w:id="486" w:name="_Toc317688899"/>
      <w:bookmarkStart w:id="487" w:name="_Toc58941270"/>
      <w:bookmarkStart w:id="488" w:name="_Toc308708470"/>
      <w:bookmarkStart w:id="489" w:name="_Toc261778021"/>
    </w:p>
    <w:p w14:paraId="7B0158D9">
      <w:pPr>
        <w:pStyle w:val="2"/>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b/>
          <w:color w:val="auto"/>
          <w:sz w:val="32"/>
          <w:szCs w:val="32"/>
          <w:highlight w:val="none"/>
        </w:rPr>
      </w:pPr>
    </w:p>
    <w:p w14:paraId="10A88723">
      <w:pPr>
        <w:pStyle w:val="2"/>
        <w:keepNext w:val="0"/>
        <w:keepLines w:val="0"/>
        <w:pageBreakBefore w:val="0"/>
        <w:widowControl w:val="0"/>
        <w:kinsoku/>
        <w:wordWrap/>
        <w:overflowPunct/>
        <w:topLinePunct w:val="0"/>
        <w:bidi w:val="0"/>
        <w:snapToGrid/>
        <w:spacing w:line="360" w:lineRule="auto"/>
        <w:jc w:val="center"/>
        <w:textAlignment w:val="auto"/>
        <w:rPr>
          <w:rFonts w:hint="default" w:ascii="宋体" w:hAnsi="宋体" w:eastAsia="宋体" w:cs="宋体"/>
          <w:b/>
          <w:color w:val="auto"/>
          <w:kern w:val="0"/>
          <w:sz w:val="52"/>
          <w:szCs w:val="52"/>
          <w:highlight w:val="none"/>
          <w:lang w:val="en-US"/>
        </w:rPr>
      </w:pPr>
      <w:r>
        <w:rPr>
          <w:rFonts w:hint="eastAsia" w:hAnsi="宋体" w:eastAsia="宋体" w:cs="宋体"/>
          <w:b/>
          <w:color w:val="auto"/>
          <w:kern w:val="0"/>
          <w:sz w:val="58"/>
          <w:szCs w:val="58"/>
          <w:highlight w:val="none"/>
          <w:u w:val="single"/>
          <w:lang w:val="en-US" w:eastAsia="zh-CN"/>
        </w:rPr>
        <w:t xml:space="preserve">            （项目名称）</w:t>
      </w:r>
    </w:p>
    <w:p w14:paraId="5AC9CCBD">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27B112CD">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3BA19A0F">
      <w:pPr>
        <w:keepNext w:val="0"/>
        <w:keepLines w:val="0"/>
        <w:pageBreakBefore w:val="0"/>
        <w:widowControl w:val="0"/>
        <w:tabs>
          <w:tab w:val="left" w:pos="8380"/>
        </w:tabs>
        <w:kinsoku/>
        <w:wordWrap/>
        <w:overflowPunct/>
        <w:topLinePunct w:val="0"/>
        <w:bidi w:val="0"/>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ab/>
      </w:r>
    </w:p>
    <w:p w14:paraId="56858548">
      <w:pPr>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竞争性谈判</w:t>
      </w:r>
      <w:r>
        <w:rPr>
          <w:rFonts w:hint="eastAsia" w:ascii="宋体" w:hAnsi="宋体" w:eastAsia="宋体" w:cs="宋体"/>
          <w:b/>
          <w:bCs/>
          <w:color w:val="auto"/>
          <w:sz w:val="72"/>
          <w:szCs w:val="72"/>
          <w:highlight w:val="none"/>
          <w:lang w:val="en-US" w:eastAsia="zh-CN"/>
        </w:rPr>
        <w:t>响应</w:t>
      </w:r>
      <w:r>
        <w:rPr>
          <w:rFonts w:hint="eastAsia" w:ascii="宋体" w:hAnsi="宋体" w:eastAsia="宋体" w:cs="宋体"/>
          <w:b/>
          <w:bCs/>
          <w:color w:val="auto"/>
          <w:sz w:val="72"/>
          <w:szCs w:val="72"/>
          <w:highlight w:val="none"/>
        </w:rPr>
        <w:t>文件</w:t>
      </w:r>
    </w:p>
    <w:p w14:paraId="531D8FC8">
      <w:pPr>
        <w:pStyle w:val="2"/>
        <w:keepNext w:val="0"/>
        <w:keepLines w:val="0"/>
        <w:pageBreakBefore w:val="0"/>
        <w:widowControl w:val="0"/>
        <w:kinsoku/>
        <w:wordWrap/>
        <w:overflowPunct/>
        <w:topLinePunct w:val="0"/>
        <w:bidi w:val="0"/>
        <w:snapToGrid/>
        <w:spacing w:line="360" w:lineRule="auto"/>
        <w:ind w:firstLine="600" w:firstLineChars="250"/>
        <w:textAlignment w:val="auto"/>
        <w:rPr>
          <w:rFonts w:hint="eastAsia" w:ascii="宋体" w:hAnsi="宋体" w:eastAsia="宋体" w:cs="宋体"/>
          <w:color w:val="auto"/>
          <w:sz w:val="24"/>
          <w:highlight w:val="none"/>
        </w:rPr>
      </w:pPr>
    </w:p>
    <w:p w14:paraId="6854CFEB">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4"/>
          <w:highlight w:val="none"/>
        </w:rPr>
      </w:pPr>
    </w:p>
    <w:p w14:paraId="2E798EB2">
      <w:pPr>
        <w:pStyle w:val="2"/>
        <w:keepNext w:val="0"/>
        <w:keepLines w:val="0"/>
        <w:pageBreakBefore w:val="0"/>
        <w:widowControl w:val="0"/>
        <w:kinsoku/>
        <w:wordWrap/>
        <w:overflowPunct/>
        <w:topLinePunct w:val="0"/>
        <w:bidi w:val="0"/>
        <w:snapToGrid/>
        <w:spacing w:line="360" w:lineRule="auto"/>
        <w:ind w:firstLine="900" w:firstLineChars="300"/>
        <w:textAlignment w:val="auto"/>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供应商：</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(单位公章)</w:t>
      </w:r>
    </w:p>
    <w:p w14:paraId="1728DF69">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30"/>
          <w:szCs w:val="30"/>
          <w:highlight w:val="none"/>
        </w:rPr>
      </w:pPr>
    </w:p>
    <w:p w14:paraId="1BC611B4">
      <w:pPr>
        <w:pStyle w:val="2"/>
        <w:keepNext w:val="0"/>
        <w:keepLines w:val="0"/>
        <w:pageBreakBefore w:val="0"/>
        <w:widowControl w:val="0"/>
        <w:kinsoku/>
        <w:wordWrap/>
        <w:overflowPunct/>
        <w:topLinePunct w:val="0"/>
        <w:bidi w:val="0"/>
        <w:snapToGrid/>
        <w:spacing w:line="360" w:lineRule="auto"/>
        <w:ind w:firstLine="900" w:firstLineChars="300"/>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法定代表人或其委托代理人：</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（签字</w:t>
      </w:r>
      <w:r>
        <w:rPr>
          <w:rFonts w:hint="eastAsia" w:ascii="宋体" w:hAnsi="宋体" w:eastAsia="宋体" w:cs="宋体"/>
          <w:color w:val="auto"/>
          <w:sz w:val="30"/>
          <w:szCs w:val="30"/>
          <w:highlight w:val="none"/>
          <w:lang w:val="en-US" w:eastAsia="zh-CN"/>
        </w:rPr>
        <w:t>或签章</w:t>
      </w:r>
      <w:r>
        <w:rPr>
          <w:rFonts w:hint="eastAsia" w:ascii="宋体" w:hAnsi="宋体" w:eastAsia="宋体" w:cs="宋体"/>
          <w:color w:val="auto"/>
          <w:sz w:val="30"/>
          <w:szCs w:val="30"/>
          <w:highlight w:val="none"/>
        </w:rPr>
        <w:t>）</w:t>
      </w:r>
    </w:p>
    <w:p w14:paraId="3B65F353">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59568064">
      <w:pPr>
        <w:pStyle w:val="2"/>
        <w:keepNext w:val="0"/>
        <w:keepLines w:val="0"/>
        <w:pageBreakBefore w:val="0"/>
        <w:widowControl w:val="0"/>
        <w:kinsoku/>
        <w:wordWrap/>
        <w:overflowPunct/>
        <w:topLinePunct w:val="0"/>
        <w:bidi w:val="0"/>
        <w:snapToGrid/>
        <w:spacing w:line="360" w:lineRule="auto"/>
        <w:ind w:firstLine="5100" w:firstLineChars="1700"/>
        <w:textAlignment w:val="auto"/>
        <w:rPr>
          <w:rFonts w:hint="eastAsia" w:ascii="宋体" w:hAnsi="宋体" w:eastAsia="宋体" w:cs="宋体"/>
          <w:color w:val="auto"/>
          <w:szCs w:val="21"/>
          <w:highlight w:val="none"/>
        </w:rPr>
      </w:pPr>
      <w:r>
        <w:rPr>
          <w:rFonts w:hint="eastAsia" w:ascii="宋体" w:hAnsi="宋体" w:eastAsia="宋体" w:cs="宋体"/>
          <w:color w:val="auto"/>
          <w:sz w:val="30"/>
          <w:szCs w:val="30"/>
          <w:highlight w:val="none"/>
        </w:rPr>
        <w:t>年      月      日</w:t>
      </w:r>
      <w:r>
        <w:rPr>
          <w:rFonts w:hint="eastAsia" w:ascii="宋体" w:hAnsi="宋体" w:eastAsia="宋体" w:cs="宋体"/>
          <w:color w:val="auto"/>
          <w:szCs w:val="21"/>
          <w:highlight w:val="none"/>
        </w:rPr>
        <w:br w:type="page"/>
      </w:r>
    </w:p>
    <w:p w14:paraId="79B0A3A3">
      <w:pPr>
        <w:pageBreakBefore w:val="0"/>
        <w:kinsoku/>
        <w:wordWrap/>
        <w:overflowPunct/>
        <w:bidi w:val="0"/>
        <w:spacing w:after="200" w:line="360" w:lineRule="auto"/>
        <w:jc w:val="center"/>
        <w:textAlignment w:val="auto"/>
        <w:outlineLvl w:val="1"/>
        <w:rPr>
          <w:rStyle w:val="62"/>
          <w:rFonts w:hint="eastAsia" w:ascii="宋体" w:hAnsi="宋体" w:cs="宋体"/>
          <w:color w:val="auto"/>
          <w:sz w:val="32"/>
          <w:szCs w:val="32"/>
          <w:highlight w:val="none"/>
          <w:lang w:eastAsia="zh-TW"/>
        </w:rPr>
      </w:pPr>
      <w:bookmarkStart w:id="490" w:name="_Toc1333153718"/>
      <w:bookmarkStart w:id="491" w:name="_Toc997790132"/>
      <w:bookmarkStart w:id="492" w:name="_Toc1802739161"/>
      <w:bookmarkStart w:id="493" w:name="_Toc1381801979"/>
      <w:bookmarkStart w:id="494" w:name="_Toc691694524"/>
      <w:bookmarkStart w:id="495" w:name="_Toc13001"/>
      <w:bookmarkStart w:id="496" w:name="_Toc13130"/>
      <w:bookmarkStart w:id="497" w:name="_Toc55229800"/>
      <w:bookmarkStart w:id="498" w:name="_Toc9449"/>
      <w:bookmarkStart w:id="499" w:name="_Toc55310068"/>
      <w:bookmarkStart w:id="500" w:name="_Toc55303755"/>
      <w:bookmarkStart w:id="501" w:name="_Toc440110294"/>
      <w:bookmarkStart w:id="502" w:name="_Toc2194"/>
      <w:bookmarkStart w:id="503" w:name="_Toc28542"/>
      <w:bookmarkStart w:id="504" w:name="_Toc23338"/>
      <w:bookmarkStart w:id="505" w:name="_Toc25527"/>
      <w:bookmarkStart w:id="506" w:name="_Toc11442"/>
      <w:bookmarkStart w:id="507" w:name="_Toc26208"/>
      <w:bookmarkStart w:id="508" w:name="_Toc17407"/>
      <w:bookmarkStart w:id="509" w:name="_Toc23101"/>
      <w:r>
        <w:rPr>
          <w:rStyle w:val="62"/>
          <w:rFonts w:hint="eastAsia" w:ascii="宋体" w:hAnsi="宋体" w:cs="宋体"/>
          <w:color w:val="auto"/>
          <w:sz w:val="32"/>
          <w:szCs w:val="32"/>
          <w:highlight w:val="none"/>
          <w:lang w:eastAsia="zh-TW"/>
        </w:rPr>
        <w:t>第一部分</w:t>
      </w:r>
      <w:r>
        <w:rPr>
          <w:rStyle w:val="62"/>
          <w:rFonts w:hint="eastAsia" w:ascii="宋体" w:hAnsi="宋体" w:cs="宋体"/>
          <w:color w:val="auto"/>
          <w:sz w:val="32"/>
          <w:szCs w:val="32"/>
          <w:highlight w:val="none"/>
        </w:rPr>
        <w:t xml:space="preserve">  </w:t>
      </w:r>
      <w:r>
        <w:rPr>
          <w:rStyle w:val="62"/>
          <w:rFonts w:hint="eastAsia" w:ascii="宋体" w:hAnsi="宋体" w:cs="宋体"/>
          <w:color w:val="auto"/>
          <w:sz w:val="32"/>
          <w:szCs w:val="32"/>
          <w:highlight w:val="none"/>
          <w:lang w:eastAsia="zh-TW"/>
        </w:rPr>
        <w:t>资格部分</w:t>
      </w:r>
    </w:p>
    <w:bookmarkEnd w:id="490"/>
    <w:bookmarkEnd w:id="491"/>
    <w:bookmarkEnd w:id="492"/>
    <w:bookmarkEnd w:id="493"/>
    <w:bookmarkEnd w:id="494"/>
    <w:p w14:paraId="6C83387D">
      <w:pPr>
        <w:keepNext w:val="0"/>
        <w:keepLines w:val="0"/>
        <w:pageBreakBefore w:val="0"/>
        <w:kinsoku/>
        <w:wordWrap/>
        <w:topLinePunct w:val="0"/>
        <w:autoSpaceDE w:val="0"/>
        <w:autoSpaceDN w:val="0"/>
        <w:bidi w:val="0"/>
        <w:adjustRightInd w:val="0"/>
        <w:spacing w:line="360" w:lineRule="auto"/>
        <w:jc w:val="both"/>
        <w:rPr>
          <w:rFonts w:hint="eastAsia" w:ascii="宋体" w:hAnsi="宋体" w:eastAsia="宋体" w:cs="宋体"/>
          <w:b/>
          <w:bCs/>
          <w:color w:val="auto"/>
          <w:kern w:val="0"/>
          <w:sz w:val="24"/>
          <w:szCs w:val="24"/>
          <w:highlight w:val="none"/>
        </w:rPr>
      </w:pPr>
      <w:bookmarkStart w:id="510" w:name="_Toc4286_WPSOffice_Level2"/>
      <w:bookmarkStart w:id="511" w:name="_Toc32536_WPSOffice_Level2"/>
      <w:r>
        <w:rPr>
          <w:rFonts w:hint="eastAsia" w:ascii="宋体" w:hAnsi="宋体" w:eastAsia="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一般要求</w:t>
      </w:r>
    </w:p>
    <w:p w14:paraId="62423D7E">
      <w:pPr>
        <w:keepNext w:val="0"/>
        <w:keepLines w:val="0"/>
        <w:pageBreakBefore w:val="0"/>
        <w:kinsoku/>
        <w:wordWrap/>
        <w:topLinePunct w:val="0"/>
        <w:bidi w:val="0"/>
        <w:spacing w:line="360" w:lineRule="auto"/>
        <w:outlineLvl w:val="9"/>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1.1</w:t>
      </w:r>
      <w:r>
        <w:rPr>
          <w:rFonts w:hint="eastAsia" w:ascii="宋体" w:hAnsi="宋体" w:cs="宋体"/>
          <w:b/>
          <w:bCs/>
          <w:color w:val="auto"/>
          <w:kern w:val="0"/>
          <w:sz w:val="24"/>
          <w:szCs w:val="24"/>
          <w:highlight w:val="none"/>
          <w:lang w:val="en-US" w:eastAsia="zh-CN"/>
        </w:rPr>
        <w:t xml:space="preserve"> </w:t>
      </w:r>
      <w:r>
        <w:rPr>
          <w:rFonts w:hint="eastAsia" w:ascii="宋体" w:hAnsi="宋体" w:eastAsia="宋体" w:cs="宋体"/>
          <w:b/>
          <w:bCs/>
          <w:color w:val="auto"/>
          <w:kern w:val="0"/>
          <w:sz w:val="24"/>
          <w:szCs w:val="24"/>
          <w:highlight w:val="none"/>
          <w:lang w:val="en-US" w:eastAsia="zh-CN"/>
        </w:rPr>
        <w:t>营业执照</w:t>
      </w:r>
      <w:r>
        <w:rPr>
          <w:rFonts w:hint="eastAsia" w:ascii="宋体" w:hAnsi="宋体" w:cs="宋体"/>
          <w:b/>
          <w:bCs/>
          <w:color w:val="auto"/>
          <w:kern w:val="0"/>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rPr>
        <w:t>供应商为中华人民共和国境内合法注册的独立企业法人或其他组织，具有独立承担民事责任能力，具有独立签订立合同的权利，营业执照应在有效期内。</w:t>
      </w:r>
    </w:p>
    <w:p w14:paraId="3CCA0B67">
      <w:pPr>
        <w:jc w:val="both"/>
        <w:rPr>
          <w:rFonts w:ascii="Times New Roman" w:hAnsi="Times New Roman" w:eastAsia="宋体" w:cs="Times New Roman"/>
          <w:kern w:val="2"/>
          <w:sz w:val="21"/>
          <w:highlight w:val="none"/>
          <w:lang w:val="en-US" w:eastAsia="zh-CN" w:bidi="ar-SA"/>
        </w:rPr>
      </w:pPr>
      <w:r>
        <w:rPr>
          <w:rFonts w:hint="eastAsia" w:ascii="宋体" w:hAnsi="宋体" w:cs="宋体"/>
          <w:highlight w:val="none"/>
        </w:rPr>
        <w:br w:type="page"/>
      </w:r>
    </w:p>
    <w:p w14:paraId="2173E104">
      <w:pPr>
        <w:pStyle w:val="48"/>
        <w:keepNext w:val="0"/>
        <w:keepLines w:val="0"/>
        <w:pageBreakBefore w:val="0"/>
        <w:kinsoku/>
        <w:wordWrap/>
        <w:topLinePunct w:val="0"/>
        <w:bidi w:val="0"/>
        <w:spacing w:line="360" w:lineRule="auto"/>
        <w:ind w:left="0" w:leftChars="0" w:firstLine="0" w:firstLineChars="0"/>
        <w:rPr>
          <w:rFonts w:hint="eastAsia" w:ascii="宋体" w:hAnsi="宋体" w:eastAsia="宋体" w:cs="宋体"/>
          <w:color w:val="auto"/>
          <w:highlight w:val="none"/>
          <w:lang w:val="en-US" w:eastAsia="zh-CN"/>
        </w:rPr>
      </w:pPr>
      <w:r>
        <w:rPr>
          <w:rFonts w:hint="eastAsia" w:eastAsia="宋体" w:cs="宋体"/>
          <w:color w:val="auto"/>
          <w:highlight w:val="none"/>
          <w:lang w:val="en-US" w:eastAsia="zh-CN"/>
        </w:rPr>
        <w:t xml:space="preserve">1.2 </w:t>
      </w:r>
      <w:r>
        <w:rPr>
          <w:rFonts w:hint="eastAsia" w:ascii="宋体" w:hAnsi="宋体" w:eastAsia="宋体" w:cs="宋体"/>
          <w:color w:val="auto"/>
          <w:highlight w:val="none"/>
          <w:lang w:val="en-US" w:eastAsia="zh-CN"/>
        </w:rPr>
        <w:t>信誉要求：</w:t>
      </w:r>
    </w:p>
    <w:p w14:paraId="5922306C">
      <w:pPr>
        <w:spacing w:line="360" w:lineRule="auto"/>
        <w:jc w:val="left"/>
        <w:outlineLvl w:val="9"/>
        <w:rPr>
          <w:rFonts w:hint="eastAsia" w:ascii="宋体" w:hAnsi="宋体" w:eastAsia="宋体" w:cs="宋体"/>
          <w:bCs/>
          <w:color w:val="auto"/>
          <w:sz w:val="24"/>
          <w:szCs w:val="24"/>
          <w:highlight w:val="none"/>
          <w:lang w:val="en-US" w:eastAsia="zh-CN"/>
        </w:rPr>
      </w:pPr>
      <w:r>
        <w:rPr>
          <w:rFonts w:hint="eastAsia" w:ascii="宋体" w:hAnsi="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lang w:val="en-US" w:eastAsia="zh-CN"/>
        </w:rPr>
        <w:t>2.1</w:t>
      </w:r>
      <w:r>
        <w:rPr>
          <w:rFonts w:hint="eastAsia" w:ascii="宋体" w:hAnsi="宋体" w:cs="宋体"/>
          <w:b/>
          <w:bCs/>
          <w:color w:val="auto"/>
          <w:kern w:val="0"/>
          <w:sz w:val="24"/>
          <w:szCs w:val="24"/>
          <w:highlight w:val="none"/>
          <w:lang w:val="en-US" w:eastAsia="zh-CN"/>
        </w:rPr>
        <w:t xml:space="preserve"> </w:t>
      </w:r>
      <w:r>
        <w:rPr>
          <w:rFonts w:hint="eastAsia" w:ascii="宋体" w:hAnsi="宋体" w:cs="宋体"/>
          <w:b w:val="0"/>
          <w:bCs/>
          <w:color w:val="auto"/>
          <w:kern w:val="2"/>
          <w:sz w:val="24"/>
          <w:szCs w:val="24"/>
          <w:highlight w:val="none"/>
          <w:lang w:val="en-US" w:eastAsia="zh-CN"/>
        </w:rPr>
        <w:t>供</w:t>
      </w:r>
      <w:r>
        <w:rPr>
          <w:rFonts w:hint="eastAsia" w:ascii="宋体" w:hAnsi="宋体" w:eastAsia="宋体" w:cs="宋体"/>
          <w:bCs/>
          <w:color w:val="auto"/>
          <w:sz w:val="24"/>
          <w:szCs w:val="24"/>
          <w:highlight w:val="none"/>
          <w:lang w:val="en-US" w:eastAsia="zh-CN"/>
        </w:rPr>
        <w:t>应商应当信誉良好，未被列入“信用中国”网站（www.creditchina.gov.cn）</w:t>
      </w:r>
      <w:r>
        <w:rPr>
          <w:rFonts w:hint="eastAsia" w:ascii="宋体" w:hAnsi="宋体" w:cs="宋体"/>
          <w:sz w:val="24"/>
          <w:szCs w:val="24"/>
          <w:highlight w:val="none"/>
        </w:rPr>
        <w:t>严重失信主体</w:t>
      </w:r>
      <w:r>
        <w:rPr>
          <w:rFonts w:hint="eastAsia" w:ascii="宋体" w:hAnsi="宋体" w:cs="宋体"/>
          <w:sz w:val="24"/>
          <w:szCs w:val="24"/>
          <w:highlight w:val="none"/>
          <w:lang w:eastAsia="zh-CN"/>
        </w:rPr>
        <w:t>、</w:t>
      </w:r>
      <w:r>
        <w:rPr>
          <w:rFonts w:hint="eastAsia" w:ascii="宋体" w:hAnsi="宋体" w:cs="宋体"/>
          <w:sz w:val="24"/>
          <w:szCs w:val="24"/>
          <w:highlight w:val="none"/>
        </w:rPr>
        <w:t>重大税收违法失信主体记录名单</w:t>
      </w:r>
      <w:r>
        <w:rPr>
          <w:rFonts w:hint="eastAsia" w:ascii="宋体" w:hAnsi="宋体" w:eastAsia="宋体" w:cs="宋体"/>
          <w:bCs/>
          <w:color w:val="auto"/>
          <w:sz w:val="24"/>
          <w:szCs w:val="24"/>
          <w:highlight w:val="none"/>
          <w:lang w:val="en-US" w:eastAsia="zh-CN"/>
        </w:rPr>
        <w:t>（附截图）</w:t>
      </w:r>
    </w:p>
    <w:p w14:paraId="46A93DDA">
      <w:pPr>
        <w:pStyle w:val="2"/>
        <w:spacing w:line="600" w:lineRule="exact"/>
        <w:jc w:val="left"/>
        <w:rPr>
          <w:rFonts w:hint="eastAsia" w:ascii="宋体" w:hAnsi="宋体" w:eastAsia="宋体" w:cs="宋体"/>
          <w:b/>
          <w:color w:val="auto"/>
          <w:sz w:val="28"/>
          <w:highlight w:val="none"/>
        </w:rPr>
      </w:pPr>
      <w:r>
        <w:rPr>
          <w:rFonts w:hint="eastAsia" w:ascii="宋体" w:hAnsi="宋体" w:eastAsia="宋体" w:cs="宋体"/>
          <w:b w:val="0"/>
          <w:bCs w:val="0"/>
          <w:color w:val="auto"/>
          <w:sz w:val="24"/>
          <w:szCs w:val="24"/>
          <w:highlight w:val="none"/>
          <w:lang w:val="en-US" w:eastAsia="zh-CN"/>
        </w:rPr>
        <w:t>（查询方法：登录“信用中国https://www.creditchina.gov.cn”→点击“信息公示”→点击“严重失信主体名单查询”“重大税收违法失信主体”</w:t>
      </w:r>
      <w:r>
        <w:rPr>
          <w:rFonts w:hint="eastAsia" w:hAnsi="宋体" w:eastAsia="宋体" w:cs="宋体"/>
          <w:b w:val="0"/>
          <w:bCs w:val="0"/>
          <w:color w:val="auto"/>
          <w:sz w:val="24"/>
          <w:szCs w:val="24"/>
          <w:highlight w:val="none"/>
          <w:lang w:val="en-US" w:eastAsia="zh-CN"/>
        </w:rPr>
        <w:t>“安全生产严重失信主体名单”</w:t>
      </w:r>
      <w:r>
        <w:rPr>
          <w:rFonts w:hint="eastAsia" w:ascii="宋体" w:hAnsi="宋体" w:eastAsia="宋体" w:cs="宋体"/>
          <w:b w:val="0"/>
          <w:bCs w:val="0"/>
          <w:color w:val="auto"/>
          <w:sz w:val="24"/>
          <w:szCs w:val="24"/>
          <w:highlight w:val="none"/>
          <w:lang w:val="en-US" w:eastAsia="zh-CN"/>
        </w:rPr>
        <w:t>栏目处输入</w:t>
      </w:r>
      <w:r>
        <w:rPr>
          <w:rFonts w:hint="eastAsia" w:ascii="宋体" w:hAnsi="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lang w:val="en-US" w:eastAsia="zh-CN"/>
        </w:rPr>
        <w:t>名称→对查询内容进行截图）。</w:t>
      </w:r>
    </w:p>
    <w:p w14:paraId="37446428">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r>
        <w:rPr>
          <w:rFonts w:hint="eastAsia" w:ascii="宋体" w:hAnsi="宋体" w:eastAsia="宋体" w:cs="宋体"/>
          <w:color w:val="auto"/>
          <w:highlight w:val="none"/>
        </w:rPr>
        <w:drawing>
          <wp:anchor distT="0" distB="0" distL="114300" distR="114300" simplePos="0" relativeHeight="251662336" behindDoc="0" locked="0" layoutInCell="1" allowOverlap="1">
            <wp:simplePos x="0" y="0"/>
            <wp:positionH relativeFrom="column">
              <wp:posOffset>61595</wp:posOffset>
            </wp:positionH>
            <wp:positionV relativeFrom="paragraph">
              <wp:posOffset>353695</wp:posOffset>
            </wp:positionV>
            <wp:extent cx="5107940" cy="2834640"/>
            <wp:effectExtent l="0" t="0" r="12700" b="0"/>
            <wp:wrapSquare wrapText="bothSides"/>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0"/>
                    <a:stretch>
                      <a:fillRect/>
                    </a:stretch>
                  </pic:blipFill>
                  <pic:spPr>
                    <a:xfrm>
                      <a:off x="0" y="0"/>
                      <a:ext cx="5107940" cy="2834640"/>
                    </a:xfrm>
                    <a:prstGeom prst="rect">
                      <a:avLst/>
                    </a:prstGeom>
                    <a:noFill/>
                    <a:ln>
                      <a:noFill/>
                    </a:ln>
                  </pic:spPr>
                </pic:pic>
              </a:graphicData>
            </a:graphic>
          </wp:anchor>
        </w:drawing>
      </w:r>
    </w:p>
    <w:p w14:paraId="6F6FA794">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07DCAE6F">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64AC9004">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163F8DB2">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54D368AD">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pPr>
    </w:p>
    <w:p w14:paraId="04E6440B">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rPr>
        <w:drawing>
          <wp:anchor distT="0" distB="0" distL="114300" distR="114300" simplePos="0" relativeHeight="251663360" behindDoc="0" locked="0" layoutInCell="1" allowOverlap="1">
            <wp:simplePos x="0" y="0"/>
            <wp:positionH relativeFrom="column">
              <wp:posOffset>-5240020</wp:posOffset>
            </wp:positionH>
            <wp:positionV relativeFrom="paragraph">
              <wp:posOffset>911225</wp:posOffset>
            </wp:positionV>
            <wp:extent cx="5109845" cy="2847340"/>
            <wp:effectExtent l="0" t="0" r="10795" b="254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5109845" cy="2847340"/>
                    </a:xfrm>
                    <a:prstGeom prst="rect">
                      <a:avLst/>
                    </a:prstGeom>
                    <a:noFill/>
                    <a:ln>
                      <a:noFill/>
                    </a:ln>
                  </pic:spPr>
                </pic:pic>
              </a:graphicData>
            </a:graphic>
          </wp:anchor>
        </w:drawing>
      </w:r>
    </w:p>
    <w:p w14:paraId="6CC28462">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sectPr>
          <w:headerReference r:id="rId5" w:type="default"/>
          <w:footerReference r:id="rId6" w:type="default"/>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p>
    <w:p w14:paraId="5BE262F6">
      <w:pPr>
        <w:pStyle w:val="2"/>
        <w:spacing w:line="600" w:lineRule="exact"/>
        <w:rPr>
          <w:rFonts w:hint="eastAsia" w:ascii="宋体" w:hAnsi="宋体" w:eastAsia="宋体" w:cs="宋体"/>
          <w:b/>
          <w:bCs w:val="0"/>
          <w:color w:val="auto"/>
          <w:sz w:val="24"/>
          <w:szCs w:val="24"/>
          <w:highlight w:val="none"/>
          <w:lang w:val="en-US" w:eastAsia="zh-CN"/>
        </w:rPr>
      </w:pPr>
      <w:r>
        <w:rPr>
          <w:highlight w:val="none"/>
        </w:rPr>
        <w:drawing>
          <wp:anchor distT="0" distB="0" distL="114300" distR="114300" simplePos="0" relativeHeight="251664384" behindDoc="0" locked="0" layoutInCell="1" allowOverlap="1">
            <wp:simplePos x="0" y="0"/>
            <wp:positionH relativeFrom="column">
              <wp:posOffset>-15875</wp:posOffset>
            </wp:positionH>
            <wp:positionV relativeFrom="paragraph">
              <wp:posOffset>175895</wp:posOffset>
            </wp:positionV>
            <wp:extent cx="5608320" cy="3689350"/>
            <wp:effectExtent l="0" t="0" r="0" b="13970"/>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2"/>
                    <a:stretch>
                      <a:fillRect/>
                    </a:stretch>
                  </pic:blipFill>
                  <pic:spPr>
                    <a:xfrm>
                      <a:off x="0" y="0"/>
                      <a:ext cx="5608320" cy="3689350"/>
                    </a:xfrm>
                    <a:prstGeom prst="rect">
                      <a:avLst/>
                    </a:prstGeom>
                    <a:noFill/>
                    <a:ln>
                      <a:noFill/>
                    </a:ln>
                  </pic:spPr>
                </pic:pic>
              </a:graphicData>
            </a:graphic>
          </wp:anchor>
        </w:drawing>
      </w:r>
      <w:r>
        <w:rPr>
          <w:rFonts w:hint="eastAsia" w:hAnsi="宋体" w:eastAsia="宋体" w:cs="宋体"/>
          <w:b/>
          <w:bCs w:val="0"/>
          <w:color w:val="auto"/>
          <w:sz w:val="24"/>
          <w:szCs w:val="24"/>
          <w:highlight w:val="none"/>
          <w:lang w:val="en-US" w:eastAsia="zh-CN"/>
        </w:rPr>
        <w:t xml:space="preserve">1.2.2 </w:t>
      </w:r>
      <w:r>
        <w:rPr>
          <w:rFonts w:hint="eastAsia" w:ascii="宋体" w:hAnsi="宋体" w:eastAsia="宋体" w:cs="宋体"/>
          <w:b/>
          <w:bCs w:val="0"/>
          <w:color w:val="auto"/>
          <w:sz w:val="24"/>
          <w:szCs w:val="24"/>
          <w:highlight w:val="none"/>
          <w:lang w:val="en-US" w:eastAsia="zh-CN"/>
        </w:rPr>
        <w:t>未被列入“中国执行信息公开网”网站（https://zxgk.court.gov.cn）失信被执行人；（附截图）</w:t>
      </w:r>
    </w:p>
    <w:p w14:paraId="312B043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bCs/>
          <w:color w:val="auto"/>
          <w:sz w:val="24"/>
          <w:szCs w:val="24"/>
          <w:highlight w:val="none"/>
          <w:lang w:val="en-US" w:eastAsia="zh-CN"/>
        </w:rPr>
        <w:t>（查询方法：登录“信用中国https://www.creditchina.gov.cn”→点击“信息公示”→点击“失信被执行人查询”→跳转至中国执行信息公开网→在“查询条件”栏目处输入</w:t>
      </w:r>
      <w:r>
        <w:rPr>
          <w:rFonts w:hint="eastAsia" w:ascii="宋体" w:hAnsi="宋体" w:cs="宋体"/>
          <w:bCs/>
          <w:color w:val="auto"/>
          <w:sz w:val="24"/>
          <w:szCs w:val="24"/>
          <w:highlight w:val="none"/>
          <w:lang w:val="en-US" w:eastAsia="zh-CN"/>
        </w:rPr>
        <w:t>供应商</w:t>
      </w:r>
      <w:r>
        <w:rPr>
          <w:rFonts w:hint="eastAsia" w:ascii="宋体" w:hAnsi="宋体" w:eastAsia="宋体" w:cs="宋体"/>
          <w:bCs/>
          <w:color w:val="auto"/>
          <w:sz w:val="24"/>
          <w:szCs w:val="24"/>
          <w:highlight w:val="none"/>
          <w:lang w:val="en-US" w:eastAsia="zh-CN"/>
        </w:rPr>
        <w:t>名称、身份证号码/组织机构代码→对查询内容进行截图）。</w:t>
      </w:r>
    </w:p>
    <w:p w14:paraId="7EC2C216">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r>
        <w:rPr>
          <w:rFonts w:hint="eastAsia" w:ascii="宋体" w:hAnsi="宋体" w:eastAsia="宋体" w:cs="宋体"/>
          <w:color w:val="auto"/>
          <w:highlight w:val="none"/>
        </w:rPr>
        <w:drawing>
          <wp:inline distT="0" distB="0" distL="114300" distR="114300">
            <wp:extent cx="5608955" cy="4177030"/>
            <wp:effectExtent l="0" t="0" r="14605" b="1397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3"/>
                    <a:stretch>
                      <a:fillRect/>
                    </a:stretch>
                  </pic:blipFill>
                  <pic:spPr>
                    <a:xfrm>
                      <a:off x="0" y="0"/>
                      <a:ext cx="5608955" cy="4177030"/>
                    </a:xfrm>
                    <a:prstGeom prst="rect">
                      <a:avLst/>
                    </a:prstGeom>
                    <a:noFill/>
                    <a:ln>
                      <a:noFill/>
                    </a:ln>
                  </pic:spPr>
                </pic:pic>
              </a:graphicData>
            </a:graphic>
          </wp:inline>
        </w:drawing>
      </w:r>
    </w:p>
    <w:p w14:paraId="7926A89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2C79921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1F1AAD4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EE23B3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1E29B37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04B931F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113AAE6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5125C4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011C8D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5ED701F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0215326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3CE5677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2403C7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7BAEF0E">
      <w:pPr>
        <w:keepNext w:val="0"/>
        <w:keepLines w:val="0"/>
        <w:pageBreakBefore w:val="0"/>
        <w:widowControl w:val="0"/>
        <w:kinsoku/>
        <w:wordWrap/>
        <w:overflowPunct/>
        <w:topLinePunct w:val="0"/>
        <w:autoSpaceDE w:val="0"/>
        <w:autoSpaceDN w:val="0"/>
        <w:bidi w:val="0"/>
        <w:adjustRightInd w:val="0"/>
        <w:snapToGrid/>
        <w:spacing w:after="0"/>
        <w:ind w:left="0" w:leftChars="0" w:firstLineChars="0"/>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2.专用资格要求</w:t>
      </w:r>
    </w:p>
    <w:p w14:paraId="5C319C2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b w:val="0"/>
          <w:bCs w:val="0"/>
          <w:color w:val="auto"/>
          <w:highlight w:val="none"/>
          <w:lang w:val="en-US" w:eastAsia="zh-CN"/>
        </w:rPr>
      </w:pPr>
      <w:r>
        <w:rPr>
          <w:rFonts w:hint="eastAsia" w:eastAsia="宋体" w:cs="宋体"/>
          <w:color w:val="auto"/>
          <w:highlight w:val="none"/>
          <w:lang w:val="en-US" w:eastAsia="zh-CN"/>
        </w:rPr>
        <w:t>2.1资质要求：</w:t>
      </w:r>
      <w:r>
        <w:rPr>
          <w:rFonts w:hint="eastAsia" w:eastAsia="宋体" w:cs="宋体"/>
          <w:b w:val="0"/>
          <w:bCs w:val="0"/>
          <w:color w:val="auto"/>
          <w:highlight w:val="none"/>
          <w:lang w:val="en-US" w:eastAsia="zh-CN"/>
        </w:rPr>
        <w:t>供应商须须具备工程监理综合资质或电力工程监理乙级及以上资质。</w:t>
      </w:r>
    </w:p>
    <w:p w14:paraId="2B5AB6F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294FFF5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113B616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3D61BAA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458C1CE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45A502C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446FB22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02A2C1A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576BE6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4CF15AD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4D89CF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2DCEC8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7283C3A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118164C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6C7F78C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3F9699B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1A626A5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7C7D816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13098A6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72370E5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794FFF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6345C70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954EE4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C5E7B4C">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9F08F9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6D8E3BA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07E1795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highlight w:val="none"/>
          <w:lang w:val="en-US" w:eastAsia="zh-CN"/>
        </w:rPr>
      </w:pPr>
      <w:r>
        <w:rPr>
          <w:rFonts w:hint="eastAsia" w:eastAsia="宋体" w:cs="宋体"/>
          <w:color w:val="auto"/>
          <w:highlight w:val="none"/>
          <w:lang w:val="en-US" w:eastAsia="zh-CN"/>
        </w:rPr>
        <w:t>2.2</w:t>
      </w:r>
      <w:r>
        <w:rPr>
          <w:rFonts w:hint="eastAsia" w:ascii="宋体" w:hAnsi="宋体" w:eastAsia="宋体" w:cs="宋体"/>
          <w:color w:val="auto"/>
          <w:highlight w:val="none"/>
          <w:lang w:val="en-US" w:eastAsia="zh-CN"/>
        </w:rPr>
        <w:t>财务要求：</w:t>
      </w:r>
    </w:p>
    <w:p w14:paraId="3E32AD4C">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供应商需具有良好的财务状况，提供</w:t>
      </w:r>
      <w:r>
        <w:rPr>
          <w:rFonts w:hint="eastAsia" w:eastAsia="宋体" w:cs="宋体"/>
          <w:b w:val="0"/>
          <w:bCs w:val="0"/>
          <w:color w:val="auto"/>
          <w:highlight w:val="none"/>
          <w:u w:val="single"/>
          <w:lang w:val="en-US" w:eastAsia="zh-CN"/>
        </w:rPr>
        <w:t xml:space="preserve"> 2023-2025 </w:t>
      </w:r>
      <w:r>
        <w:rPr>
          <w:rFonts w:hint="eastAsia" w:ascii="宋体" w:hAnsi="宋体" w:eastAsia="宋体" w:cs="宋体"/>
          <w:b w:val="0"/>
          <w:bCs w:val="0"/>
          <w:color w:val="auto"/>
          <w:highlight w:val="none"/>
          <w:lang w:val="en-US" w:eastAsia="zh-CN"/>
        </w:rPr>
        <w:t>年度经合法的审计机构审计的审计报告及财务报表（若企业成立不足三年的，提供成立后至</w:t>
      </w:r>
      <w:r>
        <w:rPr>
          <w:rFonts w:hint="eastAsia" w:eastAsia="宋体" w:cs="宋体"/>
          <w:b w:val="0"/>
          <w:bCs w:val="0"/>
          <w:color w:val="auto"/>
          <w:highlight w:val="none"/>
          <w:u w:val="single"/>
          <w:lang w:val="en-US" w:eastAsia="zh-CN"/>
        </w:rPr>
        <w:t>今</w:t>
      </w:r>
      <w:r>
        <w:rPr>
          <w:rFonts w:hint="eastAsia" w:ascii="宋体" w:hAnsi="宋体" w:eastAsia="宋体" w:cs="宋体"/>
          <w:b w:val="0"/>
          <w:bCs w:val="0"/>
          <w:color w:val="auto"/>
          <w:highlight w:val="none"/>
          <w:lang w:val="en-US" w:eastAsia="zh-CN"/>
        </w:rPr>
        <w:t>经合法的审计机构审计的审计报告及财务报表，企业成立不足一年的，则提供成立后至今的财务报表，若因特殊原因无法提供的，应当详细说明原因）。</w:t>
      </w:r>
    </w:p>
    <w:p w14:paraId="70C8618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4944F7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6AB352F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150CC3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BB643C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749102E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B54F60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158395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00207DC">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40280D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1416B6A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1A79B2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F4E989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BCDFC3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09B93EE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426E14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1650789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09E08CC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EDE2FF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B4BBB5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027A1E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007EE5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1F89161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A487BE3">
      <w:pPr>
        <w:pStyle w:val="4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b/>
          <w:bCs/>
          <w:color w:val="auto"/>
          <w:highlight w:val="none"/>
          <w:lang w:val="en-US" w:eastAsia="zh-CN"/>
        </w:rPr>
      </w:pPr>
      <w:r>
        <w:rPr>
          <w:rFonts w:hint="eastAsia" w:eastAsia="宋体" w:cs="宋体"/>
          <w:b/>
          <w:bCs/>
          <w:color w:val="auto"/>
          <w:kern w:val="2"/>
          <w:sz w:val="24"/>
          <w:szCs w:val="24"/>
          <w:highlight w:val="none"/>
          <w:lang w:val="en-US" w:eastAsia="zh-CN" w:bidi="ar-SA"/>
        </w:rPr>
        <w:t>2.3</w:t>
      </w:r>
      <w:r>
        <w:rPr>
          <w:rFonts w:hint="eastAsia" w:eastAsia="宋体" w:cs="宋体"/>
          <w:b/>
          <w:bCs/>
          <w:color w:val="auto"/>
          <w:highlight w:val="none"/>
          <w:lang w:val="en-US" w:eastAsia="zh-CN"/>
        </w:rPr>
        <w:t>总监理工程师：</w:t>
      </w:r>
    </w:p>
    <w:p w14:paraId="51871DE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lang w:eastAsia="zh-CN"/>
        </w:rPr>
        <w:t>拟派总监理工程师应具有住建部颁发的全国注册监理工程师执业证书，并在本单位注册（提供劳动合同或投标截止时间前近六个月社保等证明材料以及四库一平台执业注册信息查询记录）。</w:t>
      </w:r>
    </w:p>
    <w:p w14:paraId="774E73B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61B805D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4A0BF96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3BBB9D2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3A21971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55D60F4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5A7272B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2861E2F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5A7365F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32F2670C">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54C5D86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07FABB2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238445E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5D8B4FF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0EF574F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7DD203A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774A176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48462FA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2A853FF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755911D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7BD8B4E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14CEB50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2E2A29B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7D56731C">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523D27A9">
      <w:pPr>
        <w:pStyle w:val="4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sz w:val="24"/>
          <w:szCs w:val="24"/>
          <w:highlight w:val="none"/>
          <w:u w:val="none"/>
          <w:lang w:eastAsia="zh-CN"/>
        </w:rPr>
      </w:pPr>
      <w:r>
        <w:rPr>
          <w:rFonts w:hint="eastAsia" w:eastAsia="宋体" w:cs="宋体"/>
          <w:b/>
          <w:bCs/>
          <w:color w:val="auto"/>
          <w:kern w:val="2"/>
          <w:sz w:val="24"/>
          <w:szCs w:val="24"/>
          <w:highlight w:val="none"/>
          <w:lang w:val="en-US" w:eastAsia="zh-CN" w:bidi="ar-SA"/>
        </w:rPr>
        <w:t>2.4</w:t>
      </w:r>
      <w:r>
        <w:rPr>
          <w:rFonts w:hint="eastAsia" w:ascii="宋体" w:hAnsi="宋体" w:eastAsia="宋体" w:cs="宋体"/>
          <w:color w:val="auto"/>
          <w:sz w:val="24"/>
          <w:szCs w:val="24"/>
          <w:highlight w:val="none"/>
          <w:u w:val="none"/>
          <w:lang w:eastAsia="zh-CN"/>
        </w:rPr>
        <w:t>安全监理工程师：</w:t>
      </w:r>
    </w:p>
    <w:p w14:paraId="2A9134E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lang w:eastAsia="zh-CN"/>
        </w:rPr>
        <w:t>拟派安全监理工程师须具有中级注册安全工程师（建筑施工安全）资格证书。并在本单位注册（提供劳动合同或投标截止时间前近六个月社保等证明材料以及四库一平台执业注册信息查询记录）。</w:t>
      </w:r>
    </w:p>
    <w:p w14:paraId="787D029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4FB8AFC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3FCC6AE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7085014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5E011EE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59343E2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01A5E5F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47AFEE1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1C9634A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273FC5A2">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5191CA0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226510A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6D899F0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667CA87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1944E29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0779B6A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36DC506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6D6EB80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35B7356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72D912E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13BEB9B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66E95C8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2B2A85C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u w:val="none"/>
          <w:lang w:eastAsia="zh-CN"/>
        </w:rPr>
      </w:pPr>
    </w:p>
    <w:p w14:paraId="3E3814C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u w:val="none"/>
          <w:lang w:val="en-US" w:eastAsia="zh-CN"/>
        </w:rPr>
      </w:pPr>
    </w:p>
    <w:p w14:paraId="4DB060D2">
      <w:pPr>
        <w:pStyle w:val="48"/>
        <w:keepNext w:val="0"/>
        <w:keepLines w:val="0"/>
        <w:pageBreakBefore w:val="0"/>
        <w:widowControl w:val="0"/>
        <w:numPr>
          <w:ilvl w:val="-1"/>
          <w:numId w:val="0"/>
        </w:numPr>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b/>
          <w:bCs/>
          <w:color w:val="auto"/>
          <w:kern w:val="2"/>
          <w:sz w:val="24"/>
          <w:szCs w:val="24"/>
          <w:highlight w:val="none"/>
          <w:lang w:val="en-US" w:eastAsia="zh-CN" w:bidi="ar-SA"/>
        </w:rPr>
      </w:pPr>
      <w:r>
        <w:rPr>
          <w:rFonts w:hint="eastAsia" w:eastAsia="宋体" w:cs="宋体"/>
          <w:b/>
          <w:bCs/>
          <w:color w:val="auto"/>
          <w:kern w:val="2"/>
          <w:sz w:val="24"/>
          <w:szCs w:val="24"/>
          <w:highlight w:val="none"/>
          <w:lang w:val="en-US" w:eastAsia="zh-CN" w:bidi="ar-SA"/>
        </w:rPr>
        <w:t>3.业绩要求：</w:t>
      </w:r>
    </w:p>
    <w:p w14:paraId="2E958AC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r>
        <w:rPr>
          <w:rFonts w:hint="eastAsia" w:eastAsia="宋体" w:cs="宋体"/>
          <w:b w:val="0"/>
          <w:bCs w:val="0"/>
          <w:color w:val="auto"/>
          <w:highlight w:val="none"/>
          <w:u w:val="none"/>
        </w:rPr>
        <w:t>2023年1月1日至今（以合同签订时间为准）至少</w:t>
      </w:r>
      <w:r>
        <w:rPr>
          <w:rFonts w:hint="eastAsia" w:eastAsia="宋体" w:cs="宋体"/>
          <w:b w:val="0"/>
          <w:bCs w:val="0"/>
          <w:color w:val="auto"/>
          <w:highlight w:val="none"/>
          <w:u w:val="single"/>
        </w:rPr>
        <w:t>具有 1项装机容量50MW及以上规模风电项目监理</w:t>
      </w:r>
      <w:r>
        <w:rPr>
          <w:rFonts w:hint="eastAsia" w:eastAsia="宋体" w:cs="宋体"/>
          <w:b w:val="0"/>
          <w:bCs w:val="0"/>
          <w:color w:val="auto"/>
          <w:highlight w:val="none"/>
          <w:u w:val="none"/>
        </w:rPr>
        <w:t>相关业绩（合同扫描件须至少包含：合同</w:t>
      </w:r>
      <w:r>
        <w:rPr>
          <w:rFonts w:hint="eastAsia" w:eastAsia="宋体" w:cs="宋体"/>
          <w:b w:val="0"/>
          <w:bCs w:val="0"/>
          <w:color w:val="auto"/>
          <w:highlight w:val="none"/>
          <w:u w:val="none"/>
          <w:lang w:val="en-US" w:eastAsia="zh-CN"/>
        </w:rPr>
        <w:t>签订</w:t>
      </w:r>
      <w:r>
        <w:rPr>
          <w:rFonts w:hint="eastAsia" w:eastAsia="宋体" w:cs="宋体"/>
          <w:b w:val="0"/>
          <w:bCs w:val="0"/>
          <w:color w:val="auto"/>
          <w:highlight w:val="none"/>
          <w:u w:val="none"/>
        </w:rPr>
        <w:t>双方盖章页、合同签订时间和业绩要求中的关键信息页，如提供的业绩证明材料不能清晰分辨上述业绩要求内容，按无效业绩处理）。</w:t>
      </w:r>
    </w:p>
    <w:p w14:paraId="1F51503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2914C3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477C2B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452E1C0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151F09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7BFCB31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CA8CBF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67015C3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5621612">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317544C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937289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2B1694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455814D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71CBBC52">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1B6EC6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EEC817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809DAE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888172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CC4335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577C5E9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509DF87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4BEC99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4D56515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u w:val="none"/>
          <w:lang w:val="en-US" w:eastAsia="zh-CN"/>
        </w:rPr>
      </w:pPr>
    </w:p>
    <w:p w14:paraId="0F820889">
      <w:pPr>
        <w:pStyle w:val="48"/>
        <w:widowControl w:val="0"/>
        <w:numPr>
          <w:ilvl w:val="0"/>
          <w:numId w:val="0"/>
        </w:numPr>
        <w:overflowPunct/>
        <w:ind w:firstLine="0" w:firstLineChars="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其他要求：</w:t>
      </w:r>
    </w:p>
    <w:p w14:paraId="1D5A82E9">
      <w:pPr>
        <w:widowControl/>
        <w:overflowPunct w:val="0"/>
        <w:spacing w:line="360" w:lineRule="auto"/>
        <w:ind w:firstLine="480" w:firstLineChars="200"/>
        <w:textAlignment w:val="baseline"/>
        <w:outlineLvl w:val="9"/>
        <w:rPr>
          <w:rFonts w:hint="eastAsia" w:ascii="宋体" w:hAnsi="宋体" w:cs="宋体"/>
          <w:sz w:val="24"/>
          <w:szCs w:val="24"/>
          <w:highlight w:val="none"/>
        </w:rPr>
      </w:pPr>
      <w:r>
        <w:rPr>
          <w:rFonts w:hint="eastAsia" w:ascii="宋体" w:hAnsi="宋体" w:cs="宋体"/>
          <w:sz w:val="24"/>
          <w:szCs w:val="24"/>
          <w:highlight w:val="none"/>
        </w:rPr>
        <w:t>（1）与招标人存在利害关系可能影响招标公正性的法人、其他组织或者个人，不得参加投标（提供书面承诺或相关证明材料</w:t>
      </w:r>
      <w:r>
        <w:rPr>
          <w:rFonts w:hint="default" w:ascii="宋体" w:hAnsi="宋体" w:cs="宋体"/>
          <w:sz w:val="24"/>
          <w:szCs w:val="24"/>
          <w:highlight w:val="none"/>
        </w:rPr>
        <w:t>，格式自拟</w:t>
      </w:r>
      <w:r>
        <w:rPr>
          <w:rFonts w:hint="eastAsia" w:ascii="宋体" w:hAnsi="宋体" w:cs="宋体"/>
          <w:sz w:val="24"/>
          <w:szCs w:val="24"/>
          <w:highlight w:val="none"/>
        </w:rPr>
        <w:t>）。</w:t>
      </w:r>
    </w:p>
    <w:p w14:paraId="59C6E33D">
      <w:pPr>
        <w:widowControl/>
        <w:overflowPunct w:val="0"/>
        <w:spacing w:line="360" w:lineRule="auto"/>
        <w:ind w:firstLine="480" w:firstLineChars="200"/>
        <w:textAlignment w:val="baseline"/>
        <w:outlineLvl w:val="9"/>
        <w:rPr>
          <w:rFonts w:hint="eastAsia" w:ascii="宋体" w:hAnsi="宋体" w:cs="宋体"/>
          <w:sz w:val="24"/>
          <w:szCs w:val="24"/>
          <w:highlight w:val="none"/>
        </w:rPr>
      </w:pPr>
      <w:r>
        <w:rPr>
          <w:rFonts w:hint="eastAsia" w:ascii="宋体" w:hAnsi="宋体" w:cs="宋体"/>
          <w:sz w:val="24"/>
          <w:szCs w:val="24"/>
          <w:highlight w:val="none"/>
        </w:rPr>
        <w:t>（2）单位负责人为同一人或者存在控股、管理关系的不同单位不得参加同一标段的投标或者未划分标段的同一招标项目的投标（提供书面承诺或相关证明材料</w:t>
      </w:r>
      <w:r>
        <w:rPr>
          <w:rFonts w:hint="default" w:ascii="宋体" w:hAnsi="宋体" w:cs="宋体"/>
          <w:sz w:val="24"/>
          <w:szCs w:val="24"/>
          <w:highlight w:val="none"/>
        </w:rPr>
        <w:t>，格式自拟</w:t>
      </w:r>
      <w:r>
        <w:rPr>
          <w:rFonts w:hint="eastAsia" w:ascii="宋体" w:hAnsi="宋体" w:cs="宋体"/>
          <w:sz w:val="24"/>
          <w:szCs w:val="24"/>
          <w:highlight w:val="none"/>
        </w:rPr>
        <w:t>）。</w:t>
      </w:r>
    </w:p>
    <w:p w14:paraId="68C4428D">
      <w:pPr>
        <w:pStyle w:val="23"/>
        <w:rPr>
          <w:rFonts w:hint="eastAsia" w:ascii="宋体" w:hAnsi="宋体" w:cs="宋体"/>
          <w:sz w:val="24"/>
          <w:szCs w:val="24"/>
          <w:highlight w:val="none"/>
        </w:rPr>
      </w:pPr>
    </w:p>
    <w:p w14:paraId="3DD80D21">
      <w:pPr>
        <w:rPr>
          <w:rFonts w:hint="eastAsia" w:ascii="宋体" w:hAnsi="宋体" w:cs="宋体"/>
          <w:sz w:val="24"/>
          <w:szCs w:val="24"/>
          <w:highlight w:val="none"/>
        </w:rPr>
      </w:pPr>
    </w:p>
    <w:p w14:paraId="1BE9E331">
      <w:pPr>
        <w:pStyle w:val="23"/>
        <w:rPr>
          <w:rFonts w:hint="eastAsia" w:ascii="宋体" w:hAnsi="宋体" w:cs="宋体"/>
          <w:sz w:val="24"/>
          <w:szCs w:val="24"/>
          <w:highlight w:val="none"/>
        </w:rPr>
      </w:pPr>
    </w:p>
    <w:p w14:paraId="0BE94119">
      <w:pPr>
        <w:rPr>
          <w:rFonts w:hint="eastAsia" w:ascii="宋体" w:hAnsi="宋体" w:cs="宋体"/>
          <w:sz w:val="24"/>
          <w:szCs w:val="24"/>
          <w:highlight w:val="none"/>
        </w:rPr>
      </w:pPr>
    </w:p>
    <w:p w14:paraId="5E160DBA">
      <w:pPr>
        <w:pStyle w:val="23"/>
        <w:rPr>
          <w:rFonts w:hint="eastAsia" w:ascii="宋体" w:hAnsi="宋体" w:cs="宋体"/>
          <w:sz w:val="24"/>
          <w:szCs w:val="24"/>
          <w:highlight w:val="none"/>
        </w:rPr>
      </w:pPr>
    </w:p>
    <w:p w14:paraId="3CB9CDFC">
      <w:pPr>
        <w:rPr>
          <w:rFonts w:hint="eastAsia" w:ascii="宋体" w:hAnsi="宋体" w:cs="宋体"/>
          <w:sz w:val="24"/>
          <w:szCs w:val="24"/>
          <w:highlight w:val="none"/>
        </w:rPr>
      </w:pPr>
    </w:p>
    <w:p w14:paraId="3BAAB0B1">
      <w:pPr>
        <w:pStyle w:val="23"/>
        <w:rPr>
          <w:rFonts w:hint="eastAsia" w:ascii="宋体" w:hAnsi="宋体" w:cs="宋体"/>
          <w:sz w:val="24"/>
          <w:szCs w:val="24"/>
          <w:highlight w:val="none"/>
        </w:rPr>
      </w:pPr>
    </w:p>
    <w:p w14:paraId="5A10FB68">
      <w:pPr>
        <w:rPr>
          <w:rFonts w:hint="eastAsia" w:ascii="宋体" w:hAnsi="宋体" w:cs="宋体"/>
          <w:sz w:val="24"/>
          <w:szCs w:val="24"/>
          <w:highlight w:val="none"/>
        </w:rPr>
      </w:pPr>
    </w:p>
    <w:p w14:paraId="169ACE3F">
      <w:pPr>
        <w:pStyle w:val="23"/>
        <w:rPr>
          <w:rFonts w:hint="eastAsia" w:ascii="宋体" w:hAnsi="宋体" w:cs="宋体"/>
          <w:sz w:val="24"/>
          <w:szCs w:val="24"/>
          <w:highlight w:val="none"/>
        </w:rPr>
      </w:pPr>
    </w:p>
    <w:p w14:paraId="5CDF9779">
      <w:pPr>
        <w:rPr>
          <w:rFonts w:hint="eastAsia" w:ascii="宋体" w:hAnsi="宋体" w:cs="宋体"/>
          <w:sz w:val="24"/>
          <w:szCs w:val="24"/>
          <w:highlight w:val="none"/>
        </w:rPr>
      </w:pPr>
    </w:p>
    <w:p w14:paraId="7A7D0116">
      <w:pPr>
        <w:pStyle w:val="23"/>
        <w:rPr>
          <w:rFonts w:hint="eastAsia" w:ascii="宋体" w:hAnsi="宋体" w:cs="宋体"/>
          <w:sz w:val="24"/>
          <w:szCs w:val="24"/>
          <w:highlight w:val="none"/>
        </w:rPr>
      </w:pPr>
    </w:p>
    <w:p w14:paraId="0CD334AA">
      <w:pPr>
        <w:rPr>
          <w:rFonts w:hint="eastAsia" w:ascii="宋体" w:hAnsi="宋体" w:cs="宋体"/>
          <w:sz w:val="24"/>
          <w:szCs w:val="24"/>
          <w:highlight w:val="none"/>
        </w:rPr>
      </w:pPr>
    </w:p>
    <w:p w14:paraId="44554374">
      <w:pPr>
        <w:pStyle w:val="23"/>
        <w:rPr>
          <w:rFonts w:hint="eastAsia" w:ascii="宋体" w:hAnsi="宋体" w:cs="宋体"/>
          <w:sz w:val="24"/>
          <w:szCs w:val="24"/>
          <w:highlight w:val="none"/>
        </w:rPr>
      </w:pPr>
    </w:p>
    <w:p w14:paraId="2E5523D2">
      <w:pPr>
        <w:rPr>
          <w:rFonts w:hint="eastAsia" w:ascii="宋体" w:hAnsi="宋体" w:cs="宋体"/>
          <w:sz w:val="24"/>
          <w:szCs w:val="24"/>
          <w:highlight w:val="none"/>
        </w:rPr>
      </w:pPr>
    </w:p>
    <w:p w14:paraId="3AA73E9A">
      <w:pPr>
        <w:pStyle w:val="23"/>
        <w:rPr>
          <w:rFonts w:hint="eastAsia" w:ascii="宋体" w:hAnsi="宋体" w:cs="宋体"/>
          <w:sz w:val="24"/>
          <w:szCs w:val="24"/>
          <w:highlight w:val="none"/>
        </w:rPr>
      </w:pPr>
    </w:p>
    <w:p w14:paraId="095F38F4">
      <w:pPr>
        <w:rPr>
          <w:rFonts w:hint="eastAsia" w:ascii="宋体" w:hAnsi="宋体" w:cs="宋体"/>
          <w:sz w:val="24"/>
          <w:szCs w:val="24"/>
          <w:highlight w:val="none"/>
        </w:rPr>
      </w:pPr>
    </w:p>
    <w:p w14:paraId="435F2FA3">
      <w:pPr>
        <w:pStyle w:val="23"/>
        <w:rPr>
          <w:rFonts w:hint="eastAsia" w:ascii="宋体" w:hAnsi="宋体" w:cs="宋体"/>
          <w:sz w:val="24"/>
          <w:szCs w:val="24"/>
          <w:highlight w:val="none"/>
        </w:rPr>
      </w:pPr>
    </w:p>
    <w:p w14:paraId="2E5DD7D9">
      <w:pPr>
        <w:rPr>
          <w:rFonts w:hint="eastAsia" w:ascii="宋体" w:hAnsi="宋体" w:cs="宋体"/>
          <w:sz w:val="24"/>
          <w:szCs w:val="24"/>
          <w:highlight w:val="none"/>
        </w:rPr>
      </w:pPr>
    </w:p>
    <w:p w14:paraId="697505AF">
      <w:pPr>
        <w:pStyle w:val="23"/>
        <w:rPr>
          <w:rFonts w:hint="eastAsia" w:ascii="宋体" w:hAnsi="宋体" w:cs="宋体"/>
          <w:sz w:val="24"/>
          <w:szCs w:val="24"/>
          <w:highlight w:val="none"/>
        </w:rPr>
      </w:pPr>
    </w:p>
    <w:p w14:paraId="3C41F105">
      <w:pPr>
        <w:rPr>
          <w:rFonts w:hint="eastAsia" w:ascii="宋体" w:hAnsi="宋体" w:cs="宋体"/>
          <w:sz w:val="24"/>
          <w:szCs w:val="24"/>
          <w:highlight w:val="none"/>
        </w:rPr>
      </w:pPr>
    </w:p>
    <w:p w14:paraId="4DC6D62A">
      <w:pPr>
        <w:pStyle w:val="23"/>
        <w:rPr>
          <w:rFonts w:hint="eastAsia" w:ascii="宋体" w:hAnsi="宋体" w:cs="宋体"/>
          <w:sz w:val="24"/>
          <w:szCs w:val="24"/>
          <w:highlight w:val="none"/>
        </w:rPr>
      </w:pPr>
    </w:p>
    <w:p w14:paraId="77421C3C">
      <w:pPr>
        <w:rPr>
          <w:rFonts w:hint="eastAsia" w:ascii="宋体" w:hAnsi="宋体" w:cs="宋体"/>
          <w:sz w:val="24"/>
          <w:szCs w:val="24"/>
          <w:highlight w:val="none"/>
        </w:rPr>
      </w:pPr>
    </w:p>
    <w:p w14:paraId="0515C948">
      <w:pPr>
        <w:pStyle w:val="23"/>
        <w:rPr>
          <w:rFonts w:hint="eastAsia" w:ascii="宋体" w:hAnsi="宋体" w:cs="宋体"/>
          <w:sz w:val="24"/>
          <w:szCs w:val="24"/>
          <w:highlight w:val="none"/>
        </w:rPr>
      </w:pPr>
    </w:p>
    <w:p w14:paraId="12EE561F">
      <w:pPr>
        <w:rPr>
          <w:rFonts w:hint="eastAsia" w:ascii="宋体" w:hAnsi="宋体" w:cs="宋体"/>
          <w:sz w:val="24"/>
          <w:szCs w:val="24"/>
          <w:highlight w:val="none"/>
        </w:rPr>
      </w:pPr>
    </w:p>
    <w:p w14:paraId="4D22A8E1">
      <w:pPr>
        <w:pStyle w:val="23"/>
        <w:rPr>
          <w:rFonts w:hint="eastAsia" w:ascii="宋体" w:hAnsi="宋体" w:cs="宋体"/>
          <w:sz w:val="24"/>
          <w:szCs w:val="24"/>
          <w:highlight w:val="none"/>
        </w:rPr>
      </w:pPr>
    </w:p>
    <w:p w14:paraId="53B37228">
      <w:pPr>
        <w:rPr>
          <w:rFonts w:hint="eastAsia" w:ascii="宋体" w:hAnsi="宋体" w:cs="宋体"/>
          <w:sz w:val="24"/>
          <w:szCs w:val="24"/>
          <w:highlight w:val="none"/>
        </w:rPr>
      </w:pPr>
    </w:p>
    <w:p w14:paraId="1A2DDF1D">
      <w:pPr>
        <w:pStyle w:val="23"/>
        <w:rPr>
          <w:rFonts w:hint="eastAsia" w:ascii="宋体" w:hAnsi="宋体" w:cs="宋体"/>
          <w:sz w:val="24"/>
          <w:szCs w:val="24"/>
          <w:highlight w:val="none"/>
        </w:rPr>
      </w:pPr>
    </w:p>
    <w:p w14:paraId="44193552">
      <w:pPr>
        <w:pStyle w:val="23"/>
        <w:rPr>
          <w:rFonts w:hint="eastAsia"/>
          <w:highlight w:val="none"/>
        </w:rPr>
      </w:pPr>
    </w:p>
    <w:p w14:paraId="62090B07">
      <w:pPr>
        <w:pStyle w:val="48"/>
        <w:numPr>
          <w:ilvl w:val="0"/>
          <w:numId w:val="0"/>
        </w:numPr>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供应商不得存在下列情形之一</w:t>
      </w:r>
      <w:r>
        <w:rPr>
          <w:rFonts w:hint="eastAsia" w:eastAsia="宋体" w:cs="宋体"/>
          <w:b w:val="0"/>
          <w:bCs w:val="0"/>
          <w:color w:val="auto"/>
          <w:sz w:val="24"/>
          <w:szCs w:val="24"/>
          <w:highlight w:val="none"/>
          <w:lang w:eastAsia="zh-CN"/>
        </w:rPr>
        <w:t>（提供相关承诺说明</w:t>
      </w:r>
      <w:r>
        <w:rPr>
          <w:rFonts w:hint="default" w:eastAsia="宋体" w:cs="宋体"/>
          <w:b w:val="0"/>
          <w:bCs w:val="0"/>
          <w:color w:val="auto"/>
          <w:sz w:val="24"/>
          <w:szCs w:val="24"/>
          <w:highlight w:val="none"/>
          <w:lang w:eastAsia="zh-CN"/>
        </w:rPr>
        <w:t>，格式详见附件</w:t>
      </w:r>
      <w:r>
        <w:rPr>
          <w:rFonts w:hint="eastAsia" w:eastAsia="宋体" w:cs="宋体"/>
          <w:b w:val="0"/>
          <w:bCs w:val="0"/>
          <w:color w:val="auto"/>
          <w:sz w:val="24"/>
          <w:szCs w:val="24"/>
          <w:highlight w:val="none"/>
          <w:lang w:eastAsia="zh-CN"/>
        </w:rPr>
        <w:t>）</w:t>
      </w:r>
      <w:r>
        <w:rPr>
          <w:rFonts w:hint="eastAsia" w:ascii="宋体" w:hAnsi="宋体" w:eastAsia="宋体" w:cs="宋体"/>
          <w:color w:val="auto"/>
          <w:sz w:val="24"/>
          <w:szCs w:val="24"/>
          <w:highlight w:val="none"/>
        </w:rPr>
        <w:t>：</w:t>
      </w:r>
    </w:p>
    <w:bookmarkEnd w:id="510"/>
    <w:bookmarkEnd w:id="511"/>
    <w:p w14:paraId="46C251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eastAsia="宋体" w:cs="宋体"/>
          <w:color w:val="auto"/>
          <w:sz w:val="24"/>
          <w:szCs w:val="24"/>
          <w:highlight w:val="none"/>
        </w:rPr>
        <w:t>经营状况</w:t>
      </w:r>
      <w:r>
        <w:rPr>
          <w:rFonts w:hint="default" w:ascii="宋体" w:hAnsi="宋体" w:eastAsia="宋体" w:cs="宋体"/>
          <w:color w:val="auto"/>
          <w:sz w:val="24"/>
          <w:szCs w:val="24"/>
          <w:highlight w:val="none"/>
        </w:rPr>
        <w:t>恶化</w:t>
      </w:r>
      <w:r>
        <w:rPr>
          <w:rFonts w:hint="eastAsia" w:ascii="宋体" w:hAnsi="宋体" w:eastAsia="宋体" w:cs="宋体"/>
          <w:color w:val="auto"/>
          <w:sz w:val="24"/>
          <w:szCs w:val="24"/>
          <w:highlight w:val="none"/>
        </w:rPr>
        <w:t>，处于被责令停业，财产被接管、冻结及破产状态，主要资产被冻结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查封</w:t>
      </w:r>
      <w:r>
        <w:rPr>
          <w:rFonts w:hint="eastAsia" w:ascii="宋体" w:hAnsi="宋体" w:cs="宋体"/>
          <w:sz w:val="24"/>
          <w:szCs w:val="24"/>
          <w:highlight w:val="none"/>
        </w:rPr>
        <w:t>；</w:t>
      </w:r>
    </w:p>
    <w:p w14:paraId="10ADA696">
      <w:pPr>
        <w:keepNext w:val="0"/>
        <w:keepLines w:val="0"/>
        <w:pageBreakBefore w:val="0"/>
        <w:widowControl/>
        <w:kinsoku/>
        <w:wordWrap/>
        <w:overflowPunct w:val="0"/>
        <w:topLinePunct w:val="0"/>
        <w:autoSpaceDE/>
        <w:autoSpaceDN/>
        <w:bidi w:val="0"/>
        <w:adjustRightInd/>
        <w:snapToGrid/>
        <w:spacing w:line="360" w:lineRule="auto"/>
        <w:ind w:firstLine="480" w:firstLineChars="200"/>
        <w:textAlignment w:val="baseline"/>
        <w:outlineLvl w:val="9"/>
        <w:rPr>
          <w:rFonts w:hint="eastAsia"/>
          <w:highlight w:val="none"/>
        </w:rPr>
      </w:pPr>
      <w:r>
        <w:rPr>
          <w:rFonts w:hint="eastAsia" w:ascii="宋体" w:hAnsi="宋体" w:cs="宋体"/>
          <w:sz w:val="24"/>
          <w:szCs w:val="24"/>
          <w:highlight w:val="none"/>
        </w:rPr>
        <w:t>（</w:t>
      </w:r>
      <w:r>
        <w:rPr>
          <w:rFonts w:hint="default" w:ascii="宋体" w:hAnsi="宋体" w:cs="宋体"/>
          <w:sz w:val="24"/>
          <w:szCs w:val="24"/>
          <w:highlight w:val="none"/>
        </w:rPr>
        <w:t>2</w:t>
      </w:r>
      <w:r>
        <w:rPr>
          <w:rFonts w:hint="eastAsia" w:ascii="宋体" w:hAnsi="宋体" w:cs="宋体"/>
          <w:sz w:val="24"/>
          <w:szCs w:val="24"/>
          <w:highlight w:val="none"/>
        </w:rPr>
        <w:t>）处于被责令停产停业、暂扣或者吊销执照、暂扣或者吊销许可证、吊销资质证书状态；</w:t>
      </w:r>
    </w:p>
    <w:p w14:paraId="17E57C1C">
      <w:pPr>
        <w:keepNext w:val="0"/>
        <w:keepLines w:val="0"/>
        <w:pageBreakBefore w:val="0"/>
        <w:widowControl/>
        <w:kinsoku/>
        <w:wordWrap/>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r>
        <w:rPr>
          <w:rFonts w:hint="eastAsia" w:ascii="宋体" w:hAnsi="宋体" w:cs="宋体"/>
          <w:sz w:val="24"/>
          <w:szCs w:val="24"/>
          <w:highlight w:val="none"/>
        </w:rPr>
        <w:t>（</w:t>
      </w:r>
      <w:r>
        <w:rPr>
          <w:rFonts w:hint="default" w:ascii="宋体" w:hAnsi="宋体" w:cs="宋体"/>
          <w:sz w:val="24"/>
          <w:szCs w:val="24"/>
          <w:highlight w:val="none"/>
        </w:rPr>
        <w:t>3</w:t>
      </w:r>
      <w:r>
        <w:rPr>
          <w:rFonts w:hint="eastAsia" w:ascii="宋体" w:hAnsi="宋体" w:cs="宋体"/>
          <w:sz w:val="24"/>
          <w:szCs w:val="24"/>
          <w:highlight w:val="none"/>
        </w:rPr>
        <w:t>）进入清算程序，或被宣告破产，或其他丧失履约能力的情形；</w:t>
      </w:r>
    </w:p>
    <w:p w14:paraId="001D261B">
      <w:pPr>
        <w:keepNext w:val="0"/>
        <w:keepLines w:val="0"/>
        <w:pageBreakBefore w:val="0"/>
        <w:widowControl/>
        <w:kinsoku/>
        <w:wordWrap/>
        <w:overflowPunct w:val="0"/>
        <w:topLinePunct w:val="0"/>
        <w:autoSpaceDE/>
        <w:autoSpaceDN/>
        <w:bidi w:val="0"/>
        <w:adjustRightInd/>
        <w:snapToGrid/>
        <w:spacing w:line="360" w:lineRule="auto"/>
        <w:ind w:firstLine="480" w:firstLineChars="200"/>
        <w:textAlignment w:val="baseline"/>
        <w:outlineLvl w:val="9"/>
        <w:rPr>
          <w:rFonts w:hint="eastAsia" w:ascii="宋体" w:hAnsi="宋体" w:eastAsia="宋体" w:cs="宋体"/>
          <w:color w:val="auto"/>
          <w:sz w:val="24"/>
          <w:szCs w:val="24"/>
          <w:highlight w:val="none"/>
        </w:rPr>
      </w:pPr>
    </w:p>
    <w:p w14:paraId="0A0F700D">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3706EC5C">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1C1FE6DD">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231E3F34">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303EC636">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6A37F3C2">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44153430">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2D745851">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02D229C0">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6B4A2EB8">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59C192CC">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013804D2">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77FDB649">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0322196F">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2F3A42CA">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58A4AC78">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30478BB5">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70B26CAE">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29C5DBEC">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38A8CFE0">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09B8A53A">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0B8D72B8">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510744CF">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75848D96">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600FACCF">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3B78625C">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5B8A55A5">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28775A55">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0E14BFDE">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4A133212">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595CC8D2">
      <w:pPr>
        <w:pStyle w:val="2"/>
        <w:keepNext/>
        <w:keepLines/>
        <w:pageBreakBefore w:val="0"/>
        <w:widowControl w:val="0"/>
        <w:kinsoku/>
        <w:wordWrap/>
        <w:overflowPunct/>
        <w:topLinePunct w:val="0"/>
        <w:autoSpaceDE/>
        <w:autoSpaceDN/>
        <w:bidi w:val="0"/>
        <w:adjustRightInd/>
        <w:snapToGrid/>
        <w:ind w:firstLineChars="0"/>
        <w:textAlignment w:val="auto"/>
        <w:rPr>
          <w:rFonts w:hint="default" w:ascii="宋体" w:hAnsi="宋体" w:eastAsia="宋体" w:cs="宋体"/>
          <w:b w:val="0"/>
          <w:bCs w:val="0"/>
          <w:color w:val="auto"/>
          <w:sz w:val="24"/>
          <w:szCs w:val="24"/>
          <w:highlight w:val="none"/>
          <w:lang w:val="en-US" w:eastAsia="zh-CN"/>
        </w:rPr>
      </w:pPr>
      <w:r>
        <w:rPr>
          <w:rFonts w:hint="default" w:hAnsi="宋体" w:eastAsia="宋体" w:cs="宋体"/>
          <w:color w:val="auto"/>
          <w:sz w:val="24"/>
          <w:szCs w:val="24"/>
          <w:highlight w:val="none"/>
        </w:rPr>
        <w:t>附件：</w:t>
      </w:r>
      <w:r>
        <w:rPr>
          <w:rFonts w:hint="default" w:ascii="宋体" w:hAnsi="宋体" w:eastAsia="宋体" w:cs="宋体"/>
          <w:b w:val="0"/>
          <w:bCs w:val="0"/>
          <w:color w:val="auto"/>
          <w:sz w:val="24"/>
          <w:szCs w:val="24"/>
          <w:highlight w:val="none"/>
          <w:lang w:val="en-US" w:eastAsia="zh-CN"/>
        </w:rPr>
        <w:t>企业履约信誉承诺</w:t>
      </w:r>
    </w:p>
    <w:p w14:paraId="7B7DBEAC">
      <w:pPr>
        <w:pStyle w:val="2"/>
        <w:keepNext/>
        <w:keepLines/>
        <w:pageBreakBefore w:val="0"/>
        <w:widowControl w:val="0"/>
        <w:kinsoku/>
        <w:wordWrap/>
        <w:overflowPunct/>
        <w:topLinePunct w:val="0"/>
        <w:autoSpaceDE/>
        <w:autoSpaceDN/>
        <w:bidi w:val="0"/>
        <w:adjustRightInd/>
        <w:snapToGrid/>
        <w:ind w:firstLineChars="0"/>
        <w:textAlignment w:val="auto"/>
        <w:rPr>
          <w:rFonts w:hint="default" w:ascii="宋体" w:hAnsi="宋体" w:eastAsia="宋体" w:cs="宋体"/>
          <w:b w:val="0"/>
          <w:bCs w:val="0"/>
          <w:color w:val="auto"/>
          <w:sz w:val="24"/>
          <w:szCs w:val="24"/>
          <w:highlight w:val="none"/>
          <w:lang w:val="en-US" w:eastAsia="zh-CN"/>
        </w:rPr>
      </w:pPr>
    </w:p>
    <w:p w14:paraId="79B3D6D6">
      <w:pPr>
        <w:pStyle w:val="2"/>
        <w:keepNext/>
        <w:keepLines/>
        <w:pageBreakBefore w:val="0"/>
        <w:widowControl w:val="0"/>
        <w:kinsoku/>
        <w:wordWrap/>
        <w:overflowPunct/>
        <w:topLinePunct w:val="0"/>
        <w:autoSpaceDE/>
        <w:autoSpaceDN/>
        <w:bidi w:val="0"/>
        <w:adjustRightInd/>
        <w:snapToGrid/>
        <w:ind w:firstLineChars="0"/>
        <w:textAlignment w:val="auto"/>
        <w:rPr>
          <w:rFonts w:hint="default" w:ascii="宋体" w:hAnsi="宋体" w:eastAsia="宋体" w:cs="宋体"/>
          <w:b w:val="0"/>
          <w:bCs w:val="0"/>
          <w:color w:val="auto"/>
          <w:sz w:val="24"/>
          <w:szCs w:val="24"/>
          <w:highlight w:val="none"/>
          <w:lang w:eastAsia="zh-CN"/>
        </w:rPr>
      </w:pPr>
    </w:p>
    <w:p w14:paraId="19473209">
      <w:pPr>
        <w:pStyle w:val="2"/>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highlight w:val="none"/>
        </w:rPr>
      </w:pPr>
    </w:p>
    <w:p w14:paraId="4BB32535">
      <w:pPr>
        <w:widowControl/>
        <w:jc w:val="center"/>
        <w:outlineLvl w:val="3"/>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企业履约信誉承诺</w:t>
      </w:r>
    </w:p>
    <w:p w14:paraId="3E2D1FC2">
      <w:pPr>
        <w:keepNext w:val="0"/>
        <w:keepLines w:val="0"/>
        <w:pageBreakBefore w:val="0"/>
        <w:kinsoku/>
        <w:wordWrap/>
        <w:topLinePunct w:val="0"/>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致</w:t>
      </w:r>
      <w:r>
        <w:rPr>
          <w:rFonts w:hint="eastAsia" w:ascii="宋体" w:hAnsi="宋体" w:cs="宋体"/>
          <w:color w:val="auto"/>
          <w:sz w:val="24"/>
          <w:szCs w:val="24"/>
          <w:highlight w:val="none"/>
          <w:u w:val="single"/>
          <w:lang w:val="en-US" w:eastAsia="zh-CN"/>
        </w:rPr>
        <w:t xml:space="preserve">                   （招标人名称）</w:t>
      </w:r>
      <w:r>
        <w:rPr>
          <w:rFonts w:hint="eastAsia" w:ascii="宋体" w:hAnsi="宋体" w:eastAsia="宋体" w:cs="宋体"/>
          <w:color w:val="auto"/>
          <w:sz w:val="24"/>
          <w:szCs w:val="24"/>
          <w:highlight w:val="none"/>
          <w:lang w:eastAsia="zh-CN"/>
        </w:rPr>
        <w:t>：</w:t>
      </w:r>
    </w:p>
    <w:p w14:paraId="4FB5EA53">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我单位经营状况良好，未处于被责令停业，财产被接管、冻结及破产状态，主要资产未被冻结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查封。</w:t>
      </w:r>
    </w:p>
    <w:p w14:paraId="3D71723E">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我单位未处于被责令停产停业、暂扣或者吊销执照、暂扣或者吊销许可证、吊销资质证书状态。 </w:t>
      </w:r>
    </w:p>
    <w:p w14:paraId="4012F381">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我单位没有进入清算程序，或被宣告破产，或其他丧失履约能力的情形。</w:t>
      </w:r>
    </w:p>
    <w:p w14:paraId="602075FE">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若</w:t>
      </w:r>
      <w:r>
        <w:rPr>
          <w:rFonts w:hint="eastAsia" w:ascii="宋体" w:hAnsi="宋体" w:eastAsia="宋体" w:cs="宋体"/>
          <w:color w:val="auto"/>
          <w:sz w:val="24"/>
          <w:szCs w:val="24"/>
          <w:highlight w:val="none"/>
        </w:rPr>
        <w:t>贵单位发现我单位上述承诺的情况与事实不符，一经核实，</w:t>
      </w:r>
      <w:r>
        <w:rPr>
          <w:rFonts w:hint="eastAsia" w:ascii="宋体" w:hAnsi="宋体" w:eastAsia="宋体" w:cs="宋体"/>
          <w:color w:val="auto"/>
          <w:sz w:val="24"/>
          <w:szCs w:val="24"/>
          <w:highlight w:val="none"/>
          <w:lang w:val="en-US" w:eastAsia="zh-CN"/>
        </w:rPr>
        <w:t>贵单位</w:t>
      </w:r>
      <w:r>
        <w:rPr>
          <w:rFonts w:hint="eastAsia" w:ascii="宋体" w:hAnsi="宋体" w:eastAsia="宋体" w:cs="宋体"/>
          <w:color w:val="auto"/>
          <w:sz w:val="24"/>
          <w:szCs w:val="24"/>
          <w:highlight w:val="none"/>
        </w:rPr>
        <w:t xml:space="preserve">可按不良信誉对我公司实施相应的惩罚。 </w:t>
      </w:r>
    </w:p>
    <w:p w14:paraId="2D5747B8">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3871820F">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p>
    <w:p w14:paraId="747AB490">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eastAsia" w:ascii="宋体" w:hAnsi="宋体" w:eastAsia="宋体" w:cs="宋体"/>
          <w:b/>
          <w:color w:val="auto"/>
          <w:kern w:val="0"/>
          <w:sz w:val="24"/>
          <w:szCs w:val="24"/>
          <w:highlight w:val="none"/>
          <w:lang w:val="en-US" w:eastAsia="zh-CN" w:bidi="ar-SA"/>
        </w:rPr>
      </w:pPr>
    </w:p>
    <w:p w14:paraId="44290BF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rPr>
        <w:t xml:space="preserve">                                </w:t>
      </w:r>
    </w:p>
    <w:p w14:paraId="1CCDDC8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p>
    <w:p w14:paraId="57F88FD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法定代表人或委托代理人（签字或</w:t>
      </w:r>
      <w:r>
        <w:rPr>
          <w:rFonts w:hint="eastAsia" w:ascii="宋体" w:hAnsi="宋体" w:eastAsia="宋体" w:cs="宋体"/>
          <w:color w:val="auto"/>
          <w:kern w:val="0"/>
          <w:sz w:val="24"/>
          <w:szCs w:val="24"/>
          <w:highlight w:val="none"/>
          <w:lang w:val="en-US" w:eastAsia="zh-CN"/>
        </w:rPr>
        <w:t>签章</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2FAA4B9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p>
    <w:p w14:paraId="5D3F95E3">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lang w:val="en-US" w:eastAsia="zh-CN"/>
        </w:rPr>
        <w:t xml:space="preserve">    年   月   日</w:t>
      </w:r>
    </w:p>
    <w:p w14:paraId="23EA37BE">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CN"/>
        </w:rPr>
      </w:pPr>
    </w:p>
    <w:p w14:paraId="1739182E">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37A03C5F">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0867A98D">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68211D2F">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23FB41EC">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62E0EAF9">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64CA638D">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512" w:name="_Toc1782781077"/>
      <w:bookmarkStart w:id="513" w:name="_Toc983211297"/>
      <w:bookmarkStart w:id="514" w:name="_Toc1199659818"/>
      <w:bookmarkStart w:id="515" w:name="_Toc897483557"/>
      <w:bookmarkStart w:id="516" w:name="_Toc143543202"/>
      <w:r>
        <w:rPr>
          <w:rFonts w:hint="eastAsia" w:eastAsia="宋体" w:cs="宋体"/>
          <w:color w:val="auto"/>
          <w:highlight w:val="none"/>
          <w:lang w:val="en-US" w:eastAsia="zh-CN"/>
        </w:rPr>
        <w:t xml:space="preserve">第二部分 </w:t>
      </w:r>
      <w:r>
        <w:rPr>
          <w:rFonts w:hint="eastAsia" w:ascii="宋体" w:hAnsi="宋体" w:eastAsia="宋体" w:cs="宋体"/>
          <w:color w:val="auto"/>
          <w:highlight w:val="none"/>
        </w:rPr>
        <w:t>商务部分</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2"/>
      <w:bookmarkEnd w:id="513"/>
      <w:bookmarkEnd w:id="514"/>
      <w:bookmarkEnd w:id="515"/>
      <w:bookmarkEnd w:id="516"/>
    </w:p>
    <w:p w14:paraId="4F322FB6">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517" w:name="_Toc439554165"/>
      <w:bookmarkStart w:id="518" w:name="_Toc435803790"/>
      <w:bookmarkStart w:id="519" w:name="_Toc2374"/>
      <w:bookmarkStart w:id="520" w:name="_Toc440110295"/>
      <w:bookmarkStart w:id="521" w:name="_Toc29468"/>
      <w:bookmarkStart w:id="522" w:name="_Toc55303756"/>
      <w:bookmarkStart w:id="523" w:name="_Toc470822369"/>
      <w:bookmarkStart w:id="524" w:name="_Toc30173"/>
      <w:bookmarkStart w:id="525" w:name="_Toc19689"/>
      <w:bookmarkStart w:id="526" w:name="_Toc27175"/>
      <w:bookmarkStart w:id="527" w:name="_Toc5638"/>
      <w:bookmarkStart w:id="528" w:name="_Toc26374"/>
      <w:bookmarkStart w:id="529" w:name="_Toc55310069"/>
      <w:bookmarkStart w:id="530" w:name="_Toc2063032350"/>
      <w:bookmarkStart w:id="531" w:name="_Toc12751"/>
      <w:bookmarkStart w:id="532" w:name="_Toc5228"/>
      <w:bookmarkStart w:id="533" w:name="_Toc1840950434"/>
      <w:bookmarkStart w:id="534" w:name="_Toc516955266"/>
      <w:bookmarkStart w:id="535" w:name="_Toc29442"/>
      <w:bookmarkStart w:id="536" w:name="_Toc5802"/>
      <w:bookmarkStart w:id="537" w:name="_Toc1203403171"/>
      <w:r>
        <w:rPr>
          <w:rFonts w:hint="eastAsia" w:ascii="宋体" w:hAnsi="宋体" w:eastAsia="宋体" w:cs="宋体"/>
          <w:color w:val="auto"/>
          <w:highlight w:val="none"/>
        </w:rPr>
        <w:t>一</w:t>
      </w:r>
      <w:r>
        <w:rPr>
          <w:rFonts w:hint="eastAsia" w:eastAsia="宋体" w:cs="宋体"/>
          <w:color w:val="auto"/>
          <w:highlight w:val="none"/>
          <w:lang w:eastAsia="zh-CN"/>
        </w:rPr>
        <w:t>、</w:t>
      </w:r>
      <w:bookmarkEnd w:id="517"/>
      <w:bookmarkEnd w:id="518"/>
      <w:r>
        <w:rPr>
          <w:rFonts w:hint="eastAsia" w:ascii="宋体" w:hAnsi="宋体" w:eastAsia="宋体" w:cs="宋体"/>
          <w:color w:val="auto"/>
          <w:highlight w:val="none"/>
        </w:rPr>
        <w:t>报价一览表</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7830A9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color w:val="auto"/>
          <w:sz w:val="24"/>
          <w:szCs w:val="24"/>
          <w:highlight w:val="none"/>
          <w:u w:val="single"/>
          <w:lang w:val="en-US" w:eastAsia="zh-CN"/>
        </w:rPr>
      </w:pPr>
      <w:r>
        <w:rPr>
          <w:rFonts w:hint="eastAsia" w:ascii="宋体" w:hAnsi="宋体" w:eastAsia="宋体" w:cs="宋体"/>
          <w:color w:val="auto"/>
          <w:kern w:val="0"/>
          <w:sz w:val="24"/>
          <w:highlight w:val="none"/>
        </w:rPr>
        <w:t>项目名称：</w:t>
      </w:r>
      <w:r>
        <w:rPr>
          <w:rFonts w:hint="default" w:ascii="宋体" w:hAnsi="宋体" w:cs="宋体"/>
          <w:color w:val="auto"/>
          <w:kern w:val="2"/>
          <w:sz w:val="24"/>
          <w:szCs w:val="24"/>
          <w:highlight w:val="none"/>
          <w:u w:val="single"/>
          <w:lang w:val="en-US" w:eastAsia="zh-CN"/>
        </w:rPr>
        <w:t>华宁县</w:t>
      </w:r>
      <w:r>
        <w:rPr>
          <w:rFonts w:hint="eastAsia" w:ascii="宋体" w:hAnsi="宋体" w:cs="宋体"/>
          <w:color w:val="auto"/>
          <w:sz w:val="24"/>
          <w:szCs w:val="24"/>
          <w:highlight w:val="none"/>
          <w:u w:val="single"/>
          <w:lang w:val="en-US" w:eastAsia="zh-CN"/>
        </w:rPr>
        <w:t>大龙山风电场项目监理服务（</w:t>
      </w:r>
      <w:r>
        <w:rPr>
          <w:rFonts w:hint="eastAsia" w:ascii="宋体" w:hAnsi="宋体" w:cs="宋体"/>
          <w:color w:val="auto"/>
          <w:sz w:val="24"/>
          <w:szCs w:val="24"/>
          <w:highlight w:val="none"/>
          <w:u w:val="single"/>
          <w:lang w:eastAsia="zh-CN"/>
        </w:rPr>
        <w:t>项目</w:t>
      </w:r>
      <w:r>
        <w:rPr>
          <w:rFonts w:hint="eastAsia" w:ascii="宋体" w:hAnsi="宋体" w:cs="宋体"/>
          <w:color w:val="auto"/>
          <w:sz w:val="24"/>
          <w:szCs w:val="24"/>
          <w:highlight w:val="none"/>
          <w:u w:val="single"/>
          <w:lang w:val="en-US" w:eastAsia="zh-CN"/>
        </w:rPr>
        <w:t xml:space="preserve">名称） </w:t>
      </w:r>
    </w:p>
    <w:tbl>
      <w:tblPr>
        <w:tblStyle w:val="49"/>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91"/>
        <w:gridCol w:w="3516"/>
        <w:gridCol w:w="2756"/>
      </w:tblGrid>
      <w:tr w14:paraId="0C15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6" w:hRule="atLeast"/>
          <w:jc w:val="center"/>
        </w:trPr>
        <w:tc>
          <w:tcPr>
            <w:tcW w:w="704" w:type="dxa"/>
            <w:vAlign w:val="center"/>
          </w:tcPr>
          <w:p w14:paraId="4FDFE46B">
            <w:pPr>
              <w:jc w:val="center"/>
              <w:rPr>
                <w:b/>
                <w:szCs w:val="21"/>
                <w:highlight w:val="none"/>
              </w:rPr>
            </w:pPr>
            <w:r>
              <w:rPr>
                <w:b/>
                <w:szCs w:val="21"/>
                <w:highlight w:val="none"/>
              </w:rPr>
              <w:t>序号</w:t>
            </w:r>
          </w:p>
        </w:tc>
        <w:tc>
          <w:tcPr>
            <w:tcW w:w="1891" w:type="dxa"/>
            <w:vAlign w:val="center"/>
          </w:tcPr>
          <w:p w14:paraId="561EF0A8">
            <w:pPr>
              <w:jc w:val="center"/>
              <w:rPr>
                <w:b/>
                <w:szCs w:val="21"/>
                <w:highlight w:val="none"/>
              </w:rPr>
            </w:pPr>
            <w:r>
              <w:rPr>
                <w:b/>
                <w:szCs w:val="21"/>
                <w:highlight w:val="none"/>
              </w:rPr>
              <w:t>项目</w:t>
            </w:r>
          </w:p>
        </w:tc>
        <w:tc>
          <w:tcPr>
            <w:tcW w:w="3516" w:type="dxa"/>
            <w:vAlign w:val="center"/>
          </w:tcPr>
          <w:p w14:paraId="3E7E0041">
            <w:pPr>
              <w:jc w:val="center"/>
              <w:rPr>
                <w:b/>
                <w:szCs w:val="21"/>
                <w:highlight w:val="none"/>
              </w:rPr>
            </w:pPr>
            <w:r>
              <w:rPr>
                <w:b/>
                <w:szCs w:val="21"/>
                <w:highlight w:val="none"/>
              </w:rPr>
              <w:t>报价内容及承诺</w:t>
            </w:r>
          </w:p>
        </w:tc>
        <w:tc>
          <w:tcPr>
            <w:tcW w:w="2756" w:type="dxa"/>
            <w:vAlign w:val="center"/>
          </w:tcPr>
          <w:p w14:paraId="7F4CB21E">
            <w:pPr>
              <w:jc w:val="center"/>
              <w:rPr>
                <w:b/>
                <w:szCs w:val="21"/>
                <w:highlight w:val="none"/>
              </w:rPr>
            </w:pPr>
            <w:r>
              <w:rPr>
                <w:b/>
                <w:szCs w:val="21"/>
                <w:highlight w:val="none"/>
              </w:rPr>
              <w:t>备注</w:t>
            </w:r>
          </w:p>
        </w:tc>
      </w:tr>
      <w:tr w14:paraId="4673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9" w:hRule="atLeast"/>
          <w:jc w:val="center"/>
        </w:trPr>
        <w:tc>
          <w:tcPr>
            <w:tcW w:w="704" w:type="dxa"/>
            <w:vAlign w:val="center"/>
          </w:tcPr>
          <w:p w14:paraId="330048BE">
            <w:pPr>
              <w:jc w:val="center"/>
              <w:rPr>
                <w:szCs w:val="21"/>
                <w:highlight w:val="none"/>
              </w:rPr>
            </w:pPr>
            <w:r>
              <w:rPr>
                <w:szCs w:val="21"/>
                <w:highlight w:val="none"/>
              </w:rPr>
              <w:t>1</w:t>
            </w:r>
          </w:p>
        </w:tc>
        <w:tc>
          <w:tcPr>
            <w:tcW w:w="1891" w:type="dxa"/>
            <w:vAlign w:val="center"/>
          </w:tcPr>
          <w:p w14:paraId="301943D5">
            <w:pPr>
              <w:jc w:val="center"/>
              <w:rPr>
                <w:szCs w:val="21"/>
                <w:highlight w:val="none"/>
              </w:rPr>
            </w:pPr>
            <w:r>
              <w:rPr>
                <w:szCs w:val="21"/>
                <w:highlight w:val="none"/>
              </w:rPr>
              <w:t>报价总价（元）</w:t>
            </w:r>
          </w:p>
        </w:tc>
        <w:tc>
          <w:tcPr>
            <w:tcW w:w="3516" w:type="dxa"/>
            <w:vAlign w:val="center"/>
          </w:tcPr>
          <w:p w14:paraId="3E181D15">
            <w:pPr>
              <w:rPr>
                <w:color w:val="auto"/>
                <w:szCs w:val="21"/>
                <w:highlight w:val="none"/>
              </w:rPr>
            </w:pPr>
            <w:r>
              <w:rPr>
                <w:color w:val="auto"/>
                <w:szCs w:val="21"/>
                <w:highlight w:val="none"/>
              </w:rPr>
              <w:t>大写：</w:t>
            </w:r>
            <w:r>
              <w:rPr>
                <w:rFonts w:hint="eastAsia"/>
                <w:color w:val="auto"/>
                <w:szCs w:val="21"/>
                <w:highlight w:val="none"/>
                <w:u w:val="single"/>
              </w:rPr>
              <w:t xml:space="preserve">          </w:t>
            </w:r>
            <w:r>
              <w:rPr>
                <w:rFonts w:hint="eastAsia"/>
                <w:color w:val="auto"/>
                <w:szCs w:val="21"/>
                <w:highlight w:val="none"/>
              </w:rPr>
              <w:t>人民币</w:t>
            </w:r>
          </w:p>
          <w:p w14:paraId="27C374A0">
            <w:pPr>
              <w:rPr>
                <w:color w:val="auto"/>
                <w:szCs w:val="21"/>
                <w:highlight w:val="none"/>
              </w:rPr>
            </w:pPr>
            <w:r>
              <w:rPr>
                <w:rFonts w:hint="eastAsia"/>
                <w:color w:val="auto"/>
                <w:szCs w:val="21"/>
                <w:highlight w:val="none"/>
              </w:rPr>
              <w:t>小写：</w:t>
            </w:r>
            <w:r>
              <w:rPr>
                <w:color w:val="auto"/>
                <w:szCs w:val="21"/>
                <w:highlight w:val="none"/>
              </w:rPr>
              <w:t>¥</w:t>
            </w:r>
            <w:r>
              <w:rPr>
                <w:rFonts w:hint="eastAsia"/>
                <w:color w:val="auto"/>
                <w:szCs w:val="21"/>
                <w:highlight w:val="none"/>
                <w:u w:val="single"/>
              </w:rPr>
              <w:t xml:space="preserve">           </w:t>
            </w:r>
          </w:p>
        </w:tc>
        <w:tc>
          <w:tcPr>
            <w:tcW w:w="2756" w:type="dxa"/>
            <w:vAlign w:val="center"/>
          </w:tcPr>
          <w:p w14:paraId="5248C106">
            <w:pPr>
              <w:jc w:val="left"/>
              <w:rPr>
                <w:color w:val="auto"/>
                <w:highlight w:val="none"/>
              </w:rPr>
            </w:pPr>
            <w:r>
              <w:rPr>
                <w:rFonts w:hint="eastAsia"/>
                <w:color w:val="auto"/>
                <w:highlight w:val="none"/>
              </w:rPr>
              <w:t>税率为XXX%</w:t>
            </w:r>
          </w:p>
        </w:tc>
      </w:tr>
      <w:tr w14:paraId="7EC0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9" w:hRule="atLeast"/>
          <w:jc w:val="center"/>
        </w:trPr>
        <w:tc>
          <w:tcPr>
            <w:tcW w:w="704" w:type="dxa"/>
            <w:vAlign w:val="center"/>
          </w:tcPr>
          <w:p w14:paraId="35838351">
            <w:pPr>
              <w:jc w:val="center"/>
              <w:rPr>
                <w:rFonts w:hint="eastAsia" w:eastAsia="宋体"/>
                <w:szCs w:val="21"/>
                <w:highlight w:val="none"/>
                <w:lang w:val="en-US" w:eastAsia="zh-CN"/>
              </w:rPr>
            </w:pPr>
            <w:r>
              <w:rPr>
                <w:rFonts w:hint="eastAsia"/>
                <w:szCs w:val="21"/>
                <w:highlight w:val="none"/>
                <w:lang w:val="en-US" w:eastAsia="zh-CN"/>
              </w:rPr>
              <w:t>2</w:t>
            </w:r>
          </w:p>
        </w:tc>
        <w:tc>
          <w:tcPr>
            <w:tcW w:w="1891" w:type="dxa"/>
            <w:vAlign w:val="center"/>
          </w:tcPr>
          <w:p w14:paraId="4498AD64">
            <w:pPr>
              <w:jc w:val="center"/>
              <w:rPr>
                <w:rFonts w:hint="default" w:eastAsia="宋体"/>
                <w:szCs w:val="21"/>
                <w:highlight w:val="none"/>
                <w:lang w:val="en-US" w:eastAsia="zh-CN"/>
              </w:rPr>
            </w:pPr>
            <w:r>
              <w:rPr>
                <w:rFonts w:hint="eastAsia"/>
                <w:szCs w:val="21"/>
                <w:highlight w:val="none"/>
                <w:lang w:val="en-US" w:eastAsia="zh-CN"/>
              </w:rPr>
              <w:t>总监理工程师</w:t>
            </w:r>
          </w:p>
        </w:tc>
        <w:tc>
          <w:tcPr>
            <w:tcW w:w="3516" w:type="dxa"/>
            <w:vAlign w:val="center"/>
          </w:tcPr>
          <w:p w14:paraId="17C61E6C">
            <w:pPr>
              <w:rPr>
                <w:rFonts w:hint="eastAsia"/>
                <w:color w:val="auto"/>
                <w:szCs w:val="21"/>
                <w:highlight w:val="none"/>
              </w:rPr>
            </w:pPr>
          </w:p>
        </w:tc>
        <w:tc>
          <w:tcPr>
            <w:tcW w:w="2756" w:type="dxa"/>
            <w:vAlign w:val="center"/>
          </w:tcPr>
          <w:p w14:paraId="409A5B97">
            <w:pPr>
              <w:jc w:val="left"/>
              <w:rPr>
                <w:rFonts w:hint="eastAsia"/>
                <w:color w:val="auto"/>
                <w:highlight w:val="none"/>
              </w:rPr>
            </w:pPr>
          </w:p>
        </w:tc>
      </w:tr>
      <w:tr w14:paraId="443F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5" w:hRule="atLeast"/>
          <w:jc w:val="center"/>
        </w:trPr>
        <w:tc>
          <w:tcPr>
            <w:tcW w:w="704" w:type="dxa"/>
            <w:vAlign w:val="center"/>
          </w:tcPr>
          <w:p w14:paraId="31F28EB8">
            <w:pPr>
              <w:jc w:val="center"/>
              <w:rPr>
                <w:rFonts w:hint="eastAsia" w:eastAsia="宋体"/>
                <w:szCs w:val="21"/>
                <w:highlight w:val="none"/>
                <w:lang w:eastAsia="zh-CN"/>
              </w:rPr>
            </w:pPr>
            <w:r>
              <w:rPr>
                <w:rFonts w:hint="eastAsia"/>
                <w:szCs w:val="21"/>
                <w:highlight w:val="none"/>
                <w:lang w:val="en-US" w:eastAsia="zh-CN"/>
              </w:rPr>
              <w:t>3</w:t>
            </w:r>
          </w:p>
        </w:tc>
        <w:tc>
          <w:tcPr>
            <w:tcW w:w="1891" w:type="dxa"/>
            <w:vAlign w:val="center"/>
          </w:tcPr>
          <w:p w14:paraId="16208B65">
            <w:pPr>
              <w:pStyle w:val="47"/>
              <w:ind w:firstLine="0" w:firstLineChars="0"/>
              <w:jc w:val="center"/>
              <w:rPr>
                <w:rFonts w:ascii="Times New Roman" w:hAnsi="Times New Roman" w:cs="Times New Roman"/>
                <w:kern w:val="2"/>
                <w:sz w:val="21"/>
                <w:szCs w:val="21"/>
                <w:highlight w:val="none"/>
              </w:rPr>
            </w:pPr>
            <w:r>
              <w:rPr>
                <w:rFonts w:ascii="Times New Roman" w:hAnsi="Times New Roman" w:cs="Times New Roman"/>
                <w:kern w:val="2"/>
                <w:sz w:val="21"/>
                <w:szCs w:val="21"/>
                <w:highlight w:val="none"/>
              </w:rPr>
              <w:t>服务</w:t>
            </w:r>
            <w:r>
              <w:rPr>
                <w:rFonts w:hint="eastAsia" w:ascii="Times New Roman" w:hAnsi="Times New Roman" w:cs="Times New Roman"/>
                <w:kern w:val="2"/>
                <w:sz w:val="21"/>
                <w:szCs w:val="21"/>
                <w:highlight w:val="none"/>
                <w:lang w:val="en-US" w:eastAsia="zh-CN"/>
              </w:rPr>
              <w:t>期限</w:t>
            </w:r>
            <w:r>
              <w:rPr>
                <w:rFonts w:ascii="Times New Roman" w:hAnsi="Times New Roman" w:cs="Times New Roman"/>
                <w:kern w:val="2"/>
                <w:sz w:val="21"/>
                <w:szCs w:val="21"/>
                <w:highlight w:val="none"/>
              </w:rPr>
              <w:t>承诺</w:t>
            </w:r>
          </w:p>
        </w:tc>
        <w:tc>
          <w:tcPr>
            <w:tcW w:w="3516" w:type="dxa"/>
            <w:vAlign w:val="center"/>
          </w:tcPr>
          <w:p w14:paraId="5C77F440">
            <w:pPr>
              <w:jc w:val="left"/>
              <w:rPr>
                <w:szCs w:val="21"/>
                <w:highlight w:val="none"/>
              </w:rPr>
            </w:pPr>
          </w:p>
        </w:tc>
        <w:tc>
          <w:tcPr>
            <w:tcW w:w="2756" w:type="dxa"/>
            <w:vAlign w:val="center"/>
          </w:tcPr>
          <w:p w14:paraId="5DCCE97B">
            <w:pPr>
              <w:jc w:val="center"/>
              <w:rPr>
                <w:szCs w:val="21"/>
                <w:highlight w:val="none"/>
              </w:rPr>
            </w:pPr>
          </w:p>
        </w:tc>
      </w:tr>
    </w:tbl>
    <w:p w14:paraId="617CEBC1">
      <w:pPr>
        <w:pStyle w:val="2"/>
        <w:keepNext w:val="0"/>
        <w:keepLines w:val="0"/>
        <w:pageBreakBefore w:val="0"/>
        <w:widowControl w:val="0"/>
        <w:kinsoku/>
        <w:wordWrap/>
        <w:overflowPunct/>
        <w:topLinePunct w:val="0"/>
        <w:autoSpaceDE w:val="0"/>
        <w:autoSpaceDN w:val="0"/>
        <w:bidi w:val="0"/>
        <w:adjustRightInd w:val="0"/>
        <w:snapToGrid/>
        <w:spacing w:line="320" w:lineRule="exact"/>
        <w:ind w:firstLine="480" w:firstLineChars="200"/>
        <w:textAlignment w:val="auto"/>
        <w:rPr>
          <w:rFonts w:hint="eastAsia" w:ascii="宋体" w:hAnsi="宋体" w:eastAsia="宋体" w:cs="宋体"/>
          <w:color w:val="auto"/>
          <w:sz w:val="24"/>
          <w:szCs w:val="24"/>
          <w:highlight w:val="none"/>
        </w:rPr>
      </w:pPr>
    </w:p>
    <w:p w14:paraId="3B241418">
      <w:pPr>
        <w:pStyle w:val="2"/>
        <w:keepNext w:val="0"/>
        <w:keepLines w:val="0"/>
        <w:pageBreakBefore w:val="0"/>
        <w:widowControl w:val="0"/>
        <w:kinsoku/>
        <w:wordWrap/>
        <w:overflowPunct/>
        <w:topLinePunct w:val="0"/>
        <w:autoSpaceDE w:val="0"/>
        <w:autoSpaceDN w:val="0"/>
        <w:bidi w:val="0"/>
        <w:adjustRightInd w:val="0"/>
        <w:snapToGrid/>
        <w:spacing w:line="3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p w14:paraId="4EAD0129">
      <w:pPr>
        <w:pStyle w:val="2"/>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1.本说明应与供应商须知、合同条款等文件一起参照阅读。</w:t>
      </w:r>
    </w:p>
    <w:p w14:paraId="453ADDCC">
      <w:pPr>
        <w:pStyle w:val="2"/>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.除合同另有规定外，报价包括供应商为完成本合同规定的工作所承担的全部费用</w:t>
      </w:r>
      <w:r>
        <w:rPr>
          <w:rFonts w:hint="eastAsia"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包括但不限于人工、材料、工器具、车辆、运费、利润、保险、税率及其他与此相关的所有费用，并考虑了应由乙方承担的义务、责任和风险所发生的费用；</w:t>
      </w:r>
    </w:p>
    <w:p w14:paraId="7C1FA2E7">
      <w:pPr>
        <w:rPr>
          <w:rFonts w:hint="default"/>
          <w:highlight w:val="none"/>
          <w:lang w:val="en-US" w:eastAsia="zh-CN"/>
        </w:rPr>
      </w:pPr>
    </w:p>
    <w:p w14:paraId="611D3267">
      <w:pPr>
        <w:pStyle w:val="39"/>
        <w:spacing w:line="360" w:lineRule="auto"/>
        <w:ind w:firstLine="360" w:firstLineChars="15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lang w:val="en-US" w:eastAsia="zh-CN"/>
        </w:rPr>
        <w:t xml:space="preserve">                         </w:t>
      </w:r>
    </w:p>
    <w:p w14:paraId="32D694B1">
      <w:pPr>
        <w:pStyle w:val="39"/>
        <w:spacing w:line="360" w:lineRule="auto"/>
        <w:ind w:firstLine="360" w:firstLineChars="150"/>
        <w:rPr>
          <w:rFonts w:hint="eastAsia" w:ascii="宋体" w:hAnsi="宋体" w:eastAsia="宋体" w:cs="宋体"/>
          <w:color w:val="auto"/>
          <w:sz w:val="24"/>
          <w:szCs w:val="24"/>
          <w:highlight w:val="none"/>
          <w:u w:val="single"/>
          <w:lang w:val="en-US" w:eastAsia="zh-CN"/>
        </w:rPr>
      </w:pPr>
    </w:p>
    <w:p w14:paraId="6732FE6F">
      <w:pPr>
        <w:pStyle w:val="39"/>
        <w:spacing w:line="360" w:lineRule="auto"/>
        <w:ind w:firstLine="360" w:firstLineChars="15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法定代表人或委托代理人（签字或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p>
    <w:p w14:paraId="06BA344A">
      <w:pPr>
        <w:pStyle w:val="39"/>
        <w:spacing w:line="360" w:lineRule="auto"/>
        <w:ind w:firstLine="360" w:firstLineChars="150"/>
        <w:rPr>
          <w:rFonts w:hint="eastAsia" w:ascii="宋体" w:hAnsi="宋体" w:eastAsia="宋体" w:cs="宋体"/>
          <w:color w:val="auto"/>
          <w:sz w:val="24"/>
          <w:szCs w:val="24"/>
          <w:highlight w:val="none"/>
          <w:u w:val="single"/>
          <w:lang w:val="en-US" w:eastAsia="zh-CN"/>
        </w:rPr>
      </w:pPr>
    </w:p>
    <w:p w14:paraId="12A7EE20">
      <w:pPr>
        <w:pStyle w:val="39"/>
        <w:spacing w:line="360" w:lineRule="auto"/>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bookmarkStart w:id="538" w:name="_Toc440110296"/>
      <w:bookmarkStart w:id="539" w:name="_Toc435803791"/>
      <w:bookmarkStart w:id="540" w:name="_Toc439554166"/>
    </w:p>
    <w:p w14:paraId="33750FAC">
      <w:pPr>
        <w:widowControl/>
        <w:jc w:val="left"/>
        <w:rPr>
          <w:rFonts w:hint="eastAsia" w:ascii="宋体" w:hAnsi="宋体" w:eastAsia="宋体" w:cs="宋体"/>
          <w:color w:val="auto"/>
          <w:highlight w:val="none"/>
        </w:rPr>
      </w:pPr>
      <w:bookmarkStart w:id="541" w:name="_Toc163"/>
      <w:bookmarkStart w:id="542" w:name="_Toc14927"/>
      <w:bookmarkStart w:id="543" w:name="_Toc7465"/>
      <w:r>
        <w:rPr>
          <w:rFonts w:hint="eastAsia" w:ascii="宋体" w:hAnsi="宋体" w:eastAsia="宋体" w:cs="宋体"/>
          <w:color w:val="auto"/>
          <w:highlight w:val="none"/>
        </w:rPr>
        <w:br w:type="page"/>
      </w:r>
    </w:p>
    <w:p w14:paraId="3583A729">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544" w:name="_Toc821454333"/>
      <w:bookmarkStart w:id="545" w:name="_Toc1404695539"/>
      <w:bookmarkStart w:id="546" w:name="_Toc2016736610"/>
      <w:bookmarkStart w:id="547" w:name="_Toc565286688"/>
      <w:bookmarkStart w:id="548" w:name="_Toc24531339"/>
      <w:r>
        <w:rPr>
          <w:rStyle w:val="62"/>
          <w:rFonts w:hint="eastAsia" w:ascii="宋体" w:hAnsi="宋体" w:cs="宋体"/>
          <w:color w:val="auto"/>
          <w:sz w:val="30"/>
          <w:szCs w:val="30"/>
          <w:highlight w:val="none"/>
        </w:rPr>
        <w:t>二、投标报价汇总</w:t>
      </w:r>
    </w:p>
    <w:bookmarkEnd w:id="544"/>
    <w:bookmarkEnd w:id="545"/>
    <w:bookmarkEnd w:id="546"/>
    <w:bookmarkEnd w:id="547"/>
    <w:bookmarkEnd w:id="548"/>
    <w:p w14:paraId="6DE30A63">
      <w:pPr>
        <w:pageBreakBefore w:val="0"/>
        <w:kinsoku/>
        <w:wordWrap/>
        <w:overflowPunct/>
        <w:bidi w:val="0"/>
        <w:spacing w:after="200" w:line="360" w:lineRule="auto"/>
        <w:jc w:val="center"/>
        <w:textAlignment w:val="auto"/>
        <w:outlineLvl w:val="3"/>
        <w:rPr>
          <w:rStyle w:val="62"/>
          <w:rFonts w:hint="eastAsia" w:ascii="宋体" w:hAnsi="宋体" w:cs="宋体"/>
          <w:color w:val="auto"/>
          <w:sz w:val="28"/>
          <w:szCs w:val="28"/>
          <w:highlight w:val="none"/>
        </w:rPr>
      </w:pPr>
      <w:bookmarkStart w:id="549" w:name="_Toc15942"/>
      <w:bookmarkStart w:id="550" w:name="_Toc1830291368"/>
      <w:bookmarkStart w:id="551" w:name="_Toc311583431"/>
      <w:bookmarkStart w:id="552" w:name="_Toc920358272"/>
      <w:bookmarkStart w:id="553" w:name="_Toc30424"/>
      <w:bookmarkStart w:id="554" w:name="_Toc434863617"/>
      <w:bookmarkStart w:id="555" w:name="_Toc1179458615"/>
      <w:r>
        <w:rPr>
          <w:rStyle w:val="62"/>
          <w:rFonts w:hint="eastAsia" w:ascii="宋体" w:hAnsi="宋体" w:cs="宋体"/>
          <w:color w:val="auto"/>
          <w:sz w:val="28"/>
          <w:szCs w:val="28"/>
          <w:highlight w:val="none"/>
        </w:rPr>
        <w:t>（一）投标报价汇总表</w:t>
      </w:r>
    </w:p>
    <w:bookmarkEnd w:id="549"/>
    <w:bookmarkEnd w:id="550"/>
    <w:bookmarkEnd w:id="551"/>
    <w:bookmarkEnd w:id="552"/>
    <w:bookmarkEnd w:id="553"/>
    <w:bookmarkEnd w:id="554"/>
    <w:bookmarkEnd w:id="555"/>
    <w:p w14:paraId="230859A8">
      <w:pPr>
        <w:pageBreakBefore w:val="0"/>
        <w:kinsoku/>
        <w:wordWrap/>
        <w:overflowPunct/>
        <w:bidi w:val="0"/>
        <w:spacing w:line="360" w:lineRule="auto"/>
        <w:ind w:left="-2" w:leftChars="-1"/>
        <w:jc w:val="right"/>
        <w:textAlignment w:val="auto"/>
        <w:rPr>
          <w:rFonts w:hint="eastAsia" w:hAnsi="宋体"/>
          <w:color w:val="auto"/>
          <w:szCs w:val="24"/>
          <w:highlight w:val="none"/>
        </w:rPr>
      </w:pPr>
      <w:r>
        <w:rPr>
          <w:rFonts w:hint="eastAsia" w:hAnsi="宋体"/>
          <w:color w:val="auto"/>
          <w:szCs w:val="24"/>
          <w:highlight w:val="none"/>
        </w:rPr>
        <w:t>金额单位：人民币 万元</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231"/>
        <w:gridCol w:w="3592"/>
        <w:gridCol w:w="2171"/>
        <w:gridCol w:w="2136"/>
      </w:tblGrid>
      <w:tr w14:paraId="4272C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7" w:hRule="atLeast"/>
          <w:tblHeader/>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C2609E">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序号</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87F719">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费用名称</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4678DD">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金额</w:t>
            </w: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36BCA4">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备注</w:t>
            </w:r>
          </w:p>
        </w:tc>
      </w:tr>
      <w:tr w14:paraId="55F56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8"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E54715">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1</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62D699">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人工费用</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27D2F5">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4A41AA">
            <w:pPr>
              <w:pageBreakBefore w:val="0"/>
              <w:kinsoku/>
              <w:wordWrap/>
              <w:overflowPunct/>
              <w:bidi w:val="0"/>
              <w:jc w:val="center"/>
              <w:textAlignment w:val="auto"/>
              <w:rPr>
                <w:rFonts w:hint="eastAsia" w:ascii="宋体" w:hAnsi="宋体" w:cs="宋体"/>
                <w:color w:val="auto"/>
                <w:highlight w:val="none"/>
              </w:rPr>
            </w:pPr>
          </w:p>
        </w:tc>
      </w:tr>
      <w:tr w14:paraId="4DC8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FFC339">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2</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00C9B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设备费</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5603EB">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112CD0">
            <w:pPr>
              <w:pageBreakBefore w:val="0"/>
              <w:kinsoku/>
              <w:wordWrap/>
              <w:overflowPunct/>
              <w:bidi w:val="0"/>
              <w:jc w:val="center"/>
              <w:textAlignment w:val="auto"/>
              <w:rPr>
                <w:rFonts w:hint="eastAsia" w:ascii="宋体" w:hAnsi="宋体" w:cs="宋体"/>
                <w:color w:val="auto"/>
                <w:highlight w:val="none"/>
              </w:rPr>
            </w:pPr>
          </w:p>
        </w:tc>
      </w:tr>
      <w:tr w14:paraId="4D9BB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B0CBFC">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3</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AEB0A7">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试验费</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71773E">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8952EA">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监理平行、独立取样检测费用</w:t>
            </w:r>
          </w:p>
        </w:tc>
      </w:tr>
      <w:tr w14:paraId="308B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DC465A">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4</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89730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管理费</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BBFA8E">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85F5E2">
            <w:pPr>
              <w:pageBreakBefore w:val="0"/>
              <w:kinsoku/>
              <w:wordWrap/>
              <w:overflowPunct/>
              <w:bidi w:val="0"/>
              <w:jc w:val="center"/>
              <w:textAlignment w:val="auto"/>
              <w:rPr>
                <w:rFonts w:hint="eastAsia" w:ascii="宋体" w:hAnsi="宋体" w:cs="宋体"/>
                <w:color w:val="auto"/>
                <w:highlight w:val="none"/>
              </w:rPr>
            </w:pPr>
          </w:p>
        </w:tc>
      </w:tr>
      <w:tr w14:paraId="7C44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1"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F4A6C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5</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8AC236">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税金</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C314C2">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031D7F">
            <w:pPr>
              <w:pageBreakBefore w:val="0"/>
              <w:kinsoku/>
              <w:wordWrap/>
              <w:overflowPunct/>
              <w:bidi w:val="0"/>
              <w:jc w:val="center"/>
              <w:textAlignment w:val="auto"/>
              <w:rPr>
                <w:rFonts w:hint="eastAsia" w:ascii="宋体" w:hAnsi="宋体" w:cs="宋体"/>
                <w:color w:val="auto"/>
                <w:highlight w:val="none"/>
              </w:rPr>
            </w:pPr>
          </w:p>
        </w:tc>
      </w:tr>
      <w:tr w14:paraId="3C6E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3A1E7D">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6</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D06189">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利润</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83C931">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39517D">
            <w:pPr>
              <w:pageBreakBefore w:val="0"/>
              <w:kinsoku/>
              <w:wordWrap/>
              <w:overflowPunct/>
              <w:bidi w:val="0"/>
              <w:jc w:val="center"/>
              <w:textAlignment w:val="auto"/>
              <w:rPr>
                <w:rFonts w:hint="eastAsia" w:ascii="宋体" w:hAnsi="宋体" w:cs="宋体"/>
                <w:color w:val="auto"/>
                <w:highlight w:val="none"/>
              </w:rPr>
            </w:pPr>
          </w:p>
        </w:tc>
      </w:tr>
      <w:tr w14:paraId="13B4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FCE6FF">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2470B0">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61012E">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B37CC1">
            <w:pPr>
              <w:pageBreakBefore w:val="0"/>
              <w:kinsoku/>
              <w:wordWrap/>
              <w:overflowPunct/>
              <w:bidi w:val="0"/>
              <w:jc w:val="center"/>
              <w:textAlignment w:val="auto"/>
              <w:rPr>
                <w:rFonts w:hint="eastAsia" w:ascii="宋体" w:hAnsi="宋体" w:cs="宋体"/>
                <w:color w:val="auto"/>
                <w:highlight w:val="none"/>
              </w:rPr>
            </w:pPr>
          </w:p>
        </w:tc>
      </w:tr>
      <w:tr w14:paraId="7539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F27C53">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FB2BD3">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2C7A77">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4A943C">
            <w:pPr>
              <w:pageBreakBefore w:val="0"/>
              <w:kinsoku/>
              <w:wordWrap/>
              <w:overflowPunct/>
              <w:bidi w:val="0"/>
              <w:jc w:val="center"/>
              <w:textAlignment w:val="auto"/>
              <w:rPr>
                <w:rFonts w:hint="eastAsia" w:ascii="宋体" w:hAnsi="宋体" w:cs="宋体"/>
                <w:color w:val="auto"/>
                <w:highlight w:val="none"/>
              </w:rPr>
            </w:pPr>
          </w:p>
        </w:tc>
      </w:tr>
      <w:tr w14:paraId="699E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163047">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5B6AAE">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929F96">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B8D225">
            <w:pPr>
              <w:pageBreakBefore w:val="0"/>
              <w:kinsoku/>
              <w:wordWrap/>
              <w:overflowPunct/>
              <w:bidi w:val="0"/>
              <w:jc w:val="center"/>
              <w:textAlignment w:val="auto"/>
              <w:rPr>
                <w:rFonts w:hint="eastAsia" w:ascii="宋体" w:hAnsi="宋体" w:cs="宋体"/>
                <w:color w:val="auto"/>
                <w:highlight w:val="none"/>
              </w:rPr>
            </w:pPr>
          </w:p>
        </w:tc>
      </w:tr>
      <w:tr w14:paraId="7ED0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CDC710">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BAE1C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合计</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D3E8A3">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6B0B2E">
            <w:pPr>
              <w:pageBreakBefore w:val="0"/>
              <w:kinsoku/>
              <w:wordWrap/>
              <w:overflowPunct/>
              <w:bidi w:val="0"/>
              <w:jc w:val="center"/>
              <w:textAlignment w:val="auto"/>
              <w:rPr>
                <w:rFonts w:hint="eastAsia" w:ascii="宋体" w:hAnsi="宋体" w:cs="宋体"/>
                <w:color w:val="auto"/>
                <w:highlight w:val="none"/>
              </w:rPr>
            </w:pPr>
          </w:p>
        </w:tc>
      </w:tr>
    </w:tbl>
    <w:p w14:paraId="41CE3D2A">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p>
    <w:p w14:paraId="37E5A85A">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r>
        <w:rPr>
          <w:rStyle w:val="288"/>
          <w:rFonts w:hint="eastAsia" w:ascii="宋体" w:hAnsi="宋体" w:cs="宋体"/>
          <w:color w:val="auto"/>
          <w:highlight w:val="none"/>
        </w:rPr>
        <w:t>备注：税金暂按6%计列，合同执行时按国家税率标准为准。</w:t>
      </w:r>
    </w:p>
    <w:p w14:paraId="30B35411">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p>
    <w:p w14:paraId="3385987A">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6595B3A5">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签字或签章</w:t>
      </w:r>
      <w:r>
        <w:rPr>
          <w:rFonts w:hint="eastAsia" w:ascii="宋体" w:hAnsi="宋体" w:cs="宋体"/>
          <w:color w:val="auto"/>
          <w:highlight w:val="none"/>
        </w:rPr>
        <w:t>）</w:t>
      </w:r>
    </w:p>
    <w:p w14:paraId="5425F07F">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117F5696">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19AC9A3C">
      <w:pPr>
        <w:pageBreakBefore w:val="0"/>
        <w:kinsoku/>
        <w:wordWrap/>
        <w:overflowPunct/>
        <w:bidi w:val="0"/>
        <w:snapToGrid w:val="0"/>
        <w:spacing w:after="200" w:line="360" w:lineRule="auto"/>
        <w:ind w:firstLine="420" w:firstLineChars="200"/>
        <w:jc w:val="center"/>
        <w:textAlignment w:val="auto"/>
        <w:outlineLvl w:val="3"/>
        <w:rPr>
          <w:rStyle w:val="62"/>
          <w:rFonts w:hint="default" w:ascii="宋体" w:hAnsi="宋体" w:eastAsia="宋体" w:cs="宋体"/>
          <w:color w:val="auto"/>
          <w:sz w:val="28"/>
          <w:szCs w:val="28"/>
          <w:highlight w:val="none"/>
          <w:lang w:val="en-US" w:eastAsia="zh-CN"/>
        </w:rPr>
      </w:pPr>
      <w:r>
        <w:rPr>
          <w:rFonts w:hint="eastAsia" w:ascii="宋体" w:hAnsi="宋体" w:cs="宋体"/>
          <w:color w:val="auto"/>
          <w:highlight w:val="none"/>
        </w:rPr>
        <w:br w:type="page"/>
      </w:r>
      <w:bookmarkStart w:id="556" w:name="_Toc1837442755"/>
      <w:bookmarkStart w:id="557" w:name="_Toc25545"/>
      <w:bookmarkStart w:id="558" w:name="_Toc1441484474"/>
      <w:bookmarkStart w:id="559" w:name="_Toc503333919"/>
      <w:bookmarkStart w:id="560" w:name="_Toc932513083"/>
      <w:bookmarkStart w:id="561" w:name="_Toc28940"/>
      <w:bookmarkStart w:id="562" w:name="_Toc359697817"/>
      <w:r>
        <w:rPr>
          <w:rStyle w:val="62"/>
          <w:rFonts w:hint="eastAsia" w:ascii="宋体" w:hAnsi="宋体" w:eastAsia="宋体" w:cs="宋体"/>
          <w:b/>
          <w:bCs/>
          <w:color w:val="auto"/>
          <w:sz w:val="28"/>
          <w:szCs w:val="28"/>
          <w:highlight w:val="none"/>
        </w:rPr>
        <w:t>（二）</w:t>
      </w:r>
      <w:r>
        <w:rPr>
          <w:rStyle w:val="62"/>
          <w:rFonts w:hint="eastAsia" w:ascii="宋体" w:hAnsi="宋体" w:cs="宋体"/>
          <w:b/>
          <w:bCs/>
          <w:color w:val="auto"/>
          <w:sz w:val="28"/>
          <w:szCs w:val="28"/>
          <w:highlight w:val="none"/>
          <w:lang w:val="en-US" w:eastAsia="zh-CN"/>
        </w:rPr>
        <w:t>分项报价表</w:t>
      </w:r>
    </w:p>
    <w:bookmarkEnd w:id="556"/>
    <w:bookmarkEnd w:id="557"/>
    <w:bookmarkEnd w:id="558"/>
    <w:bookmarkEnd w:id="559"/>
    <w:bookmarkEnd w:id="560"/>
    <w:bookmarkEnd w:id="561"/>
    <w:bookmarkEnd w:id="562"/>
    <w:p w14:paraId="5E40ED3C">
      <w:pPr>
        <w:pageBreakBefore w:val="0"/>
        <w:kinsoku/>
        <w:wordWrap/>
        <w:overflowPunct/>
        <w:bidi w:val="0"/>
        <w:spacing w:line="360" w:lineRule="auto"/>
        <w:ind w:left="-2" w:leftChars="-1"/>
        <w:jc w:val="right"/>
        <w:textAlignment w:val="auto"/>
        <w:rPr>
          <w:rFonts w:hint="eastAsia" w:hAnsi="宋体"/>
          <w:color w:val="auto"/>
          <w:szCs w:val="24"/>
          <w:highlight w:val="none"/>
        </w:rPr>
      </w:pPr>
      <w:r>
        <w:rPr>
          <w:rFonts w:hint="eastAsia" w:hAnsi="宋体"/>
          <w:color w:val="auto"/>
          <w:szCs w:val="24"/>
          <w:highlight w:val="none"/>
        </w:rPr>
        <w:t>金额单位：人民币 元</w:t>
      </w:r>
    </w:p>
    <w:tbl>
      <w:tblPr>
        <w:tblStyle w:val="49"/>
        <w:tblW w:w="9472" w:type="dxa"/>
        <w:jc w:val="center"/>
        <w:tblLayout w:type="fixed"/>
        <w:tblCellMar>
          <w:top w:w="0" w:type="dxa"/>
          <w:left w:w="108" w:type="dxa"/>
          <w:bottom w:w="0" w:type="dxa"/>
          <w:right w:w="108" w:type="dxa"/>
        </w:tblCellMar>
      </w:tblPr>
      <w:tblGrid>
        <w:gridCol w:w="783"/>
        <w:gridCol w:w="2529"/>
        <w:gridCol w:w="784"/>
        <w:gridCol w:w="784"/>
        <w:gridCol w:w="2602"/>
        <w:gridCol w:w="1216"/>
        <w:gridCol w:w="774"/>
      </w:tblGrid>
      <w:tr w14:paraId="67967370">
        <w:trPr>
          <w:trHeight w:val="699" w:hRule="atLeast"/>
          <w:jc w:val="center"/>
        </w:trPr>
        <w:tc>
          <w:tcPr>
            <w:tcW w:w="78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1BCD5A">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序号</w:t>
            </w:r>
          </w:p>
        </w:tc>
        <w:tc>
          <w:tcPr>
            <w:tcW w:w="2529" w:type="dxa"/>
            <w:tcBorders>
              <w:top w:val="single" w:color="auto" w:sz="4" w:space="0"/>
              <w:left w:val="nil"/>
              <w:bottom w:val="single" w:color="auto" w:sz="4" w:space="0"/>
              <w:right w:val="single" w:color="auto" w:sz="4" w:space="0"/>
              <w:tl2br w:val="nil"/>
              <w:tr2bl w:val="nil"/>
            </w:tcBorders>
            <w:noWrap w:val="0"/>
            <w:vAlign w:val="center"/>
          </w:tcPr>
          <w:p w14:paraId="3ECB1FD9">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岗位设置</w:t>
            </w:r>
          </w:p>
        </w:tc>
        <w:tc>
          <w:tcPr>
            <w:tcW w:w="784" w:type="dxa"/>
            <w:tcBorders>
              <w:top w:val="single" w:color="auto" w:sz="4" w:space="0"/>
              <w:left w:val="nil"/>
              <w:bottom w:val="single" w:color="auto" w:sz="4" w:space="0"/>
              <w:right w:val="single" w:color="auto" w:sz="4" w:space="0"/>
              <w:tl2br w:val="nil"/>
              <w:tr2bl w:val="nil"/>
            </w:tcBorders>
            <w:noWrap w:val="0"/>
            <w:vAlign w:val="center"/>
          </w:tcPr>
          <w:p w14:paraId="59CE2A1F">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人数</w:t>
            </w:r>
          </w:p>
        </w:tc>
        <w:tc>
          <w:tcPr>
            <w:tcW w:w="784" w:type="dxa"/>
            <w:tcBorders>
              <w:top w:val="single" w:color="auto" w:sz="4" w:space="0"/>
              <w:left w:val="nil"/>
              <w:bottom w:val="single" w:color="auto" w:sz="4" w:space="0"/>
              <w:right w:val="single" w:color="auto" w:sz="4" w:space="0"/>
              <w:tl2br w:val="nil"/>
              <w:tr2bl w:val="nil"/>
            </w:tcBorders>
            <w:noWrap w:val="0"/>
            <w:vAlign w:val="center"/>
          </w:tcPr>
          <w:p w14:paraId="5F8B2356">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月数</w:t>
            </w:r>
          </w:p>
        </w:tc>
        <w:tc>
          <w:tcPr>
            <w:tcW w:w="2602" w:type="dxa"/>
            <w:tcBorders>
              <w:top w:val="single" w:color="auto" w:sz="4" w:space="0"/>
              <w:left w:val="nil"/>
              <w:bottom w:val="single" w:color="auto" w:sz="4" w:space="0"/>
              <w:right w:val="single" w:color="auto" w:sz="4" w:space="0"/>
              <w:tl2br w:val="nil"/>
              <w:tr2bl w:val="nil"/>
            </w:tcBorders>
            <w:noWrap w:val="0"/>
            <w:vAlign w:val="center"/>
          </w:tcPr>
          <w:p w14:paraId="187F7028">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综合人工费（元/人·月）</w:t>
            </w:r>
          </w:p>
        </w:tc>
        <w:tc>
          <w:tcPr>
            <w:tcW w:w="1216" w:type="dxa"/>
            <w:tcBorders>
              <w:top w:val="single" w:color="auto" w:sz="4" w:space="0"/>
              <w:left w:val="nil"/>
              <w:bottom w:val="single" w:color="auto" w:sz="4" w:space="0"/>
              <w:right w:val="single" w:color="auto" w:sz="4" w:space="0"/>
              <w:tl2br w:val="nil"/>
              <w:tr2bl w:val="nil"/>
            </w:tcBorders>
            <w:noWrap w:val="0"/>
            <w:vAlign w:val="center"/>
          </w:tcPr>
          <w:p w14:paraId="681DCF13">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合价金额</w:t>
            </w:r>
          </w:p>
        </w:tc>
        <w:tc>
          <w:tcPr>
            <w:tcW w:w="774" w:type="dxa"/>
            <w:tcBorders>
              <w:top w:val="single" w:color="auto" w:sz="4" w:space="0"/>
              <w:left w:val="nil"/>
              <w:bottom w:val="single" w:color="auto" w:sz="4" w:space="0"/>
              <w:right w:val="single" w:color="auto" w:sz="4" w:space="0"/>
              <w:tl2br w:val="nil"/>
              <w:tr2bl w:val="nil"/>
            </w:tcBorders>
            <w:noWrap w:val="0"/>
            <w:vAlign w:val="center"/>
          </w:tcPr>
          <w:p w14:paraId="1AC9F55B">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备注</w:t>
            </w:r>
          </w:p>
        </w:tc>
      </w:tr>
      <w:tr w14:paraId="55B89CC9">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40AEBBB8">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1</w:t>
            </w:r>
          </w:p>
        </w:tc>
        <w:tc>
          <w:tcPr>
            <w:tcW w:w="2529" w:type="dxa"/>
            <w:tcBorders>
              <w:top w:val="nil"/>
              <w:left w:val="nil"/>
              <w:bottom w:val="single" w:color="auto" w:sz="4" w:space="0"/>
              <w:right w:val="single" w:color="auto" w:sz="4" w:space="0"/>
              <w:tl2br w:val="nil"/>
              <w:tr2bl w:val="nil"/>
            </w:tcBorders>
            <w:noWrap w:val="0"/>
            <w:vAlign w:val="center"/>
          </w:tcPr>
          <w:p w14:paraId="7E9A1A8A">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总监理工程师</w:t>
            </w:r>
          </w:p>
        </w:tc>
        <w:tc>
          <w:tcPr>
            <w:tcW w:w="784" w:type="dxa"/>
            <w:tcBorders>
              <w:top w:val="nil"/>
              <w:left w:val="nil"/>
              <w:bottom w:val="single" w:color="auto" w:sz="4" w:space="0"/>
              <w:right w:val="single" w:color="auto" w:sz="4" w:space="0"/>
              <w:tl2br w:val="nil"/>
              <w:tr2bl w:val="nil"/>
            </w:tcBorders>
            <w:noWrap w:val="0"/>
            <w:vAlign w:val="center"/>
          </w:tcPr>
          <w:p w14:paraId="1539A7C9">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6ADE6DD0">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29707B67">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340267F4">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F50487">
            <w:pPr>
              <w:pageBreakBefore w:val="0"/>
              <w:kinsoku/>
              <w:wordWrap/>
              <w:overflowPunct/>
              <w:bidi w:val="0"/>
              <w:spacing w:before="100" w:after="100"/>
              <w:jc w:val="center"/>
              <w:textAlignment w:val="auto"/>
              <w:rPr>
                <w:rFonts w:hint="eastAsia" w:ascii="宋体" w:hAnsi="宋体" w:cs="宋体"/>
                <w:color w:val="auto"/>
                <w:highlight w:val="none"/>
              </w:rPr>
            </w:pPr>
          </w:p>
        </w:tc>
      </w:tr>
      <w:tr w14:paraId="0D6572F1">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769BC577">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2</w:t>
            </w:r>
          </w:p>
        </w:tc>
        <w:tc>
          <w:tcPr>
            <w:tcW w:w="2529" w:type="dxa"/>
            <w:tcBorders>
              <w:top w:val="nil"/>
              <w:left w:val="nil"/>
              <w:bottom w:val="single" w:color="auto" w:sz="4" w:space="0"/>
              <w:right w:val="single" w:color="auto" w:sz="4" w:space="0"/>
              <w:tl2br w:val="nil"/>
              <w:tr2bl w:val="nil"/>
            </w:tcBorders>
            <w:noWrap w:val="0"/>
            <w:vAlign w:val="center"/>
          </w:tcPr>
          <w:p w14:paraId="13A15E5C">
            <w:pPr>
              <w:pageBreakBefore w:val="0"/>
              <w:kinsoku/>
              <w:wordWrap/>
              <w:overflowPunct/>
              <w:bidi w:val="0"/>
              <w:spacing w:before="100" w:after="100"/>
              <w:jc w:val="center"/>
              <w:textAlignment w:val="auto"/>
              <w:rPr>
                <w:rFonts w:hint="eastAsia" w:ascii="宋体" w:hAnsi="宋体" w:eastAsia="宋体" w:cs="宋体"/>
                <w:color w:val="auto"/>
                <w:highlight w:val="none"/>
                <w:lang w:val="en-US" w:eastAsia="zh-CN"/>
              </w:rPr>
            </w:pPr>
            <w:r>
              <w:rPr>
                <w:rFonts w:hint="eastAsia" w:ascii="宋体" w:hAnsi="宋体" w:cs="宋体"/>
                <w:color w:val="auto"/>
                <w:highlight w:val="none"/>
              </w:rPr>
              <w:t>总监理工程师</w:t>
            </w:r>
            <w:r>
              <w:rPr>
                <w:rFonts w:hint="eastAsia" w:ascii="宋体" w:hAnsi="宋体" w:cs="宋体"/>
                <w:color w:val="auto"/>
                <w:highlight w:val="none"/>
                <w:lang w:val="en-US" w:eastAsia="zh-CN"/>
              </w:rPr>
              <w:t>代表</w:t>
            </w:r>
          </w:p>
        </w:tc>
        <w:tc>
          <w:tcPr>
            <w:tcW w:w="784" w:type="dxa"/>
            <w:tcBorders>
              <w:top w:val="nil"/>
              <w:left w:val="nil"/>
              <w:bottom w:val="single" w:color="auto" w:sz="4" w:space="0"/>
              <w:right w:val="single" w:color="auto" w:sz="4" w:space="0"/>
              <w:tl2br w:val="nil"/>
              <w:tr2bl w:val="nil"/>
            </w:tcBorders>
            <w:noWrap w:val="0"/>
            <w:vAlign w:val="center"/>
          </w:tcPr>
          <w:p w14:paraId="01B95138">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3B00E9B7">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25153040">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3C9C24A0">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5E721B">
            <w:pPr>
              <w:pageBreakBefore w:val="0"/>
              <w:kinsoku/>
              <w:wordWrap/>
              <w:overflowPunct/>
              <w:bidi w:val="0"/>
              <w:spacing w:before="100" w:after="100"/>
              <w:jc w:val="center"/>
              <w:textAlignment w:val="auto"/>
              <w:rPr>
                <w:rFonts w:hint="eastAsia" w:ascii="宋体" w:hAnsi="宋体" w:cs="宋体"/>
                <w:color w:val="auto"/>
                <w:highlight w:val="none"/>
              </w:rPr>
            </w:pPr>
          </w:p>
        </w:tc>
      </w:tr>
      <w:tr w14:paraId="68E53D81">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03CD8D9">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3</w:t>
            </w:r>
          </w:p>
        </w:tc>
        <w:tc>
          <w:tcPr>
            <w:tcW w:w="2529" w:type="dxa"/>
            <w:tcBorders>
              <w:top w:val="nil"/>
              <w:left w:val="nil"/>
              <w:bottom w:val="single" w:color="auto" w:sz="4" w:space="0"/>
              <w:right w:val="single" w:color="auto" w:sz="4" w:space="0"/>
              <w:tl2br w:val="nil"/>
              <w:tr2bl w:val="nil"/>
            </w:tcBorders>
            <w:noWrap w:val="0"/>
            <w:vAlign w:val="center"/>
          </w:tcPr>
          <w:p w14:paraId="7084F3A7">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土建监理工程师</w:t>
            </w:r>
          </w:p>
        </w:tc>
        <w:tc>
          <w:tcPr>
            <w:tcW w:w="784" w:type="dxa"/>
            <w:tcBorders>
              <w:top w:val="nil"/>
              <w:left w:val="nil"/>
              <w:bottom w:val="single" w:color="auto" w:sz="4" w:space="0"/>
              <w:right w:val="single" w:color="auto" w:sz="4" w:space="0"/>
              <w:tl2br w:val="nil"/>
              <w:tr2bl w:val="nil"/>
            </w:tcBorders>
            <w:noWrap w:val="0"/>
            <w:vAlign w:val="center"/>
          </w:tcPr>
          <w:p w14:paraId="0A1B9657">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21E517EC">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49F564D5">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4F536C2C">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C9708F">
            <w:pPr>
              <w:pageBreakBefore w:val="0"/>
              <w:kinsoku/>
              <w:wordWrap/>
              <w:overflowPunct/>
              <w:bidi w:val="0"/>
              <w:spacing w:before="100" w:after="100"/>
              <w:jc w:val="center"/>
              <w:textAlignment w:val="auto"/>
              <w:rPr>
                <w:rFonts w:hint="eastAsia" w:ascii="宋体" w:hAnsi="宋体" w:cs="宋体"/>
                <w:color w:val="auto"/>
                <w:highlight w:val="none"/>
              </w:rPr>
            </w:pPr>
          </w:p>
        </w:tc>
      </w:tr>
      <w:tr w14:paraId="3EFAB9E7">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593E9209">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4</w:t>
            </w:r>
          </w:p>
        </w:tc>
        <w:tc>
          <w:tcPr>
            <w:tcW w:w="2529" w:type="dxa"/>
            <w:tcBorders>
              <w:top w:val="nil"/>
              <w:left w:val="nil"/>
              <w:bottom w:val="single" w:color="auto" w:sz="4" w:space="0"/>
              <w:right w:val="single" w:color="auto" w:sz="4" w:space="0"/>
              <w:tl2br w:val="nil"/>
              <w:tr2bl w:val="nil"/>
            </w:tcBorders>
            <w:noWrap w:val="0"/>
            <w:vAlign w:val="center"/>
          </w:tcPr>
          <w:p w14:paraId="433C6D09">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安装监理工程师</w:t>
            </w:r>
          </w:p>
        </w:tc>
        <w:tc>
          <w:tcPr>
            <w:tcW w:w="784" w:type="dxa"/>
            <w:tcBorders>
              <w:top w:val="nil"/>
              <w:left w:val="nil"/>
              <w:bottom w:val="single" w:color="auto" w:sz="4" w:space="0"/>
              <w:right w:val="single" w:color="auto" w:sz="4" w:space="0"/>
              <w:tl2br w:val="nil"/>
              <w:tr2bl w:val="nil"/>
            </w:tcBorders>
            <w:noWrap w:val="0"/>
            <w:vAlign w:val="center"/>
          </w:tcPr>
          <w:p w14:paraId="2EFD1092">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5D278A5C">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1E09EE7E">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7AAAC1B8">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CC1BF7">
            <w:pPr>
              <w:pageBreakBefore w:val="0"/>
              <w:kinsoku/>
              <w:wordWrap/>
              <w:overflowPunct/>
              <w:bidi w:val="0"/>
              <w:spacing w:before="100" w:after="100"/>
              <w:jc w:val="center"/>
              <w:textAlignment w:val="auto"/>
              <w:rPr>
                <w:rFonts w:hint="eastAsia" w:ascii="宋体" w:hAnsi="宋体" w:cs="宋体"/>
                <w:color w:val="auto"/>
                <w:highlight w:val="none"/>
              </w:rPr>
            </w:pPr>
          </w:p>
        </w:tc>
      </w:tr>
      <w:tr w14:paraId="22077DDE">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4CDB692">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5</w:t>
            </w:r>
          </w:p>
        </w:tc>
        <w:tc>
          <w:tcPr>
            <w:tcW w:w="2529" w:type="dxa"/>
            <w:tcBorders>
              <w:top w:val="nil"/>
              <w:left w:val="nil"/>
              <w:bottom w:val="single" w:color="auto" w:sz="4" w:space="0"/>
              <w:right w:val="single" w:color="auto" w:sz="4" w:space="0"/>
              <w:tl2br w:val="nil"/>
              <w:tr2bl w:val="nil"/>
            </w:tcBorders>
            <w:noWrap w:val="0"/>
            <w:vAlign w:val="center"/>
          </w:tcPr>
          <w:p w14:paraId="2802CE90">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电气监理工程师</w:t>
            </w:r>
          </w:p>
        </w:tc>
        <w:tc>
          <w:tcPr>
            <w:tcW w:w="784" w:type="dxa"/>
            <w:tcBorders>
              <w:top w:val="nil"/>
              <w:left w:val="nil"/>
              <w:bottom w:val="single" w:color="auto" w:sz="4" w:space="0"/>
              <w:right w:val="single" w:color="auto" w:sz="4" w:space="0"/>
              <w:tl2br w:val="nil"/>
              <w:tr2bl w:val="nil"/>
            </w:tcBorders>
            <w:noWrap w:val="0"/>
            <w:vAlign w:val="center"/>
          </w:tcPr>
          <w:p w14:paraId="2732C7D4">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1F664C2">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3E96D386">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5D20D05F">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C860E6">
            <w:pPr>
              <w:pageBreakBefore w:val="0"/>
              <w:kinsoku/>
              <w:wordWrap/>
              <w:overflowPunct/>
              <w:bidi w:val="0"/>
              <w:spacing w:before="100" w:after="100"/>
              <w:jc w:val="center"/>
              <w:textAlignment w:val="auto"/>
              <w:rPr>
                <w:rFonts w:hint="eastAsia" w:ascii="宋体" w:hAnsi="宋体" w:cs="宋体"/>
                <w:color w:val="auto"/>
                <w:highlight w:val="none"/>
              </w:rPr>
            </w:pPr>
          </w:p>
        </w:tc>
      </w:tr>
      <w:tr w14:paraId="682063C0">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2D82E487">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6</w:t>
            </w:r>
          </w:p>
        </w:tc>
        <w:tc>
          <w:tcPr>
            <w:tcW w:w="2529" w:type="dxa"/>
            <w:tcBorders>
              <w:top w:val="nil"/>
              <w:left w:val="nil"/>
              <w:bottom w:val="single" w:color="auto" w:sz="4" w:space="0"/>
              <w:right w:val="single" w:color="auto" w:sz="4" w:space="0"/>
              <w:tl2br w:val="nil"/>
              <w:tr2bl w:val="nil"/>
            </w:tcBorders>
            <w:noWrap w:val="0"/>
            <w:vAlign w:val="center"/>
          </w:tcPr>
          <w:p w14:paraId="1BF42A1B">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技经监理工程师</w:t>
            </w:r>
          </w:p>
        </w:tc>
        <w:tc>
          <w:tcPr>
            <w:tcW w:w="784" w:type="dxa"/>
            <w:tcBorders>
              <w:top w:val="nil"/>
              <w:left w:val="nil"/>
              <w:bottom w:val="single" w:color="auto" w:sz="4" w:space="0"/>
              <w:right w:val="single" w:color="auto" w:sz="4" w:space="0"/>
              <w:tl2br w:val="nil"/>
              <w:tr2bl w:val="nil"/>
            </w:tcBorders>
            <w:noWrap w:val="0"/>
            <w:vAlign w:val="center"/>
          </w:tcPr>
          <w:p w14:paraId="24EC30FB">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298E2816">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50A40415">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53C10827">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BA775E">
            <w:pPr>
              <w:pageBreakBefore w:val="0"/>
              <w:kinsoku/>
              <w:wordWrap/>
              <w:overflowPunct/>
              <w:bidi w:val="0"/>
              <w:spacing w:before="100" w:after="100"/>
              <w:jc w:val="center"/>
              <w:textAlignment w:val="auto"/>
              <w:rPr>
                <w:rFonts w:hint="eastAsia" w:ascii="宋体" w:hAnsi="宋体" w:cs="宋体"/>
                <w:color w:val="auto"/>
                <w:highlight w:val="none"/>
              </w:rPr>
            </w:pPr>
          </w:p>
        </w:tc>
      </w:tr>
      <w:tr w14:paraId="534E91DA">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597DF477">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7</w:t>
            </w:r>
          </w:p>
        </w:tc>
        <w:tc>
          <w:tcPr>
            <w:tcW w:w="2529" w:type="dxa"/>
            <w:tcBorders>
              <w:top w:val="nil"/>
              <w:left w:val="nil"/>
              <w:bottom w:val="single" w:color="auto" w:sz="4" w:space="0"/>
              <w:right w:val="single" w:color="auto" w:sz="4" w:space="0"/>
              <w:tl2br w:val="nil"/>
              <w:tr2bl w:val="nil"/>
            </w:tcBorders>
            <w:noWrap w:val="0"/>
            <w:vAlign w:val="center"/>
          </w:tcPr>
          <w:p w14:paraId="2A4B50D7">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水土保持专业监理工程师</w:t>
            </w:r>
          </w:p>
        </w:tc>
        <w:tc>
          <w:tcPr>
            <w:tcW w:w="784" w:type="dxa"/>
            <w:tcBorders>
              <w:top w:val="nil"/>
              <w:left w:val="nil"/>
              <w:bottom w:val="single" w:color="auto" w:sz="4" w:space="0"/>
              <w:right w:val="single" w:color="auto" w:sz="4" w:space="0"/>
              <w:tl2br w:val="nil"/>
              <w:tr2bl w:val="nil"/>
            </w:tcBorders>
            <w:noWrap w:val="0"/>
            <w:vAlign w:val="center"/>
          </w:tcPr>
          <w:p w14:paraId="6BE4F925">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79B97F03">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2C053522">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21BD0767">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78C222">
            <w:pPr>
              <w:pageBreakBefore w:val="0"/>
              <w:kinsoku/>
              <w:wordWrap/>
              <w:overflowPunct/>
              <w:bidi w:val="0"/>
              <w:spacing w:before="100" w:after="100"/>
              <w:jc w:val="center"/>
              <w:textAlignment w:val="auto"/>
              <w:rPr>
                <w:rFonts w:hint="eastAsia" w:ascii="宋体" w:hAnsi="宋体" w:cs="宋体"/>
                <w:color w:val="auto"/>
                <w:highlight w:val="none"/>
              </w:rPr>
            </w:pPr>
          </w:p>
        </w:tc>
      </w:tr>
      <w:tr w14:paraId="7A4DD5A5">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B7617AA">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8</w:t>
            </w:r>
          </w:p>
        </w:tc>
        <w:tc>
          <w:tcPr>
            <w:tcW w:w="2529" w:type="dxa"/>
            <w:tcBorders>
              <w:top w:val="nil"/>
              <w:left w:val="nil"/>
              <w:bottom w:val="single" w:color="auto" w:sz="4" w:space="0"/>
              <w:right w:val="single" w:color="auto" w:sz="4" w:space="0"/>
              <w:tl2br w:val="nil"/>
              <w:tr2bl w:val="nil"/>
            </w:tcBorders>
            <w:noWrap w:val="0"/>
            <w:vAlign w:val="center"/>
          </w:tcPr>
          <w:p w14:paraId="38D9CF84">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安全、档案等管理监理师</w:t>
            </w:r>
          </w:p>
        </w:tc>
        <w:tc>
          <w:tcPr>
            <w:tcW w:w="784" w:type="dxa"/>
            <w:tcBorders>
              <w:top w:val="nil"/>
              <w:left w:val="nil"/>
              <w:bottom w:val="single" w:color="auto" w:sz="4" w:space="0"/>
              <w:right w:val="single" w:color="auto" w:sz="4" w:space="0"/>
              <w:tl2br w:val="nil"/>
              <w:tr2bl w:val="nil"/>
            </w:tcBorders>
            <w:noWrap w:val="0"/>
            <w:vAlign w:val="center"/>
          </w:tcPr>
          <w:p w14:paraId="58336EEC">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35E8B652">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2D2E9289">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3755C9EE">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78247C">
            <w:pPr>
              <w:pageBreakBefore w:val="0"/>
              <w:kinsoku/>
              <w:wordWrap/>
              <w:overflowPunct/>
              <w:bidi w:val="0"/>
              <w:spacing w:before="100" w:after="100"/>
              <w:jc w:val="center"/>
              <w:textAlignment w:val="auto"/>
              <w:rPr>
                <w:rFonts w:hint="eastAsia" w:ascii="宋体" w:hAnsi="宋体" w:cs="宋体"/>
                <w:color w:val="auto"/>
                <w:highlight w:val="none"/>
              </w:rPr>
            </w:pPr>
          </w:p>
        </w:tc>
      </w:tr>
      <w:tr w14:paraId="3F551833">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75DDBCDB">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9</w:t>
            </w:r>
          </w:p>
        </w:tc>
        <w:tc>
          <w:tcPr>
            <w:tcW w:w="2529" w:type="dxa"/>
            <w:tcBorders>
              <w:top w:val="nil"/>
              <w:left w:val="nil"/>
              <w:bottom w:val="single" w:color="auto" w:sz="4" w:space="0"/>
              <w:right w:val="single" w:color="auto" w:sz="4" w:space="0"/>
              <w:tl2br w:val="nil"/>
              <w:tr2bl w:val="nil"/>
            </w:tcBorders>
            <w:noWrap w:val="0"/>
            <w:vAlign w:val="center"/>
          </w:tcPr>
          <w:p w14:paraId="49E3880C">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监理员</w:t>
            </w:r>
          </w:p>
        </w:tc>
        <w:tc>
          <w:tcPr>
            <w:tcW w:w="784" w:type="dxa"/>
            <w:tcBorders>
              <w:top w:val="nil"/>
              <w:left w:val="nil"/>
              <w:bottom w:val="single" w:color="auto" w:sz="4" w:space="0"/>
              <w:right w:val="single" w:color="auto" w:sz="4" w:space="0"/>
              <w:tl2br w:val="nil"/>
              <w:tr2bl w:val="nil"/>
            </w:tcBorders>
            <w:noWrap w:val="0"/>
            <w:vAlign w:val="center"/>
          </w:tcPr>
          <w:p w14:paraId="74765E35">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471E70D">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3045783A">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51E09782">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B98619">
            <w:pPr>
              <w:pageBreakBefore w:val="0"/>
              <w:kinsoku/>
              <w:wordWrap/>
              <w:overflowPunct/>
              <w:bidi w:val="0"/>
              <w:spacing w:before="100" w:after="100"/>
              <w:jc w:val="center"/>
              <w:textAlignment w:val="auto"/>
              <w:rPr>
                <w:rFonts w:hint="eastAsia" w:ascii="宋体" w:hAnsi="宋体" w:cs="宋体"/>
                <w:color w:val="auto"/>
                <w:highlight w:val="none"/>
              </w:rPr>
            </w:pPr>
          </w:p>
        </w:tc>
      </w:tr>
      <w:tr w14:paraId="18995940">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3A13187">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10</w:t>
            </w:r>
          </w:p>
        </w:tc>
        <w:tc>
          <w:tcPr>
            <w:tcW w:w="2529" w:type="dxa"/>
            <w:tcBorders>
              <w:top w:val="nil"/>
              <w:left w:val="nil"/>
              <w:bottom w:val="single" w:color="auto" w:sz="4" w:space="0"/>
              <w:right w:val="single" w:color="auto" w:sz="4" w:space="0"/>
              <w:tl2br w:val="nil"/>
              <w:tr2bl w:val="nil"/>
            </w:tcBorders>
            <w:noWrap w:val="0"/>
            <w:vAlign w:val="center"/>
          </w:tcPr>
          <w:p w14:paraId="525E3958">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管理员</w:t>
            </w:r>
          </w:p>
        </w:tc>
        <w:tc>
          <w:tcPr>
            <w:tcW w:w="784" w:type="dxa"/>
            <w:tcBorders>
              <w:top w:val="nil"/>
              <w:left w:val="nil"/>
              <w:bottom w:val="single" w:color="auto" w:sz="4" w:space="0"/>
              <w:right w:val="single" w:color="auto" w:sz="4" w:space="0"/>
              <w:tl2br w:val="nil"/>
              <w:tr2bl w:val="nil"/>
            </w:tcBorders>
            <w:noWrap w:val="0"/>
            <w:vAlign w:val="center"/>
          </w:tcPr>
          <w:p w14:paraId="115F9CF5">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60DAFBEB">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7F212D1F">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4A830252">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96639B">
            <w:pPr>
              <w:pageBreakBefore w:val="0"/>
              <w:kinsoku/>
              <w:wordWrap/>
              <w:overflowPunct/>
              <w:bidi w:val="0"/>
              <w:spacing w:before="100" w:after="100"/>
              <w:jc w:val="center"/>
              <w:textAlignment w:val="auto"/>
              <w:rPr>
                <w:rFonts w:hint="eastAsia" w:ascii="宋体" w:hAnsi="宋体" w:cs="宋体"/>
                <w:color w:val="auto"/>
                <w:highlight w:val="none"/>
              </w:rPr>
            </w:pPr>
          </w:p>
        </w:tc>
      </w:tr>
      <w:tr w14:paraId="50A282B9">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488B8B8">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11</w:t>
            </w:r>
          </w:p>
        </w:tc>
        <w:tc>
          <w:tcPr>
            <w:tcW w:w="2529" w:type="dxa"/>
            <w:tcBorders>
              <w:top w:val="nil"/>
              <w:left w:val="nil"/>
              <w:bottom w:val="single" w:color="auto" w:sz="4" w:space="0"/>
              <w:right w:val="single" w:color="auto" w:sz="4" w:space="0"/>
              <w:tl2br w:val="nil"/>
              <w:tr2bl w:val="nil"/>
            </w:tcBorders>
            <w:noWrap w:val="0"/>
            <w:vAlign w:val="center"/>
          </w:tcPr>
          <w:p w14:paraId="50417A6E">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w:t>
            </w:r>
          </w:p>
        </w:tc>
        <w:tc>
          <w:tcPr>
            <w:tcW w:w="784" w:type="dxa"/>
            <w:tcBorders>
              <w:top w:val="nil"/>
              <w:left w:val="nil"/>
              <w:bottom w:val="single" w:color="auto" w:sz="4" w:space="0"/>
              <w:right w:val="single" w:color="auto" w:sz="4" w:space="0"/>
              <w:tl2br w:val="nil"/>
              <w:tr2bl w:val="nil"/>
            </w:tcBorders>
            <w:noWrap w:val="0"/>
            <w:vAlign w:val="center"/>
          </w:tcPr>
          <w:p w14:paraId="5696B857">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3FEB726">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2389812E">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7769FABB">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nil"/>
              <w:bottom w:val="single" w:color="auto" w:sz="4" w:space="0"/>
              <w:right w:val="single" w:color="auto" w:sz="4" w:space="0"/>
              <w:tl2br w:val="nil"/>
              <w:tr2bl w:val="nil"/>
            </w:tcBorders>
            <w:noWrap w:val="0"/>
            <w:vAlign w:val="center"/>
          </w:tcPr>
          <w:p w14:paraId="0D40E894">
            <w:pPr>
              <w:pageBreakBefore w:val="0"/>
              <w:kinsoku/>
              <w:wordWrap/>
              <w:overflowPunct/>
              <w:bidi w:val="0"/>
              <w:spacing w:before="100" w:after="100"/>
              <w:jc w:val="center"/>
              <w:textAlignment w:val="auto"/>
              <w:rPr>
                <w:rFonts w:hint="eastAsia" w:ascii="宋体" w:hAnsi="宋体" w:cs="宋体"/>
                <w:color w:val="auto"/>
                <w:highlight w:val="none"/>
              </w:rPr>
            </w:pPr>
          </w:p>
        </w:tc>
      </w:tr>
      <w:tr w14:paraId="78F0C1E2">
        <w:trPr>
          <w:trHeight w:val="623" w:hRule="atLeast"/>
          <w:jc w:val="center"/>
        </w:trPr>
        <w:tc>
          <w:tcPr>
            <w:tcW w:w="7482" w:type="dxa"/>
            <w:gridSpan w:val="5"/>
            <w:tcBorders>
              <w:top w:val="nil"/>
              <w:left w:val="single" w:color="auto" w:sz="4" w:space="0"/>
              <w:bottom w:val="single" w:color="auto" w:sz="4" w:space="0"/>
              <w:right w:val="single" w:color="auto" w:sz="4" w:space="0"/>
              <w:tl2br w:val="nil"/>
              <w:tr2bl w:val="nil"/>
            </w:tcBorders>
            <w:noWrap w:val="0"/>
            <w:vAlign w:val="center"/>
          </w:tcPr>
          <w:p w14:paraId="7330B53C">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合计</w:t>
            </w:r>
          </w:p>
        </w:tc>
        <w:tc>
          <w:tcPr>
            <w:tcW w:w="1216" w:type="dxa"/>
            <w:tcBorders>
              <w:top w:val="nil"/>
              <w:left w:val="nil"/>
              <w:bottom w:val="single" w:color="auto" w:sz="4" w:space="0"/>
              <w:right w:val="single" w:color="auto" w:sz="4" w:space="0"/>
              <w:tl2br w:val="nil"/>
              <w:tr2bl w:val="nil"/>
            </w:tcBorders>
            <w:noWrap w:val="0"/>
            <w:vAlign w:val="center"/>
          </w:tcPr>
          <w:p w14:paraId="0D5D164E">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nil"/>
              <w:left w:val="nil"/>
              <w:bottom w:val="single" w:color="auto" w:sz="4" w:space="0"/>
              <w:right w:val="single" w:color="auto" w:sz="4" w:space="0"/>
              <w:tl2br w:val="nil"/>
              <w:tr2bl w:val="nil"/>
            </w:tcBorders>
            <w:noWrap w:val="0"/>
            <w:vAlign w:val="center"/>
          </w:tcPr>
          <w:p w14:paraId="43B5CCA6">
            <w:pPr>
              <w:pageBreakBefore w:val="0"/>
              <w:kinsoku/>
              <w:wordWrap/>
              <w:overflowPunct/>
              <w:bidi w:val="0"/>
              <w:spacing w:before="100" w:after="100"/>
              <w:jc w:val="center"/>
              <w:textAlignment w:val="auto"/>
              <w:rPr>
                <w:rFonts w:hint="eastAsia" w:ascii="宋体" w:hAnsi="宋体" w:cs="宋体"/>
                <w:color w:val="auto"/>
                <w:highlight w:val="none"/>
              </w:rPr>
            </w:pPr>
          </w:p>
        </w:tc>
      </w:tr>
    </w:tbl>
    <w:p w14:paraId="5BCBA8FA">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r>
        <w:rPr>
          <w:rStyle w:val="288"/>
          <w:rFonts w:hint="eastAsia" w:ascii="宋体" w:hAnsi="宋体" w:cs="宋体"/>
          <w:color w:val="auto"/>
          <w:highlight w:val="none"/>
        </w:rPr>
        <w:t>备注：综合人工费包括</w:t>
      </w:r>
      <w:r>
        <w:rPr>
          <w:rStyle w:val="288"/>
          <w:rFonts w:hint="eastAsia" w:ascii="宋体" w:hAnsi="宋体" w:cs="宋体"/>
          <w:color w:val="auto"/>
          <w:highlight w:val="none"/>
          <w:lang w:eastAsia="zh-CN"/>
        </w:rPr>
        <w:t>供应商</w:t>
      </w:r>
      <w:r>
        <w:rPr>
          <w:rStyle w:val="288"/>
          <w:rFonts w:hint="eastAsia" w:ascii="宋体" w:hAnsi="宋体" w:cs="宋体"/>
          <w:color w:val="auto"/>
          <w:highlight w:val="none"/>
        </w:rPr>
        <w:t>为完成监理工作所产生的工作人员薪酬、办公、差旅、通讯、食宿、车辆、设备、保险、利润、税金等所有费用。</w:t>
      </w:r>
    </w:p>
    <w:p w14:paraId="29D858C5">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p>
    <w:p w14:paraId="2C91D1D5">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486AAABE">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签字或签章</w:t>
      </w:r>
      <w:r>
        <w:rPr>
          <w:rFonts w:hint="eastAsia" w:ascii="宋体" w:hAnsi="宋体" w:cs="宋体"/>
          <w:color w:val="auto"/>
          <w:highlight w:val="none"/>
        </w:rPr>
        <w:t>）</w:t>
      </w:r>
    </w:p>
    <w:p w14:paraId="50685FFA">
      <w:pPr>
        <w:widowControl/>
        <w:spacing w:after="200" w:line="360" w:lineRule="auto"/>
        <w:ind w:left="2318" w:leftChars="1104"/>
        <w:jc w:val="left"/>
        <w:rPr>
          <w:rFonts w:hint="eastAsia" w:ascii="宋体" w:hAnsi="宋体" w:eastAsia="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r>
        <w:rPr>
          <w:rFonts w:hint="eastAsia" w:ascii="宋体" w:hAnsi="宋体" w:eastAsia="宋体" w:cs="宋体"/>
          <w:color w:val="auto"/>
          <w:highlight w:val="none"/>
        </w:rPr>
        <w:br w:type="page"/>
      </w:r>
    </w:p>
    <w:p w14:paraId="099966C5">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563" w:name="_Toc20858"/>
      <w:bookmarkStart w:id="564" w:name="_Toc4544"/>
      <w:bookmarkStart w:id="565" w:name="_Toc13584"/>
      <w:bookmarkStart w:id="566" w:name="_Toc55303757"/>
      <w:bookmarkStart w:id="567" w:name="_Toc21329"/>
      <w:bookmarkStart w:id="568" w:name="_Toc14291"/>
      <w:bookmarkStart w:id="569" w:name="_Toc55310070"/>
      <w:bookmarkStart w:id="570" w:name="_Toc55229801"/>
      <w:bookmarkStart w:id="571" w:name="_Toc20104"/>
      <w:bookmarkStart w:id="572" w:name="_Toc13681"/>
      <w:bookmarkStart w:id="573" w:name="_Toc48095522"/>
      <w:bookmarkStart w:id="574" w:name="_Toc496867576"/>
      <w:bookmarkStart w:id="575" w:name="_Toc334374811"/>
      <w:bookmarkStart w:id="576" w:name="_Toc955673619"/>
      <w:bookmarkStart w:id="577" w:name="_Toc7108"/>
      <w:bookmarkStart w:id="578" w:name="_Toc270976397"/>
      <w:r>
        <w:rPr>
          <w:rFonts w:hint="eastAsia" w:eastAsia="宋体" w:cs="宋体"/>
          <w:color w:val="auto"/>
          <w:highlight w:val="none"/>
          <w:lang w:val="en-US" w:eastAsia="zh-CN"/>
        </w:rPr>
        <w:t>三</w:t>
      </w:r>
      <w:bookmarkEnd w:id="486"/>
      <w:bookmarkEnd w:id="487"/>
      <w:bookmarkEnd w:id="488"/>
      <w:bookmarkEnd w:id="489"/>
      <w:bookmarkEnd w:id="538"/>
      <w:bookmarkEnd w:id="539"/>
      <w:bookmarkEnd w:id="540"/>
      <w:bookmarkEnd w:id="541"/>
      <w:bookmarkEnd w:id="542"/>
      <w:bookmarkEnd w:id="543"/>
      <w:bookmarkEnd w:id="563"/>
      <w:bookmarkEnd w:id="564"/>
      <w:bookmarkEnd w:id="565"/>
      <w:bookmarkEnd w:id="566"/>
      <w:bookmarkEnd w:id="567"/>
      <w:bookmarkEnd w:id="568"/>
      <w:bookmarkEnd w:id="569"/>
      <w:bookmarkEnd w:id="570"/>
      <w:bookmarkEnd w:id="571"/>
      <w:bookmarkEnd w:id="572"/>
      <w:r>
        <w:rPr>
          <w:rFonts w:hint="eastAsia" w:eastAsia="宋体" w:cs="宋体"/>
          <w:color w:val="auto"/>
          <w:highlight w:val="none"/>
          <w:lang w:eastAsia="zh-CN"/>
        </w:rPr>
        <w:t>、</w:t>
      </w:r>
      <w:r>
        <w:rPr>
          <w:rFonts w:hint="eastAsia" w:ascii="宋体" w:hAnsi="宋体" w:eastAsia="宋体" w:cs="宋体"/>
          <w:color w:val="auto"/>
          <w:highlight w:val="none"/>
        </w:rPr>
        <w:t>承诺函</w:t>
      </w:r>
      <w:bookmarkEnd w:id="573"/>
      <w:bookmarkEnd w:id="574"/>
      <w:bookmarkEnd w:id="575"/>
      <w:bookmarkEnd w:id="576"/>
      <w:bookmarkEnd w:id="577"/>
      <w:bookmarkEnd w:id="578"/>
    </w:p>
    <w:p w14:paraId="7E98F830">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val="en-US" w:eastAsia="zh-CN"/>
        </w:rPr>
        <w:t>贵公司的</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lang w:val="en-US" w:eastAsia="zh-CN"/>
        </w:rPr>
        <w:t>华宁县大龙山风电场项目监理服务</w:t>
      </w:r>
      <w:r>
        <w:rPr>
          <w:rFonts w:hint="eastAsia" w:ascii="宋体" w:hAnsi="宋体" w:eastAsia="宋体" w:cs="宋体"/>
          <w:color w:val="auto"/>
          <w:sz w:val="24"/>
          <w:szCs w:val="24"/>
          <w:highlight w:val="none"/>
        </w:rPr>
        <w:t>的竞争性谈判文件，我方经仔细研究，愿意承接本项目工作，现决定参加报价并承诺完全响应竞争性谈判文件的所有内容及条款：</w:t>
      </w:r>
    </w:p>
    <w:p w14:paraId="5341C37D">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1.我方已详细审查竞争性谈判文件，包括（澄清文件）(如果有的话)。我们完全理解并同意放弃对这方面有不明及误解的权力。</w:t>
      </w:r>
    </w:p>
    <w:p w14:paraId="5519A7C3">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一旦我方被确定为成交人，我方承诺如竞争性谈判文件中有与本报价函不一致的内容，以本报价函的承诺为准。</w:t>
      </w:r>
    </w:p>
    <w:p w14:paraId="12A16DC7">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3.我方首次报价总价为人民币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（小写）。</w:t>
      </w:r>
    </w:p>
    <w:p w14:paraId="4DA5926E">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我方本次报价服务的</w:t>
      </w:r>
      <w:r>
        <w:rPr>
          <w:rFonts w:hint="eastAsia" w:ascii="宋体" w:hAnsi="宋体" w:cs="宋体"/>
          <w:color w:val="auto"/>
          <w:sz w:val="24"/>
          <w:szCs w:val="24"/>
          <w:highlight w:val="none"/>
          <w:lang w:val="en-US" w:eastAsia="zh-CN"/>
        </w:rPr>
        <w:t>服务期限</w:t>
      </w:r>
      <w:r>
        <w:rPr>
          <w:rFonts w:hint="eastAsia" w:ascii="宋体" w:hAnsi="宋体" w:eastAsia="宋体" w:cs="宋体"/>
          <w:color w:val="auto"/>
          <w:sz w:val="24"/>
          <w:szCs w:val="24"/>
          <w:highlight w:val="none"/>
        </w:rPr>
        <w:t>为</w:t>
      </w:r>
      <w:r>
        <w:rPr>
          <w:rFonts w:hint="eastAsia" w:ascii="宋体" w:hAnsi="宋体" w:eastAsia="宋体" w:cs="宋体"/>
          <w:sz w:val="24"/>
          <w:szCs w:val="24"/>
          <w:highlight w:val="none"/>
        </w:rPr>
        <w:t>：</w:t>
      </w:r>
      <w:r>
        <w:rPr>
          <w:rFonts w:hint="eastAsia" w:ascii="宋体" w:hAnsi="宋体" w:cs="宋体"/>
          <w:b/>
          <w:bCs/>
          <w:sz w:val="24"/>
          <w:szCs w:val="24"/>
          <w:highlight w:val="none"/>
          <w:u w:val="single"/>
          <w:lang w:val="en-US" w:eastAsia="zh-CN"/>
        </w:rPr>
        <w:t xml:space="preserve">                        。</w:t>
      </w:r>
    </w:p>
    <w:p w14:paraId="16BCB515">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如我方未成交，你方有权不作任何解释。</w:t>
      </w:r>
    </w:p>
    <w:p w14:paraId="7EFB4E1A">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我方承诺，不以任何形式干扰评审工作。</w:t>
      </w:r>
    </w:p>
    <w:p w14:paraId="25F80F9E">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除非另外达成协议并生效，你方的成交通知书和我方所递交的报价文件将构成约束我们双方的合同组成部分。</w:t>
      </w:r>
    </w:p>
    <w:p w14:paraId="0F29F76C">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在此我方郑重承诺：我方将按采购人的要求提供相关供货服务，并且完全响应采购人的要求。</w:t>
      </w:r>
    </w:p>
    <w:p w14:paraId="3AD3160C">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我方承诺：</w:t>
      </w:r>
      <w:r>
        <w:rPr>
          <w:rFonts w:hint="eastAsia" w:ascii="宋体" w:hAnsi="宋体" w:eastAsia="宋体" w:cs="宋体"/>
          <w:color w:val="auto"/>
          <w:sz w:val="24"/>
          <w:szCs w:val="24"/>
          <w:highlight w:val="none"/>
          <w:lang w:val="en-US" w:eastAsia="zh-CN"/>
        </w:rPr>
        <w:t>报价文件中所提供的相关业绩及资格证明材料真实、可靠，如有虚假，我方愿意承担相关经济及法律责任。</w:t>
      </w:r>
    </w:p>
    <w:p w14:paraId="0203CB8C">
      <w:pPr>
        <w:pStyle w:val="2"/>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color w:val="auto"/>
          <w:sz w:val="24"/>
          <w:highlight w:val="none"/>
        </w:rPr>
      </w:pPr>
    </w:p>
    <w:p w14:paraId="0018BE89">
      <w:pPr>
        <w:pStyle w:val="2"/>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bCs/>
          <w:color w:val="auto"/>
          <w:sz w:val="24"/>
          <w:highlight w:val="none"/>
          <w:u w:val="single"/>
          <w:lang w:val="en-US"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（单位公章）：</w:t>
      </w:r>
      <w:r>
        <w:rPr>
          <w:rFonts w:hint="eastAsia" w:ascii="宋体" w:hAnsi="宋体" w:eastAsia="宋体" w:cs="宋体"/>
          <w:color w:val="auto"/>
          <w:sz w:val="24"/>
          <w:highlight w:val="none"/>
          <w:u w:val="single"/>
          <w:lang w:val="en-US" w:eastAsia="zh-CN"/>
        </w:rPr>
        <w:t xml:space="preserve">                    </w:t>
      </w:r>
    </w:p>
    <w:p w14:paraId="329FD729">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57075D4F">
      <w:pPr>
        <w:pStyle w:val="2"/>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bCs/>
          <w:color w:val="auto"/>
          <w:sz w:val="24"/>
          <w:highlight w:val="none"/>
          <w:u w:val="single"/>
          <w:lang w:val="en-US" w:eastAsia="zh-CN"/>
        </w:rPr>
      </w:pPr>
      <w:r>
        <w:rPr>
          <w:rFonts w:hint="eastAsia" w:ascii="宋体" w:hAnsi="宋体" w:eastAsia="宋体" w:cs="宋体"/>
          <w:color w:val="auto"/>
          <w:sz w:val="24"/>
          <w:highlight w:val="none"/>
          <w:lang w:val="en-US" w:eastAsia="zh-CN"/>
        </w:rPr>
        <w:t>法定代表人或委托代理人（签字或签章）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 xml:space="preserve">                     </w:t>
      </w:r>
    </w:p>
    <w:p w14:paraId="07AE4714">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5E059B34">
      <w:pPr>
        <w:pStyle w:val="2"/>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015AA4A3">
      <w:pPr>
        <w:pStyle w:val="2"/>
        <w:snapToGrid w:val="0"/>
        <w:spacing w:before="100" w:beforeAutospacing="1" w:after="100" w:afterAutospacing="1"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br w:type="page"/>
      </w:r>
    </w:p>
    <w:p w14:paraId="720B7583">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579" w:name="_Toc256194848"/>
      <w:bookmarkStart w:id="580" w:name="_Toc26088"/>
      <w:bookmarkStart w:id="581" w:name="_Toc12755"/>
      <w:bookmarkStart w:id="582" w:name="_Toc55303758"/>
      <w:bookmarkStart w:id="583" w:name="_Toc28415"/>
      <w:bookmarkStart w:id="584" w:name="_Toc15134"/>
      <w:bookmarkStart w:id="585" w:name="_Toc19885"/>
      <w:bookmarkStart w:id="586" w:name="_Toc10688"/>
      <w:bookmarkStart w:id="587" w:name="_Toc1961177591"/>
      <w:bookmarkStart w:id="588" w:name="_Toc221495502"/>
      <w:bookmarkStart w:id="589" w:name="_Toc1577951251"/>
      <w:bookmarkStart w:id="590" w:name="_Toc1164292374"/>
      <w:bookmarkStart w:id="591" w:name="_Toc55310071"/>
      <w:bookmarkStart w:id="592" w:name="_Toc55229802"/>
      <w:bookmarkStart w:id="593" w:name="_Toc23253"/>
      <w:bookmarkStart w:id="594" w:name="_Toc1081590980"/>
      <w:bookmarkStart w:id="595" w:name="_Toc3534"/>
      <w:r>
        <w:rPr>
          <w:rFonts w:hint="eastAsia" w:eastAsia="宋体" w:cs="宋体"/>
          <w:color w:val="auto"/>
          <w:highlight w:val="none"/>
          <w:lang w:val="en-US" w:eastAsia="zh-CN"/>
        </w:rPr>
        <w:t>四、</w:t>
      </w:r>
      <w:r>
        <w:rPr>
          <w:rFonts w:hint="eastAsia" w:ascii="宋体" w:hAnsi="宋体" w:eastAsia="宋体" w:cs="宋体"/>
          <w:color w:val="auto"/>
          <w:highlight w:val="none"/>
        </w:rPr>
        <w:t>法定代表人身份证明</w:t>
      </w:r>
      <w:bookmarkEnd w:id="579"/>
      <w:r>
        <w:rPr>
          <w:rFonts w:hint="eastAsia" w:ascii="宋体" w:hAnsi="宋体" w:eastAsia="宋体" w:cs="宋体"/>
          <w:color w:val="auto"/>
          <w:highlight w:val="none"/>
        </w:rPr>
        <w:t>书</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42AC8830">
      <w:pPr>
        <w:autoSpaceDE w:val="0"/>
        <w:autoSpaceDN w:val="0"/>
        <w:adjustRightInd w:val="0"/>
        <w:spacing w:line="360" w:lineRule="auto"/>
        <w:jc w:val="left"/>
        <w:rPr>
          <w:rFonts w:hint="eastAsia" w:ascii="宋体" w:hAnsi="宋体" w:eastAsia="宋体" w:cs="宋体"/>
          <w:color w:val="auto"/>
          <w:kern w:val="0"/>
          <w:szCs w:val="21"/>
          <w:highlight w:val="none"/>
        </w:rPr>
      </w:pPr>
    </w:p>
    <w:p w14:paraId="51FB54FB">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供应商（全称）：</w:t>
      </w:r>
    </w:p>
    <w:p w14:paraId="16DCFA9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单位性质：</w:t>
      </w:r>
    </w:p>
    <w:p w14:paraId="331E3B0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w:t>
      </w:r>
    </w:p>
    <w:p w14:paraId="0CF14AF9">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成立时间：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1B78D7BB">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经营期限：</w:t>
      </w:r>
    </w:p>
    <w:p w14:paraId="25F4C75D">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姓名：</w:t>
      </w:r>
    </w:p>
    <w:p w14:paraId="04EFD415">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性别：</w:t>
      </w:r>
    </w:p>
    <w:p w14:paraId="3B7128B6">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年龄：</w:t>
      </w:r>
    </w:p>
    <w:p w14:paraId="448E6580">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职务：</w:t>
      </w:r>
    </w:p>
    <w:p w14:paraId="4C4A92A7">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系（供应商）的法定代表人。</w:t>
      </w:r>
    </w:p>
    <w:p w14:paraId="3D67D33E">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特此证明。</w:t>
      </w:r>
    </w:p>
    <w:p w14:paraId="4503C232">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附：法定代表人身份证（复印件/扫描件）</w:t>
      </w:r>
    </w:p>
    <w:p w14:paraId="6258E736">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p>
    <w:p w14:paraId="274CC37F">
      <w:pPr>
        <w:wordWrap w:val="0"/>
        <w:autoSpaceDE w:val="0"/>
        <w:autoSpaceDN w:val="0"/>
        <w:adjustRightInd w:val="0"/>
        <w:spacing w:line="360" w:lineRule="auto"/>
        <w:ind w:right="420"/>
        <w:jc w:val="righ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（单位公章）：</w:t>
      </w:r>
      <w:r>
        <w:rPr>
          <w:rFonts w:hint="eastAsia" w:ascii="宋体" w:hAnsi="宋体" w:eastAsia="宋体" w:cs="宋体"/>
          <w:color w:val="auto"/>
          <w:sz w:val="24"/>
          <w:highlight w:val="none"/>
          <w:u w:val="single"/>
          <w:lang w:val="en-US" w:eastAsia="zh-CN"/>
        </w:rPr>
        <w:t xml:space="preserve">                     </w:t>
      </w:r>
    </w:p>
    <w:p w14:paraId="6E530B29">
      <w:pPr>
        <w:autoSpaceDE w:val="0"/>
        <w:autoSpaceDN w:val="0"/>
        <w:adjustRightInd w:val="0"/>
        <w:spacing w:line="360" w:lineRule="auto"/>
        <w:ind w:right="1140"/>
        <w:jc w:val="righ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年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 月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日</w:t>
      </w:r>
    </w:p>
    <w:tbl>
      <w:tblPr>
        <w:tblStyle w:val="49"/>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1816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39" w:hRule="atLeast"/>
        </w:trPr>
        <w:tc>
          <w:tcPr>
            <w:tcW w:w="7763" w:type="dxa"/>
          </w:tcPr>
          <w:p w14:paraId="704B81E7">
            <w:pPr>
              <w:widowControl/>
              <w:spacing w:line="360" w:lineRule="auto"/>
              <w:rPr>
                <w:rFonts w:hint="eastAsia" w:ascii="宋体" w:hAnsi="宋体" w:eastAsia="宋体" w:cs="宋体"/>
                <w:color w:val="auto"/>
                <w:szCs w:val="21"/>
                <w:highlight w:val="none"/>
              </w:rPr>
            </w:pPr>
          </w:p>
          <w:p w14:paraId="6512D36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身份证复印件/扫描件</w:t>
            </w:r>
          </w:p>
          <w:p w14:paraId="3D832611">
            <w:pPr>
              <w:spacing w:line="360" w:lineRule="auto"/>
              <w:rPr>
                <w:rFonts w:hint="eastAsia" w:ascii="宋体" w:hAnsi="宋体" w:eastAsia="宋体" w:cs="宋体"/>
                <w:color w:val="auto"/>
                <w:szCs w:val="21"/>
                <w:highlight w:val="none"/>
              </w:rPr>
            </w:pPr>
          </w:p>
          <w:p w14:paraId="20ECFBA9">
            <w:pPr>
              <w:widowControl/>
              <w:spacing w:line="360" w:lineRule="auto"/>
              <w:rPr>
                <w:rFonts w:hint="eastAsia" w:ascii="宋体" w:hAnsi="宋体" w:eastAsia="宋体" w:cs="宋体"/>
                <w:color w:val="auto"/>
                <w:szCs w:val="21"/>
                <w:highlight w:val="none"/>
              </w:rPr>
            </w:pPr>
          </w:p>
          <w:p w14:paraId="5785BC14">
            <w:pPr>
              <w:widowControl/>
              <w:spacing w:line="360" w:lineRule="auto"/>
              <w:rPr>
                <w:rFonts w:hint="eastAsia" w:ascii="宋体" w:hAnsi="宋体" w:eastAsia="宋体" w:cs="宋体"/>
                <w:color w:val="auto"/>
                <w:szCs w:val="21"/>
                <w:highlight w:val="none"/>
              </w:rPr>
            </w:pPr>
          </w:p>
        </w:tc>
      </w:tr>
    </w:tbl>
    <w:p w14:paraId="2011D203">
      <w:pPr>
        <w:widowControl/>
        <w:spacing w:line="360" w:lineRule="auto"/>
        <w:rPr>
          <w:rFonts w:hint="eastAsia" w:ascii="宋体" w:hAnsi="宋体" w:eastAsia="宋体" w:cs="宋体"/>
          <w:color w:val="auto"/>
          <w:szCs w:val="21"/>
          <w:highlight w:val="none"/>
        </w:rPr>
      </w:pPr>
    </w:p>
    <w:p w14:paraId="0B9F3118">
      <w:pPr>
        <w:widowControl/>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4F5E5786">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596" w:name="_Toc1198480582"/>
      <w:bookmarkStart w:id="597" w:name="_Toc26112"/>
      <w:bookmarkStart w:id="598" w:name="_Toc535410770"/>
      <w:bookmarkStart w:id="599" w:name="_Toc11796"/>
      <w:bookmarkStart w:id="600" w:name="_Toc55303759"/>
      <w:bookmarkStart w:id="601" w:name="_Toc24491"/>
      <w:bookmarkStart w:id="602" w:name="_Toc799215522"/>
      <w:bookmarkStart w:id="603" w:name="_Toc199914519"/>
      <w:bookmarkStart w:id="604" w:name="_Toc944456228"/>
      <w:bookmarkStart w:id="605" w:name="_Toc10997"/>
      <w:bookmarkStart w:id="606" w:name="_Toc7033"/>
      <w:bookmarkStart w:id="607" w:name="_Toc31689"/>
      <w:bookmarkStart w:id="608" w:name="_Toc18011"/>
      <w:bookmarkStart w:id="609" w:name="_Toc55310072"/>
      <w:bookmarkStart w:id="610" w:name="_Toc6201"/>
      <w:r>
        <w:rPr>
          <w:rFonts w:hint="eastAsia" w:eastAsia="宋体" w:cs="宋体"/>
          <w:color w:val="auto"/>
          <w:highlight w:val="none"/>
          <w:lang w:val="en-US" w:eastAsia="zh-CN"/>
        </w:rPr>
        <w:t>五、</w:t>
      </w:r>
      <w:r>
        <w:rPr>
          <w:rFonts w:hint="eastAsia" w:ascii="宋体" w:hAnsi="宋体" w:eastAsia="宋体" w:cs="宋体"/>
          <w:color w:val="auto"/>
          <w:highlight w:val="none"/>
        </w:rPr>
        <w:t>法定代表人授权委托书</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585879EE">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w:t>
      </w:r>
      <w:r>
        <w:rPr>
          <w:rFonts w:hint="eastAsia" w:ascii="宋体" w:hAnsi="宋体" w:eastAsia="宋体" w:cs="宋体"/>
          <w:b/>
          <w:bCs/>
          <w:color w:val="auto"/>
          <w:kern w:val="0"/>
          <w:sz w:val="24"/>
          <w:szCs w:val="24"/>
          <w:highlight w:val="none"/>
        </w:rPr>
        <w:t>姓名</w:t>
      </w:r>
      <w:r>
        <w:rPr>
          <w:rFonts w:hint="eastAsia" w:ascii="宋体" w:hAnsi="宋体" w:eastAsia="宋体" w:cs="宋体"/>
          <w:color w:val="auto"/>
          <w:kern w:val="0"/>
          <w:sz w:val="24"/>
          <w:szCs w:val="24"/>
          <w:highlight w:val="none"/>
        </w:rPr>
        <w:t>）系（</w:t>
      </w:r>
      <w:r>
        <w:rPr>
          <w:rFonts w:hint="eastAsia" w:ascii="宋体" w:hAnsi="宋体" w:eastAsia="宋体" w:cs="宋体"/>
          <w:b/>
          <w:bCs/>
          <w:color w:val="auto"/>
          <w:kern w:val="0"/>
          <w:sz w:val="24"/>
          <w:szCs w:val="24"/>
          <w:highlight w:val="none"/>
        </w:rPr>
        <w:t>供应商</w:t>
      </w:r>
      <w:r>
        <w:rPr>
          <w:rFonts w:hint="eastAsia" w:ascii="宋体" w:hAnsi="宋体" w:eastAsia="宋体" w:cs="宋体"/>
          <w:color w:val="auto"/>
          <w:kern w:val="0"/>
          <w:sz w:val="24"/>
          <w:szCs w:val="24"/>
          <w:highlight w:val="none"/>
        </w:rPr>
        <w:t>）的法定代表人，现委托（</w:t>
      </w:r>
      <w:r>
        <w:rPr>
          <w:rFonts w:hint="eastAsia" w:ascii="宋体" w:hAnsi="宋体" w:eastAsia="宋体" w:cs="宋体"/>
          <w:b/>
          <w:bCs/>
          <w:color w:val="auto"/>
          <w:kern w:val="0"/>
          <w:sz w:val="24"/>
          <w:szCs w:val="24"/>
          <w:highlight w:val="none"/>
        </w:rPr>
        <w:t>姓名</w:t>
      </w:r>
      <w:r>
        <w:rPr>
          <w:rFonts w:hint="eastAsia" w:ascii="宋体" w:hAnsi="宋体" w:eastAsia="宋体" w:cs="宋体"/>
          <w:color w:val="auto"/>
          <w:kern w:val="0"/>
          <w:sz w:val="24"/>
          <w:szCs w:val="24"/>
          <w:highlight w:val="none"/>
        </w:rPr>
        <w:t>）为我方代理人。代理人根据授权，以我方名义签署、澄清、说明、补正、递交、撤回、</w:t>
      </w:r>
      <w:r>
        <w:rPr>
          <w:rFonts w:hint="eastAsia" w:ascii="宋体" w:hAnsi="宋体" w:eastAsia="宋体" w:cs="宋体"/>
          <w:color w:val="auto"/>
          <w:kern w:val="0"/>
          <w:sz w:val="24"/>
          <w:szCs w:val="24"/>
          <w:highlight w:val="none"/>
          <w:lang w:val="en-US" w:eastAsia="zh-CN"/>
        </w:rPr>
        <w:t>修改</w:t>
      </w:r>
      <w:r>
        <w:rPr>
          <w:rFonts w:hint="eastAsia" w:ascii="宋体" w:hAnsi="宋体" w:eastAsia="宋体" w:cs="宋体"/>
          <w:color w:val="auto"/>
          <w:kern w:val="0"/>
          <w:sz w:val="24"/>
          <w:szCs w:val="24"/>
          <w:highlight w:val="none"/>
        </w:rPr>
        <w:t>（</w:t>
      </w:r>
      <w:r>
        <w:rPr>
          <w:rFonts w:hint="eastAsia" w:ascii="宋体" w:hAnsi="宋体" w:cs="宋体"/>
          <w:b/>
          <w:bCs/>
          <w:color w:val="auto"/>
          <w:kern w:val="0"/>
          <w:sz w:val="24"/>
          <w:szCs w:val="24"/>
          <w:highlight w:val="none"/>
          <w:u w:val="single"/>
          <w:lang w:val="en-US" w:eastAsia="zh-CN"/>
        </w:rPr>
        <w:t xml:space="preserve">    项目名称</w:t>
      </w:r>
      <w:r>
        <w:rPr>
          <w:rFonts w:hint="eastAsia" w:ascii="宋体" w:hAnsi="宋体" w:eastAsia="宋体" w:cs="宋体"/>
          <w:color w:val="auto"/>
          <w:kern w:val="0"/>
          <w:sz w:val="24"/>
          <w:szCs w:val="24"/>
          <w:highlight w:val="none"/>
        </w:rPr>
        <w:t>）采购项目报价文件、签订合同和处理有关事宜，其法律后果由我方承担。</w:t>
      </w:r>
    </w:p>
    <w:p w14:paraId="555D9513">
      <w:pPr>
        <w:autoSpaceDE w:val="0"/>
        <w:autoSpaceDN w:val="0"/>
        <w:adjustRightInd w:val="0"/>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委托期限：</w:t>
      </w:r>
      <w:r>
        <w:rPr>
          <w:rFonts w:hint="eastAsia" w:ascii="宋体" w:hAnsi="宋体" w:cs="宋体"/>
          <w:b/>
          <w:bCs/>
          <w:color w:val="auto"/>
          <w:kern w:val="0"/>
          <w:sz w:val="24"/>
          <w:szCs w:val="24"/>
          <w:highlight w:val="none"/>
          <w:lang w:val="en-US" w:eastAsia="zh-CN"/>
        </w:rPr>
        <w:t>XXXXXX至XXXXXXX</w:t>
      </w:r>
    </w:p>
    <w:p w14:paraId="1D813AB3">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w:t>
      </w:r>
    </w:p>
    <w:p w14:paraId="5B4DE28F">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rPr>
      </w:pPr>
    </w:p>
    <w:p w14:paraId="5E02F04C">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供应商（单位公章）：</w:t>
      </w:r>
      <w:r>
        <w:rPr>
          <w:rFonts w:hint="eastAsia" w:ascii="宋体" w:hAnsi="宋体" w:eastAsia="宋体" w:cs="宋体"/>
          <w:color w:val="auto"/>
          <w:kern w:val="0"/>
          <w:sz w:val="24"/>
          <w:szCs w:val="24"/>
          <w:highlight w:val="none"/>
          <w:u w:val="single"/>
          <w:lang w:val="en-US" w:eastAsia="zh-CN"/>
        </w:rPr>
        <w:t xml:space="preserve">                     </w:t>
      </w:r>
    </w:p>
    <w:p w14:paraId="32B09D23">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法定代表人（签字或签章）</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val="en-US" w:eastAsia="zh-CN"/>
        </w:rPr>
        <w:t xml:space="preserve">                     </w:t>
      </w:r>
    </w:p>
    <w:p w14:paraId="0AD73E44">
      <w:pPr>
        <w:autoSpaceDE w:val="0"/>
        <w:autoSpaceDN w:val="0"/>
        <w:adjustRightInd w:val="0"/>
        <w:spacing w:line="360" w:lineRule="auto"/>
        <w:ind w:firstLine="480" w:firstLineChars="200"/>
        <w:jc w:val="left"/>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委托代理人（签字或签章）</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val="en-US" w:eastAsia="zh-CN"/>
        </w:rPr>
        <w:t xml:space="preserve">                     </w:t>
      </w:r>
    </w:p>
    <w:p w14:paraId="265FD512">
      <w:pPr>
        <w:autoSpaceDE w:val="0"/>
        <w:autoSpaceDN w:val="0"/>
        <w:adjustRightInd w:val="0"/>
        <w:spacing w:line="360" w:lineRule="auto"/>
        <w:ind w:right="420"/>
        <w:jc w:val="right"/>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    月    日</w:t>
      </w:r>
    </w:p>
    <w:p w14:paraId="4168F609">
      <w:pPr>
        <w:widowControl/>
        <w:spacing w:line="360" w:lineRule="auto"/>
        <w:rPr>
          <w:rFonts w:hint="eastAsia" w:ascii="宋体" w:hAnsi="宋体" w:eastAsia="宋体" w:cs="宋体"/>
          <w:b/>
          <w:color w:val="auto"/>
          <w:sz w:val="24"/>
          <w:szCs w:val="24"/>
          <w:highlight w:val="none"/>
        </w:rPr>
      </w:pPr>
    </w:p>
    <w:p w14:paraId="6950A85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注：如供应商法定代表人参加采购行为，只需提供法定代表人身份证明书。</w:t>
      </w:r>
    </w:p>
    <w:p w14:paraId="2F89AFB5">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w:t>
      </w:r>
    </w:p>
    <w:p w14:paraId="7EF678B7">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被授权代理人身份证</w:t>
      </w:r>
    </w:p>
    <w:p w14:paraId="156DF014">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（复印件/扫描件）</w:t>
      </w:r>
      <w:bookmarkStart w:id="611" w:name="_Toc58941271"/>
    </w:p>
    <w:tbl>
      <w:tblPr>
        <w:tblStyle w:val="49"/>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0BFF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59" w:hRule="atLeast"/>
        </w:trPr>
        <w:tc>
          <w:tcPr>
            <w:tcW w:w="6951" w:type="dxa"/>
          </w:tcPr>
          <w:p w14:paraId="3D3FE0B6">
            <w:pPr>
              <w:widowControl/>
              <w:spacing w:line="360" w:lineRule="auto"/>
              <w:rPr>
                <w:rFonts w:hint="eastAsia" w:ascii="宋体" w:hAnsi="宋体" w:eastAsia="宋体" w:cs="宋体"/>
                <w:color w:val="auto"/>
                <w:szCs w:val="21"/>
                <w:highlight w:val="none"/>
              </w:rPr>
            </w:pPr>
          </w:p>
          <w:p w14:paraId="466117A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身份证复印件/扫描件</w:t>
            </w:r>
          </w:p>
          <w:p w14:paraId="4D5674BA">
            <w:pPr>
              <w:spacing w:line="360" w:lineRule="auto"/>
              <w:rPr>
                <w:rFonts w:hint="eastAsia" w:ascii="宋体" w:hAnsi="宋体" w:eastAsia="宋体" w:cs="宋体"/>
                <w:color w:val="auto"/>
                <w:szCs w:val="21"/>
                <w:highlight w:val="none"/>
              </w:rPr>
            </w:pPr>
          </w:p>
          <w:p w14:paraId="7A21B546">
            <w:pPr>
              <w:widowControl/>
              <w:spacing w:line="360" w:lineRule="auto"/>
              <w:rPr>
                <w:rFonts w:hint="eastAsia" w:ascii="宋体" w:hAnsi="宋体" w:eastAsia="宋体" w:cs="宋体"/>
                <w:color w:val="auto"/>
                <w:szCs w:val="21"/>
                <w:highlight w:val="none"/>
              </w:rPr>
            </w:pPr>
          </w:p>
          <w:p w14:paraId="55655C11">
            <w:pPr>
              <w:widowControl/>
              <w:spacing w:line="360" w:lineRule="auto"/>
              <w:rPr>
                <w:rFonts w:hint="eastAsia" w:ascii="宋体" w:hAnsi="宋体" w:eastAsia="宋体" w:cs="宋体"/>
                <w:color w:val="auto"/>
                <w:szCs w:val="21"/>
                <w:highlight w:val="none"/>
              </w:rPr>
            </w:pPr>
          </w:p>
        </w:tc>
      </w:tr>
    </w:tbl>
    <w:p w14:paraId="32EE022E">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p>
    <w:bookmarkEnd w:id="611"/>
    <w:p w14:paraId="5414FFD8">
      <w:pPr>
        <w:pStyle w:val="5"/>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highlight w:val="none"/>
        </w:rPr>
      </w:pPr>
      <w:bookmarkStart w:id="612" w:name="_Toc1017088757"/>
      <w:bookmarkStart w:id="613" w:name="_Toc1962913522"/>
      <w:bookmarkStart w:id="614" w:name="_Toc1304626959"/>
      <w:bookmarkStart w:id="615" w:name="_Toc1839603054"/>
      <w:bookmarkStart w:id="616" w:name="_Toc455638692"/>
      <w:bookmarkStart w:id="617" w:name="_Toc439554167"/>
      <w:bookmarkStart w:id="618" w:name="_Toc55229803"/>
      <w:bookmarkStart w:id="619" w:name="_Toc435803793"/>
      <w:bookmarkStart w:id="620" w:name="_Toc440110297"/>
      <w:bookmarkStart w:id="621" w:name="_Toc26999"/>
      <w:bookmarkStart w:id="622" w:name="_Toc28454"/>
      <w:bookmarkStart w:id="623" w:name="_Toc17606"/>
      <w:bookmarkStart w:id="624" w:name="_Toc21881"/>
      <w:bookmarkStart w:id="625" w:name="_Toc3039"/>
      <w:bookmarkStart w:id="626" w:name="_Toc3566"/>
      <w:bookmarkStart w:id="627" w:name="_Toc30223"/>
      <w:bookmarkStart w:id="628" w:name="_Toc55303760"/>
      <w:bookmarkStart w:id="629" w:name="_Toc5071"/>
      <w:bookmarkStart w:id="630" w:name="_Toc12333"/>
      <w:bookmarkStart w:id="631" w:name="_Toc55310073"/>
      <w:bookmarkStart w:id="632" w:name="_Toc26244"/>
      <w:bookmarkStart w:id="633" w:name="_Toc5259"/>
      <w:r>
        <w:rPr>
          <w:rFonts w:hint="eastAsia" w:eastAsia="宋体" w:cs="宋体"/>
          <w:color w:val="auto"/>
          <w:highlight w:val="none"/>
          <w:lang w:val="en-US" w:eastAsia="zh-CN"/>
        </w:rPr>
        <w:t>六、</w:t>
      </w:r>
      <w:bookmarkStart w:id="634" w:name="_Toc11584"/>
      <w:bookmarkStart w:id="635" w:name="_Toc23234"/>
      <w:r>
        <w:rPr>
          <w:rFonts w:hint="eastAsia" w:eastAsia="宋体" w:cs="宋体"/>
          <w:color w:val="auto"/>
          <w:highlight w:val="none"/>
          <w:lang w:val="en-US" w:eastAsia="zh-CN"/>
        </w:rPr>
        <w:t>供应商</w:t>
      </w:r>
      <w:r>
        <w:rPr>
          <w:rFonts w:hint="eastAsia" w:ascii="宋体" w:hAnsi="宋体" w:eastAsia="宋体" w:cs="宋体"/>
          <w:color w:val="auto"/>
          <w:highlight w:val="none"/>
        </w:rPr>
        <w:t>基本情况表</w:t>
      </w:r>
      <w:bookmarkEnd w:id="612"/>
      <w:bookmarkEnd w:id="613"/>
      <w:bookmarkEnd w:id="614"/>
      <w:bookmarkEnd w:id="615"/>
      <w:bookmarkEnd w:id="616"/>
      <w:bookmarkEnd w:id="634"/>
      <w:bookmarkEnd w:id="635"/>
    </w:p>
    <w:tbl>
      <w:tblPr>
        <w:tblStyle w:val="49"/>
        <w:tblW w:w="91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57"/>
        <w:gridCol w:w="1183"/>
        <w:gridCol w:w="592"/>
        <w:gridCol w:w="592"/>
        <w:gridCol w:w="1184"/>
        <w:gridCol w:w="769"/>
        <w:gridCol w:w="414"/>
        <w:gridCol w:w="592"/>
        <w:gridCol w:w="592"/>
        <w:gridCol w:w="1184"/>
      </w:tblGrid>
      <w:tr w14:paraId="49752D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tcBorders>
              <w:top w:val="single" w:color="auto" w:sz="12" w:space="0"/>
            </w:tcBorders>
            <w:noWrap w:val="0"/>
            <w:vAlign w:val="center"/>
          </w:tcPr>
          <w:p w14:paraId="29CA1E01">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lang w:val="en-US" w:eastAsia="zh-CN"/>
              </w:rPr>
              <w:t>供应商</w:t>
            </w:r>
            <w:r>
              <w:rPr>
                <w:rFonts w:hint="eastAsia" w:cs="宋体"/>
                <w:color w:val="auto"/>
                <w:highlight w:val="none"/>
              </w:rPr>
              <w:t>名称</w:t>
            </w:r>
          </w:p>
        </w:tc>
        <w:tc>
          <w:tcPr>
            <w:tcW w:w="7102" w:type="dxa"/>
            <w:gridSpan w:val="9"/>
            <w:tcBorders>
              <w:top w:val="single" w:color="auto" w:sz="12" w:space="0"/>
            </w:tcBorders>
            <w:noWrap w:val="0"/>
            <w:vAlign w:val="center"/>
          </w:tcPr>
          <w:p w14:paraId="72918759">
            <w:pPr>
              <w:pageBreakBefore w:val="0"/>
              <w:kinsoku/>
              <w:wordWrap/>
              <w:overflowPunct/>
              <w:topLinePunct/>
              <w:bidi w:val="0"/>
              <w:adjustRightInd w:val="0"/>
              <w:snapToGrid w:val="0"/>
              <w:jc w:val="center"/>
              <w:textAlignment w:val="auto"/>
              <w:rPr>
                <w:color w:val="auto"/>
                <w:highlight w:val="none"/>
              </w:rPr>
            </w:pPr>
          </w:p>
        </w:tc>
      </w:tr>
      <w:tr w14:paraId="33223A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60C85C9C">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注册地址</w:t>
            </w:r>
          </w:p>
        </w:tc>
        <w:tc>
          <w:tcPr>
            <w:tcW w:w="3551" w:type="dxa"/>
            <w:gridSpan w:val="4"/>
            <w:noWrap w:val="0"/>
            <w:vAlign w:val="center"/>
          </w:tcPr>
          <w:p w14:paraId="0FDD4D9E">
            <w:pPr>
              <w:pageBreakBefore w:val="0"/>
              <w:kinsoku/>
              <w:wordWrap/>
              <w:overflowPunct/>
              <w:topLinePunct/>
              <w:bidi w:val="0"/>
              <w:adjustRightInd w:val="0"/>
              <w:snapToGrid w:val="0"/>
              <w:jc w:val="center"/>
              <w:textAlignment w:val="auto"/>
              <w:rPr>
                <w:color w:val="auto"/>
                <w:highlight w:val="none"/>
              </w:rPr>
            </w:pPr>
          </w:p>
        </w:tc>
        <w:tc>
          <w:tcPr>
            <w:tcW w:w="1775" w:type="dxa"/>
            <w:gridSpan w:val="3"/>
            <w:noWrap w:val="0"/>
            <w:vAlign w:val="center"/>
          </w:tcPr>
          <w:p w14:paraId="261719C0">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邮政编码</w:t>
            </w:r>
          </w:p>
        </w:tc>
        <w:tc>
          <w:tcPr>
            <w:tcW w:w="1776" w:type="dxa"/>
            <w:gridSpan w:val="2"/>
            <w:noWrap w:val="0"/>
            <w:vAlign w:val="center"/>
          </w:tcPr>
          <w:p w14:paraId="78E22474">
            <w:pPr>
              <w:pageBreakBefore w:val="0"/>
              <w:kinsoku/>
              <w:wordWrap/>
              <w:overflowPunct/>
              <w:topLinePunct/>
              <w:bidi w:val="0"/>
              <w:adjustRightInd w:val="0"/>
              <w:snapToGrid w:val="0"/>
              <w:jc w:val="center"/>
              <w:textAlignment w:val="auto"/>
              <w:rPr>
                <w:color w:val="auto"/>
                <w:highlight w:val="none"/>
              </w:rPr>
            </w:pPr>
          </w:p>
        </w:tc>
      </w:tr>
      <w:tr w14:paraId="55D54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25B156D1">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联系方式</w:t>
            </w:r>
          </w:p>
        </w:tc>
        <w:tc>
          <w:tcPr>
            <w:tcW w:w="1775" w:type="dxa"/>
            <w:gridSpan w:val="2"/>
            <w:noWrap w:val="0"/>
            <w:vAlign w:val="center"/>
          </w:tcPr>
          <w:p w14:paraId="5FAAA937">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联系人</w:t>
            </w:r>
          </w:p>
        </w:tc>
        <w:tc>
          <w:tcPr>
            <w:tcW w:w="1776" w:type="dxa"/>
            <w:gridSpan w:val="2"/>
            <w:noWrap w:val="0"/>
            <w:vAlign w:val="center"/>
          </w:tcPr>
          <w:p w14:paraId="43B8C4F7">
            <w:pPr>
              <w:pageBreakBefore w:val="0"/>
              <w:kinsoku/>
              <w:wordWrap/>
              <w:overflowPunct/>
              <w:topLinePunct/>
              <w:bidi w:val="0"/>
              <w:adjustRightInd w:val="0"/>
              <w:snapToGrid w:val="0"/>
              <w:jc w:val="center"/>
              <w:textAlignment w:val="auto"/>
              <w:rPr>
                <w:color w:val="auto"/>
                <w:highlight w:val="none"/>
              </w:rPr>
            </w:pPr>
          </w:p>
        </w:tc>
        <w:tc>
          <w:tcPr>
            <w:tcW w:w="1775" w:type="dxa"/>
            <w:gridSpan w:val="3"/>
            <w:noWrap w:val="0"/>
            <w:vAlign w:val="center"/>
          </w:tcPr>
          <w:p w14:paraId="01E2988E">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电话</w:t>
            </w:r>
          </w:p>
        </w:tc>
        <w:tc>
          <w:tcPr>
            <w:tcW w:w="1776" w:type="dxa"/>
            <w:gridSpan w:val="2"/>
            <w:noWrap w:val="0"/>
            <w:vAlign w:val="center"/>
          </w:tcPr>
          <w:p w14:paraId="3C4DF763">
            <w:pPr>
              <w:pageBreakBefore w:val="0"/>
              <w:kinsoku/>
              <w:wordWrap/>
              <w:overflowPunct/>
              <w:topLinePunct/>
              <w:bidi w:val="0"/>
              <w:adjustRightInd w:val="0"/>
              <w:snapToGrid w:val="0"/>
              <w:jc w:val="center"/>
              <w:textAlignment w:val="auto"/>
              <w:rPr>
                <w:color w:val="auto"/>
                <w:highlight w:val="none"/>
              </w:rPr>
            </w:pPr>
          </w:p>
        </w:tc>
      </w:tr>
      <w:tr w14:paraId="3C1AD0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5F0000C5">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法定代表人</w:t>
            </w:r>
          </w:p>
        </w:tc>
        <w:tc>
          <w:tcPr>
            <w:tcW w:w="1183" w:type="dxa"/>
            <w:noWrap w:val="0"/>
            <w:vAlign w:val="center"/>
          </w:tcPr>
          <w:p w14:paraId="24FA447E">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姓名</w:t>
            </w:r>
          </w:p>
        </w:tc>
        <w:tc>
          <w:tcPr>
            <w:tcW w:w="1184" w:type="dxa"/>
            <w:gridSpan w:val="2"/>
            <w:noWrap w:val="0"/>
            <w:vAlign w:val="center"/>
          </w:tcPr>
          <w:p w14:paraId="47848D01">
            <w:pPr>
              <w:pageBreakBefore w:val="0"/>
              <w:kinsoku/>
              <w:wordWrap/>
              <w:overflowPunct/>
              <w:topLinePunct/>
              <w:bidi w:val="0"/>
              <w:adjustRightInd w:val="0"/>
              <w:snapToGrid w:val="0"/>
              <w:jc w:val="center"/>
              <w:textAlignment w:val="auto"/>
              <w:rPr>
                <w:color w:val="auto"/>
                <w:highlight w:val="none"/>
              </w:rPr>
            </w:pPr>
          </w:p>
        </w:tc>
        <w:tc>
          <w:tcPr>
            <w:tcW w:w="1184" w:type="dxa"/>
            <w:noWrap w:val="0"/>
            <w:vAlign w:val="center"/>
          </w:tcPr>
          <w:p w14:paraId="74757818">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技术职称</w:t>
            </w:r>
          </w:p>
        </w:tc>
        <w:tc>
          <w:tcPr>
            <w:tcW w:w="1183" w:type="dxa"/>
            <w:gridSpan w:val="2"/>
            <w:noWrap w:val="0"/>
            <w:vAlign w:val="center"/>
          </w:tcPr>
          <w:p w14:paraId="352A1DFF">
            <w:pPr>
              <w:pageBreakBefore w:val="0"/>
              <w:kinsoku/>
              <w:wordWrap/>
              <w:overflowPunct/>
              <w:topLinePunct/>
              <w:bidi w:val="0"/>
              <w:adjustRightInd w:val="0"/>
              <w:snapToGrid w:val="0"/>
              <w:jc w:val="center"/>
              <w:textAlignment w:val="auto"/>
              <w:rPr>
                <w:color w:val="auto"/>
                <w:highlight w:val="none"/>
              </w:rPr>
            </w:pPr>
          </w:p>
        </w:tc>
        <w:tc>
          <w:tcPr>
            <w:tcW w:w="1184" w:type="dxa"/>
            <w:gridSpan w:val="2"/>
            <w:noWrap w:val="0"/>
            <w:vAlign w:val="center"/>
          </w:tcPr>
          <w:p w14:paraId="2A211972">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电话</w:t>
            </w:r>
          </w:p>
        </w:tc>
        <w:tc>
          <w:tcPr>
            <w:tcW w:w="1184" w:type="dxa"/>
            <w:noWrap w:val="0"/>
            <w:vAlign w:val="center"/>
          </w:tcPr>
          <w:p w14:paraId="719E412B">
            <w:pPr>
              <w:pageBreakBefore w:val="0"/>
              <w:kinsoku/>
              <w:wordWrap/>
              <w:overflowPunct/>
              <w:topLinePunct/>
              <w:bidi w:val="0"/>
              <w:adjustRightInd w:val="0"/>
              <w:snapToGrid w:val="0"/>
              <w:jc w:val="center"/>
              <w:textAlignment w:val="auto"/>
              <w:rPr>
                <w:color w:val="auto"/>
                <w:highlight w:val="none"/>
              </w:rPr>
            </w:pPr>
          </w:p>
        </w:tc>
      </w:tr>
      <w:tr w14:paraId="0747E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309B6B25">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技术负责人</w:t>
            </w:r>
          </w:p>
        </w:tc>
        <w:tc>
          <w:tcPr>
            <w:tcW w:w="1183" w:type="dxa"/>
            <w:noWrap w:val="0"/>
            <w:vAlign w:val="center"/>
          </w:tcPr>
          <w:p w14:paraId="0981EEB3">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姓名</w:t>
            </w:r>
          </w:p>
        </w:tc>
        <w:tc>
          <w:tcPr>
            <w:tcW w:w="1184" w:type="dxa"/>
            <w:gridSpan w:val="2"/>
            <w:noWrap w:val="0"/>
            <w:vAlign w:val="center"/>
          </w:tcPr>
          <w:p w14:paraId="6B4198C1">
            <w:pPr>
              <w:pageBreakBefore w:val="0"/>
              <w:kinsoku/>
              <w:wordWrap/>
              <w:overflowPunct/>
              <w:topLinePunct/>
              <w:bidi w:val="0"/>
              <w:adjustRightInd w:val="0"/>
              <w:snapToGrid w:val="0"/>
              <w:jc w:val="center"/>
              <w:textAlignment w:val="auto"/>
              <w:rPr>
                <w:rFonts w:cs="宋体"/>
                <w:color w:val="auto"/>
                <w:highlight w:val="none"/>
              </w:rPr>
            </w:pPr>
          </w:p>
        </w:tc>
        <w:tc>
          <w:tcPr>
            <w:tcW w:w="1184" w:type="dxa"/>
            <w:noWrap w:val="0"/>
            <w:vAlign w:val="center"/>
          </w:tcPr>
          <w:p w14:paraId="110DFF39">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技术职称</w:t>
            </w:r>
          </w:p>
        </w:tc>
        <w:tc>
          <w:tcPr>
            <w:tcW w:w="1183" w:type="dxa"/>
            <w:gridSpan w:val="2"/>
            <w:noWrap w:val="0"/>
            <w:vAlign w:val="center"/>
          </w:tcPr>
          <w:p w14:paraId="19EB6D7F">
            <w:pPr>
              <w:pageBreakBefore w:val="0"/>
              <w:kinsoku/>
              <w:wordWrap/>
              <w:overflowPunct/>
              <w:topLinePunct/>
              <w:bidi w:val="0"/>
              <w:adjustRightInd w:val="0"/>
              <w:snapToGrid w:val="0"/>
              <w:jc w:val="center"/>
              <w:textAlignment w:val="auto"/>
              <w:rPr>
                <w:rFonts w:cs="宋体"/>
                <w:color w:val="auto"/>
                <w:highlight w:val="none"/>
              </w:rPr>
            </w:pPr>
          </w:p>
        </w:tc>
        <w:tc>
          <w:tcPr>
            <w:tcW w:w="1184" w:type="dxa"/>
            <w:gridSpan w:val="2"/>
            <w:noWrap w:val="0"/>
            <w:vAlign w:val="center"/>
          </w:tcPr>
          <w:p w14:paraId="0966E962">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电话</w:t>
            </w:r>
          </w:p>
        </w:tc>
        <w:tc>
          <w:tcPr>
            <w:tcW w:w="1184" w:type="dxa"/>
            <w:noWrap w:val="0"/>
            <w:vAlign w:val="center"/>
          </w:tcPr>
          <w:p w14:paraId="666015DD">
            <w:pPr>
              <w:pageBreakBefore w:val="0"/>
              <w:kinsoku/>
              <w:wordWrap/>
              <w:overflowPunct/>
              <w:topLinePunct/>
              <w:bidi w:val="0"/>
              <w:adjustRightInd w:val="0"/>
              <w:snapToGrid w:val="0"/>
              <w:jc w:val="center"/>
              <w:textAlignment w:val="auto"/>
              <w:rPr>
                <w:rFonts w:cs="宋体"/>
                <w:color w:val="auto"/>
                <w:highlight w:val="none"/>
              </w:rPr>
            </w:pPr>
          </w:p>
        </w:tc>
      </w:tr>
      <w:tr w14:paraId="176B6F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708DE2A9">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企业监理资质证书</w:t>
            </w:r>
          </w:p>
        </w:tc>
        <w:tc>
          <w:tcPr>
            <w:tcW w:w="7102" w:type="dxa"/>
            <w:gridSpan w:val="9"/>
            <w:noWrap w:val="0"/>
            <w:vAlign w:val="center"/>
          </w:tcPr>
          <w:p w14:paraId="640E98A2">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类型：      等级：      证书号：</w:t>
            </w:r>
          </w:p>
        </w:tc>
      </w:tr>
      <w:tr w14:paraId="6FDB47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1B06CB22">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质量管理体系证书（如有）</w:t>
            </w:r>
          </w:p>
        </w:tc>
        <w:tc>
          <w:tcPr>
            <w:tcW w:w="7102" w:type="dxa"/>
            <w:gridSpan w:val="9"/>
            <w:noWrap w:val="0"/>
            <w:vAlign w:val="center"/>
          </w:tcPr>
          <w:p w14:paraId="25CE2C74">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类型：      证书号：       有效期：</w:t>
            </w:r>
          </w:p>
        </w:tc>
      </w:tr>
      <w:tr w14:paraId="103B9A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7DC3A076">
            <w:pPr>
              <w:pageBreakBefore w:val="0"/>
              <w:kinsoku/>
              <w:wordWrap/>
              <w:overflowPunct/>
              <w:bidi w:val="0"/>
              <w:spacing w:line="360" w:lineRule="auto"/>
              <w:jc w:val="center"/>
              <w:textAlignment w:val="auto"/>
              <w:rPr>
                <w:color w:val="auto"/>
                <w:highlight w:val="none"/>
              </w:rPr>
            </w:pPr>
            <w:r>
              <w:rPr>
                <w:rFonts w:hint="eastAsia" w:hAnsi="宋体"/>
                <w:color w:val="auto"/>
                <w:highlight w:val="none"/>
              </w:rPr>
              <w:t>营业执照号</w:t>
            </w:r>
          </w:p>
        </w:tc>
        <w:tc>
          <w:tcPr>
            <w:tcW w:w="3551" w:type="dxa"/>
            <w:gridSpan w:val="4"/>
            <w:noWrap w:val="0"/>
            <w:vAlign w:val="center"/>
          </w:tcPr>
          <w:p w14:paraId="5FF35364">
            <w:pPr>
              <w:pageBreakBefore w:val="0"/>
              <w:kinsoku/>
              <w:wordWrap/>
              <w:overflowPunct/>
              <w:topLinePunct/>
              <w:bidi w:val="0"/>
              <w:adjustRightInd w:val="0"/>
              <w:snapToGrid w:val="0"/>
              <w:jc w:val="center"/>
              <w:textAlignment w:val="auto"/>
              <w:rPr>
                <w:color w:val="auto"/>
                <w:highlight w:val="none"/>
              </w:rPr>
            </w:pPr>
          </w:p>
        </w:tc>
        <w:tc>
          <w:tcPr>
            <w:tcW w:w="3551" w:type="dxa"/>
            <w:gridSpan w:val="5"/>
            <w:noWrap w:val="0"/>
            <w:vAlign w:val="center"/>
          </w:tcPr>
          <w:p w14:paraId="131C9202">
            <w:pPr>
              <w:pageBreakBefore w:val="0"/>
              <w:kinsoku/>
              <w:wordWrap/>
              <w:overflowPunct/>
              <w:topLinePunct/>
              <w:bidi w:val="0"/>
              <w:adjustRightInd w:val="0"/>
              <w:snapToGrid w:val="0"/>
              <w:ind w:firstLine="105" w:firstLineChars="50"/>
              <w:jc w:val="center"/>
              <w:textAlignment w:val="auto"/>
              <w:rPr>
                <w:color w:val="auto"/>
                <w:highlight w:val="none"/>
              </w:rPr>
            </w:pPr>
            <w:r>
              <w:rPr>
                <w:rFonts w:hint="eastAsia" w:cs="宋体"/>
                <w:color w:val="auto"/>
                <w:highlight w:val="none"/>
              </w:rPr>
              <w:t>员工总人数：</w:t>
            </w:r>
          </w:p>
        </w:tc>
      </w:tr>
      <w:tr w14:paraId="645226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222CF2DC">
            <w:pPr>
              <w:pageBreakBefore w:val="0"/>
              <w:kinsoku/>
              <w:wordWrap/>
              <w:overflowPunct/>
              <w:bidi w:val="0"/>
              <w:spacing w:line="360" w:lineRule="auto"/>
              <w:jc w:val="center"/>
              <w:textAlignment w:val="auto"/>
              <w:rPr>
                <w:color w:val="auto"/>
                <w:highlight w:val="none"/>
              </w:rPr>
            </w:pPr>
            <w:r>
              <w:rPr>
                <w:rFonts w:hint="eastAsia" w:hAnsi="宋体"/>
                <w:color w:val="auto"/>
                <w:highlight w:val="none"/>
              </w:rPr>
              <w:t>注册资本</w:t>
            </w:r>
          </w:p>
        </w:tc>
        <w:tc>
          <w:tcPr>
            <w:tcW w:w="3551" w:type="dxa"/>
            <w:gridSpan w:val="4"/>
            <w:noWrap w:val="0"/>
            <w:vAlign w:val="center"/>
          </w:tcPr>
          <w:p w14:paraId="194320DE">
            <w:pPr>
              <w:pageBreakBefore w:val="0"/>
              <w:kinsoku/>
              <w:wordWrap/>
              <w:overflowPunct/>
              <w:topLinePunct/>
              <w:bidi w:val="0"/>
              <w:adjustRightInd w:val="0"/>
              <w:snapToGrid w:val="0"/>
              <w:jc w:val="center"/>
              <w:textAlignment w:val="auto"/>
              <w:rPr>
                <w:color w:val="auto"/>
                <w:highlight w:val="none"/>
              </w:rPr>
            </w:pPr>
          </w:p>
        </w:tc>
        <w:tc>
          <w:tcPr>
            <w:tcW w:w="769" w:type="dxa"/>
            <w:vMerge w:val="restart"/>
            <w:noWrap w:val="0"/>
            <w:vAlign w:val="center"/>
          </w:tcPr>
          <w:p w14:paraId="02519BDE">
            <w:pPr>
              <w:pageBreakBefore w:val="0"/>
              <w:kinsoku/>
              <w:wordWrap/>
              <w:overflowPunct/>
              <w:topLinePunct/>
              <w:bidi w:val="0"/>
              <w:adjustRightInd w:val="0"/>
              <w:snapToGrid w:val="0"/>
              <w:jc w:val="center"/>
              <w:textAlignment w:val="auto"/>
              <w:rPr>
                <w:color w:val="auto"/>
                <w:highlight w:val="none"/>
              </w:rPr>
            </w:pPr>
            <w:r>
              <w:rPr>
                <w:rFonts w:hint="eastAsia"/>
                <w:color w:val="auto"/>
                <w:highlight w:val="none"/>
              </w:rPr>
              <w:t>其中</w:t>
            </w:r>
          </w:p>
        </w:tc>
        <w:tc>
          <w:tcPr>
            <w:tcW w:w="1598" w:type="dxa"/>
            <w:gridSpan w:val="3"/>
            <w:noWrap w:val="0"/>
            <w:vAlign w:val="center"/>
          </w:tcPr>
          <w:p w14:paraId="4E3285D9">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高级职称人员</w:t>
            </w:r>
          </w:p>
        </w:tc>
        <w:tc>
          <w:tcPr>
            <w:tcW w:w="1184" w:type="dxa"/>
            <w:noWrap w:val="0"/>
            <w:vAlign w:val="center"/>
          </w:tcPr>
          <w:p w14:paraId="43099A29">
            <w:pPr>
              <w:pageBreakBefore w:val="0"/>
              <w:kinsoku/>
              <w:wordWrap/>
              <w:overflowPunct/>
              <w:topLinePunct/>
              <w:bidi w:val="0"/>
              <w:adjustRightInd w:val="0"/>
              <w:snapToGrid w:val="0"/>
              <w:jc w:val="center"/>
              <w:textAlignment w:val="auto"/>
              <w:rPr>
                <w:color w:val="auto"/>
                <w:highlight w:val="none"/>
              </w:rPr>
            </w:pPr>
          </w:p>
        </w:tc>
      </w:tr>
      <w:tr w14:paraId="199A6A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4F4C90A7">
            <w:pPr>
              <w:pageBreakBefore w:val="0"/>
              <w:kinsoku/>
              <w:wordWrap/>
              <w:overflowPunct/>
              <w:bidi w:val="0"/>
              <w:spacing w:line="360" w:lineRule="auto"/>
              <w:jc w:val="center"/>
              <w:textAlignment w:val="auto"/>
              <w:rPr>
                <w:color w:val="auto"/>
                <w:highlight w:val="none"/>
              </w:rPr>
            </w:pPr>
            <w:r>
              <w:rPr>
                <w:rFonts w:hint="eastAsia" w:hAnsi="宋体"/>
                <w:color w:val="auto"/>
                <w:highlight w:val="none"/>
              </w:rPr>
              <w:t>成立日期</w:t>
            </w:r>
          </w:p>
        </w:tc>
        <w:tc>
          <w:tcPr>
            <w:tcW w:w="3551" w:type="dxa"/>
            <w:gridSpan w:val="4"/>
            <w:noWrap w:val="0"/>
            <w:vAlign w:val="center"/>
          </w:tcPr>
          <w:p w14:paraId="19BD9C82">
            <w:pPr>
              <w:pageBreakBefore w:val="0"/>
              <w:kinsoku/>
              <w:wordWrap/>
              <w:overflowPunct/>
              <w:topLinePunct/>
              <w:bidi w:val="0"/>
              <w:adjustRightInd w:val="0"/>
              <w:snapToGrid w:val="0"/>
              <w:jc w:val="center"/>
              <w:textAlignment w:val="auto"/>
              <w:rPr>
                <w:color w:val="auto"/>
                <w:highlight w:val="none"/>
              </w:rPr>
            </w:pPr>
          </w:p>
        </w:tc>
        <w:tc>
          <w:tcPr>
            <w:tcW w:w="769" w:type="dxa"/>
            <w:vMerge w:val="continue"/>
            <w:noWrap w:val="0"/>
            <w:vAlign w:val="center"/>
          </w:tcPr>
          <w:p w14:paraId="1B4DECA8">
            <w:pPr>
              <w:pageBreakBefore w:val="0"/>
              <w:kinsoku/>
              <w:wordWrap/>
              <w:overflowPunct/>
              <w:topLinePunct/>
              <w:bidi w:val="0"/>
              <w:adjustRightInd w:val="0"/>
              <w:snapToGrid w:val="0"/>
              <w:jc w:val="center"/>
              <w:textAlignment w:val="auto"/>
              <w:rPr>
                <w:color w:val="auto"/>
                <w:highlight w:val="none"/>
              </w:rPr>
            </w:pPr>
          </w:p>
        </w:tc>
        <w:tc>
          <w:tcPr>
            <w:tcW w:w="1598" w:type="dxa"/>
            <w:gridSpan w:val="3"/>
            <w:noWrap w:val="0"/>
            <w:vAlign w:val="center"/>
          </w:tcPr>
          <w:p w14:paraId="46CA76B6">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中级职称人员</w:t>
            </w:r>
          </w:p>
        </w:tc>
        <w:tc>
          <w:tcPr>
            <w:tcW w:w="1184" w:type="dxa"/>
            <w:noWrap w:val="0"/>
            <w:vAlign w:val="center"/>
          </w:tcPr>
          <w:p w14:paraId="30FAD2D6">
            <w:pPr>
              <w:pageBreakBefore w:val="0"/>
              <w:kinsoku/>
              <w:wordWrap/>
              <w:overflowPunct/>
              <w:topLinePunct/>
              <w:bidi w:val="0"/>
              <w:adjustRightInd w:val="0"/>
              <w:snapToGrid w:val="0"/>
              <w:jc w:val="center"/>
              <w:textAlignment w:val="auto"/>
              <w:rPr>
                <w:color w:val="auto"/>
                <w:highlight w:val="none"/>
              </w:rPr>
            </w:pPr>
          </w:p>
        </w:tc>
      </w:tr>
      <w:tr w14:paraId="36FDBE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07D07AFC">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r>
              <w:rPr>
                <w:rFonts w:hint="eastAsia" w:ascii="宋体" w:hAnsi="Times New Roman" w:eastAsia="宋体" w:cs="宋体"/>
                <w:color w:val="auto"/>
                <w:highlight w:val="none"/>
              </w:rPr>
              <w:t>基本账户开户银行</w:t>
            </w:r>
          </w:p>
        </w:tc>
        <w:tc>
          <w:tcPr>
            <w:tcW w:w="3551" w:type="dxa"/>
            <w:gridSpan w:val="4"/>
            <w:noWrap w:val="0"/>
            <w:vAlign w:val="center"/>
          </w:tcPr>
          <w:p w14:paraId="48BC0420">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p>
        </w:tc>
        <w:tc>
          <w:tcPr>
            <w:tcW w:w="769" w:type="dxa"/>
            <w:vMerge w:val="continue"/>
            <w:noWrap w:val="0"/>
            <w:vAlign w:val="center"/>
          </w:tcPr>
          <w:p w14:paraId="06515256">
            <w:pPr>
              <w:pageBreakBefore w:val="0"/>
              <w:kinsoku/>
              <w:wordWrap/>
              <w:overflowPunct/>
              <w:topLinePunct/>
              <w:bidi w:val="0"/>
              <w:adjustRightInd w:val="0"/>
              <w:snapToGrid w:val="0"/>
              <w:jc w:val="center"/>
              <w:textAlignment w:val="auto"/>
              <w:rPr>
                <w:color w:val="auto"/>
                <w:highlight w:val="none"/>
              </w:rPr>
            </w:pPr>
          </w:p>
        </w:tc>
        <w:tc>
          <w:tcPr>
            <w:tcW w:w="1598" w:type="dxa"/>
            <w:gridSpan w:val="3"/>
            <w:noWrap w:val="0"/>
            <w:vAlign w:val="center"/>
          </w:tcPr>
          <w:p w14:paraId="38591864">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初级职称人员</w:t>
            </w:r>
          </w:p>
        </w:tc>
        <w:tc>
          <w:tcPr>
            <w:tcW w:w="1184" w:type="dxa"/>
            <w:noWrap w:val="0"/>
            <w:vAlign w:val="center"/>
          </w:tcPr>
          <w:p w14:paraId="0DFE04B0">
            <w:pPr>
              <w:pageBreakBefore w:val="0"/>
              <w:kinsoku/>
              <w:wordWrap/>
              <w:overflowPunct/>
              <w:topLinePunct/>
              <w:bidi w:val="0"/>
              <w:adjustRightInd w:val="0"/>
              <w:snapToGrid w:val="0"/>
              <w:jc w:val="center"/>
              <w:textAlignment w:val="auto"/>
              <w:rPr>
                <w:color w:val="auto"/>
                <w:highlight w:val="none"/>
              </w:rPr>
            </w:pPr>
          </w:p>
        </w:tc>
      </w:tr>
      <w:tr w14:paraId="22D5E3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804" w:hRule="atLeast"/>
          <w:jc w:val="center"/>
        </w:trPr>
        <w:tc>
          <w:tcPr>
            <w:tcW w:w="2057" w:type="dxa"/>
            <w:noWrap w:val="0"/>
            <w:vAlign w:val="center"/>
          </w:tcPr>
          <w:p w14:paraId="7ABACCF5">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r>
              <w:rPr>
                <w:rFonts w:hint="eastAsia" w:ascii="宋体" w:hAnsi="Times New Roman" w:eastAsia="宋体" w:cs="宋体"/>
                <w:color w:val="auto"/>
                <w:highlight w:val="none"/>
              </w:rPr>
              <w:t>基本账户银行账号</w:t>
            </w:r>
          </w:p>
        </w:tc>
        <w:tc>
          <w:tcPr>
            <w:tcW w:w="3551" w:type="dxa"/>
            <w:gridSpan w:val="4"/>
            <w:noWrap w:val="0"/>
            <w:vAlign w:val="center"/>
          </w:tcPr>
          <w:p w14:paraId="0B845712">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p>
        </w:tc>
        <w:tc>
          <w:tcPr>
            <w:tcW w:w="769" w:type="dxa"/>
            <w:vMerge w:val="continue"/>
            <w:noWrap w:val="0"/>
            <w:vAlign w:val="center"/>
          </w:tcPr>
          <w:p w14:paraId="374AB043">
            <w:pPr>
              <w:pageBreakBefore w:val="0"/>
              <w:kinsoku/>
              <w:wordWrap/>
              <w:overflowPunct/>
              <w:topLinePunct/>
              <w:bidi w:val="0"/>
              <w:adjustRightInd w:val="0"/>
              <w:snapToGrid w:val="0"/>
              <w:jc w:val="center"/>
              <w:textAlignment w:val="auto"/>
              <w:rPr>
                <w:color w:val="auto"/>
                <w:highlight w:val="none"/>
              </w:rPr>
            </w:pPr>
          </w:p>
        </w:tc>
        <w:tc>
          <w:tcPr>
            <w:tcW w:w="1598" w:type="dxa"/>
            <w:gridSpan w:val="3"/>
            <w:noWrap w:val="0"/>
            <w:vAlign w:val="center"/>
          </w:tcPr>
          <w:p w14:paraId="602F44C8">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技工</w:t>
            </w:r>
          </w:p>
        </w:tc>
        <w:tc>
          <w:tcPr>
            <w:tcW w:w="1184" w:type="dxa"/>
            <w:noWrap w:val="0"/>
            <w:vAlign w:val="center"/>
          </w:tcPr>
          <w:p w14:paraId="532A9C11">
            <w:pPr>
              <w:pageBreakBefore w:val="0"/>
              <w:kinsoku/>
              <w:wordWrap/>
              <w:overflowPunct/>
              <w:topLinePunct/>
              <w:bidi w:val="0"/>
              <w:adjustRightInd w:val="0"/>
              <w:snapToGrid w:val="0"/>
              <w:jc w:val="center"/>
              <w:textAlignment w:val="auto"/>
              <w:rPr>
                <w:color w:val="auto"/>
                <w:highlight w:val="none"/>
              </w:rPr>
            </w:pPr>
          </w:p>
        </w:tc>
      </w:tr>
      <w:tr w14:paraId="2BBAC7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82" w:hRule="atLeast"/>
          <w:jc w:val="center"/>
        </w:trPr>
        <w:tc>
          <w:tcPr>
            <w:tcW w:w="2057" w:type="dxa"/>
            <w:noWrap w:val="0"/>
            <w:vAlign w:val="center"/>
          </w:tcPr>
          <w:p w14:paraId="1FF4434C">
            <w:pPr>
              <w:pageBreakBefore w:val="0"/>
              <w:kinsoku/>
              <w:wordWrap/>
              <w:overflowPunct/>
              <w:topLinePunct/>
              <w:bidi w:val="0"/>
              <w:adjustRightInd w:val="0"/>
              <w:snapToGrid w:val="0"/>
              <w:ind w:firstLine="210" w:firstLineChars="100"/>
              <w:jc w:val="center"/>
              <w:textAlignment w:val="auto"/>
              <w:rPr>
                <w:color w:val="auto"/>
                <w:highlight w:val="none"/>
              </w:rPr>
            </w:pPr>
            <w:r>
              <w:rPr>
                <w:rFonts w:hint="eastAsia" w:cs="宋体"/>
                <w:color w:val="auto"/>
                <w:highlight w:val="none"/>
              </w:rPr>
              <w:t>经营范围</w:t>
            </w:r>
          </w:p>
        </w:tc>
        <w:tc>
          <w:tcPr>
            <w:tcW w:w="7102" w:type="dxa"/>
            <w:gridSpan w:val="9"/>
            <w:noWrap w:val="0"/>
            <w:vAlign w:val="center"/>
          </w:tcPr>
          <w:p w14:paraId="5C51D391">
            <w:pPr>
              <w:pageBreakBefore w:val="0"/>
              <w:kinsoku/>
              <w:wordWrap/>
              <w:overflowPunct/>
              <w:topLinePunct/>
              <w:bidi w:val="0"/>
              <w:adjustRightInd w:val="0"/>
              <w:snapToGrid w:val="0"/>
              <w:jc w:val="center"/>
              <w:textAlignment w:val="auto"/>
              <w:rPr>
                <w:color w:val="auto"/>
                <w:highlight w:val="none"/>
              </w:rPr>
            </w:pPr>
          </w:p>
        </w:tc>
      </w:tr>
      <w:tr w14:paraId="6D88F0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82" w:hRule="atLeast"/>
          <w:jc w:val="center"/>
        </w:trPr>
        <w:tc>
          <w:tcPr>
            <w:tcW w:w="2057" w:type="dxa"/>
            <w:noWrap w:val="0"/>
            <w:vAlign w:val="center"/>
          </w:tcPr>
          <w:p w14:paraId="2287959D">
            <w:pPr>
              <w:pageBreakBefore w:val="0"/>
              <w:kinsoku/>
              <w:wordWrap/>
              <w:overflowPunct/>
              <w:bidi w:val="0"/>
              <w:jc w:val="center"/>
              <w:textAlignment w:val="auto"/>
              <w:rPr>
                <w:rFonts w:cs="宋体"/>
                <w:color w:val="auto"/>
                <w:highlight w:val="none"/>
              </w:rPr>
            </w:pPr>
            <w:r>
              <w:rPr>
                <w:rFonts w:hint="eastAsia" w:hAnsi="宋体"/>
                <w:color w:val="auto"/>
                <w:highlight w:val="none"/>
                <w:lang w:val="en-US" w:eastAsia="zh-CN"/>
              </w:rPr>
              <w:t>供应商</w:t>
            </w:r>
            <w:r>
              <w:rPr>
                <w:rFonts w:hint="eastAsia" w:hAnsi="宋体"/>
                <w:color w:val="auto"/>
                <w:highlight w:val="none"/>
              </w:rPr>
              <w:t>关联企业情况（包括但不限于与</w:t>
            </w:r>
            <w:r>
              <w:rPr>
                <w:rFonts w:hint="eastAsia" w:hAnsi="宋体"/>
                <w:color w:val="auto"/>
                <w:highlight w:val="none"/>
                <w:lang w:val="en-US" w:eastAsia="zh-CN"/>
              </w:rPr>
              <w:t>供应商</w:t>
            </w:r>
            <w:r>
              <w:rPr>
                <w:rFonts w:hint="eastAsia" w:hAnsi="宋体"/>
                <w:color w:val="auto"/>
                <w:highlight w:val="none"/>
              </w:rPr>
              <w:t>法定代表人为同一人或者存在控股、管理关系的不同单位）</w:t>
            </w:r>
          </w:p>
        </w:tc>
        <w:tc>
          <w:tcPr>
            <w:tcW w:w="7102" w:type="dxa"/>
            <w:gridSpan w:val="9"/>
            <w:noWrap w:val="0"/>
            <w:vAlign w:val="center"/>
          </w:tcPr>
          <w:p w14:paraId="0CD3E24C">
            <w:pPr>
              <w:pageBreakBefore w:val="0"/>
              <w:kinsoku/>
              <w:wordWrap/>
              <w:overflowPunct/>
              <w:topLinePunct/>
              <w:bidi w:val="0"/>
              <w:adjustRightInd w:val="0"/>
              <w:snapToGrid w:val="0"/>
              <w:jc w:val="center"/>
              <w:textAlignment w:val="auto"/>
              <w:rPr>
                <w:color w:val="auto"/>
                <w:highlight w:val="none"/>
              </w:rPr>
            </w:pPr>
          </w:p>
        </w:tc>
      </w:tr>
      <w:tr w14:paraId="125663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08" w:hRule="atLeast"/>
          <w:jc w:val="center"/>
        </w:trPr>
        <w:tc>
          <w:tcPr>
            <w:tcW w:w="2057" w:type="dxa"/>
            <w:noWrap w:val="0"/>
            <w:vAlign w:val="center"/>
          </w:tcPr>
          <w:p w14:paraId="5036DCE7">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备注</w:t>
            </w:r>
          </w:p>
        </w:tc>
        <w:tc>
          <w:tcPr>
            <w:tcW w:w="7102" w:type="dxa"/>
            <w:gridSpan w:val="9"/>
            <w:noWrap w:val="0"/>
            <w:vAlign w:val="center"/>
          </w:tcPr>
          <w:p w14:paraId="15B22658">
            <w:pPr>
              <w:pageBreakBefore w:val="0"/>
              <w:kinsoku/>
              <w:wordWrap/>
              <w:overflowPunct/>
              <w:topLinePunct/>
              <w:bidi w:val="0"/>
              <w:adjustRightInd w:val="0"/>
              <w:snapToGrid w:val="0"/>
              <w:jc w:val="center"/>
              <w:textAlignment w:val="auto"/>
              <w:rPr>
                <w:color w:val="auto"/>
                <w:highlight w:val="none"/>
              </w:rPr>
            </w:pPr>
          </w:p>
        </w:tc>
      </w:tr>
    </w:tbl>
    <w:p w14:paraId="148165A3">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529044A5">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6EF9383C">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p>
    <w:p w14:paraId="03EA17ED">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636" w:name="_Toc1484480701"/>
      <w:bookmarkStart w:id="637" w:name="_Toc316681494"/>
      <w:bookmarkStart w:id="638" w:name="_Toc1474406403"/>
      <w:bookmarkStart w:id="639" w:name="_Toc300395660"/>
      <w:bookmarkStart w:id="640" w:name="_Toc401293757"/>
      <w:r>
        <w:rPr>
          <w:rStyle w:val="62"/>
          <w:rFonts w:hint="eastAsia" w:ascii="宋体" w:hAnsi="宋体" w:cs="宋体"/>
          <w:color w:val="auto"/>
          <w:sz w:val="30"/>
          <w:szCs w:val="30"/>
          <w:highlight w:val="none"/>
          <w:lang w:val="en-US" w:eastAsia="zh-CN"/>
        </w:rPr>
        <w:t>七</w:t>
      </w:r>
      <w:r>
        <w:rPr>
          <w:rStyle w:val="62"/>
          <w:rFonts w:hint="eastAsia" w:ascii="宋体" w:hAnsi="宋体" w:cs="宋体"/>
          <w:color w:val="auto"/>
          <w:sz w:val="30"/>
          <w:szCs w:val="30"/>
          <w:highlight w:val="none"/>
        </w:rPr>
        <w:t>、近年财务状况表</w:t>
      </w:r>
    </w:p>
    <w:bookmarkEnd w:id="636"/>
    <w:bookmarkEnd w:id="637"/>
    <w:bookmarkEnd w:id="638"/>
    <w:bookmarkEnd w:id="639"/>
    <w:bookmarkEnd w:id="640"/>
    <w:tbl>
      <w:tblPr>
        <w:tblStyle w:val="49"/>
        <w:tblW w:w="94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2318"/>
        <w:gridCol w:w="1668"/>
        <w:gridCol w:w="1810"/>
        <w:gridCol w:w="1811"/>
        <w:gridCol w:w="1811"/>
      </w:tblGrid>
      <w:tr w14:paraId="7CE5DF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0" w:hRule="atLeast"/>
          <w:jc w:val="center"/>
        </w:trPr>
        <w:tc>
          <w:tcPr>
            <w:tcW w:w="2318" w:type="dxa"/>
            <w:tcBorders>
              <w:top w:val="single" w:color="auto" w:sz="12" w:space="0"/>
            </w:tcBorders>
            <w:noWrap w:val="0"/>
            <w:tcMar>
              <w:top w:w="80" w:type="dxa"/>
              <w:left w:w="80" w:type="dxa"/>
              <w:bottom w:w="80" w:type="dxa"/>
              <w:right w:w="80" w:type="dxa"/>
            </w:tcMar>
            <w:vAlign w:val="center"/>
          </w:tcPr>
          <w:p w14:paraId="647C58D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项目或指标</w:t>
            </w:r>
          </w:p>
        </w:tc>
        <w:tc>
          <w:tcPr>
            <w:tcW w:w="1668" w:type="dxa"/>
            <w:tcBorders>
              <w:top w:val="single" w:color="auto" w:sz="12" w:space="0"/>
            </w:tcBorders>
            <w:noWrap w:val="0"/>
            <w:vAlign w:val="center"/>
          </w:tcPr>
          <w:p w14:paraId="33A9EE24">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单位</w:t>
            </w:r>
          </w:p>
        </w:tc>
        <w:tc>
          <w:tcPr>
            <w:tcW w:w="1810" w:type="dxa"/>
            <w:tcBorders>
              <w:top w:val="single" w:color="auto" w:sz="12" w:space="0"/>
            </w:tcBorders>
            <w:noWrap w:val="0"/>
            <w:vAlign w:val="center"/>
          </w:tcPr>
          <w:p w14:paraId="628D85C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olor w:val="auto"/>
                <w:kern w:val="0"/>
                <w:highlight w:val="none"/>
                <w:u w:val="single"/>
              </w:rPr>
              <w:t xml:space="preserve">      </w:t>
            </w:r>
            <w:r>
              <w:rPr>
                <w:rFonts w:hint="eastAsia" w:eastAsia="宋体" w:cs="宋体"/>
                <w:color w:val="auto"/>
                <w:kern w:val="0"/>
                <w:highlight w:val="none"/>
                <w:lang w:val="zh-TW" w:eastAsia="zh-TW"/>
              </w:rPr>
              <w:t>年</w:t>
            </w:r>
          </w:p>
        </w:tc>
        <w:tc>
          <w:tcPr>
            <w:tcW w:w="1811" w:type="dxa"/>
            <w:tcBorders>
              <w:top w:val="single" w:color="auto" w:sz="12" w:space="0"/>
            </w:tcBorders>
            <w:noWrap w:val="0"/>
            <w:vAlign w:val="center"/>
          </w:tcPr>
          <w:p w14:paraId="0214BD2D">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olor w:val="auto"/>
                <w:kern w:val="0"/>
                <w:highlight w:val="none"/>
                <w:u w:val="single"/>
              </w:rPr>
              <w:t xml:space="preserve">      </w:t>
            </w:r>
            <w:r>
              <w:rPr>
                <w:rFonts w:hint="eastAsia" w:eastAsia="宋体" w:cs="宋体"/>
                <w:color w:val="auto"/>
                <w:kern w:val="0"/>
                <w:highlight w:val="none"/>
                <w:lang w:val="zh-TW" w:eastAsia="zh-TW"/>
              </w:rPr>
              <w:t>年</w:t>
            </w:r>
          </w:p>
        </w:tc>
        <w:tc>
          <w:tcPr>
            <w:tcW w:w="1811" w:type="dxa"/>
            <w:tcBorders>
              <w:top w:val="single" w:color="auto" w:sz="12" w:space="0"/>
            </w:tcBorders>
            <w:noWrap w:val="0"/>
            <w:vAlign w:val="center"/>
          </w:tcPr>
          <w:p w14:paraId="0CC0FD80">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olor w:val="auto"/>
                <w:kern w:val="0"/>
                <w:highlight w:val="none"/>
                <w:u w:val="single"/>
              </w:rPr>
              <w:t xml:space="preserve">      </w:t>
            </w:r>
            <w:r>
              <w:rPr>
                <w:rFonts w:hint="eastAsia" w:eastAsia="宋体" w:cs="宋体"/>
                <w:color w:val="auto"/>
                <w:kern w:val="0"/>
                <w:highlight w:val="none"/>
                <w:lang w:val="zh-TW" w:eastAsia="zh-TW"/>
              </w:rPr>
              <w:t>年</w:t>
            </w:r>
          </w:p>
        </w:tc>
      </w:tr>
      <w:tr w14:paraId="2C58D3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3B34F6C1">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一、注册资金</w:t>
            </w:r>
          </w:p>
        </w:tc>
        <w:tc>
          <w:tcPr>
            <w:tcW w:w="1668" w:type="dxa"/>
            <w:noWrap w:val="0"/>
            <w:vAlign w:val="center"/>
          </w:tcPr>
          <w:p w14:paraId="7ADB88B7">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53B90F1A">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3B1C403">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9A0DBD0">
            <w:pPr>
              <w:pageBreakBefore w:val="0"/>
              <w:kinsoku/>
              <w:wordWrap/>
              <w:overflowPunct/>
              <w:bidi w:val="0"/>
              <w:adjustRightInd w:val="0"/>
              <w:snapToGrid w:val="0"/>
              <w:jc w:val="center"/>
              <w:textAlignment w:val="auto"/>
              <w:rPr>
                <w:color w:val="auto"/>
                <w:highlight w:val="none"/>
              </w:rPr>
            </w:pPr>
          </w:p>
        </w:tc>
      </w:tr>
      <w:tr w14:paraId="561883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4DA6EA8C">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二、净资产</w:t>
            </w:r>
          </w:p>
        </w:tc>
        <w:tc>
          <w:tcPr>
            <w:tcW w:w="1668" w:type="dxa"/>
            <w:noWrap w:val="0"/>
            <w:vAlign w:val="center"/>
          </w:tcPr>
          <w:p w14:paraId="3333DBD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4E7902E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CF622D0">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FB22703">
            <w:pPr>
              <w:pageBreakBefore w:val="0"/>
              <w:kinsoku/>
              <w:wordWrap/>
              <w:overflowPunct/>
              <w:bidi w:val="0"/>
              <w:adjustRightInd w:val="0"/>
              <w:snapToGrid w:val="0"/>
              <w:jc w:val="center"/>
              <w:textAlignment w:val="auto"/>
              <w:rPr>
                <w:color w:val="auto"/>
                <w:highlight w:val="none"/>
              </w:rPr>
            </w:pPr>
          </w:p>
        </w:tc>
      </w:tr>
      <w:tr w14:paraId="10C0C4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00043A47">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三、总资产</w:t>
            </w:r>
          </w:p>
        </w:tc>
        <w:tc>
          <w:tcPr>
            <w:tcW w:w="1668" w:type="dxa"/>
            <w:noWrap w:val="0"/>
            <w:vAlign w:val="center"/>
          </w:tcPr>
          <w:p w14:paraId="02354C02">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6722E390">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7A9C6C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92FE065">
            <w:pPr>
              <w:pageBreakBefore w:val="0"/>
              <w:kinsoku/>
              <w:wordWrap/>
              <w:overflowPunct/>
              <w:bidi w:val="0"/>
              <w:adjustRightInd w:val="0"/>
              <w:snapToGrid w:val="0"/>
              <w:jc w:val="center"/>
              <w:textAlignment w:val="auto"/>
              <w:rPr>
                <w:color w:val="auto"/>
                <w:highlight w:val="none"/>
              </w:rPr>
            </w:pPr>
          </w:p>
        </w:tc>
      </w:tr>
      <w:tr w14:paraId="1324B0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5A9E7760">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四、固定资产</w:t>
            </w:r>
          </w:p>
        </w:tc>
        <w:tc>
          <w:tcPr>
            <w:tcW w:w="1668" w:type="dxa"/>
            <w:noWrap w:val="0"/>
            <w:vAlign w:val="center"/>
          </w:tcPr>
          <w:p w14:paraId="107C960F">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B222A55">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68C4BE3">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C317CEC">
            <w:pPr>
              <w:pageBreakBefore w:val="0"/>
              <w:kinsoku/>
              <w:wordWrap/>
              <w:overflowPunct/>
              <w:bidi w:val="0"/>
              <w:adjustRightInd w:val="0"/>
              <w:snapToGrid w:val="0"/>
              <w:jc w:val="center"/>
              <w:textAlignment w:val="auto"/>
              <w:rPr>
                <w:color w:val="auto"/>
                <w:highlight w:val="none"/>
              </w:rPr>
            </w:pPr>
          </w:p>
        </w:tc>
      </w:tr>
      <w:tr w14:paraId="15B435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962904B">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五、流动资产</w:t>
            </w:r>
          </w:p>
        </w:tc>
        <w:tc>
          <w:tcPr>
            <w:tcW w:w="1668" w:type="dxa"/>
            <w:noWrap w:val="0"/>
            <w:vAlign w:val="center"/>
          </w:tcPr>
          <w:p w14:paraId="39E4176E">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A565A4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66017C1">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16430C7">
            <w:pPr>
              <w:pageBreakBefore w:val="0"/>
              <w:kinsoku/>
              <w:wordWrap/>
              <w:overflowPunct/>
              <w:bidi w:val="0"/>
              <w:adjustRightInd w:val="0"/>
              <w:snapToGrid w:val="0"/>
              <w:jc w:val="center"/>
              <w:textAlignment w:val="auto"/>
              <w:rPr>
                <w:color w:val="auto"/>
                <w:highlight w:val="none"/>
              </w:rPr>
            </w:pPr>
          </w:p>
        </w:tc>
      </w:tr>
      <w:tr w14:paraId="4DDB7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6D067B36">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六、流动负债</w:t>
            </w:r>
          </w:p>
        </w:tc>
        <w:tc>
          <w:tcPr>
            <w:tcW w:w="1668" w:type="dxa"/>
            <w:noWrap w:val="0"/>
            <w:vAlign w:val="center"/>
          </w:tcPr>
          <w:p w14:paraId="1F3359B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AE3DBA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7132926">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2D6B9AED">
            <w:pPr>
              <w:pageBreakBefore w:val="0"/>
              <w:kinsoku/>
              <w:wordWrap/>
              <w:overflowPunct/>
              <w:bidi w:val="0"/>
              <w:adjustRightInd w:val="0"/>
              <w:snapToGrid w:val="0"/>
              <w:jc w:val="center"/>
              <w:textAlignment w:val="auto"/>
              <w:rPr>
                <w:color w:val="auto"/>
                <w:highlight w:val="none"/>
              </w:rPr>
            </w:pPr>
          </w:p>
        </w:tc>
      </w:tr>
      <w:tr w14:paraId="7D9AC9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3D6E9ED">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七、负债合计</w:t>
            </w:r>
          </w:p>
        </w:tc>
        <w:tc>
          <w:tcPr>
            <w:tcW w:w="1668" w:type="dxa"/>
            <w:noWrap w:val="0"/>
            <w:vAlign w:val="center"/>
          </w:tcPr>
          <w:p w14:paraId="416634B6">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18B7613C">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7E46A9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93378C2">
            <w:pPr>
              <w:pageBreakBefore w:val="0"/>
              <w:kinsoku/>
              <w:wordWrap/>
              <w:overflowPunct/>
              <w:bidi w:val="0"/>
              <w:adjustRightInd w:val="0"/>
              <w:snapToGrid w:val="0"/>
              <w:jc w:val="center"/>
              <w:textAlignment w:val="auto"/>
              <w:rPr>
                <w:color w:val="auto"/>
                <w:highlight w:val="none"/>
              </w:rPr>
            </w:pPr>
          </w:p>
        </w:tc>
      </w:tr>
      <w:tr w14:paraId="4BCA9E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6091CDFB">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八、营业收入</w:t>
            </w:r>
          </w:p>
        </w:tc>
        <w:tc>
          <w:tcPr>
            <w:tcW w:w="1668" w:type="dxa"/>
            <w:noWrap w:val="0"/>
            <w:vAlign w:val="center"/>
          </w:tcPr>
          <w:p w14:paraId="4109FCED">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6BF9CEB">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527E71E">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1BB6D536">
            <w:pPr>
              <w:pageBreakBefore w:val="0"/>
              <w:kinsoku/>
              <w:wordWrap/>
              <w:overflowPunct/>
              <w:bidi w:val="0"/>
              <w:adjustRightInd w:val="0"/>
              <w:snapToGrid w:val="0"/>
              <w:jc w:val="center"/>
              <w:textAlignment w:val="auto"/>
              <w:rPr>
                <w:color w:val="auto"/>
                <w:highlight w:val="none"/>
              </w:rPr>
            </w:pPr>
          </w:p>
        </w:tc>
      </w:tr>
      <w:tr w14:paraId="78EF4F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3D95B865">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九、净利润</w:t>
            </w:r>
          </w:p>
        </w:tc>
        <w:tc>
          <w:tcPr>
            <w:tcW w:w="1668" w:type="dxa"/>
            <w:noWrap w:val="0"/>
            <w:vAlign w:val="center"/>
          </w:tcPr>
          <w:p w14:paraId="5D2EFBDE">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5969F8AC">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F83116C">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3E8E672">
            <w:pPr>
              <w:pageBreakBefore w:val="0"/>
              <w:kinsoku/>
              <w:wordWrap/>
              <w:overflowPunct/>
              <w:bidi w:val="0"/>
              <w:adjustRightInd w:val="0"/>
              <w:snapToGrid w:val="0"/>
              <w:jc w:val="center"/>
              <w:textAlignment w:val="auto"/>
              <w:rPr>
                <w:color w:val="auto"/>
                <w:highlight w:val="none"/>
              </w:rPr>
            </w:pPr>
          </w:p>
        </w:tc>
      </w:tr>
      <w:tr w14:paraId="07F80A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5BDAF20">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十、现金流量净额</w:t>
            </w:r>
          </w:p>
        </w:tc>
        <w:tc>
          <w:tcPr>
            <w:tcW w:w="1668" w:type="dxa"/>
            <w:noWrap w:val="0"/>
            <w:vAlign w:val="center"/>
          </w:tcPr>
          <w:p w14:paraId="0CBAC2EB">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B04270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C1C4D51">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24ACF28C">
            <w:pPr>
              <w:pageBreakBefore w:val="0"/>
              <w:kinsoku/>
              <w:wordWrap/>
              <w:overflowPunct/>
              <w:bidi w:val="0"/>
              <w:adjustRightInd w:val="0"/>
              <w:snapToGrid w:val="0"/>
              <w:jc w:val="center"/>
              <w:textAlignment w:val="auto"/>
              <w:rPr>
                <w:color w:val="auto"/>
                <w:highlight w:val="none"/>
              </w:rPr>
            </w:pPr>
          </w:p>
        </w:tc>
      </w:tr>
      <w:tr w14:paraId="20EB57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3186D8DD">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十一、主要财务指标</w:t>
            </w:r>
          </w:p>
        </w:tc>
        <w:tc>
          <w:tcPr>
            <w:tcW w:w="1668" w:type="dxa"/>
            <w:noWrap w:val="0"/>
            <w:vAlign w:val="center"/>
          </w:tcPr>
          <w:p w14:paraId="591E19CE">
            <w:pPr>
              <w:pageBreakBefore w:val="0"/>
              <w:kinsoku/>
              <w:wordWrap/>
              <w:overflowPunct/>
              <w:bidi w:val="0"/>
              <w:adjustRightInd w:val="0"/>
              <w:snapToGrid w:val="0"/>
              <w:jc w:val="center"/>
              <w:textAlignment w:val="auto"/>
              <w:rPr>
                <w:color w:val="auto"/>
                <w:highlight w:val="none"/>
              </w:rPr>
            </w:pPr>
          </w:p>
        </w:tc>
        <w:tc>
          <w:tcPr>
            <w:tcW w:w="1810" w:type="dxa"/>
            <w:noWrap w:val="0"/>
            <w:vAlign w:val="center"/>
          </w:tcPr>
          <w:p w14:paraId="04955489">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0036955">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16651D52">
            <w:pPr>
              <w:pageBreakBefore w:val="0"/>
              <w:kinsoku/>
              <w:wordWrap/>
              <w:overflowPunct/>
              <w:bidi w:val="0"/>
              <w:adjustRightInd w:val="0"/>
              <w:snapToGrid w:val="0"/>
              <w:jc w:val="center"/>
              <w:textAlignment w:val="auto"/>
              <w:rPr>
                <w:color w:val="auto"/>
                <w:highlight w:val="none"/>
              </w:rPr>
            </w:pPr>
          </w:p>
        </w:tc>
      </w:tr>
      <w:tr w14:paraId="0DAF9D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1E299317">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1</w:t>
            </w:r>
            <w:r>
              <w:rPr>
                <w:rFonts w:hint="eastAsia" w:eastAsia="宋体" w:cs="宋体"/>
                <w:color w:val="auto"/>
                <w:kern w:val="0"/>
                <w:highlight w:val="none"/>
                <w:lang w:val="zh-TW" w:eastAsia="zh-TW"/>
              </w:rPr>
              <w:t>．净资产收益率</w:t>
            </w:r>
          </w:p>
        </w:tc>
        <w:tc>
          <w:tcPr>
            <w:tcW w:w="1668" w:type="dxa"/>
            <w:noWrap w:val="0"/>
            <w:vAlign w:val="center"/>
          </w:tcPr>
          <w:p w14:paraId="5994ACE2">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42C277B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8375CB6">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42FC5B5">
            <w:pPr>
              <w:pageBreakBefore w:val="0"/>
              <w:kinsoku/>
              <w:wordWrap/>
              <w:overflowPunct/>
              <w:bidi w:val="0"/>
              <w:adjustRightInd w:val="0"/>
              <w:snapToGrid w:val="0"/>
              <w:jc w:val="center"/>
              <w:textAlignment w:val="auto"/>
              <w:rPr>
                <w:color w:val="auto"/>
                <w:highlight w:val="none"/>
              </w:rPr>
            </w:pPr>
          </w:p>
        </w:tc>
      </w:tr>
      <w:tr w14:paraId="6E1C0A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59C1029D">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2</w:t>
            </w:r>
            <w:r>
              <w:rPr>
                <w:rFonts w:hint="eastAsia" w:eastAsia="宋体" w:cs="宋体"/>
                <w:color w:val="auto"/>
                <w:kern w:val="0"/>
                <w:highlight w:val="none"/>
                <w:lang w:val="zh-TW" w:eastAsia="zh-TW"/>
              </w:rPr>
              <w:t>．总资产报酬率</w:t>
            </w:r>
          </w:p>
        </w:tc>
        <w:tc>
          <w:tcPr>
            <w:tcW w:w="1668" w:type="dxa"/>
            <w:noWrap w:val="0"/>
            <w:vAlign w:val="center"/>
          </w:tcPr>
          <w:p w14:paraId="1BB452C3">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4C312AF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704B0F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1F434ED">
            <w:pPr>
              <w:pageBreakBefore w:val="0"/>
              <w:kinsoku/>
              <w:wordWrap/>
              <w:overflowPunct/>
              <w:bidi w:val="0"/>
              <w:adjustRightInd w:val="0"/>
              <w:snapToGrid w:val="0"/>
              <w:jc w:val="center"/>
              <w:textAlignment w:val="auto"/>
              <w:rPr>
                <w:color w:val="auto"/>
                <w:highlight w:val="none"/>
              </w:rPr>
            </w:pPr>
          </w:p>
        </w:tc>
      </w:tr>
      <w:tr w14:paraId="3B8CBB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AB925E5">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3</w:t>
            </w:r>
            <w:r>
              <w:rPr>
                <w:rFonts w:hint="eastAsia" w:eastAsia="宋体" w:cs="宋体"/>
                <w:color w:val="auto"/>
                <w:kern w:val="0"/>
                <w:highlight w:val="none"/>
                <w:lang w:val="zh-TW" w:eastAsia="zh-TW"/>
              </w:rPr>
              <w:t>．主营业务利润率</w:t>
            </w:r>
          </w:p>
        </w:tc>
        <w:tc>
          <w:tcPr>
            <w:tcW w:w="1668" w:type="dxa"/>
            <w:noWrap w:val="0"/>
            <w:vAlign w:val="center"/>
          </w:tcPr>
          <w:p w14:paraId="4D05669A">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72CF3F5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A62DE01">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88CDEB5">
            <w:pPr>
              <w:pageBreakBefore w:val="0"/>
              <w:kinsoku/>
              <w:wordWrap/>
              <w:overflowPunct/>
              <w:bidi w:val="0"/>
              <w:adjustRightInd w:val="0"/>
              <w:snapToGrid w:val="0"/>
              <w:jc w:val="center"/>
              <w:textAlignment w:val="auto"/>
              <w:rPr>
                <w:color w:val="auto"/>
                <w:highlight w:val="none"/>
              </w:rPr>
            </w:pPr>
          </w:p>
        </w:tc>
      </w:tr>
      <w:tr w14:paraId="008DE0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BDBE185">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4</w:t>
            </w:r>
            <w:r>
              <w:rPr>
                <w:rFonts w:hint="eastAsia" w:eastAsia="宋体" w:cs="宋体"/>
                <w:color w:val="auto"/>
                <w:kern w:val="0"/>
                <w:highlight w:val="none"/>
                <w:lang w:val="zh-TW" w:eastAsia="zh-TW"/>
              </w:rPr>
              <w:t>．资产负债率</w:t>
            </w:r>
          </w:p>
        </w:tc>
        <w:tc>
          <w:tcPr>
            <w:tcW w:w="1668" w:type="dxa"/>
            <w:noWrap w:val="0"/>
            <w:vAlign w:val="center"/>
          </w:tcPr>
          <w:p w14:paraId="59E53D9A">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2A6904B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04BC246">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94AB477">
            <w:pPr>
              <w:pageBreakBefore w:val="0"/>
              <w:kinsoku/>
              <w:wordWrap/>
              <w:overflowPunct/>
              <w:bidi w:val="0"/>
              <w:adjustRightInd w:val="0"/>
              <w:snapToGrid w:val="0"/>
              <w:jc w:val="center"/>
              <w:textAlignment w:val="auto"/>
              <w:rPr>
                <w:color w:val="auto"/>
                <w:highlight w:val="none"/>
              </w:rPr>
            </w:pPr>
          </w:p>
        </w:tc>
      </w:tr>
      <w:tr w14:paraId="118D9B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0D68689E">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5</w:t>
            </w:r>
            <w:r>
              <w:rPr>
                <w:rFonts w:hint="eastAsia" w:eastAsia="宋体" w:cs="宋体"/>
                <w:color w:val="auto"/>
                <w:kern w:val="0"/>
                <w:highlight w:val="none"/>
                <w:lang w:val="zh-TW" w:eastAsia="zh-TW"/>
              </w:rPr>
              <w:t>．流动比率</w:t>
            </w:r>
          </w:p>
        </w:tc>
        <w:tc>
          <w:tcPr>
            <w:tcW w:w="1668" w:type="dxa"/>
            <w:noWrap w:val="0"/>
            <w:vAlign w:val="center"/>
          </w:tcPr>
          <w:p w14:paraId="5D74C731">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683F8AA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2AB8A5E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C07E6CE">
            <w:pPr>
              <w:pageBreakBefore w:val="0"/>
              <w:kinsoku/>
              <w:wordWrap/>
              <w:overflowPunct/>
              <w:bidi w:val="0"/>
              <w:adjustRightInd w:val="0"/>
              <w:snapToGrid w:val="0"/>
              <w:jc w:val="center"/>
              <w:textAlignment w:val="auto"/>
              <w:rPr>
                <w:color w:val="auto"/>
                <w:highlight w:val="none"/>
              </w:rPr>
            </w:pPr>
          </w:p>
        </w:tc>
      </w:tr>
      <w:tr w14:paraId="67F2F1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tcBorders>
              <w:bottom w:val="single" w:color="auto" w:sz="12" w:space="0"/>
            </w:tcBorders>
            <w:noWrap w:val="0"/>
            <w:tcMar>
              <w:top w:w="80" w:type="dxa"/>
              <w:left w:w="80" w:type="dxa"/>
              <w:bottom w:w="80" w:type="dxa"/>
              <w:right w:w="80" w:type="dxa"/>
            </w:tcMar>
            <w:vAlign w:val="center"/>
          </w:tcPr>
          <w:p w14:paraId="7DB1BF0B">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6</w:t>
            </w:r>
            <w:r>
              <w:rPr>
                <w:rFonts w:hint="eastAsia" w:eastAsia="宋体" w:cs="宋体"/>
                <w:color w:val="auto"/>
                <w:kern w:val="0"/>
                <w:highlight w:val="none"/>
                <w:lang w:val="zh-TW" w:eastAsia="zh-TW"/>
              </w:rPr>
              <w:t>．速动比率</w:t>
            </w:r>
          </w:p>
        </w:tc>
        <w:tc>
          <w:tcPr>
            <w:tcW w:w="1668" w:type="dxa"/>
            <w:tcBorders>
              <w:bottom w:val="single" w:color="auto" w:sz="12" w:space="0"/>
            </w:tcBorders>
            <w:noWrap w:val="0"/>
            <w:vAlign w:val="center"/>
          </w:tcPr>
          <w:p w14:paraId="74DED63D">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tcBorders>
              <w:bottom w:val="single" w:color="auto" w:sz="12" w:space="0"/>
            </w:tcBorders>
            <w:noWrap w:val="0"/>
            <w:vAlign w:val="center"/>
          </w:tcPr>
          <w:p w14:paraId="0E58DCD5">
            <w:pPr>
              <w:pageBreakBefore w:val="0"/>
              <w:kinsoku/>
              <w:wordWrap/>
              <w:overflowPunct/>
              <w:bidi w:val="0"/>
              <w:adjustRightInd w:val="0"/>
              <w:snapToGrid w:val="0"/>
              <w:jc w:val="center"/>
              <w:textAlignment w:val="auto"/>
              <w:rPr>
                <w:color w:val="auto"/>
                <w:highlight w:val="none"/>
              </w:rPr>
            </w:pPr>
          </w:p>
        </w:tc>
        <w:tc>
          <w:tcPr>
            <w:tcW w:w="1811" w:type="dxa"/>
            <w:tcBorders>
              <w:bottom w:val="single" w:color="auto" w:sz="12" w:space="0"/>
            </w:tcBorders>
            <w:noWrap w:val="0"/>
            <w:vAlign w:val="center"/>
          </w:tcPr>
          <w:p w14:paraId="4702679D">
            <w:pPr>
              <w:pageBreakBefore w:val="0"/>
              <w:kinsoku/>
              <w:wordWrap/>
              <w:overflowPunct/>
              <w:bidi w:val="0"/>
              <w:adjustRightInd w:val="0"/>
              <w:snapToGrid w:val="0"/>
              <w:jc w:val="center"/>
              <w:textAlignment w:val="auto"/>
              <w:rPr>
                <w:color w:val="auto"/>
                <w:highlight w:val="none"/>
              </w:rPr>
            </w:pPr>
          </w:p>
        </w:tc>
        <w:tc>
          <w:tcPr>
            <w:tcW w:w="1811" w:type="dxa"/>
            <w:tcBorders>
              <w:bottom w:val="single" w:color="auto" w:sz="12" w:space="0"/>
            </w:tcBorders>
            <w:noWrap w:val="0"/>
            <w:vAlign w:val="center"/>
          </w:tcPr>
          <w:p w14:paraId="16F7915C">
            <w:pPr>
              <w:pageBreakBefore w:val="0"/>
              <w:kinsoku/>
              <w:wordWrap/>
              <w:overflowPunct/>
              <w:bidi w:val="0"/>
              <w:adjustRightInd w:val="0"/>
              <w:snapToGrid w:val="0"/>
              <w:jc w:val="center"/>
              <w:textAlignment w:val="auto"/>
              <w:rPr>
                <w:color w:val="auto"/>
                <w:highlight w:val="none"/>
              </w:rPr>
            </w:pPr>
          </w:p>
        </w:tc>
      </w:tr>
    </w:tbl>
    <w:p w14:paraId="64ADB935">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lang w:val="zh-TW"/>
        </w:rPr>
      </w:pPr>
    </w:p>
    <w:p w14:paraId="64900A16">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2E88965A">
      <w:pPr>
        <w:pStyle w:val="23"/>
        <w:rPr>
          <w:rFonts w:hint="eastAsia" w:ascii="宋体" w:hAnsi="宋体" w:eastAsia="宋体" w:cs="宋体"/>
          <w:color w:val="auto"/>
          <w:sz w:val="24"/>
          <w:szCs w:val="24"/>
          <w:highlight w:val="none"/>
        </w:rPr>
      </w:pPr>
    </w:p>
    <w:p w14:paraId="41D01A79">
      <w:pPr>
        <w:rPr>
          <w:rFonts w:hint="eastAsia" w:ascii="宋体" w:hAnsi="宋体" w:eastAsia="宋体" w:cs="宋体"/>
          <w:color w:val="auto"/>
          <w:sz w:val="24"/>
          <w:szCs w:val="24"/>
          <w:highlight w:val="none"/>
        </w:rPr>
      </w:pPr>
    </w:p>
    <w:p w14:paraId="329D4ACF">
      <w:pPr>
        <w:pStyle w:val="23"/>
        <w:rPr>
          <w:rFonts w:hint="eastAsia"/>
          <w:highlight w:val="none"/>
        </w:rPr>
      </w:pPr>
    </w:p>
    <w:p w14:paraId="1104FBDE">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348AF043">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14:paraId="574A37A4">
      <w:pPr>
        <w:pStyle w:val="5"/>
        <w:pageBreakBefore w:val="0"/>
        <w:widowControl w:val="0"/>
        <w:kinsoku/>
        <w:wordWrap/>
        <w:overflowPunct/>
        <w:topLinePunct w:val="0"/>
        <w:bidi w:val="0"/>
        <w:snapToGrid/>
        <w:ind w:firstLine="0" w:firstLineChars="0"/>
        <w:textAlignment w:val="auto"/>
        <w:rPr>
          <w:rFonts w:hint="eastAsia" w:ascii="宋体" w:hAnsi="宋体" w:eastAsia="宋体" w:cs="宋体"/>
          <w:color w:val="auto"/>
          <w:highlight w:val="none"/>
          <w:lang w:val="en-US" w:eastAsia="zh-CN"/>
        </w:rPr>
      </w:pPr>
      <w:bookmarkStart w:id="641" w:name="_Toc14353"/>
      <w:bookmarkStart w:id="642" w:name="_Toc589"/>
      <w:bookmarkStart w:id="643" w:name="_Toc110"/>
      <w:bookmarkStart w:id="644" w:name="_Toc14766"/>
      <w:bookmarkStart w:id="645" w:name="_Toc1601440728"/>
      <w:bookmarkStart w:id="646" w:name="_Toc21926"/>
      <w:bookmarkStart w:id="647" w:name="_Toc55229805"/>
      <w:bookmarkStart w:id="648" w:name="_Toc16543"/>
      <w:bookmarkStart w:id="649" w:name="_Toc1028"/>
      <w:bookmarkStart w:id="650" w:name="_Toc21569"/>
      <w:bookmarkStart w:id="651" w:name="_Toc29791"/>
      <w:bookmarkStart w:id="652" w:name="_Toc435803795"/>
      <w:bookmarkStart w:id="653" w:name="_Toc1928992858"/>
      <w:bookmarkStart w:id="654" w:name="_Toc706"/>
      <w:bookmarkStart w:id="655" w:name="_Toc439554169"/>
      <w:bookmarkStart w:id="656" w:name="_Toc7766964"/>
      <w:bookmarkStart w:id="657" w:name="_Toc55303763"/>
      <w:bookmarkStart w:id="658" w:name="_Toc1023296642"/>
      <w:bookmarkStart w:id="659" w:name="_Toc440110299"/>
      <w:bookmarkStart w:id="660" w:name="_Toc20967"/>
      <w:bookmarkStart w:id="661" w:name="_Toc55310076"/>
      <w:bookmarkStart w:id="662" w:name="_Toc2069925597"/>
      <w:r>
        <w:rPr>
          <w:rFonts w:hint="eastAsia" w:eastAsia="宋体" w:cs="宋体"/>
          <w:color w:val="auto"/>
          <w:sz w:val="32"/>
          <w:szCs w:val="32"/>
          <w:highlight w:val="none"/>
          <w:lang w:val="en-US" w:eastAsia="zh-CN"/>
        </w:rPr>
        <w:t>八</w:t>
      </w:r>
      <w:r>
        <w:rPr>
          <w:rFonts w:hint="eastAsia" w:eastAsia="宋体" w:cs="宋体"/>
          <w:color w:val="auto"/>
          <w:highlight w:val="none"/>
          <w:lang w:val="en-US" w:eastAsia="zh-CN"/>
        </w:rPr>
        <w:t>、</w:t>
      </w:r>
      <w:r>
        <w:rPr>
          <w:rFonts w:hint="eastAsia" w:ascii="宋体" w:hAnsi="宋体" w:eastAsia="宋体" w:cs="宋体"/>
          <w:color w:val="auto"/>
          <w:highlight w:val="none"/>
          <w:lang w:val="en-US" w:eastAsia="zh-CN"/>
        </w:rPr>
        <w:t>近年承担的类似项目情况表</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tbl>
      <w:tblPr>
        <w:tblStyle w:val="49"/>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4CCF27D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4CC8C0C">
            <w:pPr>
              <w:pStyle w:val="2"/>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110BE29B">
            <w:pPr>
              <w:pStyle w:val="2"/>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0FC07624">
            <w:pPr>
              <w:pStyle w:val="2"/>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项目名称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4163C6DC">
            <w:pPr>
              <w:pStyle w:val="2"/>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53D1BC77">
            <w:pPr>
              <w:pStyle w:val="2"/>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6DA7DAE8">
            <w:pPr>
              <w:pStyle w:val="2"/>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7FEBDE2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C983D24">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C5A0B1E">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A2B887B">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252547C">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F91F51C">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16F57A9">
            <w:pPr>
              <w:pStyle w:val="2"/>
              <w:spacing w:line="360" w:lineRule="auto"/>
              <w:jc w:val="center"/>
              <w:rPr>
                <w:rFonts w:hint="eastAsia" w:ascii="宋体" w:hAnsi="宋体" w:eastAsia="宋体" w:cs="宋体"/>
                <w:szCs w:val="21"/>
                <w:highlight w:val="none"/>
              </w:rPr>
            </w:pPr>
          </w:p>
        </w:tc>
      </w:tr>
      <w:tr w14:paraId="37D7E27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C4E2640">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0597B29">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5BA0A14A">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2818BD1">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665E913">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9DA2159">
            <w:pPr>
              <w:pStyle w:val="2"/>
              <w:spacing w:line="360" w:lineRule="auto"/>
              <w:jc w:val="center"/>
              <w:rPr>
                <w:rFonts w:hint="eastAsia" w:ascii="宋体" w:hAnsi="宋体" w:eastAsia="宋体" w:cs="宋体"/>
                <w:szCs w:val="21"/>
                <w:highlight w:val="none"/>
              </w:rPr>
            </w:pPr>
          </w:p>
        </w:tc>
      </w:tr>
      <w:tr w14:paraId="11D6E66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C4BE0EC">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9C3C339">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DA3CFDC">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8FA0FD1">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983A4AA">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6FE9814">
            <w:pPr>
              <w:pStyle w:val="2"/>
              <w:spacing w:line="360" w:lineRule="auto"/>
              <w:jc w:val="center"/>
              <w:rPr>
                <w:rFonts w:hint="eastAsia" w:ascii="宋体" w:hAnsi="宋体" w:eastAsia="宋体" w:cs="宋体"/>
                <w:szCs w:val="21"/>
                <w:highlight w:val="none"/>
              </w:rPr>
            </w:pPr>
          </w:p>
        </w:tc>
      </w:tr>
      <w:tr w14:paraId="2388244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38F0025">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6D2517E">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EADFBF5">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89DFFE6">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8FBCF36">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BCA7EED">
            <w:pPr>
              <w:pStyle w:val="2"/>
              <w:spacing w:line="360" w:lineRule="auto"/>
              <w:jc w:val="center"/>
              <w:rPr>
                <w:rFonts w:hint="eastAsia" w:ascii="宋体" w:hAnsi="宋体" w:eastAsia="宋体" w:cs="宋体"/>
                <w:szCs w:val="21"/>
                <w:highlight w:val="none"/>
              </w:rPr>
            </w:pPr>
          </w:p>
        </w:tc>
      </w:tr>
      <w:tr w14:paraId="6190BB0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64E7FD9">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B6745F9">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F5005B0">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2B9B992">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70F01E5">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1B84045">
            <w:pPr>
              <w:pStyle w:val="2"/>
              <w:spacing w:line="360" w:lineRule="auto"/>
              <w:jc w:val="center"/>
              <w:rPr>
                <w:rFonts w:hint="eastAsia" w:ascii="宋体" w:hAnsi="宋体" w:eastAsia="宋体" w:cs="宋体"/>
                <w:szCs w:val="21"/>
                <w:highlight w:val="none"/>
              </w:rPr>
            </w:pPr>
          </w:p>
        </w:tc>
      </w:tr>
      <w:tr w14:paraId="73A6DC3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EDDAD8B">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FE79474">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461ECDE">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8787A20">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54033E7">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0889C53">
            <w:pPr>
              <w:pStyle w:val="2"/>
              <w:spacing w:line="360" w:lineRule="auto"/>
              <w:jc w:val="center"/>
              <w:rPr>
                <w:rFonts w:hint="eastAsia" w:ascii="宋体" w:hAnsi="宋体" w:eastAsia="宋体" w:cs="宋体"/>
                <w:szCs w:val="21"/>
                <w:highlight w:val="none"/>
              </w:rPr>
            </w:pPr>
          </w:p>
        </w:tc>
      </w:tr>
      <w:tr w14:paraId="3CB24FF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005A2A2">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91A7249">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51B029B">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38CD0BA">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4F67C91">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CD648AD">
            <w:pPr>
              <w:pStyle w:val="2"/>
              <w:spacing w:line="360" w:lineRule="auto"/>
              <w:jc w:val="center"/>
              <w:rPr>
                <w:rFonts w:hint="eastAsia" w:ascii="宋体" w:hAnsi="宋体" w:eastAsia="宋体" w:cs="宋体"/>
                <w:szCs w:val="21"/>
                <w:highlight w:val="none"/>
              </w:rPr>
            </w:pPr>
          </w:p>
        </w:tc>
      </w:tr>
      <w:tr w14:paraId="7925F4E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A00146F">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0884F59">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890D252">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A570614">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7D02D09">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28B6C65">
            <w:pPr>
              <w:pStyle w:val="2"/>
              <w:spacing w:line="360" w:lineRule="auto"/>
              <w:jc w:val="center"/>
              <w:rPr>
                <w:rFonts w:hint="eastAsia" w:ascii="宋体" w:hAnsi="宋体" w:eastAsia="宋体" w:cs="宋体"/>
                <w:szCs w:val="21"/>
                <w:highlight w:val="none"/>
              </w:rPr>
            </w:pPr>
          </w:p>
        </w:tc>
      </w:tr>
      <w:tr w14:paraId="2DFCC6B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D4B3F9C">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B953E83">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6D3AB78">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AB93C3C">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B9DDC0E">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B43995B">
            <w:pPr>
              <w:pStyle w:val="2"/>
              <w:spacing w:line="360" w:lineRule="auto"/>
              <w:jc w:val="center"/>
              <w:rPr>
                <w:rFonts w:hint="eastAsia" w:ascii="宋体" w:hAnsi="宋体" w:eastAsia="宋体" w:cs="宋体"/>
                <w:szCs w:val="21"/>
                <w:highlight w:val="none"/>
              </w:rPr>
            </w:pPr>
          </w:p>
        </w:tc>
      </w:tr>
    </w:tbl>
    <w:p w14:paraId="6815AD6E">
      <w:pPr>
        <w:autoSpaceDE w:val="0"/>
        <w:autoSpaceDN w:val="0"/>
        <w:adjustRightInd w:val="0"/>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说明：</w:t>
      </w:r>
    </w:p>
    <w:p w14:paraId="52A2A713">
      <w:pPr>
        <w:tabs>
          <w:tab w:val="left" w:pos="400"/>
        </w:tabs>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1．供应商应如实将类似项目的情况填入本表中；</w:t>
      </w:r>
    </w:p>
    <w:p w14:paraId="69D4797B">
      <w:pPr>
        <w:tabs>
          <w:tab w:val="left" w:pos="400"/>
        </w:tabs>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2．供应商应附业绩证明材料：合同买卖双方盖章页、合同签订时间和业绩要求中的关键信息页，如提供的业绩证明材料不能清晰分辨上述业绩要求内容，按无效业绩处理）</w:t>
      </w:r>
    </w:p>
    <w:p w14:paraId="61BBE60F">
      <w:pPr>
        <w:tabs>
          <w:tab w:val="left" w:pos="400"/>
        </w:tabs>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3．供应商所提供的各种证明材料，应如实反映类似项目的情况。</w:t>
      </w:r>
    </w:p>
    <w:p w14:paraId="4681BEF8">
      <w:pPr>
        <w:spacing w:line="360" w:lineRule="auto"/>
        <w:jc w:val="center"/>
        <w:outlineLvl w:val="9"/>
        <w:rPr>
          <w:rFonts w:hint="eastAsia" w:ascii="宋体" w:hAnsi="宋体" w:eastAsia="宋体" w:cs="宋体"/>
          <w:b/>
          <w:color w:val="auto"/>
          <w:sz w:val="24"/>
          <w:szCs w:val="24"/>
          <w:highlight w:val="none"/>
        </w:rPr>
      </w:pPr>
    </w:p>
    <w:p w14:paraId="53EEEDC4">
      <w:pPr>
        <w:autoSpaceDE w:val="0"/>
        <w:autoSpaceDN w:val="0"/>
        <w:adjustRightInd w:val="0"/>
        <w:spacing w:line="360" w:lineRule="auto"/>
        <w:ind w:firstLine="240" w:firstLineChars="10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供应商（单位公章）：</w:t>
      </w:r>
      <w:r>
        <w:rPr>
          <w:rFonts w:hint="eastAsia" w:ascii="宋体" w:hAnsi="宋体" w:eastAsia="宋体" w:cs="宋体"/>
          <w:color w:val="auto"/>
          <w:kern w:val="0"/>
          <w:sz w:val="24"/>
          <w:szCs w:val="24"/>
          <w:highlight w:val="none"/>
          <w:u w:val="single"/>
          <w:lang w:val="en-US" w:eastAsia="zh-CN"/>
        </w:rPr>
        <w:t xml:space="preserve">                           </w:t>
      </w:r>
    </w:p>
    <w:p w14:paraId="4AC58591">
      <w:pPr>
        <w:autoSpaceDE w:val="0"/>
        <w:autoSpaceDN w:val="0"/>
        <w:adjustRightInd w:val="0"/>
        <w:spacing w:line="360" w:lineRule="auto"/>
        <w:jc w:val="left"/>
        <w:rPr>
          <w:rFonts w:hint="eastAsia" w:ascii="宋体" w:hAnsi="宋体" w:eastAsia="宋体" w:cs="宋体"/>
          <w:color w:val="auto"/>
          <w:kern w:val="0"/>
          <w:sz w:val="24"/>
          <w:szCs w:val="24"/>
          <w:highlight w:val="none"/>
        </w:rPr>
      </w:pPr>
    </w:p>
    <w:p w14:paraId="1D4F6A81">
      <w:pPr>
        <w:autoSpaceDE w:val="0"/>
        <w:autoSpaceDN w:val="0"/>
        <w:adjustRightInd w:val="0"/>
        <w:spacing w:line="360" w:lineRule="auto"/>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法定代表人或委托代理人（签字或</w:t>
      </w:r>
      <w:r>
        <w:rPr>
          <w:rFonts w:hint="eastAsia" w:ascii="宋体" w:hAnsi="宋体" w:eastAsia="宋体" w:cs="宋体"/>
          <w:color w:val="auto"/>
          <w:kern w:val="0"/>
          <w:sz w:val="24"/>
          <w:szCs w:val="24"/>
          <w:highlight w:val="none"/>
          <w:lang w:val="en-US" w:eastAsia="zh-CN"/>
        </w:rPr>
        <w:t>签章</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638480BF">
      <w:pPr>
        <w:autoSpaceDE w:val="0"/>
        <w:autoSpaceDN w:val="0"/>
        <w:adjustRightInd w:val="0"/>
        <w:spacing w:line="360" w:lineRule="auto"/>
        <w:jc w:val="left"/>
        <w:rPr>
          <w:rFonts w:hint="eastAsia" w:ascii="宋体" w:hAnsi="宋体" w:eastAsia="宋体" w:cs="宋体"/>
          <w:color w:val="auto"/>
          <w:kern w:val="0"/>
          <w:sz w:val="24"/>
          <w:szCs w:val="24"/>
          <w:highlight w:val="none"/>
        </w:rPr>
      </w:pPr>
    </w:p>
    <w:p w14:paraId="61B5B6DD">
      <w:pPr>
        <w:autoSpaceDE w:val="0"/>
        <w:autoSpaceDN w:val="0"/>
        <w:adjustRightInd w:val="0"/>
        <w:spacing w:line="36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年    月    日</w:t>
      </w:r>
    </w:p>
    <w:p w14:paraId="0EF7AB74">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r>
        <w:rPr>
          <w:rFonts w:hint="eastAsia" w:ascii="宋体" w:hAnsi="宋体" w:eastAsia="宋体" w:cs="宋体"/>
          <w:color w:val="auto"/>
          <w:szCs w:val="21"/>
          <w:highlight w:val="none"/>
        </w:rPr>
        <w:br w:type="page"/>
      </w:r>
      <w:bookmarkStart w:id="663" w:name="_Toc4272"/>
      <w:bookmarkStart w:id="664" w:name="_Toc1917717608"/>
      <w:bookmarkStart w:id="665" w:name="_Toc944773606"/>
      <w:bookmarkStart w:id="666" w:name="_Toc2053996561"/>
      <w:bookmarkStart w:id="667" w:name="_Toc2060871417"/>
      <w:bookmarkStart w:id="668" w:name="_Toc949194118"/>
      <w:r>
        <w:rPr>
          <w:rStyle w:val="62"/>
          <w:rFonts w:hint="eastAsia" w:ascii="宋体" w:hAnsi="宋体" w:cs="宋体"/>
          <w:color w:val="auto"/>
          <w:sz w:val="30"/>
          <w:szCs w:val="30"/>
          <w:highlight w:val="none"/>
          <w:lang w:val="en-US" w:eastAsia="zh-CN"/>
        </w:rPr>
        <w:t>九</w:t>
      </w:r>
      <w:r>
        <w:rPr>
          <w:rStyle w:val="62"/>
          <w:rFonts w:hint="eastAsia" w:ascii="宋体" w:hAnsi="宋体" w:cs="宋体"/>
          <w:color w:val="auto"/>
          <w:sz w:val="30"/>
          <w:szCs w:val="30"/>
          <w:highlight w:val="none"/>
        </w:rPr>
        <w:t>、拟投入项目人员配备表</w:t>
      </w:r>
      <w:bookmarkEnd w:id="663"/>
    </w:p>
    <w:bookmarkEnd w:id="664"/>
    <w:bookmarkEnd w:id="665"/>
    <w:bookmarkEnd w:id="666"/>
    <w:bookmarkEnd w:id="667"/>
    <w:bookmarkEnd w:id="668"/>
    <w:p w14:paraId="729BB238">
      <w:pPr>
        <w:pageBreakBefore w:val="0"/>
        <w:tabs>
          <w:tab w:val="left" w:pos="1141"/>
        </w:tabs>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项目名称：</w:t>
      </w:r>
      <w:r>
        <w:rPr>
          <w:rFonts w:hint="eastAsia" w:ascii="宋体" w:hAnsi="宋体" w:cs="宋体"/>
          <w:color w:val="auto"/>
          <w:highlight w:val="none"/>
          <w:u w:val="single"/>
        </w:rPr>
        <w:t xml:space="preserve">      </w:t>
      </w:r>
      <w:r>
        <w:rPr>
          <w:rFonts w:hint="eastAsia" w:ascii="宋体" w:hAnsi="宋体" w:cs="宋体"/>
          <w:color w:val="auto"/>
          <w:highlight w:val="none"/>
        </w:rPr>
        <w:t>（项目名称）</w:t>
      </w:r>
    </w:p>
    <w:tbl>
      <w:tblPr>
        <w:tblStyle w:val="49"/>
        <w:tblW w:w="9017" w:type="dxa"/>
        <w:tblInd w:w="-237"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79"/>
        <w:gridCol w:w="1233"/>
        <w:gridCol w:w="1150"/>
        <w:gridCol w:w="867"/>
        <w:gridCol w:w="700"/>
        <w:gridCol w:w="1188"/>
        <w:gridCol w:w="883"/>
        <w:gridCol w:w="1117"/>
        <w:gridCol w:w="1000"/>
      </w:tblGrid>
      <w:tr w14:paraId="2BB514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42" w:hRule="exact"/>
        </w:trPr>
        <w:tc>
          <w:tcPr>
            <w:tcW w:w="879" w:type="dxa"/>
            <w:vMerge w:val="restart"/>
            <w:noWrap w:val="0"/>
            <w:vAlign w:val="center"/>
          </w:tcPr>
          <w:p w14:paraId="7DE33C4F">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序号</w:t>
            </w:r>
          </w:p>
        </w:tc>
        <w:tc>
          <w:tcPr>
            <w:tcW w:w="1233" w:type="dxa"/>
            <w:vMerge w:val="restart"/>
            <w:noWrap w:val="0"/>
            <w:vAlign w:val="center"/>
          </w:tcPr>
          <w:p w14:paraId="7BE1A2CE">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本项</w:t>
            </w:r>
            <w:r>
              <w:rPr>
                <w:rFonts w:hAnsi="宋体"/>
                <w:color w:val="auto"/>
                <w:spacing w:val="-2"/>
                <w:highlight w:val="none"/>
              </w:rPr>
              <w:t>目</w:t>
            </w:r>
            <w:r>
              <w:rPr>
                <w:rFonts w:hAnsi="宋体"/>
                <w:color w:val="auto"/>
                <w:highlight w:val="none"/>
              </w:rPr>
              <w:t>任职</w:t>
            </w:r>
          </w:p>
        </w:tc>
        <w:tc>
          <w:tcPr>
            <w:tcW w:w="1150" w:type="dxa"/>
            <w:vMerge w:val="restart"/>
            <w:noWrap w:val="0"/>
            <w:vAlign w:val="center"/>
          </w:tcPr>
          <w:p w14:paraId="7EE41C23">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姓名</w:t>
            </w:r>
          </w:p>
        </w:tc>
        <w:tc>
          <w:tcPr>
            <w:tcW w:w="867" w:type="dxa"/>
            <w:vMerge w:val="restart"/>
            <w:noWrap w:val="0"/>
            <w:vAlign w:val="center"/>
          </w:tcPr>
          <w:p w14:paraId="1C14C59A">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职称</w:t>
            </w:r>
          </w:p>
        </w:tc>
        <w:tc>
          <w:tcPr>
            <w:tcW w:w="700" w:type="dxa"/>
            <w:vMerge w:val="restart"/>
            <w:noWrap w:val="0"/>
            <w:vAlign w:val="center"/>
          </w:tcPr>
          <w:p w14:paraId="67A28215">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专业</w:t>
            </w:r>
          </w:p>
        </w:tc>
        <w:tc>
          <w:tcPr>
            <w:tcW w:w="3188" w:type="dxa"/>
            <w:gridSpan w:val="3"/>
            <w:noWrap w:val="0"/>
            <w:vAlign w:val="center"/>
          </w:tcPr>
          <w:p w14:paraId="0E0C5E29">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执业</w:t>
            </w:r>
            <w:r>
              <w:rPr>
                <w:rFonts w:hAnsi="宋体"/>
                <w:color w:val="auto"/>
                <w:spacing w:val="-2"/>
                <w:highlight w:val="none"/>
              </w:rPr>
              <w:t>或</w:t>
            </w:r>
            <w:r>
              <w:rPr>
                <w:rFonts w:hAnsi="宋体"/>
                <w:color w:val="auto"/>
                <w:highlight w:val="none"/>
              </w:rPr>
              <w:t>职</w:t>
            </w:r>
            <w:r>
              <w:rPr>
                <w:rFonts w:hAnsi="宋体"/>
                <w:color w:val="auto"/>
                <w:spacing w:val="-2"/>
                <w:highlight w:val="none"/>
              </w:rPr>
              <w:t>业</w:t>
            </w:r>
            <w:r>
              <w:rPr>
                <w:rFonts w:hAnsi="宋体"/>
                <w:color w:val="auto"/>
                <w:highlight w:val="none"/>
              </w:rPr>
              <w:t>资</w:t>
            </w:r>
            <w:r>
              <w:rPr>
                <w:rFonts w:hAnsi="宋体"/>
                <w:color w:val="auto"/>
                <w:spacing w:val="-2"/>
                <w:highlight w:val="none"/>
              </w:rPr>
              <w:t>格</w:t>
            </w:r>
            <w:r>
              <w:rPr>
                <w:rFonts w:hAnsi="宋体"/>
                <w:color w:val="auto"/>
                <w:highlight w:val="none"/>
              </w:rPr>
              <w:t>证明</w:t>
            </w:r>
          </w:p>
        </w:tc>
        <w:tc>
          <w:tcPr>
            <w:tcW w:w="1000" w:type="dxa"/>
            <w:noWrap w:val="0"/>
            <w:vAlign w:val="center"/>
          </w:tcPr>
          <w:p w14:paraId="26C38EB3">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备注</w:t>
            </w:r>
          </w:p>
        </w:tc>
      </w:tr>
      <w:tr w14:paraId="355830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31" w:hRule="exact"/>
        </w:trPr>
        <w:tc>
          <w:tcPr>
            <w:tcW w:w="879" w:type="dxa"/>
            <w:vMerge w:val="continue"/>
            <w:noWrap w:val="0"/>
            <w:vAlign w:val="center"/>
          </w:tcPr>
          <w:p w14:paraId="723D9BC2">
            <w:pPr>
              <w:pageBreakBefore w:val="0"/>
              <w:kinsoku/>
              <w:wordWrap/>
              <w:overflowPunct/>
              <w:bidi w:val="0"/>
              <w:spacing w:before="100" w:after="100"/>
              <w:jc w:val="center"/>
              <w:textAlignment w:val="auto"/>
              <w:rPr>
                <w:rFonts w:hint="eastAsia" w:hAnsi="宋体"/>
                <w:color w:val="auto"/>
                <w:highlight w:val="none"/>
              </w:rPr>
            </w:pPr>
          </w:p>
        </w:tc>
        <w:tc>
          <w:tcPr>
            <w:tcW w:w="1233" w:type="dxa"/>
            <w:vMerge w:val="continue"/>
            <w:noWrap w:val="0"/>
            <w:vAlign w:val="center"/>
          </w:tcPr>
          <w:p w14:paraId="24E78393">
            <w:pPr>
              <w:pageBreakBefore w:val="0"/>
              <w:kinsoku/>
              <w:wordWrap/>
              <w:overflowPunct/>
              <w:bidi w:val="0"/>
              <w:spacing w:before="100" w:after="100"/>
              <w:jc w:val="center"/>
              <w:textAlignment w:val="auto"/>
              <w:rPr>
                <w:rFonts w:hint="eastAsia" w:hAnsi="宋体"/>
                <w:color w:val="auto"/>
                <w:highlight w:val="none"/>
              </w:rPr>
            </w:pPr>
          </w:p>
        </w:tc>
        <w:tc>
          <w:tcPr>
            <w:tcW w:w="1150" w:type="dxa"/>
            <w:vMerge w:val="continue"/>
            <w:noWrap w:val="0"/>
            <w:vAlign w:val="center"/>
          </w:tcPr>
          <w:p w14:paraId="00BB12D8">
            <w:pPr>
              <w:pageBreakBefore w:val="0"/>
              <w:kinsoku/>
              <w:wordWrap/>
              <w:overflowPunct/>
              <w:bidi w:val="0"/>
              <w:spacing w:before="100" w:after="100"/>
              <w:jc w:val="center"/>
              <w:textAlignment w:val="auto"/>
              <w:rPr>
                <w:rFonts w:hint="eastAsia" w:hAnsi="宋体"/>
                <w:color w:val="auto"/>
                <w:highlight w:val="none"/>
              </w:rPr>
            </w:pPr>
          </w:p>
        </w:tc>
        <w:tc>
          <w:tcPr>
            <w:tcW w:w="867" w:type="dxa"/>
            <w:vMerge w:val="continue"/>
            <w:noWrap w:val="0"/>
            <w:vAlign w:val="center"/>
          </w:tcPr>
          <w:p w14:paraId="38B23CF9">
            <w:pPr>
              <w:pageBreakBefore w:val="0"/>
              <w:kinsoku/>
              <w:wordWrap/>
              <w:overflowPunct/>
              <w:bidi w:val="0"/>
              <w:spacing w:before="100" w:after="100"/>
              <w:jc w:val="center"/>
              <w:textAlignment w:val="auto"/>
              <w:rPr>
                <w:rFonts w:hint="eastAsia" w:hAnsi="宋体"/>
                <w:color w:val="auto"/>
                <w:highlight w:val="none"/>
              </w:rPr>
            </w:pPr>
          </w:p>
        </w:tc>
        <w:tc>
          <w:tcPr>
            <w:tcW w:w="700" w:type="dxa"/>
            <w:vMerge w:val="continue"/>
            <w:noWrap w:val="0"/>
            <w:vAlign w:val="center"/>
          </w:tcPr>
          <w:p w14:paraId="7B287C16">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009F8FC8">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证书</w:t>
            </w:r>
            <w:r>
              <w:rPr>
                <w:rFonts w:hAnsi="宋体"/>
                <w:color w:val="auto"/>
                <w:spacing w:val="-2"/>
                <w:highlight w:val="none"/>
              </w:rPr>
              <w:t>名</w:t>
            </w:r>
            <w:r>
              <w:rPr>
                <w:rFonts w:hAnsi="宋体"/>
                <w:color w:val="auto"/>
                <w:highlight w:val="none"/>
              </w:rPr>
              <w:t>称</w:t>
            </w:r>
          </w:p>
        </w:tc>
        <w:tc>
          <w:tcPr>
            <w:tcW w:w="883" w:type="dxa"/>
            <w:noWrap w:val="0"/>
            <w:vAlign w:val="center"/>
          </w:tcPr>
          <w:p w14:paraId="0BF0CEF0">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级别</w:t>
            </w:r>
          </w:p>
        </w:tc>
        <w:tc>
          <w:tcPr>
            <w:tcW w:w="1117" w:type="dxa"/>
            <w:noWrap w:val="0"/>
            <w:vAlign w:val="center"/>
          </w:tcPr>
          <w:p w14:paraId="1F820B3F">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证号</w:t>
            </w:r>
          </w:p>
        </w:tc>
        <w:tc>
          <w:tcPr>
            <w:tcW w:w="1000" w:type="dxa"/>
            <w:noWrap w:val="0"/>
            <w:vAlign w:val="center"/>
          </w:tcPr>
          <w:p w14:paraId="09366BEE">
            <w:pPr>
              <w:pageBreakBefore w:val="0"/>
              <w:kinsoku/>
              <w:wordWrap/>
              <w:overflowPunct/>
              <w:bidi w:val="0"/>
              <w:spacing w:before="100" w:after="100"/>
              <w:jc w:val="center"/>
              <w:textAlignment w:val="auto"/>
              <w:rPr>
                <w:rFonts w:hint="eastAsia" w:hAnsi="宋体"/>
                <w:color w:val="auto"/>
                <w:highlight w:val="none"/>
              </w:rPr>
            </w:pPr>
          </w:p>
        </w:tc>
      </w:tr>
      <w:tr w14:paraId="2CE78B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3DFD63EF">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54BF5A5D">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788CFE8">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7AEF8642">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5669AEB2">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06D80A3">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B58273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68FA9E90">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633B35E6">
            <w:pPr>
              <w:pageBreakBefore w:val="0"/>
              <w:kinsoku/>
              <w:wordWrap/>
              <w:overflowPunct/>
              <w:bidi w:val="0"/>
              <w:spacing w:before="100" w:after="100"/>
              <w:jc w:val="center"/>
              <w:textAlignment w:val="auto"/>
              <w:rPr>
                <w:rFonts w:hint="eastAsia" w:hAnsi="宋体"/>
                <w:color w:val="auto"/>
                <w:highlight w:val="none"/>
              </w:rPr>
            </w:pPr>
          </w:p>
        </w:tc>
      </w:tr>
      <w:tr w14:paraId="05E38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2" w:hRule="exact"/>
        </w:trPr>
        <w:tc>
          <w:tcPr>
            <w:tcW w:w="879" w:type="dxa"/>
            <w:noWrap w:val="0"/>
            <w:vAlign w:val="center"/>
          </w:tcPr>
          <w:p w14:paraId="46D49F62">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6D85A85">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2B09B768">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4805A97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4750DCE3">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4CE0531">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C2C7786">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630AA31F">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0CF38FA">
            <w:pPr>
              <w:pageBreakBefore w:val="0"/>
              <w:kinsoku/>
              <w:wordWrap/>
              <w:overflowPunct/>
              <w:bidi w:val="0"/>
              <w:spacing w:before="100" w:after="100"/>
              <w:jc w:val="center"/>
              <w:textAlignment w:val="auto"/>
              <w:rPr>
                <w:rFonts w:hint="eastAsia" w:hAnsi="宋体"/>
                <w:color w:val="auto"/>
                <w:highlight w:val="none"/>
              </w:rPr>
            </w:pPr>
          </w:p>
        </w:tc>
      </w:tr>
      <w:tr w14:paraId="2000EC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22848E6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12E4240">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2598D0A">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0B4D49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10F07354">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2B70F7D7">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FAF812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38CD81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FDF8900">
            <w:pPr>
              <w:pageBreakBefore w:val="0"/>
              <w:kinsoku/>
              <w:wordWrap/>
              <w:overflowPunct/>
              <w:bidi w:val="0"/>
              <w:spacing w:before="100" w:after="100"/>
              <w:jc w:val="center"/>
              <w:textAlignment w:val="auto"/>
              <w:rPr>
                <w:rFonts w:hint="eastAsia" w:hAnsi="宋体"/>
                <w:color w:val="auto"/>
                <w:highlight w:val="none"/>
              </w:rPr>
            </w:pPr>
          </w:p>
        </w:tc>
      </w:tr>
      <w:tr w14:paraId="68CCB2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5011BA67">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6154B9D4">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7791830E">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7BCD9F0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B117120">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C52A2CD">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B046522">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52F1772">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00D1CB5A">
            <w:pPr>
              <w:pageBreakBefore w:val="0"/>
              <w:kinsoku/>
              <w:wordWrap/>
              <w:overflowPunct/>
              <w:bidi w:val="0"/>
              <w:spacing w:before="100" w:after="100"/>
              <w:jc w:val="center"/>
              <w:textAlignment w:val="auto"/>
              <w:rPr>
                <w:rFonts w:hint="eastAsia" w:hAnsi="宋体"/>
                <w:color w:val="auto"/>
                <w:highlight w:val="none"/>
              </w:rPr>
            </w:pPr>
          </w:p>
        </w:tc>
      </w:tr>
      <w:tr w14:paraId="3F4BAD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26641BC0">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FFF020C">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680DB7FE">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2B52283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A142597">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0FBCA199">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41B870CE">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7E8BB3D5">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6CE848F6">
            <w:pPr>
              <w:pageBreakBefore w:val="0"/>
              <w:kinsoku/>
              <w:wordWrap/>
              <w:overflowPunct/>
              <w:bidi w:val="0"/>
              <w:spacing w:before="100" w:after="100"/>
              <w:jc w:val="center"/>
              <w:textAlignment w:val="auto"/>
              <w:rPr>
                <w:rFonts w:hint="eastAsia" w:hAnsi="宋体"/>
                <w:color w:val="auto"/>
                <w:highlight w:val="none"/>
              </w:rPr>
            </w:pPr>
          </w:p>
        </w:tc>
      </w:tr>
      <w:tr w14:paraId="01AFD3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6227AF9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19232A4A">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28A53A9">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160E743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37A484F2">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56CC884E">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FE4F945">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9606168">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0B8F33E7">
            <w:pPr>
              <w:pageBreakBefore w:val="0"/>
              <w:kinsoku/>
              <w:wordWrap/>
              <w:overflowPunct/>
              <w:bidi w:val="0"/>
              <w:spacing w:before="100" w:after="100"/>
              <w:jc w:val="center"/>
              <w:textAlignment w:val="auto"/>
              <w:rPr>
                <w:rFonts w:hint="eastAsia" w:hAnsi="宋体"/>
                <w:color w:val="auto"/>
                <w:highlight w:val="none"/>
              </w:rPr>
            </w:pPr>
          </w:p>
        </w:tc>
      </w:tr>
      <w:tr w14:paraId="4628A2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4A13916D">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235FD476">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406F0D5E">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75220179">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5E1BBE81">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2B08559">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3D7C106A">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2346B9AD">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33987285">
            <w:pPr>
              <w:pageBreakBefore w:val="0"/>
              <w:kinsoku/>
              <w:wordWrap/>
              <w:overflowPunct/>
              <w:bidi w:val="0"/>
              <w:spacing w:before="100" w:after="100"/>
              <w:jc w:val="center"/>
              <w:textAlignment w:val="auto"/>
              <w:rPr>
                <w:rFonts w:hint="eastAsia" w:hAnsi="宋体"/>
                <w:color w:val="auto"/>
                <w:highlight w:val="none"/>
              </w:rPr>
            </w:pPr>
          </w:p>
        </w:tc>
      </w:tr>
      <w:tr w14:paraId="643B59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13B47828">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2826B050">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6B40543B">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2F69CBD">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40D6AC79">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2318863A">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DDC46DA">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A89CBF8">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57B7D19">
            <w:pPr>
              <w:pageBreakBefore w:val="0"/>
              <w:kinsoku/>
              <w:wordWrap/>
              <w:overflowPunct/>
              <w:bidi w:val="0"/>
              <w:spacing w:before="100" w:after="100"/>
              <w:jc w:val="center"/>
              <w:textAlignment w:val="auto"/>
              <w:rPr>
                <w:rFonts w:hint="eastAsia" w:hAnsi="宋体"/>
                <w:color w:val="auto"/>
                <w:highlight w:val="none"/>
              </w:rPr>
            </w:pPr>
          </w:p>
        </w:tc>
      </w:tr>
      <w:tr w14:paraId="6C7A1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274F4345">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5988E0F5">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67EECAD6">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58572080">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5937F522">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2D4F9F49">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DC48F99">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C079DF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52722A6">
            <w:pPr>
              <w:pageBreakBefore w:val="0"/>
              <w:kinsoku/>
              <w:wordWrap/>
              <w:overflowPunct/>
              <w:bidi w:val="0"/>
              <w:spacing w:before="100" w:after="100"/>
              <w:jc w:val="center"/>
              <w:textAlignment w:val="auto"/>
              <w:rPr>
                <w:rFonts w:hint="eastAsia" w:hAnsi="宋体"/>
                <w:color w:val="auto"/>
                <w:highlight w:val="none"/>
              </w:rPr>
            </w:pPr>
          </w:p>
        </w:tc>
      </w:tr>
      <w:tr w14:paraId="665740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53257E7B">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6C7CAEB4">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4C4A471D">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418CE2D3">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05CC9DBA">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33C9125">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1BEF0541">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1B53C38A">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3DF0E8E">
            <w:pPr>
              <w:pageBreakBefore w:val="0"/>
              <w:kinsoku/>
              <w:wordWrap/>
              <w:overflowPunct/>
              <w:bidi w:val="0"/>
              <w:spacing w:before="100" w:after="100"/>
              <w:jc w:val="center"/>
              <w:textAlignment w:val="auto"/>
              <w:rPr>
                <w:rFonts w:hint="eastAsia" w:hAnsi="宋体"/>
                <w:color w:val="auto"/>
                <w:highlight w:val="none"/>
              </w:rPr>
            </w:pPr>
          </w:p>
        </w:tc>
      </w:tr>
      <w:tr w14:paraId="30A8F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38A50E1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18C0758A">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1F8F4573">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A71B17D">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09CF1B1D">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57AC41F6">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33C9A6B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621D5A6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F7B1FDA">
            <w:pPr>
              <w:pageBreakBefore w:val="0"/>
              <w:kinsoku/>
              <w:wordWrap/>
              <w:overflowPunct/>
              <w:bidi w:val="0"/>
              <w:spacing w:before="100" w:after="100"/>
              <w:jc w:val="center"/>
              <w:textAlignment w:val="auto"/>
              <w:rPr>
                <w:rFonts w:hint="eastAsia" w:hAnsi="宋体"/>
                <w:color w:val="auto"/>
                <w:highlight w:val="none"/>
              </w:rPr>
            </w:pPr>
          </w:p>
        </w:tc>
      </w:tr>
      <w:tr w14:paraId="7EF3C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0D68FA9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1A062885">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3636A9C7">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0238B12">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185CA7F">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8CEC266">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53C0F5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05B9242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4C00594">
            <w:pPr>
              <w:pageBreakBefore w:val="0"/>
              <w:kinsoku/>
              <w:wordWrap/>
              <w:overflowPunct/>
              <w:bidi w:val="0"/>
              <w:spacing w:before="100" w:after="100"/>
              <w:jc w:val="center"/>
              <w:textAlignment w:val="auto"/>
              <w:rPr>
                <w:rFonts w:hint="eastAsia" w:hAnsi="宋体"/>
                <w:color w:val="auto"/>
                <w:highlight w:val="none"/>
              </w:rPr>
            </w:pPr>
          </w:p>
        </w:tc>
      </w:tr>
      <w:tr w14:paraId="1E835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61ECA36E">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0CA202C8">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4AEF9C24">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164BDFD2">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620FD045">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D7ECC84">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74FAA89">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AE99337">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EFFB827">
            <w:pPr>
              <w:pageBreakBefore w:val="0"/>
              <w:kinsoku/>
              <w:wordWrap/>
              <w:overflowPunct/>
              <w:bidi w:val="0"/>
              <w:spacing w:before="100" w:after="100"/>
              <w:jc w:val="center"/>
              <w:textAlignment w:val="auto"/>
              <w:rPr>
                <w:rFonts w:hint="eastAsia" w:hAnsi="宋体"/>
                <w:color w:val="auto"/>
                <w:highlight w:val="none"/>
              </w:rPr>
            </w:pPr>
          </w:p>
        </w:tc>
      </w:tr>
      <w:tr w14:paraId="6B32DC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46AABB78">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97FEDFE">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35DB5985">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2C0C0DE9">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7FD4C27A">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03DB22F2">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6E65B5B">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30E22EF">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723618A0">
            <w:pPr>
              <w:pageBreakBefore w:val="0"/>
              <w:kinsoku/>
              <w:wordWrap/>
              <w:overflowPunct/>
              <w:bidi w:val="0"/>
              <w:spacing w:before="100" w:after="100"/>
              <w:jc w:val="center"/>
              <w:textAlignment w:val="auto"/>
              <w:rPr>
                <w:rFonts w:hint="eastAsia" w:hAnsi="宋体"/>
                <w:color w:val="auto"/>
                <w:highlight w:val="none"/>
              </w:rPr>
            </w:pPr>
          </w:p>
        </w:tc>
      </w:tr>
      <w:tr w14:paraId="0D54F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52506638">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22C7C7EA">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2105D65">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5811762B">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EAF95E7">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C8A226D">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47CEB20B">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7BD032E">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7C1E53EC">
            <w:pPr>
              <w:pageBreakBefore w:val="0"/>
              <w:kinsoku/>
              <w:wordWrap/>
              <w:overflowPunct/>
              <w:bidi w:val="0"/>
              <w:spacing w:before="100" w:after="100"/>
              <w:jc w:val="center"/>
              <w:textAlignment w:val="auto"/>
              <w:rPr>
                <w:rFonts w:hint="eastAsia" w:hAnsi="宋体"/>
                <w:color w:val="auto"/>
                <w:highlight w:val="none"/>
              </w:rPr>
            </w:pPr>
          </w:p>
        </w:tc>
      </w:tr>
      <w:tr w14:paraId="302130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6FDF631F">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6A7EA052">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32167D49">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6CC480DF">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3AE23DE8">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178EFF77">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0D9EA90A">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49392148">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0A237286">
            <w:pPr>
              <w:pageBreakBefore w:val="0"/>
              <w:kinsoku/>
              <w:wordWrap/>
              <w:overflowPunct/>
              <w:bidi w:val="0"/>
              <w:spacing w:before="100" w:after="100"/>
              <w:jc w:val="center"/>
              <w:textAlignment w:val="auto"/>
              <w:rPr>
                <w:rFonts w:hint="eastAsia" w:hAnsi="宋体"/>
                <w:color w:val="auto"/>
                <w:highlight w:val="none"/>
              </w:rPr>
            </w:pPr>
          </w:p>
        </w:tc>
      </w:tr>
      <w:tr w14:paraId="1BC13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72FBA505">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066047C4">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5720F870">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5D1085C6">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0D7525C6">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4F5F271">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D4E7629">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1791600C">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B421730">
            <w:pPr>
              <w:pageBreakBefore w:val="0"/>
              <w:kinsoku/>
              <w:wordWrap/>
              <w:overflowPunct/>
              <w:bidi w:val="0"/>
              <w:spacing w:before="100" w:after="100"/>
              <w:jc w:val="center"/>
              <w:textAlignment w:val="auto"/>
              <w:rPr>
                <w:rFonts w:hint="eastAsia" w:hAnsi="宋体"/>
                <w:color w:val="auto"/>
                <w:highlight w:val="none"/>
              </w:rPr>
            </w:pPr>
          </w:p>
        </w:tc>
      </w:tr>
    </w:tbl>
    <w:p w14:paraId="6909E65D">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p>
    <w:p w14:paraId="0291DC18">
      <w:pPr>
        <w:pageBreakBefore w:val="0"/>
        <w:kinsoku/>
        <w:wordWrap/>
        <w:overflowPunct/>
        <w:bidi w:val="0"/>
        <w:spacing w:after="200" w:line="360" w:lineRule="auto"/>
        <w:jc w:val="center"/>
        <w:textAlignment w:val="auto"/>
        <w:outlineLvl w:val="2"/>
        <w:rPr>
          <w:rFonts w:hint="eastAsia" w:ascii="宋体" w:hAnsi="宋体" w:cs="宋体"/>
          <w:color w:val="auto"/>
          <w:highlight w:val="none"/>
        </w:rPr>
      </w:pPr>
      <w:r>
        <w:rPr>
          <w:rFonts w:hint="eastAsia" w:ascii="宋体" w:hAnsi="宋体" w:cs="宋体"/>
          <w:color w:val="auto"/>
          <w:highlight w:val="none"/>
        </w:rPr>
        <w:t>注：拟投入本项目人员配备应与“</w:t>
      </w:r>
      <w:r>
        <w:rPr>
          <w:rFonts w:hint="eastAsia" w:ascii="宋体" w:hAnsi="宋体" w:cs="宋体"/>
          <w:color w:val="auto"/>
          <w:highlight w:val="none"/>
          <w:lang w:val="en-US" w:eastAsia="zh-CN"/>
        </w:rPr>
        <w:t>十</w:t>
      </w:r>
      <w:r>
        <w:rPr>
          <w:rFonts w:hint="eastAsia" w:ascii="宋体" w:hAnsi="宋体" w:cs="宋体"/>
          <w:color w:val="auto"/>
          <w:highlight w:val="none"/>
        </w:rPr>
        <w:t xml:space="preserve">、主要人员简历表”人员相一致。人数符合第五章 </w:t>
      </w:r>
      <w:r>
        <w:rPr>
          <w:rFonts w:hint="eastAsia" w:ascii="宋体" w:hAnsi="宋体" w:cs="宋体"/>
          <w:color w:val="auto"/>
          <w:highlight w:val="none"/>
          <w:lang w:val="en-US" w:eastAsia="zh-CN"/>
        </w:rPr>
        <w:t>采购</w:t>
      </w:r>
      <w:r>
        <w:rPr>
          <w:rFonts w:hint="eastAsia" w:ascii="宋体" w:hAnsi="宋体" w:cs="宋体"/>
          <w:color w:val="auto"/>
          <w:highlight w:val="none"/>
        </w:rPr>
        <w:t>人要求“4.监理人员和试验检测仪器设备要求”</w:t>
      </w:r>
    </w:p>
    <w:p w14:paraId="13F865AE">
      <w:pPr>
        <w:pageBreakBefore w:val="0"/>
        <w:kinsoku/>
        <w:wordWrap/>
        <w:overflowPunct/>
        <w:bidi w:val="0"/>
        <w:spacing w:after="200" w:line="360" w:lineRule="auto"/>
        <w:jc w:val="center"/>
        <w:textAlignment w:val="auto"/>
        <w:outlineLvl w:val="2"/>
        <w:rPr>
          <w:rFonts w:hint="eastAsia" w:ascii="宋体" w:hAnsi="宋体" w:cs="宋体"/>
          <w:color w:val="auto"/>
          <w:highlight w:val="none"/>
        </w:rPr>
      </w:pPr>
    </w:p>
    <w:p w14:paraId="728FE627">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669" w:name="_Toc1701849901"/>
      <w:bookmarkStart w:id="670" w:name="_Toc1946168213"/>
      <w:bookmarkStart w:id="671" w:name="_Toc955630274"/>
      <w:bookmarkStart w:id="672" w:name="_Toc1462498406"/>
      <w:bookmarkStart w:id="673" w:name="_Toc389551338"/>
      <w:r>
        <w:rPr>
          <w:rStyle w:val="62"/>
          <w:rFonts w:hint="eastAsia" w:ascii="宋体" w:hAnsi="宋体" w:cs="宋体"/>
          <w:color w:val="auto"/>
          <w:sz w:val="30"/>
          <w:szCs w:val="30"/>
          <w:highlight w:val="none"/>
          <w:lang w:val="en-US" w:eastAsia="zh-CN"/>
        </w:rPr>
        <w:t>十</w:t>
      </w:r>
      <w:r>
        <w:rPr>
          <w:rStyle w:val="62"/>
          <w:rFonts w:hint="eastAsia" w:ascii="宋体" w:hAnsi="宋体" w:cs="宋体"/>
          <w:color w:val="auto"/>
          <w:sz w:val="30"/>
          <w:szCs w:val="30"/>
          <w:highlight w:val="none"/>
        </w:rPr>
        <w:t>、主要人员简历表</w:t>
      </w:r>
    </w:p>
    <w:bookmarkEnd w:id="669"/>
    <w:bookmarkEnd w:id="670"/>
    <w:bookmarkEnd w:id="671"/>
    <w:bookmarkEnd w:id="672"/>
    <w:bookmarkEnd w:id="673"/>
    <w:p w14:paraId="6B85398F">
      <w:pPr>
        <w:pageBreakBefore w:val="0"/>
        <w:kinsoku/>
        <w:wordWrap/>
        <w:overflowPunct/>
        <w:bidi w:val="0"/>
        <w:spacing w:after="200" w:line="360" w:lineRule="auto"/>
        <w:jc w:val="center"/>
        <w:textAlignment w:val="auto"/>
        <w:outlineLvl w:val="3"/>
        <w:rPr>
          <w:rStyle w:val="62"/>
          <w:rFonts w:hint="eastAsia" w:ascii="宋体" w:hAnsi="宋体" w:cs="宋体"/>
          <w:color w:val="auto"/>
          <w:sz w:val="28"/>
          <w:szCs w:val="28"/>
          <w:highlight w:val="none"/>
        </w:rPr>
      </w:pPr>
      <w:bookmarkStart w:id="674" w:name="_Toc951752851"/>
      <w:bookmarkStart w:id="675" w:name="_Toc30123"/>
      <w:bookmarkStart w:id="676" w:name="_Toc23715"/>
      <w:bookmarkStart w:id="677" w:name="_Toc19109"/>
      <w:bookmarkStart w:id="678" w:name="_Toc1766631565"/>
      <w:bookmarkStart w:id="679" w:name="_Toc7953"/>
      <w:bookmarkStart w:id="680" w:name="_Toc31368"/>
      <w:bookmarkStart w:id="681" w:name="_Toc1019146833"/>
      <w:bookmarkStart w:id="682" w:name="_Toc403050107"/>
      <w:bookmarkStart w:id="683" w:name="_Toc12389"/>
      <w:bookmarkStart w:id="684" w:name="_Toc1509"/>
      <w:bookmarkStart w:id="685" w:name="_Toc21242"/>
      <w:bookmarkStart w:id="686" w:name="_Toc21383"/>
      <w:bookmarkStart w:id="687" w:name="_Toc1641508550"/>
      <w:r>
        <w:rPr>
          <w:rStyle w:val="62"/>
          <w:rFonts w:hint="eastAsia" w:ascii="宋体" w:hAnsi="宋体" w:cs="宋体"/>
          <w:color w:val="auto"/>
          <w:sz w:val="28"/>
          <w:szCs w:val="28"/>
          <w:highlight w:val="none"/>
        </w:rPr>
        <w:t>（一）项目总监理工程师简历表</w:t>
      </w:r>
    </w:p>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14:paraId="13189261">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注：后附项目总监理工程师身份证、学历证、职称证（若有）、注册监理工程师证书、其他执业资格证书（若有）、提供劳动合同或投标截止时间前近六个月社保等证明材料、四库一平台执业注册信息查询记录网页打印件或网页截图、管理过的项目业绩证明材料等原件扫描件；符合第</w:t>
      </w:r>
      <w:r>
        <w:rPr>
          <w:rFonts w:hint="eastAsia" w:ascii="宋体" w:hAnsi="宋体" w:cs="宋体"/>
          <w:color w:val="auto"/>
          <w:highlight w:val="none"/>
          <w:lang w:val="en-US" w:eastAsia="zh-CN"/>
        </w:rPr>
        <w:t>一</w:t>
      </w:r>
      <w:r>
        <w:rPr>
          <w:rFonts w:hint="eastAsia" w:ascii="宋体" w:hAnsi="宋体" w:cs="宋体"/>
          <w:color w:val="auto"/>
          <w:highlight w:val="none"/>
        </w:rPr>
        <w:t>章</w:t>
      </w:r>
      <w:r>
        <w:rPr>
          <w:rFonts w:hint="eastAsia" w:ascii="宋体" w:hAnsi="宋体" w:cs="宋体"/>
          <w:color w:val="auto"/>
          <w:highlight w:val="none"/>
          <w:lang w:val="en-US" w:eastAsia="zh-CN"/>
        </w:rPr>
        <w:t xml:space="preserve"> 采购公告</w:t>
      </w:r>
      <w:r>
        <w:rPr>
          <w:rFonts w:hint="eastAsia" w:ascii="宋体" w:hAnsi="宋体" w:cs="宋体"/>
          <w:color w:val="auto"/>
          <w:highlight w:val="none"/>
        </w:rPr>
        <w:t>“供应商资格要求”</w:t>
      </w:r>
      <w:r>
        <w:rPr>
          <w:rFonts w:hint="eastAsia" w:ascii="宋体" w:hAnsi="宋体" w:cs="宋体"/>
          <w:color w:val="auto"/>
          <w:highlight w:val="none"/>
          <w:lang w:val="en-US" w:eastAsia="zh-CN"/>
        </w:rPr>
        <w:t>中的</w:t>
      </w:r>
      <w:r>
        <w:rPr>
          <w:rFonts w:hint="eastAsia" w:ascii="宋体" w:hAnsi="宋体" w:cs="宋体"/>
          <w:color w:val="auto"/>
          <w:highlight w:val="none"/>
        </w:rPr>
        <w:t>规定。</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722"/>
        <w:gridCol w:w="927"/>
        <w:gridCol w:w="1065"/>
        <w:gridCol w:w="706"/>
        <w:gridCol w:w="1261"/>
        <w:gridCol w:w="163"/>
        <w:gridCol w:w="2134"/>
      </w:tblGrid>
      <w:tr w14:paraId="116C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187" w:type="dxa"/>
            <w:noWrap w:val="0"/>
            <w:vAlign w:val="center"/>
          </w:tcPr>
          <w:p w14:paraId="76568D8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姓名</w:t>
            </w:r>
          </w:p>
        </w:tc>
        <w:tc>
          <w:tcPr>
            <w:tcW w:w="1079" w:type="dxa"/>
            <w:gridSpan w:val="2"/>
            <w:noWrap w:val="0"/>
            <w:vAlign w:val="center"/>
          </w:tcPr>
          <w:p w14:paraId="5A58A5DE">
            <w:pPr>
              <w:pageBreakBefore w:val="0"/>
              <w:kinsoku/>
              <w:wordWrap/>
              <w:overflowPunct/>
              <w:bidi w:val="0"/>
              <w:jc w:val="center"/>
              <w:textAlignment w:val="auto"/>
              <w:rPr>
                <w:rFonts w:hint="eastAsia" w:ascii="宋体" w:hAnsi="宋体" w:cs="宋体"/>
                <w:color w:val="auto"/>
                <w:highlight w:val="none"/>
              </w:rPr>
            </w:pPr>
          </w:p>
        </w:tc>
        <w:tc>
          <w:tcPr>
            <w:tcW w:w="927" w:type="dxa"/>
            <w:noWrap w:val="0"/>
            <w:vAlign w:val="center"/>
          </w:tcPr>
          <w:p w14:paraId="5DDA470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年龄</w:t>
            </w:r>
          </w:p>
        </w:tc>
        <w:tc>
          <w:tcPr>
            <w:tcW w:w="1065" w:type="dxa"/>
            <w:noWrap w:val="0"/>
            <w:vAlign w:val="center"/>
          </w:tcPr>
          <w:p w14:paraId="2F2A39CD">
            <w:pPr>
              <w:pageBreakBefore w:val="0"/>
              <w:kinsoku/>
              <w:wordWrap/>
              <w:overflowPunct/>
              <w:bidi w:val="0"/>
              <w:jc w:val="center"/>
              <w:textAlignment w:val="auto"/>
              <w:rPr>
                <w:rFonts w:hint="eastAsia" w:ascii="宋体" w:hAnsi="宋体" w:cs="宋体"/>
                <w:color w:val="auto"/>
                <w:highlight w:val="none"/>
              </w:rPr>
            </w:pPr>
          </w:p>
        </w:tc>
        <w:tc>
          <w:tcPr>
            <w:tcW w:w="2130" w:type="dxa"/>
            <w:gridSpan w:val="3"/>
            <w:noWrap w:val="0"/>
            <w:vAlign w:val="center"/>
          </w:tcPr>
          <w:p w14:paraId="52697B35">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学历</w:t>
            </w:r>
          </w:p>
        </w:tc>
        <w:tc>
          <w:tcPr>
            <w:tcW w:w="2134" w:type="dxa"/>
            <w:noWrap w:val="0"/>
            <w:vAlign w:val="center"/>
          </w:tcPr>
          <w:p w14:paraId="686686BB">
            <w:pPr>
              <w:pageBreakBefore w:val="0"/>
              <w:kinsoku/>
              <w:wordWrap/>
              <w:overflowPunct/>
              <w:bidi w:val="0"/>
              <w:jc w:val="center"/>
              <w:textAlignment w:val="auto"/>
              <w:rPr>
                <w:rFonts w:hint="eastAsia" w:ascii="宋体" w:hAnsi="宋体" w:cs="宋体"/>
                <w:color w:val="auto"/>
                <w:highlight w:val="none"/>
              </w:rPr>
            </w:pPr>
          </w:p>
        </w:tc>
      </w:tr>
      <w:tr w14:paraId="01EA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187" w:type="dxa"/>
            <w:noWrap w:val="0"/>
            <w:vAlign w:val="center"/>
          </w:tcPr>
          <w:p w14:paraId="5BC6EC7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职称</w:t>
            </w:r>
          </w:p>
        </w:tc>
        <w:tc>
          <w:tcPr>
            <w:tcW w:w="1079" w:type="dxa"/>
            <w:gridSpan w:val="2"/>
            <w:noWrap w:val="0"/>
            <w:vAlign w:val="center"/>
          </w:tcPr>
          <w:p w14:paraId="41936AC8">
            <w:pPr>
              <w:pageBreakBefore w:val="0"/>
              <w:kinsoku/>
              <w:wordWrap/>
              <w:overflowPunct/>
              <w:bidi w:val="0"/>
              <w:jc w:val="center"/>
              <w:textAlignment w:val="auto"/>
              <w:rPr>
                <w:rFonts w:hint="eastAsia" w:ascii="宋体" w:hAnsi="宋体" w:cs="宋体"/>
                <w:color w:val="auto"/>
                <w:highlight w:val="none"/>
              </w:rPr>
            </w:pPr>
          </w:p>
        </w:tc>
        <w:tc>
          <w:tcPr>
            <w:tcW w:w="927" w:type="dxa"/>
            <w:noWrap w:val="0"/>
            <w:vAlign w:val="center"/>
          </w:tcPr>
          <w:p w14:paraId="6025266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职务</w:t>
            </w:r>
          </w:p>
        </w:tc>
        <w:tc>
          <w:tcPr>
            <w:tcW w:w="1065" w:type="dxa"/>
            <w:noWrap w:val="0"/>
            <w:vAlign w:val="center"/>
          </w:tcPr>
          <w:p w14:paraId="5BF150CF">
            <w:pPr>
              <w:pageBreakBefore w:val="0"/>
              <w:kinsoku/>
              <w:wordWrap/>
              <w:overflowPunct/>
              <w:bidi w:val="0"/>
              <w:jc w:val="center"/>
              <w:textAlignment w:val="auto"/>
              <w:rPr>
                <w:rFonts w:hint="eastAsia" w:ascii="宋体" w:hAnsi="宋体" w:cs="宋体"/>
                <w:color w:val="auto"/>
                <w:highlight w:val="none"/>
              </w:rPr>
            </w:pPr>
          </w:p>
        </w:tc>
        <w:tc>
          <w:tcPr>
            <w:tcW w:w="2130" w:type="dxa"/>
            <w:gridSpan w:val="3"/>
            <w:noWrap w:val="0"/>
            <w:vAlign w:val="center"/>
          </w:tcPr>
          <w:p w14:paraId="3AB0D90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拟在本合同担任职务</w:t>
            </w:r>
          </w:p>
        </w:tc>
        <w:tc>
          <w:tcPr>
            <w:tcW w:w="2134" w:type="dxa"/>
            <w:noWrap w:val="0"/>
            <w:vAlign w:val="center"/>
          </w:tcPr>
          <w:p w14:paraId="172DEA7A">
            <w:pPr>
              <w:pageBreakBefore w:val="0"/>
              <w:kinsoku/>
              <w:wordWrap/>
              <w:overflowPunct/>
              <w:bidi w:val="0"/>
              <w:jc w:val="center"/>
              <w:textAlignment w:val="auto"/>
              <w:rPr>
                <w:rFonts w:hint="eastAsia" w:ascii="宋体" w:hAnsi="宋体" w:cs="宋体"/>
                <w:color w:val="auto"/>
                <w:highlight w:val="none"/>
              </w:rPr>
            </w:pPr>
          </w:p>
        </w:tc>
      </w:tr>
      <w:tr w14:paraId="7110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187" w:type="dxa"/>
            <w:noWrap w:val="0"/>
            <w:vAlign w:val="center"/>
          </w:tcPr>
          <w:p w14:paraId="1DF63A1C">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毕业学校</w:t>
            </w:r>
          </w:p>
        </w:tc>
        <w:tc>
          <w:tcPr>
            <w:tcW w:w="7335" w:type="dxa"/>
            <w:gridSpan w:val="8"/>
            <w:noWrap w:val="0"/>
            <w:vAlign w:val="center"/>
          </w:tcPr>
          <w:p w14:paraId="2F05EA2B">
            <w:pPr>
              <w:pageBreakBefore w:val="0"/>
              <w:kinsoku/>
              <w:wordWrap/>
              <w:overflowPunct/>
              <w:bidi w:val="0"/>
              <w:ind w:firstLine="945" w:firstLineChars="450"/>
              <w:jc w:val="center"/>
              <w:textAlignment w:val="auto"/>
              <w:rPr>
                <w:rFonts w:hint="eastAsia" w:ascii="宋体" w:hAnsi="宋体" w:cs="宋体"/>
                <w:color w:val="auto"/>
                <w:highlight w:val="none"/>
              </w:rPr>
            </w:pPr>
            <w:r>
              <w:rPr>
                <w:rFonts w:hint="eastAsia" w:ascii="宋体" w:hAnsi="宋体" w:cs="宋体"/>
                <w:color w:val="auto"/>
                <w:highlight w:val="none"/>
              </w:rPr>
              <w:t>年毕业于      学校     专业</w:t>
            </w:r>
          </w:p>
        </w:tc>
      </w:tr>
      <w:tr w14:paraId="7ECD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8522" w:type="dxa"/>
            <w:gridSpan w:val="9"/>
            <w:noWrap w:val="0"/>
            <w:vAlign w:val="center"/>
          </w:tcPr>
          <w:p w14:paraId="297B0AA4">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主要工作经历</w:t>
            </w:r>
          </w:p>
        </w:tc>
      </w:tr>
      <w:tr w14:paraId="71D8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FB4FA60">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时间</w:t>
            </w:r>
          </w:p>
        </w:tc>
        <w:tc>
          <w:tcPr>
            <w:tcW w:w="3420" w:type="dxa"/>
            <w:gridSpan w:val="4"/>
            <w:noWrap w:val="0"/>
            <w:vAlign w:val="center"/>
          </w:tcPr>
          <w:p w14:paraId="208C952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参加过的类似项目</w:t>
            </w:r>
          </w:p>
        </w:tc>
        <w:tc>
          <w:tcPr>
            <w:tcW w:w="1261" w:type="dxa"/>
            <w:noWrap w:val="0"/>
            <w:vAlign w:val="center"/>
          </w:tcPr>
          <w:p w14:paraId="0241A0B4">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担任职务</w:t>
            </w:r>
          </w:p>
        </w:tc>
        <w:tc>
          <w:tcPr>
            <w:tcW w:w="2297" w:type="dxa"/>
            <w:gridSpan w:val="2"/>
            <w:noWrap w:val="0"/>
            <w:vAlign w:val="center"/>
          </w:tcPr>
          <w:p w14:paraId="5AF065C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发包人及联系电话</w:t>
            </w:r>
          </w:p>
        </w:tc>
      </w:tr>
      <w:tr w14:paraId="3E50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2DF13FAE">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12AF1EBC">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65847DA8">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07DEF554">
            <w:pPr>
              <w:pageBreakBefore w:val="0"/>
              <w:kinsoku/>
              <w:wordWrap/>
              <w:overflowPunct/>
              <w:bidi w:val="0"/>
              <w:jc w:val="center"/>
              <w:textAlignment w:val="auto"/>
              <w:rPr>
                <w:rFonts w:hint="eastAsia" w:ascii="宋体" w:hAnsi="宋体" w:cs="宋体"/>
                <w:color w:val="auto"/>
                <w:highlight w:val="none"/>
              </w:rPr>
            </w:pPr>
          </w:p>
        </w:tc>
      </w:tr>
      <w:tr w14:paraId="5209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026A233">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5A4D1033">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5F508B87">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02B084A5">
            <w:pPr>
              <w:pageBreakBefore w:val="0"/>
              <w:kinsoku/>
              <w:wordWrap/>
              <w:overflowPunct/>
              <w:bidi w:val="0"/>
              <w:jc w:val="center"/>
              <w:textAlignment w:val="auto"/>
              <w:rPr>
                <w:rFonts w:hint="eastAsia" w:ascii="宋体" w:hAnsi="宋体" w:cs="宋体"/>
                <w:color w:val="auto"/>
                <w:highlight w:val="none"/>
              </w:rPr>
            </w:pPr>
          </w:p>
        </w:tc>
      </w:tr>
      <w:tr w14:paraId="4278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48090B5">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0D121E41">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3A0E3D12">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614166EF">
            <w:pPr>
              <w:pageBreakBefore w:val="0"/>
              <w:kinsoku/>
              <w:wordWrap/>
              <w:overflowPunct/>
              <w:bidi w:val="0"/>
              <w:jc w:val="center"/>
              <w:textAlignment w:val="auto"/>
              <w:rPr>
                <w:rFonts w:hint="eastAsia" w:ascii="宋体" w:hAnsi="宋体" w:cs="宋体"/>
                <w:color w:val="auto"/>
                <w:highlight w:val="none"/>
              </w:rPr>
            </w:pPr>
          </w:p>
        </w:tc>
      </w:tr>
      <w:tr w14:paraId="6B1B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E812F7E">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6B8FFFEA">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4B11469D">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7A0FC0E9">
            <w:pPr>
              <w:pageBreakBefore w:val="0"/>
              <w:kinsoku/>
              <w:wordWrap/>
              <w:overflowPunct/>
              <w:bidi w:val="0"/>
              <w:jc w:val="center"/>
              <w:textAlignment w:val="auto"/>
              <w:rPr>
                <w:rFonts w:hint="eastAsia" w:ascii="宋体" w:hAnsi="宋体" w:cs="宋体"/>
                <w:color w:val="auto"/>
                <w:highlight w:val="none"/>
              </w:rPr>
            </w:pPr>
          </w:p>
        </w:tc>
      </w:tr>
      <w:tr w14:paraId="79D1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00E2ABB5">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1F75D6D2">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4E9A5A70">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0F5839F2">
            <w:pPr>
              <w:pageBreakBefore w:val="0"/>
              <w:kinsoku/>
              <w:wordWrap/>
              <w:overflowPunct/>
              <w:bidi w:val="0"/>
              <w:jc w:val="center"/>
              <w:textAlignment w:val="auto"/>
              <w:rPr>
                <w:rFonts w:hint="eastAsia" w:ascii="宋体" w:hAnsi="宋体" w:cs="宋体"/>
                <w:color w:val="auto"/>
                <w:highlight w:val="none"/>
              </w:rPr>
            </w:pPr>
          </w:p>
        </w:tc>
      </w:tr>
      <w:tr w14:paraId="1BC3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3D278DA5">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4236F8FF">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1A373DFC">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605BD55C">
            <w:pPr>
              <w:pageBreakBefore w:val="0"/>
              <w:kinsoku/>
              <w:wordWrap/>
              <w:overflowPunct/>
              <w:bidi w:val="0"/>
              <w:jc w:val="center"/>
              <w:textAlignment w:val="auto"/>
              <w:rPr>
                <w:rFonts w:hint="eastAsia" w:ascii="宋体" w:hAnsi="宋体" w:cs="宋体"/>
                <w:color w:val="auto"/>
                <w:highlight w:val="none"/>
              </w:rPr>
            </w:pPr>
          </w:p>
        </w:tc>
      </w:tr>
    </w:tbl>
    <w:p w14:paraId="72516429">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p>
    <w:p w14:paraId="7DEE2359">
      <w:pPr>
        <w:pageBreakBefore w:val="0"/>
        <w:kinsoku/>
        <w:wordWrap/>
        <w:overflowPunct/>
        <w:bidi w:val="0"/>
        <w:spacing w:after="200" w:line="360" w:lineRule="auto"/>
        <w:ind w:firstLine="420" w:firstLineChars="200"/>
        <w:jc w:val="left"/>
        <w:textAlignment w:val="auto"/>
        <w:rPr>
          <w:rFonts w:hint="eastAsia" w:ascii="宋体" w:hAnsi="宋体" w:cs="宋体"/>
          <w:color w:val="auto"/>
          <w:highlight w:val="none"/>
        </w:rPr>
      </w:pPr>
      <w:r>
        <w:rPr>
          <w:rFonts w:hint="eastAsia" w:ascii="宋体" w:hAnsi="宋体" w:cs="宋体"/>
          <w:color w:val="auto"/>
          <w:highlight w:val="none"/>
        </w:rPr>
        <w:t>注：本表后须提供相关证明材料等原件扫描件。</w:t>
      </w:r>
    </w:p>
    <w:p w14:paraId="704C00EC">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41592F26">
      <w:pPr>
        <w:pageBreakBefore w:val="0"/>
        <w:numPr>
          <w:ilvl w:val="-1"/>
          <w:numId w:val="0"/>
        </w:numPr>
        <w:kinsoku/>
        <w:wordWrap/>
        <w:overflowPunct/>
        <w:bidi w:val="0"/>
        <w:spacing w:after="200" w:line="360" w:lineRule="auto"/>
        <w:jc w:val="center"/>
        <w:textAlignment w:val="auto"/>
        <w:outlineLvl w:val="3"/>
        <w:rPr>
          <w:rStyle w:val="62"/>
          <w:rFonts w:hint="eastAsia" w:ascii="宋体" w:hAnsi="宋体" w:cs="宋体"/>
          <w:color w:val="auto"/>
          <w:sz w:val="28"/>
          <w:szCs w:val="28"/>
          <w:highlight w:val="none"/>
        </w:rPr>
      </w:pPr>
      <w:bookmarkStart w:id="688" w:name="_Toc15868"/>
      <w:bookmarkStart w:id="689" w:name="_Toc13593"/>
      <w:bookmarkStart w:id="690" w:name="_Toc11456"/>
      <w:bookmarkStart w:id="691" w:name="_Toc12346"/>
      <w:bookmarkStart w:id="692" w:name="_Toc4326"/>
      <w:bookmarkStart w:id="693" w:name="_Toc5837"/>
      <w:bookmarkStart w:id="694" w:name="_Toc20219"/>
      <w:bookmarkStart w:id="695" w:name="_Toc32189"/>
      <w:bookmarkStart w:id="696" w:name="_Toc7268"/>
      <w:r>
        <w:rPr>
          <w:rStyle w:val="62"/>
          <w:rFonts w:hint="eastAsia" w:ascii="宋体" w:hAnsi="宋体" w:cs="宋体"/>
          <w:color w:val="auto"/>
          <w:sz w:val="28"/>
          <w:szCs w:val="28"/>
          <w:highlight w:val="none"/>
        </w:rPr>
        <w:br w:type="page"/>
      </w:r>
      <w:bookmarkStart w:id="697" w:name="_Toc1338493449"/>
      <w:bookmarkStart w:id="698" w:name="_Toc2076217800"/>
      <w:bookmarkStart w:id="699" w:name="_Toc133791381"/>
      <w:bookmarkStart w:id="700" w:name="_Toc1013185264"/>
      <w:bookmarkStart w:id="701" w:name="_Toc1372230074"/>
      <w:r>
        <w:rPr>
          <w:rStyle w:val="62"/>
          <w:rFonts w:hint="eastAsia" w:ascii="宋体" w:hAnsi="宋体" w:cs="宋体"/>
          <w:color w:val="auto"/>
          <w:sz w:val="28"/>
          <w:szCs w:val="28"/>
          <w:highlight w:val="none"/>
          <w:lang w:eastAsia="zh-CN"/>
        </w:rPr>
        <w:t>（</w:t>
      </w:r>
      <w:r>
        <w:rPr>
          <w:rStyle w:val="62"/>
          <w:rFonts w:hint="eastAsia" w:ascii="宋体" w:hAnsi="宋体" w:cs="宋体"/>
          <w:color w:val="auto"/>
          <w:sz w:val="28"/>
          <w:szCs w:val="28"/>
          <w:highlight w:val="none"/>
          <w:lang w:val="en-US" w:eastAsia="zh-CN"/>
        </w:rPr>
        <w:t>二</w:t>
      </w:r>
      <w:r>
        <w:rPr>
          <w:rStyle w:val="62"/>
          <w:rFonts w:hint="eastAsia" w:ascii="宋体" w:hAnsi="宋体" w:cs="宋体"/>
          <w:color w:val="auto"/>
          <w:sz w:val="28"/>
          <w:szCs w:val="28"/>
          <w:highlight w:val="none"/>
          <w:lang w:eastAsia="zh-CN"/>
        </w:rPr>
        <w:t>）</w:t>
      </w:r>
      <w:r>
        <w:rPr>
          <w:rStyle w:val="62"/>
          <w:rFonts w:hint="eastAsia" w:ascii="宋体" w:hAnsi="宋体" w:cs="宋体"/>
          <w:color w:val="auto"/>
          <w:sz w:val="28"/>
          <w:szCs w:val="28"/>
          <w:highlight w:val="none"/>
        </w:rPr>
        <w:t>其他主要人员简历表</w:t>
      </w:r>
    </w:p>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tbl>
      <w:tblPr>
        <w:tblStyle w:val="49"/>
        <w:tblW w:w="8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2868"/>
        <w:gridCol w:w="1207"/>
        <w:gridCol w:w="2639"/>
      </w:tblGrid>
      <w:tr w14:paraId="6947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1AEE524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姓名</w:t>
            </w:r>
          </w:p>
        </w:tc>
        <w:tc>
          <w:tcPr>
            <w:tcW w:w="6714" w:type="dxa"/>
            <w:gridSpan w:val="3"/>
            <w:noWrap w:val="0"/>
            <w:vAlign w:val="center"/>
          </w:tcPr>
          <w:p w14:paraId="28D2785C">
            <w:pPr>
              <w:pageBreakBefore w:val="0"/>
              <w:kinsoku/>
              <w:wordWrap/>
              <w:overflowPunct/>
              <w:bidi w:val="0"/>
              <w:jc w:val="center"/>
              <w:textAlignment w:val="auto"/>
              <w:rPr>
                <w:rFonts w:hint="eastAsia" w:ascii="宋体" w:hAnsi="宋体" w:cs="宋体"/>
                <w:color w:val="auto"/>
                <w:highlight w:val="none"/>
              </w:rPr>
            </w:pPr>
          </w:p>
        </w:tc>
      </w:tr>
      <w:tr w14:paraId="4771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13B105D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拟在本项目担任的职务</w:t>
            </w:r>
          </w:p>
        </w:tc>
        <w:tc>
          <w:tcPr>
            <w:tcW w:w="2868" w:type="dxa"/>
            <w:noWrap w:val="0"/>
            <w:vAlign w:val="center"/>
          </w:tcPr>
          <w:p w14:paraId="0824E75B">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0AF7F77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年龄</w:t>
            </w:r>
          </w:p>
        </w:tc>
        <w:tc>
          <w:tcPr>
            <w:tcW w:w="2639" w:type="dxa"/>
            <w:noWrap w:val="0"/>
            <w:vAlign w:val="center"/>
          </w:tcPr>
          <w:p w14:paraId="2BDEA9F0">
            <w:pPr>
              <w:pageBreakBefore w:val="0"/>
              <w:kinsoku/>
              <w:wordWrap/>
              <w:overflowPunct/>
              <w:bidi w:val="0"/>
              <w:jc w:val="center"/>
              <w:textAlignment w:val="auto"/>
              <w:rPr>
                <w:rFonts w:hint="eastAsia" w:ascii="宋体" w:hAnsi="宋体" w:cs="宋体"/>
                <w:color w:val="auto"/>
                <w:highlight w:val="none"/>
              </w:rPr>
            </w:pPr>
          </w:p>
        </w:tc>
      </w:tr>
      <w:tr w14:paraId="6163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21E18C1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性别</w:t>
            </w:r>
          </w:p>
        </w:tc>
        <w:tc>
          <w:tcPr>
            <w:tcW w:w="2868" w:type="dxa"/>
            <w:noWrap w:val="0"/>
            <w:vAlign w:val="center"/>
          </w:tcPr>
          <w:p w14:paraId="3541C6A4">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0B9BC487">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毕业学校</w:t>
            </w:r>
          </w:p>
        </w:tc>
        <w:tc>
          <w:tcPr>
            <w:tcW w:w="2639" w:type="dxa"/>
            <w:noWrap w:val="0"/>
            <w:vAlign w:val="center"/>
          </w:tcPr>
          <w:p w14:paraId="0B410CCC">
            <w:pPr>
              <w:pageBreakBefore w:val="0"/>
              <w:kinsoku/>
              <w:wordWrap/>
              <w:overflowPunct/>
              <w:bidi w:val="0"/>
              <w:jc w:val="center"/>
              <w:textAlignment w:val="auto"/>
              <w:rPr>
                <w:rFonts w:hint="eastAsia" w:ascii="宋体" w:hAnsi="宋体" w:cs="宋体"/>
                <w:color w:val="auto"/>
                <w:highlight w:val="none"/>
              </w:rPr>
            </w:pPr>
          </w:p>
        </w:tc>
      </w:tr>
      <w:tr w14:paraId="1699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22EBFB5E">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学历和专业</w:t>
            </w:r>
          </w:p>
        </w:tc>
        <w:tc>
          <w:tcPr>
            <w:tcW w:w="2868" w:type="dxa"/>
            <w:noWrap w:val="0"/>
            <w:vAlign w:val="center"/>
          </w:tcPr>
          <w:p w14:paraId="628E3526">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3DE79C87">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毕业时间</w:t>
            </w:r>
          </w:p>
        </w:tc>
        <w:tc>
          <w:tcPr>
            <w:tcW w:w="2639" w:type="dxa"/>
            <w:noWrap w:val="0"/>
            <w:vAlign w:val="center"/>
          </w:tcPr>
          <w:p w14:paraId="565F0569">
            <w:pPr>
              <w:pageBreakBefore w:val="0"/>
              <w:kinsoku/>
              <w:wordWrap/>
              <w:overflowPunct/>
              <w:bidi w:val="0"/>
              <w:jc w:val="center"/>
              <w:textAlignment w:val="auto"/>
              <w:rPr>
                <w:rFonts w:hint="eastAsia" w:ascii="宋体" w:hAnsi="宋体" w:cs="宋体"/>
                <w:color w:val="auto"/>
                <w:highlight w:val="none"/>
              </w:rPr>
            </w:pPr>
          </w:p>
        </w:tc>
      </w:tr>
      <w:tr w14:paraId="00A1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2F8DB01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拥有的执业资格</w:t>
            </w:r>
          </w:p>
        </w:tc>
        <w:tc>
          <w:tcPr>
            <w:tcW w:w="2868" w:type="dxa"/>
            <w:noWrap w:val="0"/>
            <w:vAlign w:val="center"/>
          </w:tcPr>
          <w:p w14:paraId="426C2B45">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7255A0A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专业职称</w:t>
            </w:r>
          </w:p>
        </w:tc>
        <w:tc>
          <w:tcPr>
            <w:tcW w:w="2639" w:type="dxa"/>
            <w:noWrap w:val="0"/>
            <w:vAlign w:val="center"/>
          </w:tcPr>
          <w:p w14:paraId="6ABACA27">
            <w:pPr>
              <w:pageBreakBefore w:val="0"/>
              <w:kinsoku/>
              <w:wordWrap/>
              <w:overflowPunct/>
              <w:bidi w:val="0"/>
              <w:jc w:val="center"/>
              <w:textAlignment w:val="auto"/>
              <w:rPr>
                <w:rFonts w:hint="eastAsia" w:ascii="宋体" w:hAnsi="宋体" w:cs="宋体"/>
                <w:color w:val="auto"/>
                <w:highlight w:val="none"/>
              </w:rPr>
            </w:pPr>
          </w:p>
        </w:tc>
      </w:tr>
      <w:tr w14:paraId="112F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0BE205C6">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执业资格证书编号</w:t>
            </w:r>
          </w:p>
        </w:tc>
        <w:tc>
          <w:tcPr>
            <w:tcW w:w="2868" w:type="dxa"/>
            <w:noWrap w:val="0"/>
            <w:vAlign w:val="center"/>
          </w:tcPr>
          <w:p w14:paraId="0117D17B">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7C8172F5">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工作年限</w:t>
            </w:r>
          </w:p>
        </w:tc>
        <w:tc>
          <w:tcPr>
            <w:tcW w:w="2639" w:type="dxa"/>
            <w:noWrap w:val="0"/>
            <w:vAlign w:val="center"/>
          </w:tcPr>
          <w:p w14:paraId="2A82DC04">
            <w:pPr>
              <w:pageBreakBefore w:val="0"/>
              <w:kinsoku/>
              <w:wordWrap/>
              <w:overflowPunct/>
              <w:bidi w:val="0"/>
              <w:jc w:val="center"/>
              <w:textAlignment w:val="auto"/>
              <w:rPr>
                <w:rFonts w:hint="eastAsia" w:ascii="宋体" w:hAnsi="宋体" w:cs="宋体"/>
                <w:color w:val="auto"/>
                <w:highlight w:val="none"/>
              </w:rPr>
            </w:pPr>
          </w:p>
        </w:tc>
      </w:tr>
      <w:tr w14:paraId="2920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42" w:hRule="atLeast"/>
          <w:jc w:val="center"/>
        </w:trPr>
        <w:tc>
          <w:tcPr>
            <w:tcW w:w="1938" w:type="dxa"/>
            <w:noWrap w:val="0"/>
            <w:vAlign w:val="center"/>
          </w:tcPr>
          <w:p w14:paraId="5809264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主要工作业绩及担任的主要工作</w:t>
            </w:r>
          </w:p>
        </w:tc>
        <w:tc>
          <w:tcPr>
            <w:tcW w:w="6714" w:type="dxa"/>
            <w:gridSpan w:val="3"/>
            <w:noWrap w:val="0"/>
            <w:vAlign w:val="center"/>
          </w:tcPr>
          <w:p w14:paraId="6B40A164">
            <w:pPr>
              <w:pageBreakBefore w:val="0"/>
              <w:kinsoku/>
              <w:wordWrap/>
              <w:overflowPunct/>
              <w:bidi w:val="0"/>
              <w:jc w:val="center"/>
              <w:textAlignment w:val="auto"/>
              <w:rPr>
                <w:rFonts w:hint="eastAsia" w:ascii="宋体" w:hAnsi="宋体" w:cs="宋体"/>
                <w:color w:val="auto"/>
                <w:highlight w:val="none"/>
              </w:rPr>
            </w:pPr>
          </w:p>
        </w:tc>
      </w:tr>
    </w:tbl>
    <w:p w14:paraId="61FB83F3">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p>
    <w:p w14:paraId="4FD81C18">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 xml:space="preserve">注：拟派往本项目的其他主要人员应分别填写简历表，并在表后提供相关证明材料等原件扫描件。注：应附身份证、学历证、职称证（若有）、执业资格证书、提供劳动合同（退休人员提供用工协议）或投标截止时间前近六个月社保等证明材料等原件扫描件；符合第一章 采购公告“供应商资格要求”中规定；人数符合第五章 </w:t>
      </w:r>
      <w:r>
        <w:rPr>
          <w:rFonts w:hint="eastAsia" w:ascii="宋体" w:hAnsi="宋体" w:cs="宋体"/>
          <w:color w:val="auto"/>
          <w:highlight w:val="none"/>
          <w:lang w:val="en-US" w:eastAsia="zh-CN"/>
        </w:rPr>
        <w:t>采购</w:t>
      </w:r>
      <w:r>
        <w:rPr>
          <w:rFonts w:hint="eastAsia" w:ascii="宋体" w:hAnsi="宋体" w:cs="宋体"/>
          <w:color w:val="auto"/>
          <w:highlight w:val="none"/>
        </w:rPr>
        <w:t>人要求“4.监理人员和试验检测仪器设备要求”</w:t>
      </w:r>
    </w:p>
    <w:p w14:paraId="4AF68D01">
      <w:pPr>
        <w:autoSpaceDE w:val="0"/>
        <w:autoSpaceDN w:val="0"/>
        <w:adjustRightInd w:val="0"/>
        <w:spacing w:line="360" w:lineRule="auto"/>
        <w:ind w:firstLine="210" w:firstLineChars="100"/>
        <w:jc w:val="left"/>
        <w:rPr>
          <w:rFonts w:hint="eastAsia" w:ascii="宋体" w:hAnsi="宋体" w:eastAsia="宋体" w:cs="宋体"/>
          <w:color w:val="auto"/>
          <w:szCs w:val="21"/>
          <w:highlight w:val="none"/>
        </w:rPr>
      </w:pPr>
    </w:p>
    <w:p w14:paraId="5D2D491A">
      <w:pPr>
        <w:tabs>
          <w:tab w:val="left" w:pos="360"/>
        </w:tabs>
        <w:spacing w:line="360" w:lineRule="auto"/>
        <w:jc w:val="left"/>
        <w:rPr>
          <w:rFonts w:hint="eastAsia" w:ascii="宋体" w:hAnsi="宋体" w:eastAsia="宋体" w:cs="宋体"/>
          <w:color w:val="auto"/>
          <w:szCs w:val="21"/>
          <w:highlight w:val="none"/>
        </w:rPr>
      </w:pPr>
      <w:bookmarkStart w:id="702" w:name="_Toc14407"/>
      <w:bookmarkStart w:id="703" w:name="_Toc15220"/>
      <w:bookmarkStart w:id="704" w:name="_Toc55303762"/>
      <w:bookmarkStart w:id="705" w:name="_Toc20046"/>
      <w:bookmarkStart w:id="706" w:name="_Toc31161"/>
      <w:bookmarkStart w:id="707" w:name="_Toc7657"/>
      <w:bookmarkStart w:id="708" w:name="_Toc3126"/>
      <w:bookmarkStart w:id="709" w:name="_Toc21658"/>
      <w:bookmarkStart w:id="710" w:name="_Toc18835"/>
      <w:bookmarkStart w:id="711" w:name="_Toc30263"/>
      <w:bookmarkStart w:id="712" w:name="_Toc22179"/>
      <w:bookmarkStart w:id="713" w:name="_Toc14929"/>
      <w:bookmarkStart w:id="714" w:name="_Toc55310075"/>
      <w:bookmarkStart w:id="715" w:name="_Toc55229804"/>
      <w:bookmarkStart w:id="716" w:name="_Toc440110298"/>
    </w:p>
    <w:p w14:paraId="6604F955">
      <w:pPr>
        <w:widowControl/>
        <w:spacing w:after="200" w:line="360" w:lineRule="auto"/>
        <w:jc w:val="center"/>
        <w:outlineLvl w:val="2"/>
        <w:rPr>
          <w:rFonts w:hint="eastAsia" w:ascii="宋体" w:hAnsi="宋体" w:eastAsia="宋体" w:cs="宋体"/>
          <w:b/>
          <w:bCs/>
          <w:color w:val="auto"/>
          <w:sz w:val="28"/>
          <w:szCs w:val="28"/>
          <w:highlight w:val="none"/>
        </w:rPr>
      </w:pPr>
      <w:r>
        <w:rPr>
          <w:rFonts w:hint="eastAsia" w:ascii="宋体" w:hAnsi="宋体" w:eastAsia="宋体" w:cs="宋体"/>
          <w:color w:val="auto"/>
          <w:szCs w:val="21"/>
          <w:highlight w:val="none"/>
        </w:rPr>
        <w:br w:type="page"/>
      </w:r>
      <w:bookmarkStart w:id="717" w:name="_Toc146929168"/>
      <w:bookmarkStart w:id="718" w:name="_Toc1373338788"/>
      <w:bookmarkStart w:id="719" w:name="_Toc1151925844"/>
      <w:bookmarkStart w:id="720" w:name="_Toc578919303"/>
      <w:bookmarkStart w:id="721" w:name="_Toc319810049"/>
      <w:r>
        <w:rPr>
          <w:rStyle w:val="62"/>
          <w:rFonts w:hint="eastAsia" w:ascii="宋体" w:hAnsi="宋体" w:eastAsia="宋体" w:cs="宋体"/>
          <w:b/>
          <w:bCs/>
          <w:color w:val="auto"/>
          <w:sz w:val="30"/>
          <w:szCs w:val="30"/>
          <w:highlight w:val="none"/>
          <w:lang w:val="en-US" w:eastAsia="zh-CN"/>
        </w:rPr>
        <w:t>十一、</w:t>
      </w:r>
      <w:r>
        <w:rPr>
          <w:rStyle w:val="62"/>
          <w:rFonts w:hint="eastAsia" w:ascii="宋体" w:hAnsi="宋体" w:eastAsia="宋体" w:cs="宋体"/>
          <w:sz w:val="30"/>
          <w:szCs w:val="30"/>
          <w:highlight w:val="none"/>
          <w:lang w:eastAsia="zh-CN"/>
        </w:rPr>
        <w:t>供应商</w:t>
      </w:r>
      <w:r>
        <w:rPr>
          <w:rStyle w:val="62"/>
          <w:rFonts w:hint="eastAsia" w:ascii="宋体" w:hAnsi="宋体" w:eastAsia="宋体" w:cs="宋体"/>
          <w:b/>
          <w:bCs/>
          <w:color w:val="auto"/>
          <w:sz w:val="30"/>
          <w:szCs w:val="30"/>
          <w:highlight w:val="none"/>
        </w:rPr>
        <w:t>认为</w:t>
      </w:r>
      <w:r>
        <w:rPr>
          <w:rStyle w:val="62"/>
          <w:rFonts w:hint="eastAsia" w:ascii="宋体" w:hAnsi="宋体" w:eastAsia="宋体" w:cs="宋体"/>
          <w:sz w:val="30"/>
          <w:szCs w:val="30"/>
          <w:highlight w:val="none"/>
          <w:lang w:eastAsia="zh-CN"/>
        </w:rPr>
        <w:t>需要</w:t>
      </w:r>
      <w:r>
        <w:rPr>
          <w:rStyle w:val="62"/>
          <w:rFonts w:hint="eastAsia" w:ascii="宋体" w:hAnsi="宋体" w:eastAsia="宋体" w:cs="宋体"/>
          <w:sz w:val="30"/>
          <w:szCs w:val="30"/>
          <w:highlight w:val="none"/>
          <w:lang w:val="en-US" w:eastAsia="zh-CN"/>
        </w:rPr>
        <w:t>补充</w:t>
      </w:r>
      <w:r>
        <w:rPr>
          <w:rStyle w:val="62"/>
          <w:rFonts w:hint="eastAsia" w:ascii="宋体" w:hAnsi="宋体" w:eastAsia="宋体" w:cs="宋体"/>
          <w:b/>
          <w:bCs/>
          <w:color w:val="auto"/>
          <w:sz w:val="30"/>
          <w:szCs w:val="30"/>
          <w:highlight w:val="none"/>
        </w:rPr>
        <w:t>的其它资料</w:t>
      </w:r>
      <w:bookmarkEnd w:id="717"/>
      <w:bookmarkEnd w:id="718"/>
      <w:bookmarkEnd w:id="719"/>
      <w:bookmarkEnd w:id="720"/>
      <w:bookmarkEnd w:id="721"/>
    </w:p>
    <w:p w14:paraId="3E34C781">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kern w:val="0"/>
          <w:sz w:val="24"/>
          <w:szCs w:val="24"/>
          <w:highlight w:val="none"/>
        </w:rPr>
        <w:t>采购文件规定的其他资料或</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认为有必要提供的相关资料，包括但不限于</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u w:val="single"/>
        </w:rPr>
        <w:t>开户许可</w:t>
      </w:r>
      <w:r>
        <w:rPr>
          <w:rFonts w:hint="eastAsia" w:ascii="宋体" w:hAnsi="宋体" w:cs="宋体"/>
          <w:color w:val="auto"/>
          <w:kern w:val="0"/>
          <w:sz w:val="24"/>
          <w:szCs w:val="24"/>
          <w:highlight w:val="none"/>
          <w:u w:val="single"/>
          <w:lang w:val="en-US" w:eastAsia="zh-CN"/>
        </w:rPr>
        <w:t>信息</w:t>
      </w:r>
      <w:r>
        <w:rPr>
          <w:rFonts w:hint="eastAsia" w:ascii="宋体" w:hAnsi="宋体" w:eastAsia="宋体" w:cs="宋体"/>
          <w:color w:val="auto"/>
          <w:kern w:val="0"/>
          <w:sz w:val="24"/>
          <w:szCs w:val="24"/>
          <w:highlight w:val="none"/>
          <w:u w:val="single"/>
        </w:rPr>
        <w:t>、所获荣誉</w:t>
      </w:r>
      <w:r>
        <w:rPr>
          <w:rFonts w:hint="eastAsia" w:ascii="宋体" w:hAnsi="宋体" w:eastAsia="宋体" w:cs="宋体"/>
          <w:color w:val="auto"/>
          <w:kern w:val="0"/>
          <w:sz w:val="24"/>
          <w:szCs w:val="24"/>
          <w:highlight w:val="none"/>
        </w:rPr>
        <w:t>等的复印件</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格式自拟</w:t>
      </w:r>
      <w:r>
        <w:rPr>
          <w:rFonts w:hint="eastAsia" w:ascii="宋体" w:hAnsi="宋体" w:cs="宋体"/>
          <w:color w:val="auto"/>
          <w:kern w:val="0"/>
          <w:sz w:val="24"/>
          <w:szCs w:val="24"/>
          <w:highlight w:val="none"/>
          <w:lang w:eastAsia="zh-CN"/>
        </w:rPr>
        <w:t>）</w:t>
      </w:r>
    </w:p>
    <w:p w14:paraId="56D7FB1C">
      <w:pPr>
        <w:rPr>
          <w:rFonts w:hint="eastAsia" w:ascii="宋体" w:hAnsi="宋体" w:eastAsia="宋体" w:cs="宋体"/>
          <w:color w:val="auto"/>
          <w:highlight w:val="none"/>
        </w:rPr>
      </w:pPr>
      <w:r>
        <w:rPr>
          <w:rFonts w:hint="eastAsia" w:ascii="宋体" w:hAnsi="宋体" w:eastAsia="宋体" w:cs="宋体"/>
          <w:bCs w:val="0"/>
          <w:color w:val="auto"/>
          <w:szCs w:val="21"/>
          <w:highlight w:val="none"/>
        </w:rPr>
        <w:br w:type="page"/>
      </w:r>
    </w:p>
    <w:p w14:paraId="1D269DD7">
      <w:pPr>
        <w:keepNext/>
        <w:keepLines/>
        <w:pageBreakBefore w:val="0"/>
        <w:widowControl w:val="0"/>
        <w:kinsoku/>
        <w:wordWrap/>
        <w:overflowPunct/>
        <w:topLinePunct w:val="0"/>
        <w:autoSpaceDE/>
        <w:autoSpaceDN/>
        <w:bidi w:val="0"/>
        <w:adjustRightInd/>
        <w:snapToGrid/>
        <w:spacing w:after="200"/>
        <w:ind w:firstLineChars="0"/>
        <w:jc w:val="center"/>
        <w:textAlignment w:val="auto"/>
        <w:outlineLvl w:val="1"/>
        <w:rPr>
          <w:rFonts w:hint="default" w:ascii="宋体" w:hAnsi="宋体" w:eastAsia="宋体" w:cs="宋体"/>
          <w:color w:val="auto"/>
          <w:highlight w:val="none"/>
          <w:lang w:val="en-US" w:eastAsia="zh-CN"/>
        </w:rPr>
      </w:pPr>
      <w:bookmarkStart w:id="722" w:name="_Toc1589723359"/>
      <w:bookmarkStart w:id="723" w:name="_Toc1324493323"/>
      <w:bookmarkStart w:id="724" w:name="_Toc468108608"/>
      <w:bookmarkStart w:id="725" w:name="_Toc1004565936"/>
      <w:bookmarkStart w:id="726" w:name="_Toc1102110527"/>
      <w:r>
        <w:rPr>
          <w:rStyle w:val="62"/>
          <w:rFonts w:hint="eastAsia" w:ascii="宋体" w:hAnsi="宋体" w:cs="宋体"/>
          <w:color w:val="auto"/>
          <w:sz w:val="32"/>
          <w:szCs w:val="32"/>
          <w:highlight w:val="none"/>
          <w:lang w:eastAsia="zh-TW"/>
        </w:rPr>
        <w:t>第</w:t>
      </w:r>
      <w:r>
        <w:rPr>
          <w:rStyle w:val="62"/>
          <w:rFonts w:hint="eastAsia" w:ascii="宋体" w:hAnsi="宋体" w:cs="宋体"/>
          <w:color w:val="auto"/>
          <w:sz w:val="32"/>
          <w:szCs w:val="32"/>
          <w:highlight w:val="none"/>
          <w:lang w:val="en-US" w:eastAsia="zh-CN"/>
        </w:rPr>
        <w:t>三</w:t>
      </w:r>
      <w:r>
        <w:rPr>
          <w:rStyle w:val="62"/>
          <w:rFonts w:hint="eastAsia" w:ascii="宋体" w:hAnsi="宋体" w:cs="宋体"/>
          <w:color w:val="auto"/>
          <w:sz w:val="32"/>
          <w:szCs w:val="32"/>
          <w:highlight w:val="none"/>
          <w:lang w:eastAsia="zh-TW"/>
        </w:rPr>
        <w:t>部分</w:t>
      </w:r>
      <w:r>
        <w:rPr>
          <w:rStyle w:val="62"/>
          <w:rFonts w:hint="eastAsia" w:ascii="宋体" w:hAnsi="宋体" w:cs="宋体"/>
          <w:color w:val="auto"/>
          <w:sz w:val="32"/>
          <w:szCs w:val="32"/>
          <w:highlight w:val="none"/>
        </w:rPr>
        <w:t xml:space="preserve">  </w:t>
      </w:r>
      <w:r>
        <w:rPr>
          <w:rStyle w:val="62"/>
          <w:rFonts w:hint="eastAsia" w:ascii="宋体" w:hAnsi="宋体" w:cs="宋体"/>
          <w:color w:val="auto"/>
          <w:sz w:val="32"/>
          <w:szCs w:val="32"/>
          <w:highlight w:val="none"/>
          <w:lang w:val="en-US" w:eastAsia="zh-CN"/>
        </w:rPr>
        <w:t>技术</w:t>
      </w:r>
      <w:r>
        <w:rPr>
          <w:rStyle w:val="62"/>
          <w:rFonts w:hint="eastAsia" w:ascii="宋体" w:hAnsi="宋体" w:cs="宋体"/>
          <w:color w:val="auto"/>
          <w:sz w:val="32"/>
          <w:szCs w:val="32"/>
          <w:highlight w:val="none"/>
          <w:lang w:eastAsia="zh-TW"/>
        </w:rPr>
        <w:t>部分</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22"/>
      <w:bookmarkEnd w:id="723"/>
      <w:bookmarkEnd w:id="724"/>
      <w:bookmarkEnd w:id="725"/>
      <w:bookmarkEnd w:id="726"/>
    </w:p>
    <w:p w14:paraId="2F1B0D23">
      <w:pPr>
        <w:pageBreakBefore w:val="0"/>
        <w:kinsoku/>
        <w:wordWrap/>
        <w:overflowPunct/>
        <w:bidi w:val="0"/>
        <w:spacing w:after="200" w:line="360" w:lineRule="auto"/>
        <w:jc w:val="center"/>
        <w:textAlignment w:val="auto"/>
        <w:outlineLvl w:val="2"/>
        <w:rPr>
          <w:rStyle w:val="62"/>
          <w:rFonts w:hint="default" w:ascii="宋体" w:hAnsi="宋体" w:cs="宋体"/>
          <w:color w:val="auto"/>
          <w:sz w:val="30"/>
          <w:szCs w:val="30"/>
          <w:highlight w:val="none"/>
        </w:rPr>
      </w:pPr>
      <w:bookmarkStart w:id="727" w:name="_Toc10616"/>
      <w:bookmarkStart w:id="728" w:name="_Toc16507"/>
      <w:bookmarkStart w:id="729" w:name="_Toc357542501"/>
      <w:bookmarkStart w:id="730" w:name="_Toc1095311826"/>
      <w:bookmarkStart w:id="731" w:name="_Toc1572547260"/>
      <w:bookmarkStart w:id="732" w:name="_Toc282931410"/>
      <w:bookmarkStart w:id="733" w:name="_Toc202867489"/>
      <w:r>
        <w:rPr>
          <w:rStyle w:val="62"/>
          <w:rFonts w:hint="eastAsia" w:ascii="宋体" w:hAnsi="宋体" w:cs="宋体"/>
          <w:color w:val="auto"/>
          <w:sz w:val="30"/>
          <w:szCs w:val="30"/>
          <w:highlight w:val="none"/>
        </w:rPr>
        <w:t>一、技术方案</w:t>
      </w:r>
      <w:bookmarkEnd w:id="727"/>
      <w:bookmarkEnd w:id="728"/>
    </w:p>
    <w:bookmarkEnd w:id="729"/>
    <w:bookmarkEnd w:id="730"/>
    <w:bookmarkEnd w:id="731"/>
    <w:bookmarkEnd w:id="732"/>
    <w:bookmarkEnd w:id="733"/>
    <w:p w14:paraId="27002F3E">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2D4C663D">
      <w:pPr>
        <w:pageBreakBefore w:val="0"/>
        <w:kinsoku/>
        <w:wordWrap/>
        <w:overflowPunct/>
        <w:bidi w:val="0"/>
        <w:spacing w:after="200" w:line="360" w:lineRule="auto"/>
        <w:textAlignment w:val="auto"/>
        <w:rPr>
          <w:rFonts w:hint="eastAsia" w:ascii="宋体" w:hAnsi="宋体" w:cs="宋体"/>
          <w:bCs/>
          <w:color w:val="auto"/>
          <w:highlight w:val="none"/>
        </w:rPr>
      </w:pPr>
      <w:r>
        <w:rPr>
          <w:rFonts w:hint="eastAsia" w:ascii="宋体" w:hAnsi="宋体" w:cs="宋体"/>
          <w:bCs/>
          <w:color w:val="auto"/>
          <w:highlight w:val="none"/>
          <w:lang w:val="en-US" w:eastAsia="zh-CN"/>
        </w:rPr>
        <w:t>供应商</w:t>
      </w:r>
      <w:r>
        <w:rPr>
          <w:rFonts w:hint="eastAsia" w:ascii="宋体" w:hAnsi="宋体" w:cs="宋体"/>
          <w:bCs/>
          <w:color w:val="auto"/>
          <w:highlight w:val="none"/>
        </w:rPr>
        <w:t>格式自拟，应包括但不限于以下内容（应</w:t>
      </w:r>
      <w:r>
        <w:rPr>
          <w:rFonts w:hint="eastAsia" w:ascii="宋体" w:hAnsi="宋体" w:cs="宋体"/>
          <w:bCs/>
          <w:color w:val="auto"/>
          <w:highlight w:val="none"/>
          <w:lang w:val="en-US" w:eastAsia="zh-CN"/>
        </w:rPr>
        <w:t>严格</w:t>
      </w:r>
      <w:r>
        <w:rPr>
          <w:rFonts w:hint="eastAsia" w:ascii="宋体" w:hAnsi="宋体" w:cs="宋体"/>
          <w:bCs/>
          <w:color w:val="auto"/>
          <w:highlight w:val="none"/>
        </w:rPr>
        <w:t>对照评标评审因素</w:t>
      </w:r>
      <w:r>
        <w:rPr>
          <w:rFonts w:hint="eastAsia" w:ascii="宋体" w:hAnsi="宋体" w:cs="宋体"/>
          <w:bCs/>
          <w:color w:val="auto"/>
          <w:highlight w:val="none"/>
          <w:lang w:val="en-US" w:eastAsia="zh-CN"/>
        </w:rPr>
        <w:t>进行论述，可</w:t>
      </w:r>
      <w:r>
        <w:rPr>
          <w:rFonts w:hint="eastAsia" w:ascii="宋体" w:hAnsi="宋体" w:cs="宋体"/>
          <w:bCs/>
          <w:color w:val="auto"/>
          <w:highlight w:val="none"/>
        </w:rPr>
        <w:t>做适当补充）：</w:t>
      </w:r>
    </w:p>
    <w:p w14:paraId="4C290B80">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一、监理工程概况；</w:t>
      </w:r>
    </w:p>
    <w:p w14:paraId="5F7EE071">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二、监理范围、监理内容；</w:t>
      </w:r>
    </w:p>
    <w:p w14:paraId="1B9925C1">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三、监理依据、监理工作目标；</w:t>
      </w:r>
    </w:p>
    <w:p w14:paraId="7346228B">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四、监理机构设置（框图）、岗位职责；</w:t>
      </w:r>
    </w:p>
    <w:p w14:paraId="5775B140">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五、监理工作程序、方法和制度；</w:t>
      </w:r>
    </w:p>
    <w:p w14:paraId="04A3F287">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六、拟投入的监理人员、试验检测仪器设备；</w:t>
      </w:r>
    </w:p>
    <w:p w14:paraId="458AFA7C">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七、质量、进度、造价、安全、环保监理措施；</w:t>
      </w:r>
    </w:p>
    <w:p w14:paraId="08E177E9">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八、合同、信息管理方案；</w:t>
      </w:r>
    </w:p>
    <w:p w14:paraId="161C6047">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九、组织协调内容及措施；</w:t>
      </w:r>
    </w:p>
    <w:p w14:paraId="7037016B">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十、监理工作重点、难点分析；</w:t>
      </w:r>
    </w:p>
    <w:p w14:paraId="3497311F">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十一、对本工程监理的合理化建议。</w:t>
      </w:r>
    </w:p>
    <w:p w14:paraId="1C078E63">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39DF7A94">
      <w:pPr>
        <w:pageBreakBefore w:val="0"/>
        <w:kinsoku/>
        <w:wordWrap/>
        <w:overflowPunct/>
        <w:bidi w:val="0"/>
        <w:spacing w:after="200" w:line="360" w:lineRule="auto"/>
        <w:textAlignment w:val="auto"/>
        <w:rPr>
          <w:rFonts w:hint="eastAsia" w:ascii="宋体" w:hAnsi="宋体" w:cs="宋体"/>
          <w:bCs/>
          <w:color w:val="auto"/>
          <w:highlight w:val="none"/>
        </w:rPr>
      </w:pPr>
    </w:p>
    <w:p w14:paraId="7B7F9366">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734" w:name="_Toc14730"/>
      <w:r>
        <w:rPr>
          <w:rStyle w:val="62"/>
          <w:rFonts w:hint="eastAsia" w:ascii="宋体" w:hAnsi="宋体" w:cs="宋体"/>
          <w:color w:val="auto"/>
          <w:sz w:val="30"/>
          <w:szCs w:val="30"/>
          <w:highlight w:val="none"/>
        </w:rPr>
        <w:br w:type="page"/>
      </w:r>
      <w:bookmarkStart w:id="735" w:name="_Toc446918277"/>
      <w:bookmarkStart w:id="736" w:name="_Toc522982945"/>
      <w:bookmarkStart w:id="737" w:name="_Toc2041108695"/>
      <w:bookmarkStart w:id="738" w:name="_Toc609437126"/>
      <w:bookmarkStart w:id="739" w:name="_Toc716700447"/>
      <w:r>
        <w:rPr>
          <w:rStyle w:val="62"/>
          <w:rFonts w:hint="eastAsia" w:ascii="宋体" w:hAnsi="宋体" w:cs="宋体"/>
          <w:color w:val="auto"/>
          <w:sz w:val="30"/>
          <w:szCs w:val="30"/>
          <w:highlight w:val="none"/>
        </w:rPr>
        <w:t>二、监理人员进场时间安排表</w:t>
      </w:r>
      <w:bookmarkEnd w:id="734"/>
    </w:p>
    <w:bookmarkEnd w:id="735"/>
    <w:bookmarkEnd w:id="736"/>
    <w:bookmarkEnd w:id="737"/>
    <w:bookmarkEnd w:id="738"/>
    <w:bookmarkEnd w:id="739"/>
    <w:p w14:paraId="103E29F7">
      <w:pPr>
        <w:pageBreakBefore w:val="0"/>
        <w:kinsoku/>
        <w:wordWrap/>
        <w:overflowPunct/>
        <w:bidi w:val="0"/>
        <w:spacing w:after="200" w:line="360" w:lineRule="auto"/>
        <w:textAlignment w:val="auto"/>
        <w:rPr>
          <w:rFonts w:hint="eastAsia" w:ascii="宋体" w:hAnsi="宋体" w:cs="宋体"/>
          <w:bCs/>
          <w:color w:val="auto"/>
          <w:highlight w:val="none"/>
        </w:rPr>
      </w:pPr>
      <w:r>
        <w:rPr>
          <w:rFonts w:hint="eastAsia" w:ascii="宋体" w:hAnsi="宋体" w:cs="宋体"/>
          <w:bCs/>
          <w:color w:val="auto"/>
          <w:highlight w:val="none"/>
        </w:rPr>
        <w:t>项目名称：</w:t>
      </w:r>
      <w:r>
        <w:rPr>
          <w:rFonts w:hint="eastAsia" w:ascii="宋体" w:hAnsi="宋体" w:cs="宋体"/>
          <w:bCs/>
          <w:color w:val="auto"/>
          <w:highlight w:val="none"/>
          <w:u w:val="single"/>
        </w:rPr>
        <w:t xml:space="preserve">      </w:t>
      </w:r>
      <w:r>
        <w:rPr>
          <w:rFonts w:hint="eastAsia" w:ascii="宋体" w:hAnsi="宋体" w:cs="宋体"/>
          <w:bCs/>
          <w:color w:val="auto"/>
          <w:highlight w:val="none"/>
        </w:rPr>
        <w:t>（项目名称）</w:t>
      </w:r>
    </w:p>
    <w:tbl>
      <w:tblPr>
        <w:tblStyle w:val="49"/>
        <w:tblW w:w="8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294"/>
        <w:gridCol w:w="1130"/>
        <w:gridCol w:w="3843"/>
        <w:gridCol w:w="1303"/>
      </w:tblGrid>
      <w:tr w14:paraId="5EFD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4" w:hRule="exact"/>
          <w:jc w:val="center"/>
        </w:trPr>
        <w:tc>
          <w:tcPr>
            <w:tcW w:w="775" w:type="dxa"/>
            <w:noWrap w:val="0"/>
            <w:vAlign w:val="center"/>
          </w:tcPr>
          <w:p w14:paraId="40003275">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序号</w:t>
            </w:r>
          </w:p>
        </w:tc>
        <w:tc>
          <w:tcPr>
            <w:tcW w:w="1294" w:type="dxa"/>
            <w:noWrap w:val="0"/>
            <w:vAlign w:val="center"/>
          </w:tcPr>
          <w:p w14:paraId="5C842492">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姓名</w:t>
            </w:r>
          </w:p>
        </w:tc>
        <w:tc>
          <w:tcPr>
            <w:tcW w:w="1130" w:type="dxa"/>
            <w:noWrap w:val="0"/>
            <w:vAlign w:val="center"/>
          </w:tcPr>
          <w:p w14:paraId="7D0D4900">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职务</w:t>
            </w:r>
          </w:p>
        </w:tc>
        <w:tc>
          <w:tcPr>
            <w:tcW w:w="3843" w:type="dxa"/>
            <w:noWrap w:val="0"/>
            <w:vAlign w:val="center"/>
          </w:tcPr>
          <w:p w14:paraId="7AB14A07">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进场时间</w:t>
            </w:r>
          </w:p>
        </w:tc>
        <w:tc>
          <w:tcPr>
            <w:tcW w:w="1303" w:type="dxa"/>
            <w:noWrap w:val="0"/>
            <w:vAlign w:val="center"/>
          </w:tcPr>
          <w:p w14:paraId="3573104F">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备注</w:t>
            </w:r>
          </w:p>
        </w:tc>
      </w:tr>
      <w:tr w14:paraId="32AA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315FC1CB">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1</w:t>
            </w:r>
          </w:p>
        </w:tc>
        <w:tc>
          <w:tcPr>
            <w:tcW w:w="1294" w:type="dxa"/>
            <w:noWrap w:val="0"/>
            <w:vAlign w:val="center"/>
          </w:tcPr>
          <w:p w14:paraId="382A403F">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30E75DDD">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72CF49C3">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4650DA2E">
            <w:pPr>
              <w:pageBreakBefore w:val="0"/>
              <w:kinsoku/>
              <w:wordWrap/>
              <w:overflowPunct/>
              <w:bidi w:val="0"/>
              <w:jc w:val="center"/>
              <w:textAlignment w:val="auto"/>
              <w:rPr>
                <w:rFonts w:hint="eastAsia" w:ascii="宋体" w:hAnsi="宋体" w:cs="宋体"/>
                <w:bCs/>
                <w:color w:val="auto"/>
                <w:highlight w:val="none"/>
              </w:rPr>
            </w:pPr>
          </w:p>
        </w:tc>
      </w:tr>
      <w:tr w14:paraId="65DB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5C8ED092">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2</w:t>
            </w:r>
          </w:p>
        </w:tc>
        <w:tc>
          <w:tcPr>
            <w:tcW w:w="1294" w:type="dxa"/>
            <w:noWrap w:val="0"/>
            <w:vAlign w:val="center"/>
          </w:tcPr>
          <w:p w14:paraId="48659E3E">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3CA6CB9E">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54D87348">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5F21C067">
            <w:pPr>
              <w:pageBreakBefore w:val="0"/>
              <w:kinsoku/>
              <w:wordWrap/>
              <w:overflowPunct/>
              <w:bidi w:val="0"/>
              <w:jc w:val="center"/>
              <w:textAlignment w:val="auto"/>
              <w:rPr>
                <w:rFonts w:hint="eastAsia" w:ascii="宋体" w:hAnsi="宋体" w:cs="宋体"/>
                <w:bCs/>
                <w:color w:val="auto"/>
                <w:highlight w:val="none"/>
              </w:rPr>
            </w:pPr>
          </w:p>
        </w:tc>
      </w:tr>
      <w:tr w14:paraId="3E44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6DB04AA3">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3</w:t>
            </w:r>
          </w:p>
        </w:tc>
        <w:tc>
          <w:tcPr>
            <w:tcW w:w="1294" w:type="dxa"/>
            <w:noWrap w:val="0"/>
            <w:vAlign w:val="center"/>
          </w:tcPr>
          <w:p w14:paraId="2B3EC201">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68524994">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19F51DB9">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0E6E56AC">
            <w:pPr>
              <w:pageBreakBefore w:val="0"/>
              <w:kinsoku/>
              <w:wordWrap/>
              <w:overflowPunct/>
              <w:bidi w:val="0"/>
              <w:jc w:val="center"/>
              <w:textAlignment w:val="auto"/>
              <w:rPr>
                <w:rFonts w:hint="eastAsia" w:ascii="宋体" w:hAnsi="宋体" w:cs="宋体"/>
                <w:bCs/>
                <w:color w:val="auto"/>
                <w:highlight w:val="none"/>
              </w:rPr>
            </w:pPr>
          </w:p>
        </w:tc>
      </w:tr>
      <w:tr w14:paraId="77BB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0992B87E">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4</w:t>
            </w:r>
          </w:p>
        </w:tc>
        <w:tc>
          <w:tcPr>
            <w:tcW w:w="1294" w:type="dxa"/>
            <w:noWrap w:val="0"/>
            <w:vAlign w:val="center"/>
          </w:tcPr>
          <w:p w14:paraId="642D073B">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0FF7D93A">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0FD3F44F">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6703A143">
            <w:pPr>
              <w:pageBreakBefore w:val="0"/>
              <w:kinsoku/>
              <w:wordWrap/>
              <w:overflowPunct/>
              <w:bidi w:val="0"/>
              <w:jc w:val="center"/>
              <w:textAlignment w:val="auto"/>
              <w:rPr>
                <w:rFonts w:hint="eastAsia" w:ascii="宋体" w:hAnsi="宋体" w:cs="宋体"/>
                <w:bCs/>
                <w:color w:val="auto"/>
                <w:highlight w:val="none"/>
              </w:rPr>
            </w:pPr>
          </w:p>
        </w:tc>
      </w:tr>
      <w:tr w14:paraId="214E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1AEA44BE">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w:t>
            </w:r>
          </w:p>
        </w:tc>
        <w:tc>
          <w:tcPr>
            <w:tcW w:w="1294" w:type="dxa"/>
            <w:noWrap w:val="0"/>
            <w:vAlign w:val="center"/>
          </w:tcPr>
          <w:p w14:paraId="595FE649">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240E4076">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4BD4E765">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490639B6">
            <w:pPr>
              <w:pageBreakBefore w:val="0"/>
              <w:kinsoku/>
              <w:wordWrap/>
              <w:overflowPunct/>
              <w:bidi w:val="0"/>
              <w:jc w:val="center"/>
              <w:textAlignment w:val="auto"/>
              <w:rPr>
                <w:rFonts w:hint="eastAsia" w:ascii="宋体" w:hAnsi="宋体" w:cs="宋体"/>
                <w:bCs/>
                <w:color w:val="auto"/>
                <w:highlight w:val="none"/>
              </w:rPr>
            </w:pPr>
          </w:p>
        </w:tc>
      </w:tr>
      <w:tr w14:paraId="19A4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10AD582C">
            <w:pPr>
              <w:pageBreakBefore w:val="0"/>
              <w:kinsoku/>
              <w:wordWrap/>
              <w:overflowPunct/>
              <w:bidi w:val="0"/>
              <w:jc w:val="center"/>
              <w:textAlignment w:val="auto"/>
              <w:rPr>
                <w:rFonts w:hint="eastAsia" w:ascii="宋体" w:hAnsi="宋体" w:cs="宋体"/>
                <w:bCs/>
                <w:color w:val="auto"/>
                <w:highlight w:val="none"/>
              </w:rPr>
            </w:pPr>
          </w:p>
        </w:tc>
        <w:tc>
          <w:tcPr>
            <w:tcW w:w="1294" w:type="dxa"/>
            <w:noWrap w:val="0"/>
            <w:vAlign w:val="center"/>
          </w:tcPr>
          <w:p w14:paraId="341B2AB6">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3C4B4560">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2E947C69">
            <w:pPr>
              <w:pageBreakBefore w:val="0"/>
              <w:kinsoku/>
              <w:wordWrap/>
              <w:overflowPunct/>
              <w:bidi w:val="0"/>
              <w:jc w:val="center"/>
              <w:textAlignment w:val="auto"/>
              <w:rPr>
                <w:rFonts w:hint="eastAsia" w:ascii="宋体" w:hAnsi="宋体" w:cs="宋体"/>
                <w:bCs/>
                <w:color w:val="auto"/>
                <w:highlight w:val="none"/>
              </w:rPr>
            </w:pPr>
          </w:p>
        </w:tc>
        <w:tc>
          <w:tcPr>
            <w:tcW w:w="1303" w:type="dxa"/>
            <w:noWrap w:val="0"/>
            <w:vAlign w:val="center"/>
          </w:tcPr>
          <w:p w14:paraId="7285F9DA">
            <w:pPr>
              <w:pageBreakBefore w:val="0"/>
              <w:kinsoku/>
              <w:wordWrap/>
              <w:overflowPunct/>
              <w:bidi w:val="0"/>
              <w:jc w:val="center"/>
              <w:textAlignment w:val="auto"/>
              <w:rPr>
                <w:rFonts w:hint="eastAsia" w:ascii="宋体" w:hAnsi="宋体" w:cs="宋体"/>
                <w:bCs/>
                <w:color w:val="auto"/>
                <w:highlight w:val="none"/>
              </w:rPr>
            </w:pPr>
          </w:p>
        </w:tc>
      </w:tr>
      <w:tr w14:paraId="6588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5891C9AD">
            <w:pPr>
              <w:pageBreakBefore w:val="0"/>
              <w:kinsoku/>
              <w:wordWrap/>
              <w:overflowPunct/>
              <w:bidi w:val="0"/>
              <w:jc w:val="center"/>
              <w:textAlignment w:val="auto"/>
              <w:rPr>
                <w:rFonts w:hint="eastAsia" w:ascii="宋体" w:hAnsi="宋体" w:cs="宋体"/>
                <w:bCs/>
                <w:color w:val="auto"/>
                <w:highlight w:val="none"/>
              </w:rPr>
            </w:pPr>
          </w:p>
        </w:tc>
        <w:tc>
          <w:tcPr>
            <w:tcW w:w="1294" w:type="dxa"/>
            <w:noWrap w:val="0"/>
            <w:vAlign w:val="center"/>
          </w:tcPr>
          <w:p w14:paraId="7473C034">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0FD1D55C">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51E14B1D">
            <w:pPr>
              <w:pageBreakBefore w:val="0"/>
              <w:kinsoku/>
              <w:wordWrap/>
              <w:overflowPunct/>
              <w:bidi w:val="0"/>
              <w:jc w:val="center"/>
              <w:textAlignment w:val="auto"/>
              <w:rPr>
                <w:rFonts w:hint="eastAsia" w:ascii="宋体" w:hAnsi="宋体" w:cs="宋体"/>
                <w:bCs/>
                <w:color w:val="auto"/>
                <w:highlight w:val="none"/>
              </w:rPr>
            </w:pPr>
          </w:p>
        </w:tc>
        <w:tc>
          <w:tcPr>
            <w:tcW w:w="1303" w:type="dxa"/>
            <w:noWrap w:val="0"/>
            <w:vAlign w:val="center"/>
          </w:tcPr>
          <w:p w14:paraId="1F88FC62">
            <w:pPr>
              <w:pageBreakBefore w:val="0"/>
              <w:kinsoku/>
              <w:wordWrap/>
              <w:overflowPunct/>
              <w:bidi w:val="0"/>
              <w:jc w:val="center"/>
              <w:textAlignment w:val="auto"/>
              <w:rPr>
                <w:rFonts w:hint="eastAsia" w:ascii="宋体" w:hAnsi="宋体" w:cs="宋体"/>
                <w:bCs/>
                <w:color w:val="auto"/>
                <w:highlight w:val="none"/>
              </w:rPr>
            </w:pPr>
          </w:p>
        </w:tc>
      </w:tr>
      <w:tr w14:paraId="0CC8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5059EA7B">
            <w:pPr>
              <w:pageBreakBefore w:val="0"/>
              <w:kinsoku/>
              <w:wordWrap/>
              <w:overflowPunct/>
              <w:bidi w:val="0"/>
              <w:jc w:val="center"/>
              <w:textAlignment w:val="auto"/>
              <w:rPr>
                <w:rFonts w:hint="eastAsia" w:ascii="宋体" w:hAnsi="宋体" w:cs="宋体"/>
                <w:bCs/>
                <w:color w:val="auto"/>
                <w:highlight w:val="none"/>
              </w:rPr>
            </w:pPr>
          </w:p>
        </w:tc>
        <w:tc>
          <w:tcPr>
            <w:tcW w:w="1294" w:type="dxa"/>
            <w:noWrap w:val="0"/>
            <w:vAlign w:val="center"/>
          </w:tcPr>
          <w:p w14:paraId="41010F31">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5B849794">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5063D596">
            <w:pPr>
              <w:pageBreakBefore w:val="0"/>
              <w:kinsoku/>
              <w:wordWrap/>
              <w:overflowPunct/>
              <w:bidi w:val="0"/>
              <w:jc w:val="center"/>
              <w:textAlignment w:val="auto"/>
              <w:rPr>
                <w:rFonts w:hint="eastAsia" w:ascii="宋体" w:hAnsi="宋体" w:cs="宋体"/>
                <w:bCs/>
                <w:color w:val="auto"/>
                <w:highlight w:val="none"/>
              </w:rPr>
            </w:pPr>
          </w:p>
        </w:tc>
        <w:tc>
          <w:tcPr>
            <w:tcW w:w="1303" w:type="dxa"/>
            <w:noWrap w:val="0"/>
            <w:vAlign w:val="center"/>
          </w:tcPr>
          <w:p w14:paraId="0E58B91D">
            <w:pPr>
              <w:pageBreakBefore w:val="0"/>
              <w:kinsoku/>
              <w:wordWrap/>
              <w:overflowPunct/>
              <w:bidi w:val="0"/>
              <w:jc w:val="center"/>
              <w:textAlignment w:val="auto"/>
              <w:rPr>
                <w:rFonts w:hint="eastAsia" w:ascii="宋体" w:hAnsi="宋体" w:cs="宋体"/>
                <w:bCs/>
                <w:color w:val="auto"/>
                <w:highlight w:val="none"/>
              </w:rPr>
            </w:pPr>
          </w:p>
        </w:tc>
      </w:tr>
    </w:tbl>
    <w:p w14:paraId="3F5E5FAE">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1D08B98F">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7F538E5F">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55CDEFB5">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签字或签章</w:t>
      </w:r>
      <w:r>
        <w:rPr>
          <w:rFonts w:hint="eastAsia" w:ascii="宋体" w:hAnsi="宋体" w:cs="宋体"/>
          <w:color w:val="auto"/>
          <w:highlight w:val="none"/>
        </w:rPr>
        <w:t>）</w:t>
      </w:r>
    </w:p>
    <w:p w14:paraId="7164AE3E">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0914D613">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2AEB9CDE">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2D9232D8">
      <w:pPr>
        <w:pageBreakBefore w:val="0"/>
        <w:kinsoku/>
        <w:wordWrap/>
        <w:overflowPunct/>
        <w:bidi w:val="0"/>
        <w:snapToGrid w:val="0"/>
        <w:spacing w:after="200" w:line="360" w:lineRule="auto"/>
        <w:textAlignment w:val="auto"/>
        <w:rPr>
          <w:rFonts w:hint="eastAsia" w:ascii="宋体" w:hAnsi="宋体" w:cs="宋体"/>
          <w:color w:val="auto"/>
          <w:highlight w:val="none"/>
        </w:rPr>
      </w:pPr>
    </w:p>
    <w:p w14:paraId="507B981C">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740" w:name="_Toc28916"/>
      <w:r>
        <w:rPr>
          <w:rStyle w:val="62"/>
          <w:rFonts w:hint="eastAsia" w:ascii="宋体" w:hAnsi="宋体" w:cs="宋体"/>
          <w:color w:val="auto"/>
          <w:sz w:val="30"/>
          <w:szCs w:val="30"/>
          <w:highlight w:val="none"/>
        </w:rPr>
        <w:br w:type="page"/>
      </w:r>
      <w:bookmarkStart w:id="741" w:name="_Toc55951836"/>
      <w:bookmarkStart w:id="742" w:name="_Toc1242469676"/>
      <w:bookmarkStart w:id="743" w:name="_Toc1421811480"/>
      <w:bookmarkStart w:id="744" w:name="_Toc1823561827"/>
      <w:bookmarkStart w:id="745" w:name="_Toc1539117073"/>
      <w:r>
        <w:rPr>
          <w:rStyle w:val="62"/>
          <w:rFonts w:hint="eastAsia" w:ascii="宋体" w:hAnsi="宋体" w:cs="宋体"/>
          <w:color w:val="auto"/>
          <w:sz w:val="30"/>
          <w:szCs w:val="30"/>
          <w:highlight w:val="none"/>
        </w:rPr>
        <w:t>三、</w:t>
      </w:r>
      <w:r>
        <w:rPr>
          <w:rStyle w:val="62"/>
          <w:rFonts w:hint="eastAsia" w:ascii="宋体" w:hAnsi="宋体" w:cs="宋体"/>
          <w:color w:val="auto"/>
          <w:sz w:val="30"/>
          <w:szCs w:val="30"/>
          <w:highlight w:val="none"/>
          <w:lang w:val="en-US" w:eastAsia="zh-CN"/>
        </w:rPr>
        <w:t>拟</w:t>
      </w:r>
      <w:r>
        <w:rPr>
          <w:rStyle w:val="62"/>
          <w:rFonts w:hint="eastAsia" w:ascii="宋体" w:hAnsi="宋体" w:cs="宋体"/>
          <w:color w:val="auto"/>
          <w:sz w:val="30"/>
          <w:szCs w:val="30"/>
          <w:highlight w:val="none"/>
        </w:rPr>
        <w:t>投入监理工程的设备、仪器表</w:t>
      </w:r>
      <w:bookmarkEnd w:id="740"/>
    </w:p>
    <w:bookmarkEnd w:id="741"/>
    <w:bookmarkEnd w:id="742"/>
    <w:bookmarkEnd w:id="743"/>
    <w:bookmarkEnd w:id="744"/>
    <w:bookmarkEnd w:id="745"/>
    <w:p w14:paraId="4EDD6099">
      <w:pPr>
        <w:pageBreakBefore w:val="0"/>
        <w:kinsoku/>
        <w:wordWrap/>
        <w:overflowPunct/>
        <w:bidi w:val="0"/>
        <w:spacing w:after="200" w:line="360" w:lineRule="auto"/>
        <w:textAlignment w:val="auto"/>
        <w:rPr>
          <w:rFonts w:hint="eastAsia" w:ascii="宋体" w:hAnsi="宋体" w:cs="宋体"/>
          <w:bCs/>
          <w:color w:val="auto"/>
          <w:highlight w:val="none"/>
        </w:rPr>
      </w:pPr>
      <w:r>
        <w:rPr>
          <w:rFonts w:hint="eastAsia" w:ascii="宋体" w:hAnsi="宋体" w:cs="宋体"/>
          <w:bCs/>
          <w:color w:val="auto"/>
          <w:highlight w:val="none"/>
        </w:rPr>
        <w:t>项目名称：</w:t>
      </w:r>
      <w:r>
        <w:rPr>
          <w:rFonts w:hint="eastAsia" w:ascii="宋体" w:hAnsi="宋体" w:cs="宋体"/>
          <w:bCs/>
          <w:color w:val="auto"/>
          <w:highlight w:val="none"/>
          <w:u w:val="single"/>
        </w:rPr>
        <w:t xml:space="preserve">      </w:t>
      </w:r>
      <w:r>
        <w:rPr>
          <w:rFonts w:hint="eastAsia" w:ascii="宋体" w:hAnsi="宋体" w:cs="宋体"/>
          <w:bCs/>
          <w:color w:val="auto"/>
          <w:highlight w:val="none"/>
        </w:rPr>
        <w:t>（项目名称）</w:t>
      </w:r>
    </w:p>
    <w:tbl>
      <w:tblPr>
        <w:tblStyle w:val="49"/>
        <w:tblW w:w="90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1306"/>
        <w:gridCol w:w="1306"/>
        <w:gridCol w:w="843"/>
        <w:gridCol w:w="1306"/>
        <w:gridCol w:w="1306"/>
        <w:gridCol w:w="1299"/>
        <w:gridCol w:w="845"/>
      </w:tblGrid>
      <w:tr w14:paraId="1233E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3" w:hRule="exact"/>
          <w:jc w:val="center"/>
        </w:trPr>
        <w:tc>
          <w:tcPr>
            <w:tcW w:w="841" w:type="dxa"/>
            <w:noWrap w:val="0"/>
            <w:vAlign w:val="center"/>
          </w:tcPr>
          <w:p w14:paraId="38BC67CE">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序号</w:t>
            </w:r>
          </w:p>
        </w:tc>
        <w:tc>
          <w:tcPr>
            <w:tcW w:w="1306" w:type="dxa"/>
            <w:noWrap w:val="0"/>
            <w:vAlign w:val="center"/>
          </w:tcPr>
          <w:p w14:paraId="648C3BE8">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设备名称</w:t>
            </w:r>
          </w:p>
        </w:tc>
        <w:tc>
          <w:tcPr>
            <w:tcW w:w="1306" w:type="dxa"/>
            <w:noWrap w:val="0"/>
            <w:vAlign w:val="center"/>
          </w:tcPr>
          <w:p w14:paraId="70C7C064">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规格型号</w:t>
            </w:r>
          </w:p>
        </w:tc>
        <w:tc>
          <w:tcPr>
            <w:tcW w:w="843" w:type="dxa"/>
            <w:noWrap w:val="0"/>
            <w:vAlign w:val="center"/>
          </w:tcPr>
          <w:p w14:paraId="282FF9F8">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数量</w:t>
            </w:r>
          </w:p>
        </w:tc>
        <w:tc>
          <w:tcPr>
            <w:tcW w:w="1306" w:type="dxa"/>
            <w:noWrap w:val="0"/>
            <w:vAlign w:val="center"/>
          </w:tcPr>
          <w:p w14:paraId="3D2AE7B9">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产地</w:t>
            </w:r>
            <w:r>
              <w:rPr>
                <w:rFonts w:hint="eastAsia" w:ascii="宋体" w:hAnsi="宋体" w:cs="宋体"/>
                <w:bCs/>
                <w:color w:val="auto"/>
                <w:highlight w:val="none"/>
                <w:lang w:val="en-US" w:eastAsia="zh-CN"/>
              </w:rPr>
              <w:t>/</w:t>
            </w:r>
            <w:r>
              <w:rPr>
                <w:rFonts w:hint="eastAsia" w:ascii="宋体" w:hAnsi="宋体" w:cs="宋体"/>
                <w:bCs/>
                <w:color w:val="auto"/>
                <w:highlight w:val="none"/>
              </w:rPr>
              <w:t>国家</w:t>
            </w:r>
          </w:p>
        </w:tc>
        <w:tc>
          <w:tcPr>
            <w:tcW w:w="1306" w:type="dxa"/>
            <w:noWrap w:val="0"/>
            <w:vAlign w:val="center"/>
          </w:tcPr>
          <w:p w14:paraId="10AB849D">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制造年代</w:t>
            </w:r>
          </w:p>
        </w:tc>
        <w:tc>
          <w:tcPr>
            <w:tcW w:w="1299" w:type="dxa"/>
            <w:noWrap w:val="0"/>
            <w:vAlign w:val="center"/>
          </w:tcPr>
          <w:p w14:paraId="336B57EF">
            <w:pPr>
              <w:pageBreakBefore w:val="0"/>
              <w:kinsoku/>
              <w:wordWrap/>
              <w:overflowPunct/>
              <w:bidi w:val="0"/>
              <w:jc w:val="center"/>
              <w:textAlignment w:val="auto"/>
              <w:rPr>
                <w:rFonts w:hint="default" w:ascii="宋体" w:hAnsi="宋体" w:eastAsia="宋体" w:cs="宋体"/>
                <w:bCs/>
                <w:color w:val="auto"/>
                <w:highlight w:val="none"/>
                <w:lang w:val="en-US" w:eastAsia="zh-CN"/>
              </w:rPr>
            </w:pPr>
            <w:r>
              <w:rPr>
                <w:rFonts w:hint="eastAsia" w:ascii="宋体" w:hAnsi="宋体" w:cs="宋体"/>
                <w:bCs/>
                <w:color w:val="auto"/>
                <w:highlight w:val="none"/>
                <w:lang w:val="en-US" w:eastAsia="zh-CN"/>
              </w:rPr>
              <w:t>拟使用部位</w:t>
            </w:r>
          </w:p>
        </w:tc>
        <w:tc>
          <w:tcPr>
            <w:tcW w:w="845" w:type="dxa"/>
            <w:noWrap w:val="0"/>
            <w:vAlign w:val="center"/>
          </w:tcPr>
          <w:p w14:paraId="1B7F6D04">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备注</w:t>
            </w:r>
          </w:p>
        </w:tc>
      </w:tr>
      <w:tr w14:paraId="0CD1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47DA4A03">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1</w:t>
            </w:r>
          </w:p>
        </w:tc>
        <w:tc>
          <w:tcPr>
            <w:tcW w:w="1306" w:type="dxa"/>
            <w:noWrap w:val="0"/>
            <w:vAlign w:val="center"/>
          </w:tcPr>
          <w:p w14:paraId="52412A77">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034D7B22">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29D63E5F">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5D7C464C">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207206E2">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31BA6727">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39D4D318">
            <w:pPr>
              <w:pageBreakBefore w:val="0"/>
              <w:kinsoku/>
              <w:wordWrap/>
              <w:overflowPunct/>
              <w:bidi w:val="0"/>
              <w:jc w:val="center"/>
              <w:textAlignment w:val="auto"/>
              <w:rPr>
                <w:rFonts w:hint="eastAsia" w:ascii="宋体" w:hAnsi="宋体" w:cs="宋体"/>
                <w:bCs/>
                <w:color w:val="auto"/>
                <w:highlight w:val="none"/>
              </w:rPr>
            </w:pPr>
          </w:p>
        </w:tc>
      </w:tr>
      <w:tr w14:paraId="729C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763D3253">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2</w:t>
            </w:r>
          </w:p>
        </w:tc>
        <w:tc>
          <w:tcPr>
            <w:tcW w:w="1306" w:type="dxa"/>
            <w:noWrap w:val="0"/>
            <w:vAlign w:val="center"/>
          </w:tcPr>
          <w:p w14:paraId="4CCF0A53">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047932A6">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005C8D09">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00421A56">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28EC1709">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576E5B0B">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724C63AC">
            <w:pPr>
              <w:pageBreakBefore w:val="0"/>
              <w:kinsoku/>
              <w:wordWrap/>
              <w:overflowPunct/>
              <w:bidi w:val="0"/>
              <w:jc w:val="center"/>
              <w:textAlignment w:val="auto"/>
              <w:rPr>
                <w:rFonts w:hint="eastAsia" w:ascii="宋体" w:hAnsi="宋体" w:cs="宋体"/>
                <w:bCs/>
                <w:color w:val="auto"/>
                <w:highlight w:val="none"/>
              </w:rPr>
            </w:pPr>
          </w:p>
        </w:tc>
      </w:tr>
      <w:tr w14:paraId="0C11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73B9386D">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3</w:t>
            </w:r>
          </w:p>
        </w:tc>
        <w:tc>
          <w:tcPr>
            <w:tcW w:w="1306" w:type="dxa"/>
            <w:noWrap w:val="0"/>
            <w:vAlign w:val="center"/>
          </w:tcPr>
          <w:p w14:paraId="6EB3A7DC">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47941EA8">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3CC7F530">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1B07462A">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00630494">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4920725E">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5AF0D001">
            <w:pPr>
              <w:pageBreakBefore w:val="0"/>
              <w:kinsoku/>
              <w:wordWrap/>
              <w:overflowPunct/>
              <w:bidi w:val="0"/>
              <w:jc w:val="center"/>
              <w:textAlignment w:val="auto"/>
              <w:rPr>
                <w:rFonts w:hint="eastAsia" w:ascii="宋体" w:hAnsi="宋体" w:cs="宋体"/>
                <w:bCs/>
                <w:color w:val="auto"/>
                <w:highlight w:val="none"/>
              </w:rPr>
            </w:pPr>
          </w:p>
        </w:tc>
      </w:tr>
      <w:tr w14:paraId="2FDF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01997BF5">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w:t>
            </w:r>
          </w:p>
        </w:tc>
        <w:tc>
          <w:tcPr>
            <w:tcW w:w="1306" w:type="dxa"/>
            <w:noWrap w:val="0"/>
            <w:vAlign w:val="center"/>
          </w:tcPr>
          <w:p w14:paraId="56CF656F">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4AE14C60">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2AA21FD5">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2B43B314">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65989C1E">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2110F81A">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0B5C5540">
            <w:pPr>
              <w:pageBreakBefore w:val="0"/>
              <w:kinsoku/>
              <w:wordWrap/>
              <w:overflowPunct/>
              <w:bidi w:val="0"/>
              <w:jc w:val="center"/>
              <w:textAlignment w:val="auto"/>
              <w:rPr>
                <w:rFonts w:hint="eastAsia" w:ascii="宋体" w:hAnsi="宋体" w:cs="宋体"/>
                <w:bCs/>
                <w:color w:val="auto"/>
                <w:highlight w:val="none"/>
              </w:rPr>
            </w:pPr>
          </w:p>
        </w:tc>
      </w:tr>
      <w:tr w14:paraId="2C48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3B350623">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40889A8C">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4C1E96B2">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357553D8">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147B4682">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2C7C1FAF">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5E96778F">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75DB6B83">
            <w:pPr>
              <w:pageBreakBefore w:val="0"/>
              <w:kinsoku/>
              <w:wordWrap/>
              <w:overflowPunct/>
              <w:bidi w:val="0"/>
              <w:jc w:val="center"/>
              <w:textAlignment w:val="auto"/>
              <w:rPr>
                <w:rFonts w:hint="eastAsia" w:ascii="宋体" w:hAnsi="宋体" w:cs="宋体"/>
                <w:bCs/>
                <w:color w:val="auto"/>
                <w:highlight w:val="none"/>
              </w:rPr>
            </w:pPr>
          </w:p>
        </w:tc>
      </w:tr>
      <w:tr w14:paraId="2BC7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0DA62089">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52753971">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5394AC71">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1A1ADDA8">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65240E6E">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0214BAA7">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5CE3C272">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3D6CA55E">
            <w:pPr>
              <w:pageBreakBefore w:val="0"/>
              <w:kinsoku/>
              <w:wordWrap/>
              <w:overflowPunct/>
              <w:bidi w:val="0"/>
              <w:jc w:val="center"/>
              <w:textAlignment w:val="auto"/>
              <w:rPr>
                <w:rFonts w:hint="eastAsia" w:ascii="宋体" w:hAnsi="宋体" w:cs="宋体"/>
                <w:bCs/>
                <w:color w:val="auto"/>
                <w:highlight w:val="none"/>
              </w:rPr>
            </w:pPr>
          </w:p>
        </w:tc>
      </w:tr>
      <w:tr w14:paraId="08FA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04AC60C4">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5D058F46">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60D73406">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6B5CE8EA">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31E8AFBF">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60627386">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3938D0E0">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45146EBF">
            <w:pPr>
              <w:pageBreakBefore w:val="0"/>
              <w:kinsoku/>
              <w:wordWrap/>
              <w:overflowPunct/>
              <w:bidi w:val="0"/>
              <w:jc w:val="center"/>
              <w:textAlignment w:val="auto"/>
              <w:rPr>
                <w:rFonts w:hint="eastAsia" w:ascii="宋体" w:hAnsi="宋体" w:cs="宋体"/>
                <w:bCs/>
                <w:color w:val="auto"/>
                <w:highlight w:val="none"/>
              </w:rPr>
            </w:pPr>
          </w:p>
        </w:tc>
      </w:tr>
      <w:tr w14:paraId="5D74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1C06AE2F">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271CA11B">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53FFEBA9">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145B33A1">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045599AA">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6CD06B55">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2238F7E3">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18990A88">
            <w:pPr>
              <w:pageBreakBefore w:val="0"/>
              <w:kinsoku/>
              <w:wordWrap/>
              <w:overflowPunct/>
              <w:bidi w:val="0"/>
              <w:jc w:val="center"/>
              <w:textAlignment w:val="auto"/>
              <w:rPr>
                <w:rFonts w:hint="eastAsia" w:ascii="宋体" w:hAnsi="宋体" w:cs="宋体"/>
                <w:bCs/>
                <w:color w:val="auto"/>
                <w:highlight w:val="none"/>
              </w:rPr>
            </w:pPr>
          </w:p>
        </w:tc>
      </w:tr>
    </w:tbl>
    <w:p w14:paraId="6C651ED3">
      <w:pPr>
        <w:pageBreakBefore w:val="0"/>
        <w:kinsoku/>
        <w:wordWrap/>
        <w:overflowPunct/>
        <w:bidi w:val="0"/>
        <w:spacing w:after="200" w:line="360" w:lineRule="auto"/>
        <w:ind w:firstLine="420" w:firstLineChars="200"/>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注：</w:t>
      </w:r>
      <w:r>
        <w:rPr>
          <w:rFonts w:hint="eastAsia" w:ascii="宋体" w:hAnsi="宋体" w:cs="宋体"/>
          <w:color w:val="auto"/>
          <w:highlight w:val="none"/>
        </w:rPr>
        <w:t xml:space="preserve">符合第五章 </w:t>
      </w:r>
      <w:r>
        <w:rPr>
          <w:rFonts w:hint="eastAsia" w:ascii="宋体" w:hAnsi="宋体" w:cs="宋体"/>
          <w:color w:val="auto"/>
          <w:highlight w:val="none"/>
          <w:lang w:eastAsia="zh-CN"/>
        </w:rPr>
        <w:t>采购人</w:t>
      </w:r>
      <w:r>
        <w:rPr>
          <w:rFonts w:hint="eastAsia" w:ascii="宋体" w:hAnsi="宋体" w:cs="宋体"/>
          <w:color w:val="auto"/>
          <w:highlight w:val="none"/>
        </w:rPr>
        <w:t>要求“4.监理人员和试验检测仪器设备要求”</w:t>
      </w:r>
    </w:p>
    <w:p w14:paraId="19341794">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26B9B294">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79698528">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21B7D490">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签字或签章</w:t>
      </w:r>
      <w:r>
        <w:rPr>
          <w:rFonts w:hint="eastAsia" w:ascii="宋体" w:hAnsi="宋体" w:cs="宋体"/>
          <w:color w:val="auto"/>
          <w:highlight w:val="none"/>
        </w:rPr>
        <w:t>）</w:t>
      </w:r>
    </w:p>
    <w:p w14:paraId="289810A7">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5E659F91">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642C39FB">
      <w:pPr>
        <w:pageBreakBefore w:val="0"/>
        <w:kinsoku/>
        <w:wordWrap/>
        <w:overflowPunct/>
        <w:bidi w:val="0"/>
        <w:snapToGrid w:val="0"/>
        <w:spacing w:after="200" w:line="360" w:lineRule="auto"/>
        <w:textAlignment w:val="auto"/>
        <w:rPr>
          <w:rFonts w:hint="eastAsia" w:ascii="宋体" w:hAnsi="宋体" w:cs="宋体"/>
          <w:color w:val="auto"/>
          <w:highlight w:val="none"/>
        </w:rPr>
      </w:pPr>
    </w:p>
    <w:p w14:paraId="407A2DC2">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746" w:name="_Toc4195"/>
      <w:bookmarkStart w:id="747" w:name="_Toc31871"/>
      <w:r>
        <w:rPr>
          <w:rStyle w:val="62"/>
          <w:rFonts w:hint="eastAsia" w:ascii="宋体" w:hAnsi="宋体" w:cs="宋体"/>
          <w:color w:val="auto"/>
          <w:sz w:val="30"/>
          <w:szCs w:val="30"/>
          <w:highlight w:val="none"/>
        </w:rPr>
        <w:br w:type="page"/>
      </w:r>
      <w:bookmarkStart w:id="748" w:name="_Toc184161105"/>
      <w:bookmarkStart w:id="749" w:name="_Toc1114258033"/>
      <w:bookmarkStart w:id="750" w:name="_Toc931455844"/>
      <w:bookmarkStart w:id="751" w:name="_Toc670232307"/>
      <w:bookmarkStart w:id="752" w:name="_Toc270965722"/>
      <w:r>
        <w:rPr>
          <w:rStyle w:val="62"/>
          <w:rFonts w:hint="eastAsia" w:ascii="宋体" w:hAnsi="宋体" w:cs="宋体"/>
          <w:color w:val="auto"/>
          <w:sz w:val="30"/>
          <w:szCs w:val="30"/>
          <w:highlight w:val="none"/>
        </w:rPr>
        <w:t>四、专业监理人员配置、年龄结构及技术职称</w:t>
      </w:r>
      <w:bookmarkEnd w:id="746"/>
      <w:bookmarkEnd w:id="747"/>
    </w:p>
    <w:bookmarkEnd w:id="748"/>
    <w:bookmarkEnd w:id="749"/>
    <w:bookmarkEnd w:id="750"/>
    <w:bookmarkEnd w:id="751"/>
    <w:bookmarkEnd w:id="752"/>
    <w:p w14:paraId="62CDE120">
      <w:pPr>
        <w:pageBreakBefore w:val="0"/>
        <w:kinsoku/>
        <w:wordWrap/>
        <w:overflowPunct/>
        <w:bidi w:val="0"/>
        <w:spacing w:after="200" w:line="360" w:lineRule="auto"/>
        <w:textAlignment w:val="auto"/>
        <w:rPr>
          <w:rFonts w:hint="eastAsia" w:ascii="宋体" w:hAnsi="宋体" w:cs="宋体"/>
          <w:bCs/>
          <w:color w:val="auto"/>
          <w:highlight w:val="none"/>
        </w:rPr>
      </w:pPr>
      <w:r>
        <w:rPr>
          <w:rFonts w:hint="eastAsia" w:ascii="宋体" w:hAnsi="宋体" w:cs="宋体"/>
          <w:bCs/>
          <w:color w:val="auto"/>
          <w:highlight w:val="none"/>
        </w:rPr>
        <w:t>项目名称：</w:t>
      </w:r>
      <w:r>
        <w:rPr>
          <w:rFonts w:hint="eastAsia" w:ascii="宋体" w:hAnsi="宋体" w:cs="宋体"/>
          <w:bCs/>
          <w:color w:val="auto"/>
          <w:highlight w:val="none"/>
          <w:u w:val="single"/>
        </w:rPr>
        <w:t xml:space="preserve">      </w:t>
      </w:r>
      <w:r>
        <w:rPr>
          <w:rFonts w:hint="eastAsia" w:ascii="宋体" w:hAnsi="宋体" w:cs="宋体"/>
          <w:bCs/>
          <w:color w:val="auto"/>
          <w:highlight w:val="none"/>
        </w:rPr>
        <w:t>（项目名称）</w:t>
      </w:r>
    </w:p>
    <w:tbl>
      <w:tblPr>
        <w:tblStyle w:val="49"/>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930"/>
        <w:gridCol w:w="830"/>
        <w:gridCol w:w="1101"/>
        <w:gridCol w:w="1142"/>
        <w:gridCol w:w="1286"/>
        <w:gridCol w:w="1418"/>
        <w:gridCol w:w="1581"/>
      </w:tblGrid>
      <w:tr w14:paraId="126B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384D7A">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序号</w:t>
            </w:r>
          </w:p>
        </w:tc>
        <w:tc>
          <w:tcPr>
            <w:tcW w:w="9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D6FAC8">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姓名</w:t>
            </w:r>
          </w:p>
        </w:tc>
        <w:tc>
          <w:tcPr>
            <w:tcW w:w="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52858F">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性别</w:t>
            </w: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D45A4F">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年龄</w:t>
            </w:r>
          </w:p>
        </w:tc>
        <w:tc>
          <w:tcPr>
            <w:tcW w:w="11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72B71A">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职称</w:t>
            </w:r>
          </w:p>
        </w:tc>
        <w:tc>
          <w:tcPr>
            <w:tcW w:w="12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0FE34C">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lang w:eastAsia="zh-CN"/>
              </w:rPr>
            </w:pPr>
            <w:r>
              <w:rPr>
                <w:rFonts w:hint="eastAsia" w:ascii="宋体" w:hAnsi="宋体" w:cs="宋体"/>
                <w:snapToGrid w:val="0"/>
                <w:color w:val="auto"/>
                <w:sz w:val="21"/>
                <w:szCs w:val="21"/>
                <w:highlight w:val="none"/>
                <w:lang w:val="en-US" w:eastAsia="zh-CN"/>
              </w:rPr>
              <w:t>专业</w:t>
            </w:r>
          </w:p>
        </w:tc>
        <w:tc>
          <w:tcPr>
            <w:tcW w:w="14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599E0B">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拟任职务</w:t>
            </w:r>
          </w:p>
        </w:tc>
        <w:tc>
          <w:tcPr>
            <w:tcW w:w="15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4C35A5">
            <w:pPr>
              <w:pStyle w:val="274"/>
              <w:pageBreakBefore w:val="0"/>
              <w:kinsoku/>
              <w:wordWrap/>
              <w:overflowPunct/>
              <w:bidi w:val="0"/>
              <w:spacing w:line="360" w:lineRule="auto"/>
              <w:jc w:val="center"/>
              <w:textAlignment w:val="auto"/>
              <w:rPr>
                <w:rFonts w:hint="default" w:ascii="宋体" w:hAnsi="宋体" w:eastAsia="宋体" w:cs="宋体"/>
                <w:snapToGrid w:val="0"/>
                <w:color w:val="auto"/>
                <w:sz w:val="21"/>
                <w:szCs w:val="21"/>
                <w:highlight w:val="none"/>
              </w:rPr>
            </w:pPr>
            <w:r>
              <w:rPr>
                <w:rFonts w:hint="default" w:ascii="宋体" w:hAnsi="宋体" w:cs="宋体"/>
                <w:snapToGrid w:val="0"/>
                <w:color w:val="auto"/>
                <w:sz w:val="21"/>
                <w:szCs w:val="21"/>
                <w:highlight w:val="none"/>
              </w:rPr>
              <w:t>专业工作年限</w:t>
            </w:r>
          </w:p>
        </w:tc>
      </w:tr>
      <w:tr w14:paraId="2C81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99A4DD">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1</w:t>
            </w:r>
          </w:p>
        </w:tc>
        <w:tc>
          <w:tcPr>
            <w:tcW w:w="9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4ADD43">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D28ADD">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C91C05">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00D4A2">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2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85C3B8">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4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DC62EA">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5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664346">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r>
      <w:tr w14:paraId="65CB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158579">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2</w:t>
            </w:r>
          </w:p>
        </w:tc>
        <w:tc>
          <w:tcPr>
            <w:tcW w:w="9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0794C1">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62E116">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9BA477">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1D41F8">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2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63D47C">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4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72EA6B">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5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F187B9">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r>
      <w:tr w14:paraId="7899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FD65BE">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3</w:t>
            </w:r>
          </w:p>
        </w:tc>
        <w:tc>
          <w:tcPr>
            <w:tcW w:w="9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19F1E8">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8A5F62">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7479A7">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A9321D">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2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D9C28C">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4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21CA2B">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5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0C9E01">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r>
      <w:tr w14:paraId="47D0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8D0C58">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w:t>
            </w:r>
          </w:p>
        </w:tc>
        <w:tc>
          <w:tcPr>
            <w:tcW w:w="9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80AC33">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F5560C">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0B160B">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2B5C52">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2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1636C2">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4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97D9AB">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5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F50845">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r>
      <w:tr w14:paraId="0B4E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6F59F4">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9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C079E4">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AAF5B5">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8D244">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926E45">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2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AC994E">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4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1E087A">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5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41A0A8">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r>
    </w:tbl>
    <w:p w14:paraId="44037A76">
      <w:pPr>
        <w:overflowPunct w:val="0"/>
        <w:spacing w:line="360" w:lineRule="auto"/>
        <w:ind w:firstLine="0" w:firstLineChars="0"/>
        <w:rPr>
          <w:rFonts w:hint="eastAsia" w:hAnsi="宋体"/>
          <w:sz w:val="21"/>
          <w:highlight w:val="none"/>
        </w:rPr>
      </w:pPr>
    </w:p>
    <w:p w14:paraId="2585F997">
      <w:pPr>
        <w:pStyle w:val="6"/>
        <w:numPr>
          <w:ilvl w:val="0"/>
          <w:numId w:val="16"/>
        </w:numPr>
        <w:overflowPunct w:val="0"/>
        <w:spacing w:before="120" w:beforeLines="50" w:after="120" w:afterLines="50" w:line="360" w:lineRule="auto"/>
        <w:rPr>
          <w:rFonts w:hint="eastAsia" w:hAnsi="宋体"/>
          <w:b/>
          <w:sz w:val="24"/>
          <w:highlight w:val="none"/>
        </w:rPr>
      </w:pPr>
      <w:bookmarkStart w:id="753" w:name="_Toc146500190"/>
      <w:r>
        <w:rPr>
          <w:rFonts w:hint="eastAsia" w:hAnsi="宋体"/>
          <w:b/>
          <w:sz w:val="24"/>
          <w:highlight w:val="none"/>
          <w:lang w:val="en-US" w:eastAsia="zh-CN"/>
        </w:rPr>
        <w:t>拟投入人员</w:t>
      </w:r>
      <w:r>
        <w:rPr>
          <w:rFonts w:hAnsi="宋体"/>
          <w:b/>
          <w:sz w:val="24"/>
          <w:highlight w:val="none"/>
        </w:rPr>
        <w:t>年龄结构</w:t>
      </w:r>
      <w:r>
        <w:rPr>
          <w:rFonts w:hint="eastAsia" w:hAnsi="宋体"/>
          <w:b/>
          <w:sz w:val="24"/>
          <w:highlight w:val="none"/>
          <w:lang w:eastAsia="zh-CN"/>
        </w:rPr>
        <w:t>、</w:t>
      </w:r>
      <w:r>
        <w:rPr>
          <w:rFonts w:hint="eastAsia" w:hAnsi="宋体"/>
          <w:b/>
          <w:sz w:val="24"/>
          <w:highlight w:val="none"/>
          <w:lang w:val="en-US" w:eastAsia="zh-CN"/>
        </w:rPr>
        <w:t>专业工作年限、职称统计</w:t>
      </w:r>
      <w:bookmarkEnd w:id="753"/>
      <w:r>
        <w:rPr>
          <w:rFonts w:hint="default" w:hAnsi="宋体"/>
          <w:b/>
          <w:sz w:val="24"/>
          <w:highlight w:val="none"/>
          <w:lang w:eastAsia="zh-CN"/>
        </w:rPr>
        <w:t>表</w:t>
      </w:r>
      <w:r>
        <w:rPr>
          <w:rFonts w:hint="eastAsia" w:hAnsi="宋体"/>
          <w:b/>
          <w:sz w:val="24"/>
          <w:highlight w:val="none"/>
          <w:lang w:val="en-US" w:eastAsia="zh-CN"/>
        </w:rPr>
        <w:t>：</w:t>
      </w:r>
    </w:p>
    <w:p w14:paraId="1131FC5E">
      <w:pPr>
        <w:pStyle w:val="6"/>
        <w:numPr>
          <w:ilvl w:val="0"/>
          <w:numId w:val="16"/>
        </w:numPr>
        <w:overflowPunct w:val="0"/>
        <w:spacing w:before="120" w:beforeLines="50" w:after="120" w:afterLines="50" w:line="360" w:lineRule="auto"/>
        <w:rPr>
          <w:rFonts w:hint="eastAsia" w:hAnsi="宋体"/>
          <w:b/>
          <w:sz w:val="24"/>
          <w:highlight w:val="none"/>
        </w:rPr>
      </w:pPr>
      <w:r>
        <w:rPr>
          <w:rFonts w:hint="eastAsia" w:hAnsi="宋体"/>
          <w:sz w:val="21"/>
          <w:highlight w:val="none"/>
          <w:vertAlign w:val="baseline"/>
          <w:lang w:val="en-US" w:eastAsia="zh-CN"/>
        </w:rPr>
        <w:t>拟投入总人数</w:t>
      </w:r>
      <w:r>
        <w:rPr>
          <w:rFonts w:hint="eastAsia" w:hAnsi="宋体"/>
          <w:sz w:val="21"/>
          <w:highlight w:val="none"/>
          <w:u w:val="single"/>
          <w:vertAlign w:val="baseline"/>
          <w:lang w:val="en-US" w:eastAsia="zh-CN"/>
        </w:rPr>
        <w:t xml:space="preserve">      </w:t>
      </w:r>
      <w:r>
        <w:rPr>
          <w:rFonts w:hint="eastAsia" w:hAnsi="宋体"/>
          <w:sz w:val="21"/>
          <w:highlight w:val="none"/>
          <w:vertAlign w:val="baseline"/>
          <w:lang w:val="en-US" w:eastAsia="zh-CN"/>
        </w:rPr>
        <w:t>人</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1173"/>
        <w:gridCol w:w="1943"/>
        <w:gridCol w:w="1084"/>
        <w:gridCol w:w="1974"/>
        <w:gridCol w:w="935"/>
      </w:tblGrid>
      <w:tr w14:paraId="4E1A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24" w:type="dxa"/>
            <w:gridSpan w:val="2"/>
          </w:tcPr>
          <w:p w14:paraId="59A265D0">
            <w:pPr>
              <w:overflowPunct w:val="0"/>
              <w:spacing w:line="360" w:lineRule="auto"/>
              <w:jc w:val="center"/>
              <w:rPr>
                <w:rFonts w:hint="default" w:hAnsi="宋体"/>
                <w:sz w:val="21"/>
                <w:highlight w:val="none"/>
                <w:vertAlign w:val="baseline"/>
                <w:lang w:val="en-US" w:eastAsia="zh-CN"/>
              </w:rPr>
            </w:pPr>
            <w:r>
              <w:rPr>
                <w:rFonts w:hint="default" w:hAnsi="宋体"/>
                <w:sz w:val="21"/>
                <w:highlight w:val="none"/>
                <w:vertAlign w:val="baseline"/>
                <w:lang w:eastAsia="zh-CN"/>
              </w:rPr>
              <w:t>年龄结构</w:t>
            </w:r>
          </w:p>
        </w:tc>
        <w:tc>
          <w:tcPr>
            <w:tcW w:w="3027" w:type="dxa"/>
            <w:gridSpan w:val="2"/>
          </w:tcPr>
          <w:p w14:paraId="193ACC26">
            <w:pPr>
              <w:overflowPunct w:val="0"/>
              <w:spacing w:line="360" w:lineRule="auto"/>
              <w:jc w:val="center"/>
              <w:rPr>
                <w:rFonts w:hint="default" w:hAnsi="宋体"/>
                <w:sz w:val="21"/>
                <w:highlight w:val="none"/>
                <w:vertAlign w:val="baseline"/>
                <w:lang w:val="en-US" w:eastAsia="zh-CN"/>
              </w:rPr>
            </w:pPr>
            <w:r>
              <w:rPr>
                <w:rFonts w:hint="eastAsia" w:ascii="宋体" w:hAnsi="宋体" w:cs="Times New Roman"/>
                <w:sz w:val="21"/>
                <w:szCs w:val="24"/>
                <w:highlight w:val="none"/>
                <w:lang w:val="en-US" w:eastAsia="zh-CN"/>
              </w:rPr>
              <w:t>专业工作年限</w:t>
            </w:r>
          </w:p>
        </w:tc>
        <w:tc>
          <w:tcPr>
            <w:tcW w:w="2909" w:type="dxa"/>
            <w:gridSpan w:val="2"/>
          </w:tcPr>
          <w:p w14:paraId="34335A55">
            <w:pPr>
              <w:overflowPunct w:val="0"/>
              <w:spacing w:line="360" w:lineRule="auto"/>
              <w:jc w:val="center"/>
              <w:rPr>
                <w:rFonts w:hint="default" w:hAnsi="宋体"/>
                <w:sz w:val="21"/>
                <w:highlight w:val="none"/>
                <w:vertAlign w:val="baseline"/>
                <w:lang w:val="en-US" w:eastAsia="zh-CN"/>
              </w:rPr>
            </w:pPr>
            <w:r>
              <w:rPr>
                <w:rFonts w:hint="default" w:hAnsi="宋体"/>
                <w:sz w:val="21"/>
                <w:highlight w:val="none"/>
                <w:vertAlign w:val="baseline"/>
                <w:lang w:eastAsia="zh-CN"/>
              </w:rPr>
              <w:t>技术</w:t>
            </w:r>
            <w:r>
              <w:rPr>
                <w:rFonts w:hint="eastAsia" w:hAnsi="宋体"/>
                <w:sz w:val="21"/>
                <w:highlight w:val="none"/>
                <w:vertAlign w:val="baseline"/>
                <w:lang w:val="en-US" w:eastAsia="zh-CN"/>
              </w:rPr>
              <w:t>职称</w:t>
            </w:r>
          </w:p>
        </w:tc>
      </w:tr>
      <w:tr w14:paraId="360C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51" w:type="dxa"/>
            <w:shd w:val="clear" w:color="auto" w:fill="auto"/>
            <w:vAlign w:val="top"/>
          </w:tcPr>
          <w:p w14:paraId="703F8E79">
            <w:pPr>
              <w:overflowPunct w:val="0"/>
              <w:spacing w:line="360" w:lineRule="auto"/>
              <w:jc w:val="center"/>
              <w:rPr>
                <w:rFonts w:hint="default" w:ascii="Times New Roman" w:hAnsi="宋体" w:eastAsia="宋体" w:cs="Times New Roman"/>
                <w:kern w:val="2"/>
                <w:sz w:val="21"/>
                <w:highlight w:val="none"/>
                <w:vertAlign w:val="baseline"/>
                <w:lang w:val="en-US" w:eastAsia="zh-CN" w:bidi="ar-SA"/>
              </w:rPr>
            </w:pPr>
            <w:r>
              <w:rPr>
                <w:rFonts w:hint="eastAsia" w:hAnsi="宋体"/>
                <w:sz w:val="21"/>
                <w:highlight w:val="none"/>
                <w:vertAlign w:val="baseline"/>
                <w:lang w:val="en-US" w:eastAsia="zh-CN"/>
              </w:rPr>
              <w:t>30岁以下占比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1173" w:type="dxa"/>
          </w:tcPr>
          <w:p w14:paraId="76732E4B">
            <w:pPr>
              <w:overflowPunct w:val="0"/>
              <w:spacing w:line="360" w:lineRule="auto"/>
              <w:jc w:val="center"/>
              <w:rPr>
                <w:rFonts w:hint="eastAsia" w:hAnsi="宋体"/>
                <w:sz w:val="21"/>
                <w:highlight w:val="none"/>
                <w:vertAlign w:val="baseline"/>
                <w:lang w:val="en-US" w:eastAsia="zh-CN"/>
              </w:rPr>
            </w:pPr>
          </w:p>
        </w:tc>
        <w:tc>
          <w:tcPr>
            <w:tcW w:w="1943" w:type="dxa"/>
          </w:tcPr>
          <w:p w14:paraId="0741A395">
            <w:pPr>
              <w:overflowPunct w:val="0"/>
              <w:spacing w:line="360" w:lineRule="auto"/>
              <w:jc w:val="center"/>
              <w:rPr>
                <w:rFonts w:hint="default" w:hAnsi="宋体"/>
                <w:sz w:val="21"/>
                <w:highlight w:val="none"/>
                <w:vertAlign w:val="baseline"/>
                <w:lang w:val="en-US" w:eastAsia="zh-CN"/>
              </w:rPr>
            </w:pPr>
            <w:r>
              <w:rPr>
                <w:rFonts w:hint="eastAsia" w:hAnsi="宋体"/>
                <w:sz w:val="21"/>
                <w:highlight w:val="none"/>
                <w:vertAlign w:val="baseline"/>
                <w:lang w:val="en-US" w:eastAsia="zh-CN"/>
              </w:rPr>
              <w:t>7年以下占比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1084" w:type="dxa"/>
          </w:tcPr>
          <w:p w14:paraId="39B85144">
            <w:pPr>
              <w:overflowPunct w:val="0"/>
              <w:spacing w:line="360" w:lineRule="auto"/>
              <w:jc w:val="center"/>
              <w:rPr>
                <w:rFonts w:hint="eastAsia" w:hAnsi="宋体"/>
                <w:sz w:val="21"/>
                <w:highlight w:val="none"/>
                <w:vertAlign w:val="baseline"/>
                <w:lang w:val="en-US" w:eastAsia="zh-CN"/>
              </w:rPr>
            </w:pPr>
          </w:p>
        </w:tc>
        <w:tc>
          <w:tcPr>
            <w:tcW w:w="1974" w:type="dxa"/>
            <w:shd w:val="clear" w:color="auto" w:fill="auto"/>
            <w:vAlign w:val="top"/>
          </w:tcPr>
          <w:p w14:paraId="6B1E1C3B">
            <w:pPr>
              <w:overflowPunct w:val="0"/>
              <w:spacing w:line="360" w:lineRule="auto"/>
              <w:jc w:val="center"/>
              <w:rPr>
                <w:rFonts w:hint="default" w:ascii="Times New Roman" w:hAnsi="宋体" w:eastAsia="宋体" w:cs="Times New Roman"/>
                <w:kern w:val="2"/>
                <w:sz w:val="21"/>
                <w:highlight w:val="none"/>
                <w:vertAlign w:val="baseline"/>
                <w:lang w:val="en-US" w:eastAsia="zh-CN" w:bidi="ar-SA"/>
              </w:rPr>
            </w:pPr>
            <w:r>
              <w:rPr>
                <w:rFonts w:hint="eastAsia" w:hAnsi="宋体"/>
                <w:sz w:val="21"/>
                <w:highlight w:val="none"/>
                <w:vertAlign w:val="baseline"/>
                <w:lang w:val="en-US" w:eastAsia="zh-CN"/>
              </w:rPr>
              <w:t>初级职称占比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935" w:type="dxa"/>
            <w:shd w:val="clear" w:color="auto" w:fill="auto"/>
            <w:vAlign w:val="top"/>
          </w:tcPr>
          <w:p w14:paraId="3B6A8439">
            <w:pPr>
              <w:overflowPunct w:val="0"/>
              <w:spacing w:line="360" w:lineRule="auto"/>
              <w:jc w:val="center"/>
              <w:rPr>
                <w:rFonts w:hint="eastAsia" w:hAnsi="宋体"/>
                <w:sz w:val="21"/>
                <w:highlight w:val="none"/>
                <w:vertAlign w:val="baseline"/>
                <w:lang w:val="en-US" w:eastAsia="zh-CN"/>
              </w:rPr>
            </w:pPr>
          </w:p>
        </w:tc>
      </w:tr>
      <w:tr w14:paraId="0355D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51" w:type="dxa"/>
            <w:shd w:val="clear" w:color="auto" w:fill="auto"/>
            <w:vAlign w:val="top"/>
          </w:tcPr>
          <w:p w14:paraId="4A4F2975">
            <w:pPr>
              <w:overflowPunct w:val="0"/>
              <w:spacing w:line="360" w:lineRule="auto"/>
              <w:jc w:val="center"/>
              <w:rPr>
                <w:rFonts w:hint="eastAsia" w:ascii="Times New Roman" w:hAnsi="宋体" w:eastAsia="宋体" w:cs="Times New Roman"/>
                <w:kern w:val="2"/>
                <w:sz w:val="21"/>
                <w:highlight w:val="none"/>
                <w:vertAlign w:val="baseline"/>
                <w:lang w:val="en-US" w:eastAsia="zh-CN" w:bidi="ar-SA"/>
              </w:rPr>
            </w:pPr>
            <w:r>
              <w:rPr>
                <w:rFonts w:hint="eastAsia" w:ascii="Times New Roman" w:hAnsi="宋体" w:cs="Times New Roman"/>
                <w:sz w:val="21"/>
                <w:szCs w:val="20"/>
                <w:highlight w:val="none"/>
                <w:lang w:val="en-US" w:eastAsia="zh-CN"/>
              </w:rPr>
              <w:t>30</w:t>
            </w:r>
            <w:r>
              <w:rPr>
                <w:rFonts w:hint="eastAsia" w:ascii="Times New Roman" w:hAnsi="宋体" w:eastAsia="宋体" w:cs="Times New Roman"/>
                <w:sz w:val="21"/>
                <w:szCs w:val="20"/>
                <w:highlight w:val="none"/>
              </w:rPr>
              <w:t>-55岁</w:t>
            </w:r>
            <w:r>
              <w:rPr>
                <w:rFonts w:hint="eastAsia" w:ascii="Times New Roman" w:hAnsi="宋体" w:cs="Times New Roman"/>
                <w:sz w:val="21"/>
                <w:szCs w:val="20"/>
                <w:highlight w:val="none"/>
                <w:lang w:val="en-US" w:eastAsia="zh-CN"/>
              </w:rPr>
              <w:t>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1173" w:type="dxa"/>
          </w:tcPr>
          <w:p w14:paraId="6FB172D8">
            <w:pPr>
              <w:overflowPunct w:val="0"/>
              <w:spacing w:line="360" w:lineRule="auto"/>
              <w:jc w:val="center"/>
              <w:rPr>
                <w:rFonts w:hint="eastAsia" w:hAnsi="宋体"/>
                <w:sz w:val="21"/>
                <w:highlight w:val="none"/>
                <w:vertAlign w:val="baseline"/>
                <w:lang w:val="en-US" w:eastAsia="zh-CN"/>
              </w:rPr>
            </w:pPr>
          </w:p>
        </w:tc>
        <w:tc>
          <w:tcPr>
            <w:tcW w:w="1943" w:type="dxa"/>
          </w:tcPr>
          <w:p w14:paraId="6481807A">
            <w:pPr>
              <w:overflowPunct w:val="0"/>
              <w:spacing w:line="360" w:lineRule="auto"/>
              <w:jc w:val="center"/>
              <w:rPr>
                <w:rFonts w:hint="default" w:hAnsi="宋体"/>
                <w:sz w:val="21"/>
                <w:highlight w:val="none"/>
                <w:vertAlign w:val="baseline"/>
                <w:lang w:val="en-US" w:eastAsia="zh-CN"/>
              </w:rPr>
            </w:pPr>
            <w:r>
              <w:rPr>
                <w:rFonts w:hint="eastAsia" w:hAnsi="宋体"/>
                <w:sz w:val="21"/>
                <w:highlight w:val="none"/>
                <w:vertAlign w:val="baseline"/>
                <w:lang w:val="en-US" w:eastAsia="zh-CN"/>
              </w:rPr>
              <w:t>7-15年占比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1084" w:type="dxa"/>
          </w:tcPr>
          <w:p w14:paraId="385349B0">
            <w:pPr>
              <w:overflowPunct w:val="0"/>
              <w:spacing w:line="360" w:lineRule="auto"/>
              <w:jc w:val="center"/>
              <w:rPr>
                <w:rFonts w:hint="eastAsia" w:hAnsi="宋体"/>
                <w:sz w:val="21"/>
                <w:highlight w:val="none"/>
                <w:vertAlign w:val="baseline"/>
                <w:lang w:val="en-US" w:eastAsia="zh-CN"/>
              </w:rPr>
            </w:pPr>
          </w:p>
        </w:tc>
        <w:tc>
          <w:tcPr>
            <w:tcW w:w="1974" w:type="dxa"/>
            <w:shd w:val="clear" w:color="auto" w:fill="auto"/>
            <w:vAlign w:val="top"/>
          </w:tcPr>
          <w:p w14:paraId="7DC86A62">
            <w:pPr>
              <w:overflowPunct w:val="0"/>
              <w:spacing w:line="360" w:lineRule="auto"/>
              <w:jc w:val="center"/>
              <w:rPr>
                <w:rFonts w:hint="eastAsia" w:ascii="Times New Roman" w:hAnsi="宋体" w:eastAsia="宋体" w:cs="Times New Roman"/>
                <w:kern w:val="2"/>
                <w:sz w:val="21"/>
                <w:highlight w:val="none"/>
                <w:vertAlign w:val="baseline"/>
                <w:lang w:val="en-US" w:eastAsia="zh-CN" w:bidi="ar-SA"/>
              </w:rPr>
            </w:pPr>
            <w:r>
              <w:rPr>
                <w:rFonts w:hint="eastAsia" w:hAnsi="宋体"/>
                <w:sz w:val="21"/>
                <w:highlight w:val="none"/>
                <w:vertAlign w:val="baseline"/>
                <w:lang w:val="en-US" w:eastAsia="zh-CN"/>
              </w:rPr>
              <w:t>中级职称占比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935" w:type="dxa"/>
            <w:shd w:val="clear" w:color="auto" w:fill="auto"/>
            <w:vAlign w:val="top"/>
          </w:tcPr>
          <w:p w14:paraId="045A613C">
            <w:pPr>
              <w:overflowPunct w:val="0"/>
              <w:spacing w:line="360" w:lineRule="auto"/>
              <w:jc w:val="center"/>
              <w:rPr>
                <w:rFonts w:hint="eastAsia" w:hAnsi="宋体"/>
                <w:sz w:val="21"/>
                <w:highlight w:val="none"/>
                <w:vertAlign w:val="baseline"/>
                <w:lang w:val="en-US" w:eastAsia="zh-CN"/>
              </w:rPr>
            </w:pPr>
          </w:p>
        </w:tc>
      </w:tr>
      <w:tr w14:paraId="0876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51" w:type="dxa"/>
            <w:shd w:val="clear" w:color="auto" w:fill="auto"/>
            <w:vAlign w:val="top"/>
          </w:tcPr>
          <w:p w14:paraId="4107B601">
            <w:pPr>
              <w:overflowPunct w:val="0"/>
              <w:spacing w:line="360" w:lineRule="auto"/>
              <w:jc w:val="center"/>
              <w:rPr>
                <w:rFonts w:hint="default" w:ascii="宋体" w:hAnsi="宋体" w:cs="Times New Roman"/>
                <w:sz w:val="21"/>
                <w:szCs w:val="24"/>
                <w:highlight w:val="none"/>
                <w:lang w:val="en-US" w:eastAsia="zh-CN"/>
              </w:rPr>
            </w:pPr>
            <w:r>
              <w:rPr>
                <w:rFonts w:hint="eastAsia" w:hAnsi="宋体"/>
                <w:sz w:val="21"/>
                <w:highlight w:val="none"/>
                <w:vertAlign w:val="baseline"/>
                <w:lang w:val="en-US" w:eastAsia="zh-CN"/>
              </w:rPr>
              <w:t>55岁以上占比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1173" w:type="dxa"/>
          </w:tcPr>
          <w:p w14:paraId="7244FEAE">
            <w:pPr>
              <w:overflowPunct w:val="0"/>
              <w:spacing w:line="360" w:lineRule="auto"/>
              <w:jc w:val="center"/>
              <w:rPr>
                <w:rFonts w:hint="eastAsia" w:hAnsi="宋体"/>
                <w:sz w:val="21"/>
                <w:highlight w:val="none"/>
                <w:vertAlign w:val="baseline"/>
                <w:lang w:val="en-US" w:eastAsia="zh-CN"/>
              </w:rPr>
            </w:pPr>
          </w:p>
        </w:tc>
        <w:tc>
          <w:tcPr>
            <w:tcW w:w="1943" w:type="dxa"/>
          </w:tcPr>
          <w:p w14:paraId="73BBF628">
            <w:pPr>
              <w:overflowPunct w:val="0"/>
              <w:spacing w:line="360" w:lineRule="auto"/>
              <w:jc w:val="center"/>
              <w:rPr>
                <w:rFonts w:hint="default" w:hAnsi="宋体"/>
                <w:sz w:val="21"/>
                <w:highlight w:val="none"/>
                <w:vertAlign w:val="baseline"/>
                <w:lang w:val="en-US" w:eastAsia="zh-CN"/>
              </w:rPr>
            </w:pPr>
            <w:r>
              <w:rPr>
                <w:rFonts w:hint="eastAsia" w:hAnsi="宋体"/>
                <w:sz w:val="21"/>
                <w:highlight w:val="none"/>
                <w:vertAlign w:val="baseline"/>
                <w:lang w:val="en-US" w:eastAsia="zh-CN"/>
              </w:rPr>
              <w:t>15年以上占比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1084" w:type="dxa"/>
          </w:tcPr>
          <w:p w14:paraId="7F6E1776">
            <w:pPr>
              <w:overflowPunct w:val="0"/>
              <w:spacing w:line="360" w:lineRule="auto"/>
              <w:jc w:val="center"/>
              <w:rPr>
                <w:rFonts w:hint="eastAsia" w:hAnsi="宋体"/>
                <w:sz w:val="21"/>
                <w:highlight w:val="none"/>
                <w:vertAlign w:val="baseline"/>
                <w:lang w:val="en-US" w:eastAsia="zh-CN"/>
              </w:rPr>
            </w:pPr>
          </w:p>
        </w:tc>
        <w:tc>
          <w:tcPr>
            <w:tcW w:w="1974" w:type="dxa"/>
            <w:shd w:val="clear" w:color="auto" w:fill="auto"/>
            <w:vAlign w:val="top"/>
          </w:tcPr>
          <w:p w14:paraId="134FE70E">
            <w:pPr>
              <w:overflowPunct w:val="0"/>
              <w:spacing w:line="360" w:lineRule="auto"/>
              <w:jc w:val="center"/>
              <w:rPr>
                <w:rFonts w:hint="eastAsia" w:ascii="Times New Roman" w:hAnsi="宋体" w:eastAsia="宋体" w:cs="Times New Roman"/>
                <w:kern w:val="2"/>
                <w:sz w:val="21"/>
                <w:highlight w:val="none"/>
                <w:vertAlign w:val="baseline"/>
                <w:lang w:val="en-US" w:eastAsia="zh-CN" w:bidi="ar-SA"/>
              </w:rPr>
            </w:pPr>
            <w:r>
              <w:rPr>
                <w:rFonts w:hint="eastAsia" w:hAnsi="宋体"/>
                <w:sz w:val="21"/>
                <w:highlight w:val="none"/>
                <w:vertAlign w:val="baseline"/>
                <w:lang w:val="en-US" w:eastAsia="zh-CN"/>
              </w:rPr>
              <w:t>高级职称占比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935" w:type="dxa"/>
            <w:shd w:val="clear" w:color="auto" w:fill="auto"/>
            <w:vAlign w:val="top"/>
          </w:tcPr>
          <w:p w14:paraId="2A543CED">
            <w:pPr>
              <w:overflowPunct w:val="0"/>
              <w:spacing w:line="360" w:lineRule="auto"/>
              <w:jc w:val="center"/>
              <w:rPr>
                <w:rFonts w:hint="eastAsia" w:hAnsi="宋体"/>
                <w:sz w:val="21"/>
                <w:highlight w:val="none"/>
                <w:vertAlign w:val="baseline"/>
                <w:lang w:val="en-US" w:eastAsia="zh-CN"/>
              </w:rPr>
            </w:pPr>
          </w:p>
        </w:tc>
      </w:tr>
    </w:tbl>
    <w:p w14:paraId="3306D580">
      <w:pPr>
        <w:overflowPunct w:val="0"/>
        <w:spacing w:line="360" w:lineRule="auto"/>
        <w:ind w:firstLine="0" w:firstLineChars="0"/>
        <w:rPr>
          <w:rFonts w:hint="eastAsia" w:hAnsi="宋体"/>
          <w:sz w:val="21"/>
          <w:highlight w:val="none"/>
        </w:rPr>
      </w:pPr>
    </w:p>
    <w:p w14:paraId="6AB6614F">
      <w:pPr>
        <w:pageBreakBefore w:val="0"/>
        <w:kinsoku/>
        <w:wordWrap/>
        <w:overflowPunct/>
        <w:bidi w:val="0"/>
        <w:snapToGrid w:val="0"/>
        <w:spacing w:after="200" w:line="360" w:lineRule="auto"/>
        <w:ind w:firstLine="0" w:firstLineChars="0"/>
        <w:textAlignment w:val="auto"/>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 xml:space="preserve">  </w:t>
      </w:r>
    </w:p>
    <w:p w14:paraId="18F9BEB9">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6220174C">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签字或签章</w:t>
      </w:r>
      <w:r>
        <w:rPr>
          <w:rFonts w:hint="eastAsia" w:ascii="宋体" w:hAnsi="宋体" w:cs="宋体"/>
          <w:color w:val="auto"/>
          <w:highlight w:val="none"/>
        </w:rPr>
        <w:t>）</w:t>
      </w:r>
    </w:p>
    <w:p w14:paraId="7E1B2ADD">
      <w:pPr>
        <w:keepNext w:val="0"/>
        <w:keepLines w:val="0"/>
        <w:pageBreakBefore w:val="0"/>
        <w:kinsoku/>
        <w:wordWrap/>
        <w:overflowPunct/>
        <w:topLinePunct w:val="0"/>
        <w:bidi w:val="0"/>
        <w:adjustRightInd w:val="0"/>
        <w:snapToGrid w:val="0"/>
        <w:spacing w:before="120" w:after="120" w:line="300" w:lineRule="auto"/>
        <w:ind w:firstLine="420" w:firstLineChars="200"/>
        <w:jc w:val="center"/>
        <w:textAlignment w:val="auto"/>
        <w:outlineLvl w:val="9"/>
        <w:rPr>
          <w:rFonts w:hint="eastAsia" w:ascii="宋体" w:hAnsi="宋体" w:eastAsia="宋体" w:cs="宋体"/>
          <w:bCs w:val="0"/>
          <w:color w:val="auto"/>
          <w:szCs w:val="21"/>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r>
        <w:rPr>
          <w:rFonts w:hint="eastAsia" w:ascii="宋体" w:hAnsi="宋体" w:eastAsia="宋体" w:cs="宋体"/>
          <w:bCs w:val="0"/>
          <w:color w:val="auto"/>
          <w:szCs w:val="21"/>
          <w:highlight w:val="none"/>
        </w:rPr>
        <w:br w:type="page"/>
      </w:r>
      <w:bookmarkStart w:id="754" w:name="_Toc55310080"/>
    </w:p>
    <w:p w14:paraId="47D2A0E6">
      <w:pPr>
        <w:pStyle w:val="5"/>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color w:val="auto"/>
          <w:highlight w:val="none"/>
          <w:lang w:val="en-US" w:eastAsia="zh-CN"/>
        </w:rPr>
      </w:pPr>
      <w:bookmarkStart w:id="755" w:name="_Toc1074755151"/>
      <w:bookmarkStart w:id="756" w:name="_Toc7082"/>
      <w:bookmarkStart w:id="757" w:name="_Toc2002185506"/>
      <w:bookmarkStart w:id="758" w:name="_Toc1095451326"/>
      <w:bookmarkStart w:id="759" w:name="_Toc2515"/>
      <w:bookmarkStart w:id="760" w:name="_Toc1691741360"/>
      <w:bookmarkStart w:id="761" w:name="_Toc972916072"/>
      <w:r>
        <w:rPr>
          <w:rFonts w:hint="eastAsia" w:eastAsia="宋体" w:cs="宋体"/>
          <w:color w:val="auto"/>
          <w:highlight w:val="none"/>
          <w:lang w:val="en-US" w:eastAsia="zh-CN"/>
        </w:rPr>
        <w:t>五</w:t>
      </w:r>
      <w:r>
        <w:rPr>
          <w:rFonts w:hint="eastAsia" w:ascii="宋体" w:hAnsi="宋体" w:eastAsia="宋体" w:cs="宋体"/>
          <w:color w:val="auto"/>
          <w:highlight w:val="none"/>
          <w:lang w:val="en-US" w:eastAsia="zh-CN"/>
        </w:rPr>
        <w:t>、技术/商务偏离表</w:t>
      </w:r>
      <w:bookmarkEnd w:id="755"/>
      <w:bookmarkEnd w:id="756"/>
      <w:bookmarkEnd w:id="757"/>
      <w:bookmarkEnd w:id="758"/>
      <w:bookmarkEnd w:id="759"/>
      <w:bookmarkEnd w:id="760"/>
      <w:bookmarkEnd w:id="761"/>
    </w:p>
    <w:p w14:paraId="7CE4989B">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w:t>
      </w:r>
      <w:r>
        <w:rPr>
          <w:rFonts w:hint="eastAsia" w:ascii="宋体" w:hAnsi="宋体" w:eastAsia="宋体" w:cs="宋体"/>
          <w:b w:val="0"/>
          <w:color w:val="auto"/>
          <w:sz w:val="24"/>
          <w:highlight w:val="none"/>
          <w:lang w:val="en-US" w:eastAsia="zh-CN"/>
        </w:rPr>
        <w:t>竞争性谈判采购文件与响应文件的偏差</w:t>
      </w:r>
      <w:r>
        <w:rPr>
          <w:rFonts w:hint="eastAsia" w:ascii="宋体" w:hAnsi="宋体" w:eastAsia="宋体" w:cs="宋体"/>
          <w:b w:val="0"/>
          <w:color w:val="auto"/>
          <w:sz w:val="24"/>
          <w:highlight w:val="none"/>
        </w:rPr>
        <w:t>）</w:t>
      </w:r>
    </w:p>
    <w:tbl>
      <w:tblPr>
        <w:tblStyle w:val="49"/>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690F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38" w:type="dxa"/>
            <w:vMerge w:val="restart"/>
            <w:vAlign w:val="center"/>
          </w:tcPr>
          <w:p w14:paraId="1153ECC2">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序号</w:t>
            </w:r>
          </w:p>
        </w:tc>
        <w:tc>
          <w:tcPr>
            <w:tcW w:w="3075" w:type="dxa"/>
            <w:gridSpan w:val="2"/>
            <w:vAlign w:val="center"/>
          </w:tcPr>
          <w:p w14:paraId="29D34242">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竞争性谈判采购文件</w:t>
            </w:r>
          </w:p>
        </w:tc>
        <w:tc>
          <w:tcPr>
            <w:tcW w:w="3045" w:type="dxa"/>
            <w:gridSpan w:val="2"/>
            <w:vAlign w:val="center"/>
          </w:tcPr>
          <w:p w14:paraId="6B97771A">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响应文件</w:t>
            </w:r>
          </w:p>
        </w:tc>
        <w:tc>
          <w:tcPr>
            <w:tcW w:w="1642" w:type="dxa"/>
            <w:vMerge w:val="restart"/>
            <w:vAlign w:val="center"/>
          </w:tcPr>
          <w:p w14:paraId="18A12D36">
            <w:pPr>
              <w:keepNext w:val="0"/>
              <w:keepLines w:val="0"/>
              <w:pageBreakBefore w:val="0"/>
              <w:kinsoku/>
              <w:wordWrap/>
              <w:overflowPunct/>
              <w:topLinePunct w:val="0"/>
              <w:bidi w:val="0"/>
              <w:adjustRightInd w:val="0"/>
              <w:snapToGrid w:val="0"/>
              <w:spacing w:line="300" w:lineRule="auto"/>
              <w:ind w:firstLine="480" w:firstLineChars="200"/>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说  明</w:t>
            </w:r>
          </w:p>
        </w:tc>
      </w:tr>
      <w:tr w14:paraId="4162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38" w:type="dxa"/>
            <w:vMerge w:val="continue"/>
            <w:vAlign w:val="center"/>
          </w:tcPr>
          <w:p w14:paraId="14A8C86F">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80" w:type="dxa"/>
            <w:vAlign w:val="center"/>
          </w:tcPr>
          <w:p w14:paraId="54E3508D">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条目号</w:t>
            </w:r>
          </w:p>
        </w:tc>
        <w:tc>
          <w:tcPr>
            <w:tcW w:w="1995" w:type="dxa"/>
            <w:vAlign w:val="center"/>
          </w:tcPr>
          <w:p w14:paraId="319F20F2">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技术</w:t>
            </w:r>
            <w:r>
              <w:rPr>
                <w:rFonts w:hint="eastAsia" w:ascii="宋体" w:hAnsi="宋体" w:eastAsia="宋体" w:cs="宋体"/>
                <w:b w:val="0"/>
                <w:color w:val="auto"/>
                <w:sz w:val="24"/>
                <w:highlight w:val="none"/>
                <w:lang w:val="en-US" w:eastAsia="zh-CN"/>
              </w:rPr>
              <w:t>/</w:t>
            </w:r>
            <w:r>
              <w:rPr>
                <w:rFonts w:hint="eastAsia" w:ascii="宋体" w:hAnsi="宋体" w:eastAsia="宋体" w:cs="宋体"/>
                <w:b w:val="0"/>
                <w:color w:val="auto"/>
                <w:sz w:val="24"/>
                <w:highlight w:val="none"/>
              </w:rPr>
              <w:t>商务条款</w:t>
            </w:r>
          </w:p>
        </w:tc>
        <w:tc>
          <w:tcPr>
            <w:tcW w:w="1065" w:type="dxa"/>
            <w:vAlign w:val="center"/>
          </w:tcPr>
          <w:p w14:paraId="04D7D945">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条目号</w:t>
            </w:r>
          </w:p>
        </w:tc>
        <w:tc>
          <w:tcPr>
            <w:tcW w:w="1980" w:type="dxa"/>
            <w:vAlign w:val="center"/>
          </w:tcPr>
          <w:p w14:paraId="74318762">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技术</w:t>
            </w:r>
            <w:r>
              <w:rPr>
                <w:rFonts w:hint="eastAsia" w:ascii="宋体" w:hAnsi="宋体" w:eastAsia="宋体" w:cs="宋体"/>
                <w:b w:val="0"/>
                <w:color w:val="auto"/>
                <w:sz w:val="24"/>
                <w:highlight w:val="none"/>
                <w:lang w:val="en-US" w:eastAsia="zh-CN"/>
              </w:rPr>
              <w:t>/</w:t>
            </w:r>
            <w:r>
              <w:rPr>
                <w:rFonts w:hint="eastAsia" w:ascii="宋体" w:hAnsi="宋体" w:eastAsia="宋体" w:cs="宋体"/>
                <w:b w:val="0"/>
                <w:color w:val="auto"/>
                <w:sz w:val="24"/>
                <w:highlight w:val="none"/>
              </w:rPr>
              <w:t>商务条款</w:t>
            </w:r>
          </w:p>
        </w:tc>
        <w:tc>
          <w:tcPr>
            <w:tcW w:w="1642" w:type="dxa"/>
            <w:vMerge w:val="continue"/>
            <w:vAlign w:val="center"/>
          </w:tcPr>
          <w:p w14:paraId="27A32EE0">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r>
      <w:tr w14:paraId="50BC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vAlign w:val="center"/>
          </w:tcPr>
          <w:p w14:paraId="37511515">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80" w:type="dxa"/>
            <w:vAlign w:val="center"/>
          </w:tcPr>
          <w:p w14:paraId="4B98FDA2">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995" w:type="dxa"/>
            <w:vAlign w:val="center"/>
          </w:tcPr>
          <w:p w14:paraId="7125CBE0">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65" w:type="dxa"/>
            <w:vAlign w:val="center"/>
          </w:tcPr>
          <w:p w14:paraId="3423EB9C">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980" w:type="dxa"/>
            <w:vAlign w:val="center"/>
          </w:tcPr>
          <w:p w14:paraId="35E41BF9">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642" w:type="dxa"/>
            <w:vAlign w:val="center"/>
          </w:tcPr>
          <w:p w14:paraId="0E6835D6">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r>
      <w:tr w14:paraId="4C67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4267D7F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5B881F1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7A474138">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55BBCA3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7A9D112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62BE3176">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0B46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08F5E19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0781ED3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583DBF5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421D3E6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3E49E97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3FB524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57D2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25C116D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093FD82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27232E87">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5292B74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2612DC57">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CFD447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72DB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23F316D9">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2FFDF01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48CA921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73CD204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323B67B2">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331AB86">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6A2B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154C8D10">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6B02E31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5BB70F9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65CB3EB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4AAC5C5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30A70C0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bl>
    <w:p w14:paraId="73B8799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p w14:paraId="0811B497">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供应商承诺：除上表中的偏差外，完全响应邀请文件的其他条款。</w:t>
      </w:r>
    </w:p>
    <w:p w14:paraId="69101659">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val="0"/>
          <w:color w:val="auto"/>
          <w:sz w:val="24"/>
          <w:highlight w:val="none"/>
        </w:rPr>
      </w:pPr>
    </w:p>
    <w:p w14:paraId="53C4B1C2">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宋体" w:hAnsi="宋体" w:eastAsia="宋体" w:cs="宋体"/>
          <w:b w:val="0"/>
          <w:color w:val="auto"/>
          <w:sz w:val="24"/>
          <w:highlight w:val="none"/>
          <w:u w:val="single"/>
          <w:lang w:val="en-US" w:eastAsia="zh-CN"/>
        </w:rPr>
      </w:pPr>
      <w:r>
        <w:rPr>
          <w:rFonts w:hint="eastAsia" w:ascii="宋体" w:hAnsi="宋体" w:eastAsia="宋体" w:cs="宋体"/>
          <w:b w:val="0"/>
          <w:color w:val="auto"/>
          <w:sz w:val="24"/>
          <w:highlight w:val="none"/>
        </w:rPr>
        <w:t>供应商（</w:t>
      </w:r>
      <w:r>
        <w:rPr>
          <w:rFonts w:hint="eastAsia" w:ascii="宋体" w:hAnsi="宋体" w:cs="宋体"/>
          <w:b w:val="0"/>
          <w:color w:val="auto"/>
          <w:sz w:val="24"/>
          <w:highlight w:val="none"/>
          <w:lang w:val="en-US" w:eastAsia="zh-CN"/>
        </w:rPr>
        <w:t>单位公章</w:t>
      </w:r>
      <w:r>
        <w:rPr>
          <w:rFonts w:hint="eastAsia" w:ascii="宋体" w:hAnsi="宋体" w:eastAsia="宋体" w:cs="宋体"/>
          <w:b w:val="0"/>
          <w:color w:val="auto"/>
          <w:sz w:val="24"/>
          <w:highlight w:val="none"/>
        </w:rPr>
        <w:t>）：</w:t>
      </w:r>
      <w:r>
        <w:rPr>
          <w:rFonts w:hint="eastAsia" w:ascii="宋体" w:hAnsi="宋体" w:eastAsia="宋体" w:cs="宋体"/>
          <w:b w:val="0"/>
          <w:color w:val="auto"/>
          <w:sz w:val="24"/>
          <w:highlight w:val="none"/>
          <w:u w:val="single"/>
          <w:lang w:val="en-US" w:eastAsia="zh-CN"/>
        </w:rPr>
        <w:t xml:space="preserve">                  </w:t>
      </w:r>
    </w:p>
    <w:p w14:paraId="287733B3">
      <w:pPr>
        <w:keepNext w:val="0"/>
        <w:keepLines w:val="0"/>
        <w:pageBreakBefore w:val="0"/>
        <w:kinsoku/>
        <w:wordWrap/>
        <w:topLinePunct w:val="0"/>
        <w:autoSpaceDE/>
        <w:autoSpaceDN/>
        <w:bidi w:val="0"/>
        <w:adjustRightInd w:val="0"/>
        <w:snapToGrid w:val="0"/>
        <w:spacing w:line="360" w:lineRule="auto"/>
        <w:ind w:firstLine="420" w:firstLineChars="200"/>
        <w:outlineLvl w:val="9"/>
        <w:rPr>
          <w:rFonts w:hint="eastAsia" w:ascii="宋体" w:hAnsi="宋体" w:eastAsia="宋体" w:cs="宋体"/>
          <w:color w:val="auto"/>
          <w:highlight w:val="none"/>
        </w:rPr>
      </w:pPr>
    </w:p>
    <w:p w14:paraId="3C33F74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b w:val="0"/>
          <w:color w:val="auto"/>
          <w:sz w:val="24"/>
          <w:highlight w:val="none"/>
        </w:rPr>
        <w:t>法定代表人或委托代理人（签字或</w:t>
      </w:r>
      <w:r>
        <w:rPr>
          <w:rFonts w:hint="eastAsia" w:ascii="宋体" w:hAnsi="宋体" w:eastAsia="宋体" w:cs="宋体"/>
          <w:b w:val="0"/>
          <w:color w:val="auto"/>
          <w:sz w:val="24"/>
          <w:highlight w:val="none"/>
          <w:lang w:val="en-US" w:eastAsia="zh-CN"/>
        </w:rPr>
        <w:t>签</w:t>
      </w:r>
      <w:r>
        <w:rPr>
          <w:rFonts w:hint="eastAsia" w:ascii="宋体" w:hAnsi="宋体" w:eastAsia="宋体" w:cs="宋体"/>
          <w:b w:val="0"/>
          <w:color w:val="auto"/>
          <w:sz w:val="24"/>
          <w:highlight w:val="none"/>
        </w:rPr>
        <w:t>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6D968570">
      <w:pPr>
        <w:keepNext w:val="0"/>
        <w:keepLines w:val="0"/>
        <w:pageBreakBefore w:val="0"/>
        <w:kinsoku/>
        <w:wordWrap/>
        <w:topLinePunct w:val="0"/>
        <w:autoSpaceDE/>
        <w:autoSpaceDN/>
        <w:bidi w:val="0"/>
        <w:adjustRightInd w:val="0"/>
        <w:snapToGrid w:val="0"/>
        <w:spacing w:line="360" w:lineRule="auto"/>
        <w:ind w:firstLine="420" w:firstLineChars="200"/>
        <w:outlineLvl w:val="9"/>
        <w:rPr>
          <w:rFonts w:hint="eastAsia" w:ascii="宋体" w:hAnsi="宋体" w:eastAsia="宋体" w:cs="宋体"/>
          <w:highlight w:val="none"/>
        </w:rPr>
      </w:pPr>
    </w:p>
    <w:p w14:paraId="1548AA9F">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rPr>
        <w:t xml:space="preserve">日期：    年     月    </w:t>
      </w:r>
      <w:r>
        <w:rPr>
          <w:rFonts w:hint="eastAsia" w:ascii="宋体" w:hAnsi="宋体" w:eastAsia="宋体" w:cs="宋体"/>
          <w:b w:val="0"/>
          <w:color w:val="auto"/>
          <w:sz w:val="24"/>
          <w:highlight w:val="none"/>
          <w:lang w:val="en-US" w:eastAsia="zh-CN"/>
        </w:rPr>
        <w:t>日</w:t>
      </w:r>
    </w:p>
    <w:p w14:paraId="6556B676">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p w14:paraId="74FCC414">
      <w:pPr>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br w:type="page"/>
      </w:r>
    </w:p>
    <w:bookmarkEnd w:id="754"/>
    <w:p w14:paraId="7521BDF3">
      <w:pPr>
        <w:keepNext w:val="0"/>
        <w:keepLines w:val="0"/>
        <w:spacing w:before="0" w:after="0" w:line="360" w:lineRule="auto"/>
        <w:jc w:val="left"/>
        <w:outlineLvl w:val="9"/>
        <w:rPr>
          <w:rFonts w:hint="eastAsia" w:ascii="宋体" w:hAnsi="宋体" w:eastAsia="宋体" w:cs="宋体"/>
          <w:color w:val="auto"/>
          <w:kern w:val="0"/>
          <w:sz w:val="24"/>
          <w:szCs w:val="20"/>
          <w:highlight w:val="none"/>
        </w:rPr>
      </w:pPr>
      <w:r>
        <w:rPr>
          <w:rFonts w:hint="eastAsia" w:ascii="宋体" w:hAnsi="宋体" w:eastAsia="宋体" w:cs="宋体"/>
          <w:b w:val="0"/>
          <w:bCs w:val="0"/>
          <w:color w:val="auto"/>
          <w:kern w:val="0"/>
          <w:sz w:val="24"/>
          <w:szCs w:val="20"/>
          <w:highlight w:val="none"/>
        </w:rPr>
        <w:t>附件：</w:t>
      </w:r>
      <w:bookmarkStart w:id="762" w:name="_Toc451524373"/>
      <w:bookmarkEnd w:id="762"/>
    </w:p>
    <w:p w14:paraId="403F7F0D">
      <w:pPr>
        <w:spacing w:after="200" w:line="360" w:lineRule="auto"/>
        <w:jc w:val="center"/>
        <w:outlineLvl w:val="2"/>
        <w:rPr>
          <w:rStyle w:val="62"/>
          <w:rFonts w:hint="eastAsia" w:ascii="宋体" w:hAnsi="宋体" w:eastAsia="宋体" w:cs="宋体"/>
          <w:color w:val="auto"/>
          <w:sz w:val="30"/>
          <w:szCs w:val="30"/>
          <w:highlight w:val="none"/>
          <w:lang w:val="zh-TW" w:eastAsia="zh-TW"/>
        </w:rPr>
      </w:pPr>
      <w:bookmarkStart w:id="763" w:name="_Toc585570975"/>
      <w:bookmarkStart w:id="764" w:name="_Toc815439390"/>
      <w:bookmarkStart w:id="765" w:name="_Toc1548640825"/>
      <w:bookmarkStart w:id="766" w:name="_Toc1917082458"/>
      <w:bookmarkStart w:id="767" w:name="_Toc1698101680"/>
      <w:r>
        <w:rPr>
          <w:rStyle w:val="62"/>
          <w:rFonts w:hint="eastAsia" w:ascii="宋体" w:hAnsi="宋体" w:eastAsia="宋体" w:cs="宋体"/>
          <w:color w:val="auto"/>
          <w:sz w:val="30"/>
          <w:szCs w:val="30"/>
          <w:highlight w:val="none"/>
          <w:lang w:val="zh-TW" w:eastAsia="zh-TW"/>
        </w:rPr>
        <w:t>最终报价表</w:t>
      </w:r>
    </w:p>
    <w:bookmarkEnd w:id="763"/>
    <w:bookmarkEnd w:id="764"/>
    <w:bookmarkEnd w:id="765"/>
    <w:bookmarkEnd w:id="766"/>
    <w:bookmarkEnd w:id="767"/>
    <w:p w14:paraId="54799F48">
      <w:pPr>
        <w:spacing w:line="360" w:lineRule="auto"/>
        <w:rPr>
          <w:rFonts w:hint="eastAsia" w:ascii="宋体" w:hAnsi="宋体" w:eastAsia="宋体" w:cs="宋体"/>
          <w:color w:val="auto"/>
          <w:kern w:val="0"/>
          <w:sz w:val="24"/>
          <w:highlight w:val="none"/>
        </w:rPr>
      </w:pPr>
    </w:p>
    <w:p w14:paraId="4C9B0AD5">
      <w:pPr>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highlight w:val="none"/>
        </w:rPr>
        <w:t>项目名称：</w:t>
      </w:r>
      <w:r>
        <w:rPr>
          <w:rFonts w:hint="eastAsia" w:ascii="宋体" w:hAnsi="宋体" w:cs="宋体"/>
          <w:color w:val="auto"/>
          <w:kern w:val="0"/>
          <w:sz w:val="24"/>
          <w:highlight w:val="none"/>
          <w:u w:val="single"/>
          <w:lang w:val="en-US" w:eastAsia="zh-CN"/>
        </w:rPr>
        <w:t>华宁县大龙山风电场项目监理服务（项目名称）</w:t>
      </w:r>
    </w:p>
    <w:tbl>
      <w:tblPr>
        <w:tblStyle w:val="49"/>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91"/>
        <w:gridCol w:w="3516"/>
        <w:gridCol w:w="2756"/>
      </w:tblGrid>
      <w:tr w14:paraId="1666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6" w:hRule="atLeast"/>
          <w:jc w:val="center"/>
        </w:trPr>
        <w:tc>
          <w:tcPr>
            <w:tcW w:w="704" w:type="dxa"/>
            <w:vAlign w:val="center"/>
          </w:tcPr>
          <w:p w14:paraId="684A33E1">
            <w:pPr>
              <w:jc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序号</w:t>
            </w:r>
          </w:p>
        </w:tc>
        <w:tc>
          <w:tcPr>
            <w:tcW w:w="1891" w:type="dxa"/>
            <w:vAlign w:val="center"/>
          </w:tcPr>
          <w:p w14:paraId="36476484">
            <w:pPr>
              <w:jc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项目</w:t>
            </w:r>
          </w:p>
        </w:tc>
        <w:tc>
          <w:tcPr>
            <w:tcW w:w="3516" w:type="dxa"/>
            <w:vAlign w:val="center"/>
          </w:tcPr>
          <w:p w14:paraId="17FA3D26">
            <w:pPr>
              <w:jc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报价内容及承诺</w:t>
            </w:r>
          </w:p>
        </w:tc>
        <w:tc>
          <w:tcPr>
            <w:tcW w:w="2756" w:type="dxa"/>
            <w:vAlign w:val="center"/>
          </w:tcPr>
          <w:p w14:paraId="0E1DF2EA">
            <w:pPr>
              <w:jc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备注</w:t>
            </w:r>
          </w:p>
        </w:tc>
      </w:tr>
      <w:tr w14:paraId="3387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3" w:hRule="atLeast"/>
          <w:jc w:val="center"/>
        </w:trPr>
        <w:tc>
          <w:tcPr>
            <w:tcW w:w="704" w:type="dxa"/>
            <w:vAlign w:val="center"/>
          </w:tcPr>
          <w:p w14:paraId="624575E8">
            <w:pPr>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w:t>
            </w:r>
          </w:p>
        </w:tc>
        <w:tc>
          <w:tcPr>
            <w:tcW w:w="1891" w:type="dxa"/>
            <w:vAlign w:val="center"/>
          </w:tcPr>
          <w:p w14:paraId="32C97680">
            <w:pPr>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报价总价（元）</w:t>
            </w:r>
          </w:p>
        </w:tc>
        <w:tc>
          <w:tcPr>
            <w:tcW w:w="3516" w:type="dxa"/>
            <w:vAlign w:val="center"/>
          </w:tcPr>
          <w:p w14:paraId="35975DC6">
            <w:pPr>
              <w:rPr>
                <w:color w:val="auto"/>
                <w:szCs w:val="21"/>
                <w:highlight w:val="none"/>
              </w:rPr>
            </w:pPr>
            <w:r>
              <w:rPr>
                <w:color w:val="auto"/>
                <w:szCs w:val="21"/>
                <w:highlight w:val="none"/>
              </w:rPr>
              <w:t>大写：</w:t>
            </w:r>
            <w:r>
              <w:rPr>
                <w:rFonts w:hint="eastAsia"/>
                <w:color w:val="auto"/>
                <w:szCs w:val="21"/>
                <w:highlight w:val="none"/>
                <w:u w:val="single"/>
              </w:rPr>
              <w:t xml:space="preserve">          </w:t>
            </w:r>
            <w:r>
              <w:rPr>
                <w:rFonts w:hint="eastAsia"/>
                <w:color w:val="auto"/>
                <w:szCs w:val="21"/>
                <w:highlight w:val="none"/>
              </w:rPr>
              <w:t>人民币</w:t>
            </w:r>
          </w:p>
          <w:p w14:paraId="72BCD034">
            <w:pPr>
              <w:jc w:val="both"/>
              <w:rPr>
                <w:rFonts w:hint="default" w:ascii="Times New Roman" w:hAnsi="Times New Roman" w:eastAsia="宋体" w:cs="Times New Roman"/>
                <w:szCs w:val="21"/>
                <w:highlight w:val="none"/>
                <w:lang w:val="en-US" w:eastAsia="zh-CN"/>
              </w:rPr>
            </w:pPr>
            <w:r>
              <w:rPr>
                <w:rFonts w:hint="eastAsia"/>
                <w:color w:val="auto"/>
                <w:szCs w:val="21"/>
                <w:highlight w:val="none"/>
              </w:rPr>
              <w:t>小写：</w:t>
            </w:r>
            <w:r>
              <w:rPr>
                <w:color w:val="auto"/>
                <w:szCs w:val="21"/>
                <w:highlight w:val="none"/>
              </w:rPr>
              <w:t>¥</w:t>
            </w:r>
            <w:r>
              <w:rPr>
                <w:rFonts w:hint="eastAsia"/>
                <w:color w:val="auto"/>
                <w:szCs w:val="21"/>
                <w:highlight w:val="none"/>
                <w:u w:val="single"/>
              </w:rPr>
              <w:t xml:space="preserve">           </w:t>
            </w:r>
          </w:p>
        </w:tc>
        <w:tc>
          <w:tcPr>
            <w:tcW w:w="2756" w:type="dxa"/>
            <w:vAlign w:val="center"/>
          </w:tcPr>
          <w:p w14:paraId="58C1DAE4">
            <w:pPr>
              <w:jc w:val="left"/>
              <w:rPr>
                <w:rFonts w:hint="default" w:ascii="Times New Roman" w:hAnsi="Times New Roman" w:eastAsia="宋体" w:cs="Times New Roman"/>
                <w:szCs w:val="21"/>
                <w:highlight w:val="none"/>
              </w:rPr>
            </w:pPr>
            <w:r>
              <w:rPr>
                <w:rFonts w:hint="eastAsia"/>
                <w:highlight w:val="none"/>
                <w:lang w:val="en-US" w:eastAsia="zh-CN"/>
              </w:rPr>
              <w:t>报价为含税价，税率为XX%。</w:t>
            </w:r>
          </w:p>
        </w:tc>
      </w:tr>
      <w:tr w14:paraId="6853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704" w:type="dxa"/>
            <w:vAlign w:val="center"/>
          </w:tcPr>
          <w:p w14:paraId="08F3011E">
            <w:pPr>
              <w:jc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2</w:t>
            </w:r>
          </w:p>
        </w:tc>
        <w:tc>
          <w:tcPr>
            <w:tcW w:w="1891" w:type="dxa"/>
            <w:vAlign w:val="center"/>
          </w:tcPr>
          <w:p w14:paraId="162B8480">
            <w:pPr>
              <w:jc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总监理工程师</w:t>
            </w:r>
          </w:p>
        </w:tc>
        <w:tc>
          <w:tcPr>
            <w:tcW w:w="3516" w:type="dxa"/>
            <w:vAlign w:val="center"/>
          </w:tcPr>
          <w:p w14:paraId="424472CC">
            <w:pPr>
              <w:jc w:val="both"/>
              <w:rPr>
                <w:rFonts w:hint="eastAsia" w:ascii="Times New Roman" w:hAnsi="Times New Roman" w:eastAsia="宋体" w:cs="Times New Roman"/>
                <w:szCs w:val="21"/>
                <w:highlight w:val="none"/>
                <w:lang w:val="en-US" w:eastAsia="zh-CN"/>
              </w:rPr>
            </w:pPr>
          </w:p>
        </w:tc>
        <w:tc>
          <w:tcPr>
            <w:tcW w:w="2756" w:type="dxa"/>
            <w:vAlign w:val="center"/>
          </w:tcPr>
          <w:p w14:paraId="13BA077A">
            <w:pPr>
              <w:jc w:val="left"/>
              <w:rPr>
                <w:rFonts w:hint="eastAsia"/>
                <w:highlight w:val="none"/>
                <w:lang w:val="en-US" w:eastAsia="zh-CN"/>
              </w:rPr>
            </w:pPr>
          </w:p>
        </w:tc>
      </w:tr>
      <w:tr w14:paraId="603F8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5" w:hRule="atLeast"/>
          <w:jc w:val="center"/>
        </w:trPr>
        <w:tc>
          <w:tcPr>
            <w:tcW w:w="704" w:type="dxa"/>
            <w:vAlign w:val="center"/>
          </w:tcPr>
          <w:p w14:paraId="23B76C25">
            <w:pPr>
              <w:jc w:val="center"/>
              <w:rPr>
                <w:rFonts w:hint="eastAsia" w:ascii="Times New Roman" w:hAnsi="Times New Roman" w:eastAsia="宋体" w:cs="Times New Roman"/>
                <w:szCs w:val="21"/>
                <w:highlight w:val="none"/>
                <w:lang w:eastAsia="zh-CN"/>
              </w:rPr>
            </w:pPr>
            <w:r>
              <w:rPr>
                <w:rFonts w:hint="eastAsia" w:cs="Times New Roman"/>
                <w:szCs w:val="21"/>
                <w:highlight w:val="none"/>
                <w:lang w:val="en-US" w:eastAsia="zh-CN"/>
              </w:rPr>
              <w:t>3</w:t>
            </w:r>
          </w:p>
        </w:tc>
        <w:tc>
          <w:tcPr>
            <w:tcW w:w="1891" w:type="dxa"/>
            <w:vAlign w:val="center"/>
          </w:tcPr>
          <w:p w14:paraId="67A517F8">
            <w:pPr>
              <w:pStyle w:val="47"/>
              <w:ind w:firstLine="0" w:firstLineChars="0"/>
              <w:jc w:val="center"/>
              <w:rPr>
                <w:rFonts w:hint="default" w:ascii="Times New Roman" w:hAnsi="Times New Roman" w:cs="Times New Roman"/>
                <w:kern w:val="2"/>
                <w:sz w:val="21"/>
                <w:szCs w:val="21"/>
                <w:highlight w:val="none"/>
              </w:rPr>
            </w:pPr>
            <w:r>
              <w:rPr>
                <w:rFonts w:hint="default" w:ascii="Times New Roman" w:hAnsi="Times New Roman" w:cs="Times New Roman"/>
                <w:kern w:val="2"/>
                <w:sz w:val="21"/>
                <w:szCs w:val="21"/>
                <w:highlight w:val="none"/>
              </w:rPr>
              <w:t>服务</w:t>
            </w:r>
            <w:r>
              <w:rPr>
                <w:rFonts w:hint="eastAsia" w:ascii="Times New Roman" w:hAnsi="Times New Roman" w:cs="Times New Roman"/>
                <w:kern w:val="2"/>
                <w:sz w:val="21"/>
                <w:szCs w:val="21"/>
                <w:highlight w:val="none"/>
                <w:lang w:val="en-US" w:eastAsia="zh-CN"/>
              </w:rPr>
              <w:t>期限</w:t>
            </w:r>
            <w:r>
              <w:rPr>
                <w:rFonts w:hint="default" w:ascii="Times New Roman" w:hAnsi="Times New Roman" w:cs="Times New Roman"/>
                <w:kern w:val="2"/>
                <w:sz w:val="21"/>
                <w:szCs w:val="21"/>
                <w:highlight w:val="none"/>
              </w:rPr>
              <w:t>承诺</w:t>
            </w:r>
          </w:p>
        </w:tc>
        <w:tc>
          <w:tcPr>
            <w:tcW w:w="3516" w:type="dxa"/>
            <w:vAlign w:val="center"/>
          </w:tcPr>
          <w:p w14:paraId="32F58E44">
            <w:pPr>
              <w:jc w:val="left"/>
              <w:rPr>
                <w:rFonts w:hint="default" w:ascii="Times New Roman" w:hAnsi="Times New Roman" w:eastAsia="宋体" w:cs="Times New Roman"/>
                <w:szCs w:val="21"/>
                <w:highlight w:val="none"/>
              </w:rPr>
            </w:pPr>
          </w:p>
        </w:tc>
        <w:tc>
          <w:tcPr>
            <w:tcW w:w="2756" w:type="dxa"/>
            <w:vAlign w:val="center"/>
          </w:tcPr>
          <w:p w14:paraId="4E6B89F6">
            <w:pPr>
              <w:jc w:val="center"/>
              <w:rPr>
                <w:rFonts w:hint="eastAsia" w:ascii="Times New Roman" w:hAnsi="Times New Roman" w:eastAsia="宋体" w:cs="Times New Roman"/>
                <w:szCs w:val="21"/>
                <w:highlight w:val="none"/>
                <w:lang w:val="en-US" w:eastAsia="zh-CN"/>
              </w:rPr>
            </w:pPr>
          </w:p>
        </w:tc>
      </w:tr>
    </w:tbl>
    <w:p w14:paraId="0429D535">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rPr>
          <w:rFonts w:hint="eastAsia" w:ascii="宋体" w:hAnsi="宋体" w:eastAsia="宋体" w:cs="宋体"/>
          <w:b w:val="0"/>
          <w:bCs w:val="0"/>
          <w:color w:val="FF0000"/>
          <w:kern w:val="2"/>
          <w:sz w:val="24"/>
          <w:szCs w:val="24"/>
          <w:highlight w:val="none"/>
          <w:lang w:val="en-US" w:eastAsia="zh-CN" w:bidi="ar-SA"/>
        </w:rPr>
      </w:pPr>
      <w:r>
        <w:rPr>
          <w:rFonts w:hint="eastAsia" w:ascii="宋体" w:hAnsi="宋体" w:eastAsia="宋体" w:cs="宋体"/>
          <w:b w:val="0"/>
          <w:bCs w:val="0"/>
          <w:color w:val="FF0000"/>
          <w:kern w:val="2"/>
          <w:sz w:val="24"/>
          <w:szCs w:val="24"/>
          <w:highlight w:val="none"/>
          <w:lang w:val="en-US" w:eastAsia="zh-CN" w:bidi="ar-SA"/>
        </w:rPr>
        <w:t>注：</w:t>
      </w:r>
    </w:p>
    <w:p w14:paraId="655DBCB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FF0000"/>
          <w:kern w:val="0"/>
          <w:sz w:val="24"/>
          <w:szCs w:val="24"/>
          <w:highlight w:val="none"/>
          <w:lang w:val="zh-TW" w:bidi="zh-TW"/>
        </w:rPr>
      </w:pPr>
      <w:r>
        <w:rPr>
          <w:rFonts w:hint="eastAsia" w:ascii="宋体" w:hAnsi="宋体" w:eastAsia="宋体" w:cs="宋体"/>
          <w:b w:val="0"/>
          <w:bCs w:val="0"/>
          <w:color w:val="FF0000"/>
          <w:kern w:val="0"/>
          <w:sz w:val="24"/>
          <w:szCs w:val="24"/>
          <w:highlight w:val="none"/>
          <w:lang w:val="zh-TW" w:eastAsia="zh-TW" w:bidi="zh-TW"/>
        </w:rPr>
        <w:t>1</w:t>
      </w:r>
      <w:r>
        <w:rPr>
          <w:rFonts w:hint="eastAsia" w:ascii="宋体" w:hAnsi="宋体" w:cs="宋体"/>
          <w:b w:val="0"/>
          <w:bCs w:val="0"/>
          <w:color w:val="FF0000"/>
          <w:kern w:val="0"/>
          <w:sz w:val="24"/>
          <w:szCs w:val="24"/>
          <w:highlight w:val="none"/>
          <w:lang w:val="en-US" w:eastAsia="zh-CN" w:bidi="zh-TW"/>
        </w:rPr>
        <w:t>.</w:t>
      </w:r>
      <w:r>
        <w:rPr>
          <w:rFonts w:hint="eastAsia" w:ascii="宋体" w:hAnsi="宋体" w:eastAsia="宋体" w:cs="宋体"/>
          <w:b w:val="0"/>
          <w:bCs w:val="0"/>
          <w:color w:val="FF0000"/>
          <w:kern w:val="0"/>
          <w:sz w:val="24"/>
          <w:szCs w:val="24"/>
          <w:highlight w:val="none"/>
          <w:lang w:val="zh-TW" w:eastAsia="zh-TW" w:bidi="zh-TW"/>
        </w:rPr>
        <w:t>此表用于谈判结束后做最终报价使用，请勿装订在响应文件内！</w:t>
      </w:r>
    </w:p>
    <w:p w14:paraId="6B8BA629">
      <w:pPr>
        <w:pStyle w:val="3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FF0000"/>
          <w:kern w:val="0"/>
          <w:sz w:val="24"/>
          <w:szCs w:val="24"/>
          <w:highlight w:val="none"/>
          <w:lang w:val="zh-TW" w:eastAsia="zh-TW" w:bidi="zh-TW"/>
        </w:rPr>
      </w:pPr>
      <w:r>
        <w:rPr>
          <w:rFonts w:hint="eastAsia" w:ascii="宋体" w:hAnsi="宋体" w:eastAsia="宋体" w:cs="宋体"/>
          <w:b w:val="0"/>
          <w:bCs w:val="0"/>
          <w:color w:val="FF0000"/>
          <w:kern w:val="0"/>
          <w:sz w:val="24"/>
          <w:szCs w:val="24"/>
          <w:highlight w:val="none"/>
          <w:lang w:val="zh-TW" w:eastAsia="zh-TW" w:bidi="zh-TW"/>
        </w:rPr>
        <w:t>2</w:t>
      </w:r>
      <w:r>
        <w:rPr>
          <w:rFonts w:hint="eastAsia" w:ascii="宋体" w:hAnsi="宋体" w:eastAsia="宋体" w:cs="宋体"/>
          <w:b w:val="0"/>
          <w:bCs w:val="0"/>
          <w:color w:val="FF0000"/>
          <w:kern w:val="0"/>
          <w:sz w:val="24"/>
          <w:szCs w:val="24"/>
          <w:highlight w:val="none"/>
          <w:lang w:val="en-US" w:eastAsia="zh-CN" w:bidi="zh-TW"/>
        </w:rPr>
        <w:t>.</w:t>
      </w:r>
      <w:r>
        <w:rPr>
          <w:rFonts w:hint="eastAsia" w:ascii="宋体" w:hAnsi="宋体" w:eastAsia="宋体" w:cs="宋体"/>
          <w:b w:val="0"/>
          <w:bCs w:val="0"/>
          <w:color w:val="FF0000"/>
          <w:kern w:val="0"/>
          <w:sz w:val="24"/>
          <w:szCs w:val="24"/>
          <w:highlight w:val="none"/>
          <w:lang w:val="zh-TW" w:eastAsia="zh-TW" w:bidi="zh-TW"/>
        </w:rPr>
        <w:t>此表需加盖单位公章，请各供应商结合自身情况，提前准备。</w:t>
      </w:r>
    </w:p>
    <w:p w14:paraId="71FE38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FF0000"/>
          <w:kern w:val="0"/>
          <w:sz w:val="24"/>
          <w:szCs w:val="24"/>
          <w:highlight w:val="none"/>
          <w:lang w:val="en-US" w:eastAsia="zh-CN" w:bidi="zh-TW"/>
        </w:rPr>
      </w:pPr>
      <w:r>
        <w:rPr>
          <w:rFonts w:hint="eastAsia" w:ascii="宋体" w:hAnsi="宋体" w:eastAsia="宋体" w:cs="宋体"/>
          <w:b w:val="0"/>
          <w:bCs w:val="0"/>
          <w:color w:val="FF0000"/>
          <w:kern w:val="0"/>
          <w:sz w:val="24"/>
          <w:szCs w:val="24"/>
          <w:highlight w:val="none"/>
          <w:lang w:val="en-US" w:eastAsia="zh-CN" w:bidi="zh-TW"/>
        </w:rPr>
        <w:t>3.除合同另有规定外，报价包括供应商为完成本合同规定的工作所承担的全部费用，包括但不限于人工、材料、工器具、车辆、运费、利润、保险、税率及其他与此相关的所有费用，并考虑了应由乙方承担的义务、责任和风险所发生的费用；</w:t>
      </w:r>
    </w:p>
    <w:p w14:paraId="666D3C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b w:val="0"/>
          <w:bCs w:val="0"/>
          <w:color w:val="FF0000"/>
          <w:kern w:val="0"/>
          <w:sz w:val="24"/>
          <w:szCs w:val="24"/>
          <w:highlight w:val="none"/>
          <w:lang w:val="en-US" w:eastAsia="zh-CN" w:bidi="zh-TW"/>
        </w:rPr>
      </w:pPr>
      <w:r>
        <w:rPr>
          <w:rFonts w:hint="eastAsia" w:ascii="宋体" w:hAnsi="宋体" w:cs="宋体"/>
          <w:b w:val="0"/>
          <w:bCs w:val="0"/>
          <w:color w:val="FF0000"/>
          <w:kern w:val="0"/>
          <w:sz w:val="24"/>
          <w:szCs w:val="24"/>
          <w:highlight w:val="none"/>
          <w:lang w:val="en-US" w:eastAsia="zh-CN" w:bidi="zh-TW"/>
        </w:rPr>
        <w:t>4</w:t>
      </w:r>
      <w:r>
        <w:rPr>
          <w:rFonts w:hint="eastAsia" w:ascii="宋体" w:hAnsi="宋体" w:eastAsia="宋体" w:cs="宋体"/>
          <w:b w:val="0"/>
          <w:bCs w:val="0"/>
          <w:color w:val="FF0000"/>
          <w:kern w:val="0"/>
          <w:sz w:val="24"/>
          <w:szCs w:val="24"/>
          <w:highlight w:val="none"/>
          <w:lang w:val="en-US" w:eastAsia="zh-CN" w:bidi="zh-TW"/>
        </w:rPr>
        <w:t>.该报价为最终报价。</w:t>
      </w:r>
    </w:p>
    <w:p w14:paraId="47199EC2">
      <w:pPr>
        <w:pStyle w:val="39"/>
        <w:spacing w:line="360" w:lineRule="auto"/>
        <w:ind w:firstLine="0" w:firstLineChars="0"/>
        <w:rPr>
          <w:rFonts w:hint="eastAsia" w:ascii="宋体" w:hAnsi="宋体" w:eastAsia="宋体" w:cs="宋体"/>
          <w:color w:val="auto"/>
          <w:kern w:val="0"/>
          <w:sz w:val="20"/>
          <w:szCs w:val="20"/>
          <w:highlight w:val="none"/>
          <w:lang w:val="zh-TW" w:eastAsia="zh-TW" w:bidi="zh-TW"/>
        </w:rPr>
      </w:pPr>
    </w:p>
    <w:p w14:paraId="17A42D96">
      <w:pPr>
        <w:pStyle w:val="39"/>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rPr>
        <w:t xml:space="preserve">                                </w:t>
      </w:r>
    </w:p>
    <w:p w14:paraId="115A222A">
      <w:pPr>
        <w:pStyle w:val="3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p>
    <w:p w14:paraId="67BD3530">
      <w:pPr>
        <w:pStyle w:val="39"/>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法定代表人或委托代理人（签字或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22AF1663">
      <w:pPr>
        <w:pStyle w:val="3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p>
    <w:p w14:paraId="54635F1D">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日</w:t>
      </w:r>
      <w:r>
        <w:rPr>
          <w:rFonts w:hint="eastAsia" w:ascii="宋体" w:hAnsi="宋体" w:eastAsia="宋体" w:cs="宋体"/>
          <w:color w:val="auto"/>
          <w:sz w:val="24"/>
          <w:szCs w:val="24"/>
          <w:highlight w:val="none"/>
          <w:lang w:val="en-US" w:eastAsia="zh-CN"/>
        </w:rPr>
        <w:br w:type="page"/>
      </w:r>
    </w:p>
    <w:p w14:paraId="46A9D9C6">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768" w:name="_Toc1464340945"/>
      <w:bookmarkStart w:id="769" w:name="_Toc594097329"/>
      <w:bookmarkStart w:id="770" w:name="_Toc2133330575"/>
      <w:bookmarkStart w:id="771" w:name="_Toc1227828607"/>
      <w:bookmarkStart w:id="772" w:name="_Toc148781961"/>
      <w:r>
        <w:rPr>
          <w:rStyle w:val="62"/>
          <w:rFonts w:hint="eastAsia" w:ascii="宋体" w:hAnsi="宋体" w:cs="宋体"/>
          <w:color w:val="auto"/>
          <w:sz w:val="30"/>
          <w:szCs w:val="30"/>
          <w:highlight w:val="none"/>
        </w:rPr>
        <w:t>投标报价汇总</w:t>
      </w:r>
    </w:p>
    <w:bookmarkEnd w:id="768"/>
    <w:bookmarkEnd w:id="769"/>
    <w:bookmarkEnd w:id="770"/>
    <w:bookmarkEnd w:id="771"/>
    <w:bookmarkEnd w:id="772"/>
    <w:p w14:paraId="4C5156DE">
      <w:pPr>
        <w:pageBreakBefore w:val="0"/>
        <w:kinsoku/>
        <w:wordWrap/>
        <w:overflowPunct/>
        <w:bidi w:val="0"/>
        <w:spacing w:after="200" w:line="360" w:lineRule="auto"/>
        <w:jc w:val="center"/>
        <w:textAlignment w:val="auto"/>
        <w:outlineLvl w:val="3"/>
        <w:rPr>
          <w:rStyle w:val="62"/>
          <w:rFonts w:hint="eastAsia" w:ascii="宋体" w:hAnsi="宋体" w:cs="宋体"/>
          <w:color w:val="auto"/>
          <w:sz w:val="28"/>
          <w:szCs w:val="28"/>
          <w:highlight w:val="none"/>
        </w:rPr>
      </w:pPr>
      <w:bookmarkStart w:id="773" w:name="_Toc2023994040"/>
      <w:bookmarkStart w:id="774" w:name="_Toc1913467462"/>
      <w:bookmarkStart w:id="775" w:name="_Toc1349702406"/>
      <w:bookmarkStart w:id="776" w:name="_Toc1444537601"/>
      <w:bookmarkStart w:id="777" w:name="_Toc403053721"/>
      <w:r>
        <w:rPr>
          <w:rStyle w:val="62"/>
          <w:rFonts w:hint="eastAsia" w:ascii="宋体" w:hAnsi="宋体" w:cs="宋体"/>
          <w:color w:val="auto"/>
          <w:sz w:val="28"/>
          <w:szCs w:val="28"/>
          <w:highlight w:val="none"/>
        </w:rPr>
        <w:t>（一）投标报价汇总表</w:t>
      </w:r>
    </w:p>
    <w:bookmarkEnd w:id="773"/>
    <w:bookmarkEnd w:id="774"/>
    <w:bookmarkEnd w:id="775"/>
    <w:bookmarkEnd w:id="776"/>
    <w:bookmarkEnd w:id="777"/>
    <w:p w14:paraId="7037B916">
      <w:pPr>
        <w:pageBreakBefore w:val="0"/>
        <w:kinsoku/>
        <w:wordWrap/>
        <w:overflowPunct/>
        <w:bidi w:val="0"/>
        <w:spacing w:line="360" w:lineRule="auto"/>
        <w:ind w:left="-2" w:leftChars="-1"/>
        <w:jc w:val="right"/>
        <w:textAlignment w:val="auto"/>
        <w:rPr>
          <w:rFonts w:hint="eastAsia" w:hAnsi="宋体"/>
          <w:color w:val="auto"/>
          <w:szCs w:val="24"/>
          <w:highlight w:val="none"/>
        </w:rPr>
      </w:pPr>
      <w:r>
        <w:rPr>
          <w:rFonts w:hint="eastAsia" w:hAnsi="宋体"/>
          <w:color w:val="auto"/>
          <w:szCs w:val="24"/>
          <w:highlight w:val="none"/>
        </w:rPr>
        <w:t>金额单位：人民币 万元</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231"/>
        <w:gridCol w:w="3592"/>
        <w:gridCol w:w="2171"/>
        <w:gridCol w:w="2136"/>
      </w:tblGrid>
      <w:tr w14:paraId="4551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7" w:hRule="atLeast"/>
          <w:tblHeader/>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0C440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序号</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B97ECC">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费用名称</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ABD3D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金额</w:t>
            </w: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FE29EC">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备注</w:t>
            </w:r>
          </w:p>
        </w:tc>
      </w:tr>
      <w:tr w14:paraId="60DE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8"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77BC16">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1</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99B42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人工费用</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AD35CA">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2874A3">
            <w:pPr>
              <w:pageBreakBefore w:val="0"/>
              <w:kinsoku/>
              <w:wordWrap/>
              <w:overflowPunct/>
              <w:bidi w:val="0"/>
              <w:jc w:val="center"/>
              <w:textAlignment w:val="auto"/>
              <w:rPr>
                <w:rFonts w:hint="eastAsia" w:ascii="宋体" w:hAnsi="宋体" w:cs="宋体"/>
                <w:color w:val="auto"/>
                <w:highlight w:val="none"/>
              </w:rPr>
            </w:pPr>
          </w:p>
        </w:tc>
      </w:tr>
      <w:tr w14:paraId="373C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08125E">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2</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615A6D">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设备费</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202BE9">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49212E">
            <w:pPr>
              <w:pageBreakBefore w:val="0"/>
              <w:kinsoku/>
              <w:wordWrap/>
              <w:overflowPunct/>
              <w:bidi w:val="0"/>
              <w:jc w:val="center"/>
              <w:textAlignment w:val="auto"/>
              <w:rPr>
                <w:rFonts w:hint="eastAsia" w:ascii="宋体" w:hAnsi="宋体" w:cs="宋体"/>
                <w:color w:val="auto"/>
                <w:highlight w:val="none"/>
              </w:rPr>
            </w:pPr>
          </w:p>
        </w:tc>
      </w:tr>
      <w:tr w14:paraId="556F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17A3B6">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3</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1D9F35">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试验费</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9D9E9F">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E9017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监理平行、独立取样检测费用</w:t>
            </w:r>
          </w:p>
        </w:tc>
      </w:tr>
      <w:tr w14:paraId="50BC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A944F6">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4</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7F97D6">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管理费</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F76FA0">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26F5FD">
            <w:pPr>
              <w:pageBreakBefore w:val="0"/>
              <w:kinsoku/>
              <w:wordWrap/>
              <w:overflowPunct/>
              <w:bidi w:val="0"/>
              <w:jc w:val="center"/>
              <w:textAlignment w:val="auto"/>
              <w:rPr>
                <w:rFonts w:hint="eastAsia" w:ascii="宋体" w:hAnsi="宋体" w:cs="宋体"/>
                <w:color w:val="auto"/>
                <w:highlight w:val="none"/>
              </w:rPr>
            </w:pPr>
          </w:p>
        </w:tc>
      </w:tr>
      <w:tr w14:paraId="7EA78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1"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110A4F">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5</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50794D">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税金</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734BB6">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5E6184">
            <w:pPr>
              <w:pageBreakBefore w:val="0"/>
              <w:kinsoku/>
              <w:wordWrap/>
              <w:overflowPunct/>
              <w:bidi w:val="0"/>
              <w:jc w:val="center"/>
              <w:textAlignment w:val="auto"/>
              <w:rPr>
                <w:rFonts w:hint="eastAsia" w:ascii="宋体" w:hAnsi="宋体" w:cs="宋体"/>
                <w:color w:val="auto"/>
                <w:highlight w:val="none"/>
              </w:rPr>
            </w:pPr>
          </w:p>
        </w:tc>
      </w:tr>
      <w:tr w14:paraId="33B0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9DCFD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6</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E6F874">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利润</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EFF862">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FFDF91">
            <w:pPr>
              <w:pageBreakBefore w:val="0"/>
              <w:kinsoku/>
              <w:wordWrap/>
              <w:overflowPunct/>
              <w:bidi w:val="0"/>
              <w:jc w:val="center"/>
              <w:textAlignment w:val="auto"/>
              <w:rPr>
                <w:rFonts w:hint="eastAsia" w:ascii="宋体" w:hAnsi="宋体" w:cs="宋体"/>
                <w:color w:val="auto"/>
                <w:highlight w:val="none"/>
              </w:rPr>
            </w:pPr>
          </w:p>
        </w:tc>
      </w:tr>
      <w:tr w14:paraId="6347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AB1742">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47B5EF">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627C13">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8DB6C2">
            <w:pPr>
              <w:pageBreakBefore w:val="0"/>
              <w:kinsoku/>
              <w:wordWrap/>
              <w:overflowPunct/>
              <w:bidi w:val="0"/>
              <w:jc w:val="center"/>
              <w:textAlignment w:val="auto"/>
              <w:rPr>
                <w:rFonts w:hint="eastAsia" w:ascii="宋体" w:hAnsi="宋体" w:cs="宋体"/>
                <w:color w:val="auto"/>
                <w:highlight w:val="none"/>
              </w:rPr>
            </w:pPr>
          </w:p>
        </w:tc>
      </w:tr>
      <w:tr w14:paraId="1DD9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217D02">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514087">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BD54D9">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962CD7">
            <w:pPr>
              <w:pageBreakBefore w:val="0"/>
              <w:kinsoku/>
              <w:wordWrap/>
              <w:overflowPunct/>
              <w:bidi w:val="0"/>
              <w:jc w:val="center"/>
              <w:textAlignment w:val="auto"/>
              <w:rPr>
                <w:rFonts w:hint="eastAsia" w:ascii="宋体" w:hAnsi="宋体" w:cs="宋体"/>
                <w:color w:val="auto"/>
                <w:highlight w:val="none"/>
              </w:rPr>
            </w:pPr>
          </w:p>
        </w:tc>
      </w:tr>
      <w:tr w14:paraId="60DD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B609AB">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F790AD">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7A0061">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320DA8">
            <w:pPr>
              <w:pageBreakBefore w:val="0"/>
              <w:kinsoku/>
              <w:wordWrap/>
              <w:overflowPunct/>
              <w:bidi w:val="0"/>
              <w:jc w:val="center"/>
              <w:textAlignment w:val="auto"/>
              <w:rPr>
                <w:rFonts w:hint="eastAsia" w:ascii="宋体" w:hAnsi="宋体" w:cs="宋体"/>
                <w:color w:val="auto"/>
                <w:highlight w:val="none"/>
              </w:rPr>
            </w:pPr>
          </w:p>
        </w:tc>
      </w:tr>
      <w:tr w14:paraId="0CDE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FE770A">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DBFA0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合计</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148A4A">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00E53A">
            <w:pPr>
              <w:pageBreakBefore w:val="0"/>
              <w:kinsoku/>
              <w:wordWrap/>
              <w:overflowPunct/>
              <w:bidi w:val="0"/>
              <w:jc w:val="center"/>
              <w:textAlignment w:val="auto"/>
              <w:rPr>
                <w:rFonts w:hint="eastAsia" w:ascii="宋体" w:hAnsi="宋体" w:cs="宋体"/>
                <w:color w:val="auto"/>
                <w:highlight w:val="none"/>
              </w:rPr>
            </w:pPr>
          </w:p>
        </w:tc>
      </w:tr>
    </w:tbl>
    <w:p w14:paraId="270E62C7">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p>
    <w:p w14:paraId="47C838BA">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r>
        <w:rPr>
          <w:rStyle w:val="288"/>
          <w:rFonts w:hint="eastAsia" w:ascii="宋体" w:hAnsi="宋体" w:cs="宋体"/>
          <w:color w:val="auto"/>
          <w:highlight w:val="none"/>
        </w:rPr>
        <w:t>备注：税金暂按6%计列，合同执行时按国家税率标准为准。</w:t>
      </w:r>
    </w:p>
    <w:p w14:paraId="67FD046B">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p>
    <w:p w14:paraId="6C5C3039">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75FC4B50">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w:t>
      </w:r>
      <w:r>
        <w:rPr>
          <w:rFonts w:hint="eastAsia" w:ascii="宋体" w:hAnsi="宋体" w:cs="宋体"/>
          <w:color w:val="auto"/>
          <w:highlight w:val="none"/>
        </w:rPr>
        <w:t>签章）</w:t>
      </w:r>
    </w:p>
    <w:p w14:paraId="6679125D">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3AE037DD">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47FAF36F">
      <w:pPr>
        <w:pageBreakBefore w:val="0"/>
        <w:kinsoku/>
        <w:wordWrap/>
        <w:overflowPunct/>
        <w:bidi w:val="0"/>
        <w:snapToGrid w:val="0"/>
        <w:spacing w:after="200" w:line="360" w:lineRule="auto"/>
        <w:ind w:firstLine="420" w:firstLineChars="200"/>
        <w:jc w:val="center"/>
        <w:textAlignment w:val="auto"/>
        <w:outlineLvl w:val="3"/>
        <w:rPr>
          <w:rStyle w:val="62"/>
          <w:rFonts w:hint="eastAsia" w:ascii="宋体" w:hAnsi="宋体" w:cs="宋体"/>
          <w:color w:val="auto"/>
          <w:sz w:val="28"/>
          <w:szCs w:val="28"/>
          <w:highlight w:val="none"/>
        </w:rPr>
      </w:pPr>
      <w:r>
        <w:rPr>
          <w:rFonts w:hint="eastAsia" w:ascii="宋体" w:hAnsi="宋体" w:cs="宋体"/>
          <w:color w:val="auto"/>
          <w:highlight w:val="none"/>
        </w:rPr>
        <w:br w:type="page"/>
      </w:r>
      <w:bookmarkStart w:id="778" w:name="_Toc770005344"/>
      <w:bookmarkStart w:id="779" w:name="_Toc854860838"/>
      <w:bookmarkStart w:id="780" w:name="_Toc43395730"/>
      <w:bookmarkStart w:id="781" w:name="_Toc2062814671"/>
      <w:bookmarkStart w:id="782" w:name="_Toc314979378"/>
      <w:r>
        <w:rPr>
          <w:rStyle w:val="62"/>
          <w:rFonts w:hint="eastAsia" w:ascii="宋体" w:hAnsi="宋体" w:eastAsia="宋体" w:cs="宋体"/>
          <w:b/>
          <w:bCs/>
          <w:color w:val="auto"/>
          <w:sz w:val="28"/>
          <w:szCs w:val="28"/>
          <w:highlight w:val="none"/>
        </w:rPr>
        <w:t>（二）分项报价表</w:t>
      </w:r>
    </w:p>
    <w:bookmarkEnd w:id="778"/>
    <w:bookmarkEnd w:id="779"/>
    <w:bookmarkEnd w:id="780"/>
    <w:bookmarkEnd w:id="781"/>
    <w:bookmarkEnd w:id="782"/>
    <w:p w14:paraId="3E172FE9">
      <w:pPr>
        <w:pageBreakBefore w:val="0"/>
        <w:kinsoku/>
        <w:wordWrap/>
        <w:overflowPunct/>
        <w:bidi w:val="0"/>
        <w:spacing w:line="360" w:lineRule="auto"/>
        <w:ind w:left="-2" w:leftChars="-1"/>
        <w:jc w:val="right"/>
        <w:textAlignment w:val="auto"/>
        <w:rPr>
          <w:rFonts w:hint="eastAsia" w:hAnsi="宋体"/>
          <w:color w:val="auto"/>
          <w:szCs w:val="24"/>
          <w:highlight w:val="none"/>
        </w:rPr>
      </w:pPr>
      <w:r>
        <w:rPr>
          <w:rFonts w:hint="eastAsia" w:hAnsi="宋体"/>
          <w:color w:val="auto"/>
          <w:szCs w:val="24"/>
          <w:highlight w:val="none"/>
        </w:rPr>
        <w:t>金额单位：人民币 元</w:t>
      </w:r>
    </w:p>
    <w:tbl>
      <w:tblPr>
        <w:tblStyle w:val="49"/>
        <w:tblW w:w="9472" w:type="dxa"/>
        <w:jc w:val="center"/>
        <w:tblLayout w:type="fixed"/>
        <w:tblCellMar>
          <w:top w:w="0" w:type="dxa"/>
          <w:left w:w="108" w:type="dxa"/>
          <w:bottom w:w="0" w:type="dxa"/>
          <w:right w:w="108" w:type="dxa"/>
        </w:tblCellMar>
      </w:tblPr>
      <w:tblGrid>
        <w:gridCol w:w="783"/>
        <w:gridCol w:w="2529"/>
        <w:gridCol w:w="784"/>
        <w:gridCol w:w="784"/>
        <w:gridCol w:w="2602"/>
        <w:gridCol w:w="1216"/>
        <w:gridCol w:w="774"/>
      </w:tblGrid>
      <w:tr w14:paraId="6714DBD8">
        <w:trPr>
          <w:trHeight w:val="699" w:hRule="atLeast"/>
          <w:jc w:val="center"/>
        </w:trPr>
        <w:tc>
          <w:tcPr>
            <w:tcW w:w="78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689C40">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序号</w:t>
            </w:r>
          </w:p>
        </w:tc>
        <w:tc>
          <w:tcPr>
            <w:tcW w:w="2529" w:type="dxa"/>
            <w:tcBorders>
              <w:top w:val="single" w:color="auto" w:sz="4" w:space="0"/>
              <w:left w:val="nil"/>
              <w:bottom w:val="single" w:color="auto" w:sz="4" w:space="0"/>
              <w:right w:val="single" w:color="auto" w:sz="4" w:space="0"/>
              <w:tl2br w:val="nil"/>
              <w:tr2bl w:val="nil"/>
            </w:tcBorders>
            <w:noWrap w:val="0"/>
            <w:vAlign w:val="center"/>
          </w:tcPr>
          <w:p w14:paraId="594F7915">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岗位设置</w:t>
            </w:r>
          </w:p>
        </w:tc>
        <w:tc>
          <w:tcPr>
            <w:tcW w:w="784" w:type="dxa"/>
            <w:tcBorders>
              <w:top w:val="single" w:color="auto" w:sz="4" w:space="0"/>
              <w:left w:val="nil"/>
              <w:bottom w:val="single" w:color="auto" w:sz="4" w:space="0"/>
              <w:right w:val="single" w:color="auto" w:sz="4" w:space="0"/>
              <w:tl2br w:val="nil"/>
              <w:tr2bl w:val="nil"/>
            </w:tcBorders>
            <w:noWrap w:val="0"/>
            <w:vAlign w:val="center"/>
          </w:tcPr>
          <w:p w14:paraId="144EF014">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人数</w:t>
            </w:r>
          </w:p>
        </w:tc>
        <w:tc>
          <w:tcPr>
            <w:tcW w:w="784" w:type="dxa"/>
            <w:tcBorders>
              <w:top w:val="single" w:color="auto" w:sz="4" w:space="0"/>
              <w:left w:val="nil"/>
              <w:bottom w:val="single" w:color="auto" w:sz="4" w:space="0"/>
              <w:right w:val="single" w:color="auto" w:sz="4" w:space="0"/>
              <w:tl2br w:val="nil"/>
              <w:tr2bl w:val="nil"/>
            </w:tcBorders>
            <w:noWrap w:val="0"/>
            <w:vAlign w:val="center"/>
          </w:tcPr>
          <w:p w14:paraId="265AEBAC">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月数</w:t>
            </w:r>
          </w:p>
        </w:tc>
        <w:tc>
          <w:tcPr>
            <w:tcW w:w="2602" w:type="dxa"/>
            <w:tcBorders>
              <w:top w:val="single" w:color="auto" w:sz="4" w:space="0"/>
              <w:left w:val="nil"/>
              <w:bottom w:val="single" w:color="auto" w:sz="4" w:space="0"/>
              <w:right w:val="single" w:color="auto" w:sz="4" w:space="0"/>
              <w:tl2br w:val="nil"/>
              <w:tr2bl w:val="nil"/>
            </w:tcBorders>
            <w:noWrap w:val="0"/>
            <w:vAlign w:val="center"/>
          </w:tcPr>
          <w:p w14:paraId="3C88D689">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综合人工费（元/人·月）</w:t>
            </w:r>
          </w:p>
        </w:tc>
        <w:tc>
          <w:tcPr>
            <w:tcW w:w="1216" w:type="dxa"/>
            <w:tcBorders>
              <w:top w:val="single" w:color="auto" w:sz="4" w:space="0"/>
              <w:left w:val="nil"/>
              <w:bottom w:val="single" w:color="auto" w:sz="4" w:space="0"/>
              <w:right w:val="single" w:color="auto" w:sz="4" w:space="0"/>
              <w:tl2br w:val="nil"/>
              <w:tr2bl w:val="nil"/>
            </w:tcBorders>
            <w:noWrap w:val="0"/>
            <w:vAlign w:val="center"/>
          </w:tcPr>
          <w:p w14:paraId="5491EA91">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合价金额</w:t>
            </w:r>
          </w:p>
        </w:tc>
        <w:tc>
          <w:tcPr>
            <w:tcW w:w="774" w:type="dxa"/>
            <w:tcBorders>
              <w:top w:val="single" w:color="auto" w:sz="4" w:space="0"/>
              <w:left w:val="nil"/>
              <w:bottom w:val="single" w:color="auto" w:sz="4" w:space="0"/>
              <w:right w:val="single" w:color="auto" w:sz="4" w:space="0"/>
              <w:tl2br w:val="nil"/>
              <w:tr2bl w:val="nil"/>
            </w:tcBorders>
            <w:noWrap w:val="0"/>
            <w:vAlign w:val="center"/>
          </w:tcPr>
          <w:p w14:paraId="08CFA960">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备注</w:t>
            </w:r>
          </w:p>
        </w:tc>
      </w:tr>
      <w:tr w14:paraId="2AFEF806">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C758C54">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1</w:t>
            </w:r>
          </w:p>
        </w:tc>
        <w:tc>
          <w:tcPr>
            <w:tcW w:w="2529" w:type="dxa"/>
            <w:tcBorders>
              <w:top w:val="nil"/>
              <w:left w:val="nil"/>
              <w:bottom w:val="single" w:color="auto" w:sz="4" w:space="0"/>
              <w:right w:val="single" w:color="auto" w:sz="4" w:space="0"/>
              <w:tl2br w:val="nil"/>
              <w:tr2bl w:val="nil"/>
            </w:tcBorders>
            <w:noWrap w:val="0"/>
            <w:vAlign w:val="center"/>
          </w:tcPr>
          <w:p w14:paraId="22ABF980">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总监理工程师</w:t>
            </w:r>
          </w:p>
        </w:tc>
        <w:tc>
          <w:tcPr>
            <w:tcW w:w="784" w:type="dxa"/>
            <w:tcBorders>
              <w:top w:val="nil"/>
              <w:left w:val="nil"/>
              <w:bottom w:val="single" w:color="auto" w:sz="4" w:space="0"/>
              <w:right w:val="single" w:color="auto" w:sz="4" w:space="0"/>
              <w:tl2br w:val="nil"/>
              <w:tr2bl w:val="nil"/>
            </w:tcBorders>
            <w:noWrap w:val="0"/>
            <w:vAlign w:val="center"/>
          </w:tcPr>
          <w:p w14:paraId="0EA96E5D">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553898E8">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47EEF072">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2F3F074D">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04EB28">
            <w:pPr>
              <w:pageBreakBefore w:val="0"/>
              <w:kinsoku/>
              <w:wordWrap/>
              <w:overflowPunct/>
              <w:bidi w:val="0"/>
              <w:spacing w:before="100" w:after="100"/>
              <w:jc w:val="center"/>
              <w:textAlignment w:val="auto"/>
              <w:rPr>
                <w:rFonts w:hint="eastAsia" w:ascii="宋体" w:hAnsi="宋体" w:cs="宋体"/>
                <w:color w:val="auto"/>
                <w:highlight w:val="none"/>
              </w:rPr>
            </w:pPr>
          </w:p>
        </w:tc>
      </w:tr>
      <w:tr w14:paraId="0C754155">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5E9D0FF6">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2</w:t>
            </w:r>
          </w:p>
        </w:tc>
        <w:tc>
          <w:tcPr>
            <w:tcW w:w="2529" w:type="dxa"/>
            <w:tcBorders>
              <w:top w:val="nil"/>
              <w:left w:val="nil"/>
              <w:bottom w:val="single" w:color="auto" w:sz="4" w:space="0"/>
              <w:right w:val="single" w:color="auto" w:sz="4" w:space="0"/>
              <w:tl2br w:val="nil"/>
              <w:tr2bl w:val="nil"/>
            </w:tcBorders>
            <w:noWrap w:val="0"/>
            <w:vAlign w:val="center"/>
          </w:tcPr>
          <w:p w14:paraId="03427FCE">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副总监理工程师</w:t>
            </w:r>
          </w:p>
        </w:tc>
        <w:tc>
          <w:tcPr>
            <w:tcW w:w="784" w:type="dxa"/>
            <w:tcBorders>
              <w:top w:val="nil"/>
              <w:left w:val="nil"/>
              <w:bottom w:val="single" w:color="auto" w:sz="4" w:space="0"/>
              <w:right w:val="single" w:color="auto" w:sz="4" w:space="0"/>
              <w:tl2br w:val="nil"/>
              <w:tr2bl w:val="nil"/>
            </w:tcBorders>
            <w:noWrap w:val="0"/>
            <w:vAlign w:val="center"/>
          </w:tcPr>
          <w:p w14:paraId="38F52114">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4EF6E00">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5951F1BE">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6D7D0145">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BC6A6B">
            <w:pPr>
              <w:pageBreakBefore w:val="0"/>
              <w:kinsoku/>
              <w:wordWrap/>
              <w:overflowPunct/>
              <w:bidi w:val="0"/>
              <w:spacing w:before="100" w:after="100"/>
              <w:jc w:val="center"/>
              <w:textAlignment w:val="auto"/>
              <w:rPr>
                <w:rFonts w:hint="eastAsia" w:ascii="宋体" w:hAnsi="宋体" w:cs="宋体"/>
                <w:color w:val="auto"/>
                <w:highlight w:val="none"/>
              </w:rPr>
            </w:pPr>
          </w:p>
        </w:tc>
      </w:tr>
      <w:tr w14:paraId="6DFD5033">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5AF13A93">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3</w:t>
            </w:r>
          </w:p>
        </w:tc>
        <w:tc>
          <w:tcPr>
            <w:tcW w:w="2529" w:type="dxa"/>
            <w:tcBorders>
              <w:top w:val="nil"/>
              <w:left w:val="nil"/>
              <w:bottom w:val="single" w:color="auto" w:sz="4" w:space="0"/>
              <w:right w:val="single" w:color="auto" w:sz="4" w:space="0"/>
              <w:tl2br w:val="nil"/>
              <w:tr2bl w:val="nil"/>
            </w:tcBorders>
            <w:noWrap w:val="0"/>
            <w:vAlign w:val="center"/>
          </w:tcPr>
          <w:p w14:paraId="36F1646B">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土建监理工程师</w:t>
            </w:r>
          </w:p>
        </w:tc>
        <w:tc>
          <w:tcPr>
            <w:tcW w:w="784" w:type="dxa"/>
            <w:tcBorders>
              <w:top w:val="nil"/>
              <w:left w:val="nil"/>
              <w:bottom w:val="single" w:color="auto" w:sz="4" w:space="0"/>
              <w:right w:val="single" w:color="auto" w:sz="4" w:space="0"/>
              <w:tl2br w:val="nil"/>
              <w:tr2bl w:val="nil"/>
            </w:tcBorders>
            <w:noWrap w:val="0"/>
            <w:vAlign w:val="center"/>
          </w:tcPr>
          <w:p w14:paraId="14851FCD">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38134450">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758CB6BF">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3033EDB7">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992D44">
            <w:pPr>
              <w:pageBreakBefore w:val="0"/>
              <w:kinsoku/>
              <w:wordWrap/>
              <w:overflowPunct/>
              <w:bidi w:val="0"/>
              <w:spacing w:before="100" w:after="100"/>
              <w:jc w:val="center"/>
              <w:textAlignment w:val="auto"/>
              <w:rPr>
                <w:rFonts w:hint="eastAsia" w:ascii="宋体" w:hAnsi="宋体" w:cs="宋体"/>
                <w:color w:val="auto"/>
                <w:highlight w:val="none"/>
              </w:rPr>
            </w:pPr>
          </w:p>
        </w:tc>
      </w:tr>
      <w:tr w14:paraId="76817046">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6066FAC5">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4</w:t>
            </w:r>
          </w:p>
        </w:tc>
        <w:tc>
          <w:tcPr>
            <w:tcW w:w="2529" w:type="dxa"/>
            <w:tcBorders>
              <w:top w:val="nil"/>
              <w:left w:val="nil"/>
              <w:bottom w:val="single" w:color="auto" w:sz="4" w:space="0"/>
              <w:right w:val="single" w:color="auto" w:sz="4" w:space="0"/>
              <w:tl2br w:val="nil"/>
              <w:tr2bl w:val="nil"/>
            </w:tcBorders>
            <w:noWrap w:val="0"/>
            <w:vAlign w:val="center"/>
          </w:tcPr>
          <w:p w14:paraId="5BEB46F8">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安装监理工程师</w:t>
            </w:r>
          </w:p>
        </w:tc>
        <w:tc>
          <w:tcPr>
            <w:tcW w:w="784" w:type="dxa"/>
            <w:tcBorders>
              <w:top w:val="nil"/>
              <w:left w:val="nil"/>
              <w:bottom w:val="single" w:color="auto" w:sz="4" w:space="0"/>
              <w:right w:val="single" w:color="auto" w:sz="4" w:space="0"/>
              <w:tl2br w:val="nil"/>
              <w:tr2bl w:val="nil"/>
            </w:tcBorders>
            <w:noWrap w:val="0"/>
            <w:vAlign w:val="center"/>
          </w:tcPr>
          <w:p w14:paraId="00D45536">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5DDEC267">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329AAEE7">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63C705BF">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106F24">
            <w:pPr>
              <w:pageBreakBefore w:val="0"/>
              <w:kinsoku/>
              <w:wordWrap/>
              <w:overflowPunct/>
              <w:bidi w:val="0"/>
              <w:spacing w:before="100" w:after="100"/>
              <w:jc w:val="center"/>
              <w:textAlignment w:val="auto"/>
              <w:rPr>
                <w:rFonts w:hint="eastAsia" w:ascii="宋体" w:hAnsi="宋体" w:cs="宋体"/>
                <w:color w:val="auto"/>
                <w:highlight w:val="none"/>
              </w:rPr>
            </w:pPr>
          </w:p>
        </w:tc>
      </w:tr>
      <w:tr w14:paraId="593FDE42">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4AAA56D0">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5</w:t>
            </w:r>
          </w:p>
        </w:tc>
        <w:tc>
          <w:tcPr>
            <w:tcW w:w="2529" w:type="dxa"/>
            <w:tcBorders>
              <w:top w:val="nil"/>
              <w:left w:val="nil"/>
              <w:bottom w:val="single" w:color="auto" w:sz="4" w:space="0"/>
              <w:right w:val="single" w:color="auto" w:sz="4" w:space="0"/>
              <w:tl2br w:val="nil"/>
              <w:tr2bl w:val="nil"/>
            </w:tcBorders>
            <w:noWrap w:val="0"/>
            <w:vAlign w:val="center"/>
          </w:tcPr>
          <w:p w14:paraId="30D812B9">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电气监理工程师</w:t>
            </w:r>
          </w:p>
        </w:tc>
        <w:tc>
          <w:tcPr>
            <w:tcW w:w="784" w:type="dxa"/>
            <w:tcBorders>
              <w:top w:val="nil"/>
              <w:left w:val="nil"/>
              <w:bottom w:val="single" w:color="auto" w:sz="4" w:space="0"/>
              <w:right w:val="single" w:color="auto" w:sz="4" w:space="0"/>
              <w:tl2br w:val="nil"/>
              <w:tr2bl w:val="nil"/>
            </w:tcBorders>
            <w:noWrap w:val="0"/>
            <w:vAlign w:val="center"/>
          </w:tcPr>
          <w:p w14:paraId="2139A227">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CF73FB3">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72A1C7B2">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63F3A767">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9F9FBB">
            <w:pPr>
              <w:pageBreakBefore w:val="0"/>
              <w:kinsoku/>
              <w:wordWrap/>
              <w:overflowPunct/>
              <w:bidi w:val="0"/>
              <w:spacing w:before="100" w:after="100"/>
              <w:jc w:val="center"/>
              <w:textAlignment w:val="auto"/>
              <w:rPr>
                <w:rFonts w:hint="eastAsia" w:ascii="宋体" w:hAnsi="宋体" w:cs="宋体"/>
                <w:color w:val="auto"/>
                <w:highlight w:val="none"/>
              </w:rPr>
            </w:pPr>
          </w:p>
        </w:tc>
      </w:tr>
      <w:tr w14:paraId="69461F1F">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ECEE114">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6</w:t>
            </w:r>
          </w:p>
        </w:tc>
        <w:tc>
          <w:tcPr>
            <w:tcW w:w="2529" w:type="dxa"/>
            <w:tcBorders>
              <w:top w:val="nil"/>
              <w:left w:val="nil"/>
              <w:bottom w:val="single" w:color="auto" w:sz="4" w:space="0"/>
              <w:right w:val="single" w:color="auto" w:sz="4" w:space="0"/>
              <w:tl2br w:val="nil"/>
              <w:tr2bl w:val="nil"/>
            </w:tcBorders>
            <w:noWrap w:val="0"/>
            <w:vAlign w:val="center"/>
          </w:tcPr>
          <w:p w14:paraId="01060B3D">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技经监理工程师</w:t>
            </w:r>
          </w:p>
        </w:tc>
        <w:tc>
          <w:tcPr>
            <w:tcW w:w="784" w:type="dxa"/>
            <w:tcBorders>
              <w:top w:val="nil"/>
              <w:left w:val="nil"/>
              <w:bottom w:val="single" w:color="auto" w:sz="4" w:space="0"/>
              <w:right w:val="single" w:color="auto" w:sz="4" w:space="0"/>
              <w:tl2br w:val="nil"/>
              <w:tr2bl w:val="nil"/>
            </w:tcBorders>
            <w:noWrap w:val="0"/>
            <w:vAlign w:val="center"/>
          </w:tcPr>
          <w:p w14:paraId="08693B59">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792E939A">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594A1AC6">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0F40A7CA">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4D6DB7">
            <w:pPr>
              <w:pageBreakBefore w:val="0"/>
              <w:kinsoku/>
              <w:wordWrap/>
              <w:overflowPunct/>
              <w:bidi w:val="0"/>
              <w:spacing w:before="100" w:after="100"/>
              <w:jc w:val="center"/>
              <w:textAlignment w:val="auto"/>
              <w:rPr>
                <w:rFonts w:hint="eastAsia" w:ascii="宋体" w:hAnsi="宋体" w:cs="宋体"/>
                <w:color w:val="auto"/>
                <w:highlight w:val="none"/>
              </w:rPr>
            </w:pPr>
          </w:p>
        </w:tc>
      </w:tr>
      <w:tr w14:paraId="03514453">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5379E940">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7</w:t>
            </w:r>
          </w:p>
        </w:tc>
        <w:tc>
          <w:tcPr>
            <w:tcW w:w="2529" w:type="dxa"/>
            <w:tcBorders>
              <w:top w:val="nil"/>
              <w:left w:val="nil"/>
              <w:bottom w:val="single" w:color="auto" w:sz="4" w:space="0"/>
              <w:right w:val="single" w:color="auto" w:sz="4" w:space="0"/>
              <w:tl2br w:val="nil"/>
              <w:tr2bl w:val="nil"/>
            </w:tcBorders>
            <w:noWrap w:val="0"/>
            <w:vAlign w:val="center"/>
          </w:tcPr>
          <w:p w14:paraId="343696A5">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水土保持专业监理工程师</w:t>
            </w:r>
          </w:p>
        </w:tc>
        <w:tc>
          <w:tcPr>
            <w:tcW w:w="784" w:type="dxa"/>
            <w:tcBorders>
              <w:top w:val="nil"/>
              <w:left w:val="nil"/>
              <w:bottom w:val="single" w:color="auto" w:sz="4" w:space="0"/>
              <w:right w:val="single" w:color="auto" w:sz="4" w:space="0"/>
              <w:tl2br w:val="nil"/>
              <w:tr2bl w:val="nil"/>
            </w:tcBorders>
            <w:noWrap w:val="0"/>
            <w:vAlign w:val="center"/>
          </w:tcPr>
          <w:p w14:paraId="1E2B8781">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16C24DCE">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05811B68">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705335EA">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E65B5A">
            <w:pPr>
              <w:pageBreakBefore w:val="0"/>
              <w:kinsoku/>
              <w:wordWrap/>
              <w:overflowPunct/>
              <w:bidi w:val="0"/>
              <w:spacing w:before="100" w:after="100"/>
              <w:jc w:val="center"/>
              <w:textAlignment w:val="auto"/>
              <w:rPr>
                <w:rFonts w:hint="eastAsia" w:ascii="宋体" w:hAnsi="宋体" w:cs="宋体"/>
                <w:color w:val="auto"/>
                <w:highlight w:val="none"/>
              </w:rPr>
            </w:pPr>
          </w:p>
        </w:tc>
      </w:tr>
      <w:tr w14:paraId="28B97DA4">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2DD1A470">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8</w:t>
            </w:r>
          </w:p>
        </w:tc>
        <w:tc>
          <w:tcPr>
            <w:tcW w:w="2529" w:type="dxa"/>
            <w:tcBorders>
              <w:top w:val="nil"/>
              <w:left w:val="nil"/>
              <w:bottom w:val="single" w:color="auto" w:sz="4" w:space="0"/>
              <w:right w:val="single" w:color="auto" w:sz="4" w:space="0"/>
              <w:tl2br w:val="nil"/>
              <w:tr2bl w:val="nil"/>
            </w:tcBorders>
            <w:noWrap w:val="0"/>
            <w:vAlign w:val="center"/>
          </w:tcPr>
          <w:p w14:paraId="10E46D87">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安全、档案等管理监理师</w:t>
            </w:r>
          </w:p>
        </w:tc>
        <w:tc>
          <w:tcPr>
            <w:tcW w:w="784" w:type="dxa"/>
            <w:tcBorders>
              <w:top w:val="nil"/>
              <w:left w:val="nil"/>
              <w:bottom w:val="single" w:color="auto" w:sz="4" w:space="0"/>
              <w:right w:val="single" w:color="auto" w:sz="4" w:space="0"/>
              <w:tl2br w:val="nil"/>
              <w:tr2bl w:val="nil"/>
            </w:tcBorders>
            <w:noWrap w:val="0"/>
            <w:vAlign w:val="center"/>
          </w:tcPr>
          <w:p w14:paraId="3095C845">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488F73D">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6BE60384">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51AD98A1">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0B4DB2">
            <w:pPr>
              <w:pageBreakBefore w:val="0"/>
              <w:kinsoku/>
              <w:wordWrap/>
              <w:overflowPunct/>
              <w:bidi w:val="0"/>
              <w:spacing w:before="100" w:after="100"/>
              <w:jc w:val="center"/>
              <w:textAlignment w:val="auto"/>
              <w:rPr>
                <w:rFonts w:hint="eastAsia" w:ascii="宋体" w:hAnsi="宋体" w:cs="宋体"/>
                <w:color w:val="auto"/>
                <w:highlight w:val="none"/>
              </w:rPr>
            </w:pPr>
          </w:p>
        </w:tc>
      </w:tr>
      <w:tr w14:paraId="775A68BF">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56DEB7CE">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9</w:t>
            </w:r>
          </w:p>
        </w:tc>
        <w:tc>
          <w:tcPr>
            <w:tcW w:w="2529" w:type="dxa"/>
            <w:tcBorders>
              <w:top w:val="nil"/>
              <w:left w:val="nil"/>
              <w:bottom w:val="single" w:color="auto" w:sz="4" w:space="0"/>
              <w:right w:val="single" w:color="auto" w:sz="4" w:space="0"/>
              <w:tl2br w:val="nil"/>
              <w:tr2bl w:val="nil"/>
            </w:tcBorders>
            <w:noWrap w:val="0"/>
            <w:vAlign w:val="center"/>
          </w:tcPr>
          <w:p w14:paraId="45CFEFBA">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监理员</w:t>
            </w:r>
          </w:p>
        </w:tc>
        <w:tc>
          <w:tcPr>
            <w:tcW w:w="784" w:type="dxa"/>
            <w:tcBorders>
              <w:top w:val="nil"/>
              <w:left w:val="nil"/>
              <w:bottom w:val="single" w:color="auto" w:sz="4" w:space="0"/>
              <w:right w:val="single" w:color="auto" w:sz="4" w:space="0"/>
              <w:tl2br w:val="nil"/>
              <w:tr2bl w:val="nil"/>
            </w:tcBorders>
            <w:noWrap w:val="0"/>
            <w:vAlign w:val="center"/>
          </w:tcPr>
          <w:p w14:paraId="2DA2E2BF">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6B37D316">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49CA62A1">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2064B4B6">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B613F3">
            <w:pPr>
              <w:pageBreakBefore w:val="0"/>
              <w:kinsoku/>
              <w:wordWrap/>
              <w:overflowPunct/>
              <w:bidi w:val="0"/>
              <w:spacing w:before="100" w:after="100"/>
              <w:jc w:val="center"/>
              <w:textAlignment w:val="auto"/>
              <w:rPr>
                <w:rFonts w:hint="eastAsia" w:ascii="宋体" w:hAnsi="宋体" w:cs="宋体"/>
                <w:color w:val="auto"/>
                <w:highlight w:val="none"/>
              </w:rPr>
            </w:pPr>
          </w:p>
        </w:tc>
      </w:tr>
      <w:tr w14:paraId="7B62F40E">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40786B7B">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10</w:t>
            </w:r>
          </w:p>
        </w:tc>
        <w:tc>
          <w:tcPr>
            <w:tcW w:w="2529" w:type="dxa"/>
            <w:tcBorders>
              <w:top w:val="nil"/>
              <w:left w:val="nil"/>
              <w:bottom w:val="single" w:color="auto" w:sz="4" w:space="0"/>
              <w:right w:val="single" w:color="auto" w:sz="4" w:space="0"/>
              <w:tl2br w:val="nil"/>
              <w:tr2bl w:val="nil"/>
            </w:tcBorders>
            <w:noWrap w:val="0"/>
            <w:vAlign w:val="center"/>
          </w:tcPr>
          <w:p w14:paraId="70B2447A">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管理员</w:t>
            </w:r>
          </w:p>
        </w:tc>
        <w:tc>
          <w:tcPr>
            <w:tcW w:w="784" w:type="dxa"/>
            <w:tcBorders>
              <w:top w:val="nil"/>
              <w:left w:val="nil"/>
              <w:bottom w:val="single" w:color="auto" w:sz="4" w:space="0"/>
              <w:right w:val="single" w:color="auto" w:sz="4" w:space="0"/>
              <w:tl2br w:val="nil"/>
              <w:tr2bl w:val="nil"/>
            </w:tcBorders>
            <w:noWrap w:val="0"/>
            <w:vAlign w:val="center"/>
          </w:tcPr>
          <w:p w14:paraId="3975EBE5">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8132BF9">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6D338BAB">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5B17175E">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281841">
            <w:pPr>
              <w:pageBreakBefore w:val="0"/>
              <w:kinsoku/>
              <w:wordWrap/>
              <w:overflowPunct/>
              <w:bidi w:val="0"/>
              <w:spacing w:before="100" w:after="100"/>
              <w:jc w:val="center"/>
              <w:textAlignment w:val="auto"/>
              <w:rPr>
                <w:rFonts w:hint="eastAsia" w:ascii="宋体" w:hAnsi="宋体" w:cs="宋体"/>
                <w:color w:val="auto"/>
                <w:highlight w:val="none"/>
              </w:rPr>
            </w:pPr>
          </w:p>
        </w:tc>
      </w:tr>
      <w:tr w14:paraId="5215A360">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7C23610C">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11</w:t>
            </w:r>
          </w:p>
        </w:tc>
        <w:tc>
          <w:tcPr>
            <w:tcW w:w="2529" w:type="dxa"/>
            <w:tcBorders>
              <w:top w:val="nil"/>
              <w:left w:val="nil"/>
              <w:bottom w:val="single" w:color="auto" w:sz="4" w:space="0"/>
              <w:right w:val="single" w:color="auto" w:sz="4" w:space="0"/>
              <w:tl2br w:val="nil"/>
              <w:tr2bl w:val="nil"/>
            </w:tcBorders>
            <w:noWrap w:val="0"/>
            <w:vAlign w:val="center"/>
          </w:tcPr>
          <w:p w14:paraId="355E0EDD">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w:t>
            </w:r>
          </w:p>
        </w:tc>
        <w:tc>
          <w:tcPr>
            <w:tcW w:w="784" w:type="dxa"/>
            <w:tcBorders>
              <w:top w:val="nil"/>
              <w:left w:val="nil"/>
              <w:bottom w:val="single" w:color="auto" w:sz="4" w:space="0"/>
              <w:right w:val="single" w:color="auto" w:sz="4" w:space="0"/>
              <w:tl2br w:val="nil"/>
              <w:tr2bl w:val="nil"/>
            </w:tcBorders>
            <w:noWrap w:val="0"/>
            <w:vAlign w:val="center"/>
          </w:tcPr>
          <w:p w14:paraId="080CE71C">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3EC4EA12">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5EFDCA3F">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08AF4133">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nil"/>
              <w:bottom w:val="single" w:color="auto" w:sz="4" w:space="0"/>
              <w:right w:val="single" w:color="auto" w:sz="4" w:space="0"/>
              <w:tl2br w:val="nil"/>
              <w:tr2bl w:val="nil"/>
            </w:tcBorders>
            <w:noWrap w:val="0"/>
            <w:vAlign w:val="center"/>
          </w:tcPr>
          <w:p w14:paraId="56A05660">
            <w:pPr>
              <w:pageBreakBefore w:val="0"/>
              <w:kinsoku/>
              <w:wordWrap/>
              <w:overflowPunct/>
              <w:bidi w:val="0"/>
              <w:spacing w:before="100" w:after="100"/>
              <w:jc w:val="center"/>
              <w:textAlignment w:val="auto"/>
              <w:rPr>
                <w:rFonts w:hint="eastAsia" w:ascii="宋体" w:hAnsi="宋体" w:cs="宋体"/>
                <w:color w:val="auto"/>
                <w:highlight w:val="none"/>
              </w:rPr>
            </w:pPr>
          </w:p>
        </w:tc>
      </w:tr>
      <w:tr w14:paraId="53B7D8F8">
        <w:trPr>
          <w:trHeight w:val="623" w:hRule="atLeast"/>
          <w:jc w:val="center"/>
        </w:trPr>
        <w:tc>
          <w:tcPr>
            <w:tcW w:w="7482" w:type="dxa"/>
            <w:gridSpan w:val="5"/>
            <w:tcBorders>
              <w:top w:val="nil"/>
              <w:left w:val="single" w:color="auto" w:sz="4" w:space="0"/>
              <w:bottom w:val="single" w:color="auto" w:sz="4" w:space="0"/>
              <w:right w:val="single" w:color="auto" w:sz="4" w:space="0"/>
              <w:tl2br w:val="nil"/>
              <w:tr2bl w:val="nil"/>
            </w:tcBorders>
            <w:noWrap w:val="0"/>
            <w:vAlign w:val="center"/>
          </w:tcPr>
          <w:p w14:paraId="67426EE5">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合计</w:t>
            </w:r>
          </w:p>
        </w:tc>
        <w:tc>
          <w:tcPr>
            <w:tcW w:w="1216" w:type="dxa"/>
            <w:tcBorders>
              <w:top w:val="nil"/>
              <w:left w:val="nil"/>
              <w:bottom w:val="single" w:color="auto" w:sz="4" w:space="0"/>
              <w:right w:val="single" w:color="auto" w:sz="4" w:space="0"/>
              <w:tl2br w:val="nil"/>
              <w:tr2bl w:val="nil"/>
            </w:tcBorders>
            <w:noWrap w:val="0"/>
            <w:vAlign w:val="center"/>
          </w:tcPr>
          <w:p w14:paraId="34EBA468">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nil"/>
              <w:left w:val="nil"/>
              <w:bottom w:val="single" w:color="auto" w:sz="4" w:space="0"/>
              <w:right w:val="single" w:color="auto" w:sz="4" w:space="0"/>
              <w:tl2br w:val="nil"/>
              <w:tr2bl w:val="nil"/>
            </w:tcBorders>
            <w:noWrap w:val="0"/>
            <w:vAlign w:val="center"/>
          </w:tcPr>
          <w:p w14:paraId="2FCA76CE">
            <w:pPr>
              <w:pageBreakBefore w:val="0"/>
              <w:kinsoku/>
              <w:wordWrap/>
              <w:overflowPunct/>
              <w:bidi w:val="0"/>
              <w:spacing w:before="100" w:after="100"/>
              <w:jc w:val="center"/>
              <w:textAlignment w:val="auto"/>
              <w:rPr>
                <w:rFonts w:hint="eastAsia" w:ascii="宋体" w:hAnsi="宋体" w:cs="宋体"/>
                <w:color w:val="auto"/>
                <w:highlight w:val="none"/>
              </w:rPr>
            </w:pPr>
          </w:p>
        </w:tc>
      </w:tr>
    </w:tbl>
    <w:p w14:paraId="64F3672E">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r>
        <w:rPr>
          <w:rStyle w:val="288"/>
          <w:rFonts w:hint="eastAsia" w:ascii="宋体" w:hAnsi="宋体" w:cs="宋体"/>
          <w:color w:val="auto"/>
          <w:highlight w:val="none"/>
        </w:rPr>
        <w:t>备注：综合人工费包括投标人为完成监理工作所产生的工作人员薪酬、办公、差旅、通讯、食宿、车辆、设备、保险、利润、税金等所有费用。</w:t>
      </w:r>
    </w:p>
    <w:p w14:paraId="1F02FAC9">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p>
    <w:p w14:paraId="5A74377F">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7D84C151">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w:t>
      </w:r>
      <w:r>
        <w:rPr>
          <w:rFonts w:hint="eastAsia" w:ascii="宋体" w:hAnsi="宋体" w:cs="宋体"/>
          <w:color w:val="auto"/>
          <w:highlight w:val="none"/>
        </w:rPr>
        <w:t>签章）</w:t>
      </w:r>
    </w:p>
    <w:p w14:paraId="071151A0">
      <w:pPr>
        <w:widowControl/>
        <w:spacing w:after="200" w:line="360" w:lineRule="auto"/>
        <w:ind w:left="2318" w:leftChars="1104"/>
        <w:jc w:val="left"/>
        <w:rPr>
          <w:rFonts w:hint="eastAsia" w:ascii="宋体" w:hAnsi="宋体" w:eastAsia="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sectPr>
      <w:headerReference r:id="rId7" w:type="default"/>
      <w:footerReference r:id="rId8"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MyriadMM_700_300_">
    <w:altName w:val="FT EliraSans"/>
    <w:panose1 w:val="00000000000000000000"/>
    <w:charset w:val="00"/>
    <w:family w:val="auto"/>
    <w:pitch w:val="default"/>
    <w:sig w:usb0="00000000" w:usb1="00000000" w:usb2="00000000" w:usb3="00000000" w:csb0="00000001" w:csb1="00000000"/>
  </w:font>
  <w:font w:name="FT AeroSans">
    <w:panose1 w:val="020B0504030202020204"/>
    <w:charset w:val="00"/>
    <w:family w:val="auto"/>
    <w:pitch w:val="default"/>
    <w:sig w:usb0="0000028F" w:usb1="00000000" w:usb2="00000000" w:usb3="00000000" w:csb0="0000011F" w:csb1="07030000"/>
  </w:font>
  <w:font w:name="黑体-简">
    <w:panose1 w:val="02010609060101010101"/>
    <w:charset w:val="86"/>
    <w:family w:val="auto"/>
    <w:pitch w:val="default"/>
    <w:sig w:usb0="A00002BF" w:usb1="3ACF7CFA" w:usb2="00000016" w:usb3="00000000" w:csb0="00040001" w:csb1="00000000"/>
  </w:font>
  <w:font w:name="FTToken">
    <w:panose1 w:val="05000000000000000000"/>
    <w:charset w:val="00"/>
    <w:family w:val="auto"/>
    <w:pitch w:val="default"/>
    <w:sig w:usb0="00000000" w:usb1="10000000" w:usb2="00000000" w:usb3="00000000" w:csb0="80000000" w:csb1="00000000"/>
  </w:font>
  <w:font w:name="Cambria">
    <w:altName w:val="FT KliphSerif"/>
    <w:panose1 w:val="02040503050406030204"/>
    <w:charset w:val="00"/>
    <w:family w:val="roman"/>
    <w:pitch w:val="default"/>
    <w:sig w:usb0="00000000" w:usb1="00000000" w:usb2="02000000" w:usb3="00000000" w:csb0="2000019F" w:csb1="00000000"/>
  </w:font>
  <w:font w:name="FT KliphSerif">
    <w:panose1 w:val="02040503050406030204"/>
    <w:charset w:val="00"/>
    <w:family w:val="auto"/>
    <w:pitch w:val="default"/>
    <w:sig w:usb0="80000003" w:usb1="40000000" w:usb2="00000000" w:usb3="00000000" w:csb0="00000001" w:csb1="00000000"/>
  </w:font>
  <w:font w:name="新宋体">
    <w:altName w:val="书宋-简"/>
    <w:panose1 w:val="02010609030101010101"/>
    <w:charset w:val="86"/>
    <w:family w:val="modern"/>
    <w:pitch w:val="default"/>
    <w:sig w:usb0="00000000" w:usb1="00000000" w:usb2="00000006" w:usb3="00000000" w:csb0="00040001" w:csb1="00000000"/>
  </w:font>
  <w:font w:name="宋体-18030">
    <w:altName w:val="书宋-简"/>
    <w:panose1 w:val="00000000000000000000"/>
    <w:charset w:val="86"/>
    <w:family w:val="modern"/>
    <w:pitch w:val="default"/>
    <w:sig w:usb0="00000000" w:usb1="00000000" w:usb2="000A005E" w:usb3="00000000" w:csb0="00040001" w:csb1="00000000"/>
  </w:font>
  <w:font w:name="HarmonyOS Sans">
    <w:panose1 w:val="00000500000000000000"/>
    <w:charset w:val="00"/>
    <w:family w:val="auto"/>
    <w:pitch w:val="default"/>
    <w:sig w:usb0="A0000287" w:usb1="00000011" w:usb2="00000000" w:usb3="00000000" w:csb0="00000001" w:csb1="00000000"/>
  </w:font>
  <w:font w:name="Microsoft YaHei UI">
    <w:altName w:val="Noto Sans CJK JP"/>
    <w:panose1 w:val="020B0503020204020204"/>
    <w:charset w:val="86"/>
    <w:family w:val="swiss"/>
    <w:pitch w:val="default"/>
    <w:sig w:usb0="00000000" w:usb1="00000000" w:usb2="00000016" w:usb3="00000000" w:csb0="0004001F" w:csb1="00000000"/>
  </w:font>
  <w:font w:name="Noto Sans CJK JP">
    <w:panose1 w:val="020B0500000000000000"/>
    <w:charset w:val="86"/>
    <w:family w:val="auto"/>
    <w:pitch w:val="default"/>
    <w:sig w:usb0="30000083" w:usb1="2BDF3C10" w:usb2="00000016" w:usb3="00000000" w:csb0="602E0107" w:csb1="00000000"/>
  </w:font>
  <w:font w:name="Verdana">
    <w:altName w:val="Noto Sans Bengali UI Medium"/>
    <w:panose1 w:val="020B0604030504040204"/>
    <w:charset w:val="00"/>
    <w:family w:val="swiss"/>
    <w:pitch w:val="default"/>
    <w:sig w:usb0="00000000" w:usb1="00000000" w:usb2="00000010" w:usb3="00000000" w:csb0="2000019F" w:csb1="00000000"/>
  </w:font>
  <w:font w:name="Noto Sans Bengali UI Medium">
    <w:panose1 w:val="020B0602040504020204"/>
    <w:charset w:val="00"/>
    <w:family w:val="auto"/>
    <w:pitch w:val="default"/>
    <w:sig w:usb0="80018023" w:usb1="00002042" w:usb2="00000000" w:usb3="00000000" w:csb0="00000093" w:csb1="00000000"/>
  </w:font>
  <w:font w:name="Sim Hei+ 2">
    <w:altName w:val="鸿蒙黑体"/>
    <w:panose1 w:val="00000000000000000000"/>
    <w:charset w:val="86"/>
    <w:family w:val="auto"/>
    <w:pitch w:val="default"/>
    <w:sig w:usb0="00000000" w:usb1="00000000" w:usb2="00000010" w:usb3="00000000" w:csb0="00040000" w:csb1="00000000"/>
  </w:font>
  <w:font w:name="鸿蒙黑体">
    <w:panose1 w:val="00000500000000000000"/>
    <w:charset w:val="86"/>
    <w:family w:val="auto"/>
    <w:pitch w:val="default"/>
    <w:sig w:usb0="A00002BF" w:usb1="18EF7CFA" w:usb2="00000016" w:usb3="00000000" w:csb0="00040001"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93"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 w:name="Wingdings 2">
    <w:altName w:val="FTToken2"/>
    <w:panose1 w:val="05020102010507070707"/>
    <w:charset w:val="02"/>
    <w:family w:val="roman"/>
    <w:pitch w:val="default"/>
    <w:sig w:usb0="00000000" w:usb1="00000000" w:usb2="00000000" w:usb3="00000000" w:csb0="80000000" w:csb1="00000000"/>
  </w:font>
  <w:font w:name="FTToken2">
    <w:panose1 w:val="05020102010507070707"/>
    <w:charset w:val="00"/>
    <w:family w:val="auto"/>
    <w:pitch w:val="default"/>
    <w:sig w:usb0="00000000" w:usb1="10000000" w:usb2="00000000" w:usb3="00000000" w:csb0="80000000" w:csb1="00000000"/>
  </w:font>
  <w:font w:name="Kingsoft UE">
    <w:altName w:val="鸿蒙黑体"/>
    <w:panose1 w:val="00000000000000000000"/>
    <w:charset w:val="00"/>
    <w:family w:val="auto"/>
    <w:pitch w:val="default"/>
    <w:sig w:usb0="00000000" w:usb1="00000000" w:usb2="00000000" w:usb3="00000000" w:csb0="00000000" w:csb1="00000000"/>
  </w:font>
  <w:font w:name="Noto Sans Symbols 2">
    <w:panose1 w:val="020B0502040504020204"/>
    <w:charset w:val="00"/>
    <w:family w:val="auto"/>
    <w:pitch w:val="default"/>
    <w:sig w:usb0="80000003" w:usb1="0200E3E4" w:usb2="00040020" w:usb3="0580A048" w:csb0="00000001" w:csb1="00000000"/>
  </w:font>
  <w:font w:name="方正中等线-简">
    <w:panose1 w:val="02000500000000000000"/>
    <w:charset w:val="86"/>
    <w:family w:val="auto"/>
    <w:pitch w:val="default"/>
    <w:sig w:usb0="A00002BF" w:usb1="78CF7CFB" w:usb2="00000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DC26E">
    <w:pPr>
      <w:pStyle w:val="35"/>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2163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112163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59AE5">
    <w:pPr>
      <w:pStyle w:val="3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F12C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A8F12C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2C86C">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cs="Times New Roman"/>
        <w:sz w:val="18"/>
        <w:szCs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2DF04D">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622DF04D">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A272D">
    <w:pPr>
      <w:pStyle w:val="3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88AAE">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BC88AAE">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FAAD7">
    <w:pPr>
      <w:spacing w:line="360" w:lineRule="auto"/>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3FA90">
    <w:pPr>
      <w:pStyle w:val="36"/>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19CDD8"/>
    <w:multiLevelType w:val="multilevel"/>
    <w:tmpl w:val="C719CDD8"/>
    <w:lvl w:ilvl="0" w:tentative="0">
      <w:start w:val="0"/>
      <w:numFmt w:val="none"/>
      <w:lvlText w:val=""/>
      <w:lvlJc w:val="left"/>
      <w:pPr>
        <w:tabs>
          <w:tab w:val="left" w:pos="360"/>
        </w:tabs>
      </w:pPr>
      <w:rPr>
        <w:rFonts w:hint="default" w:ascii="Times New Roman" w:hAnsi="Calibri" w:eastAsia="Times New Roman"/>
        <w:u w:val="none"/>
      </w:rPr>
    </w:lvl>
    <w:lvl w:ilvl="1" w:tentative="0">
      <w:start w:val="1"/>
      <w:numFmt w:val="decimal"/>
      <w:lvlText w:val="?"/>
      <w:lvlJc w:val="left"/>
      <w:rPr>
        <w:rFonts w:hint="default" w:ascii="Times New Roman" w:hAnsi="Times New Roman" w:eastAsia="Times New Roman"/>
        <w:u w:val="none"/>
      </w:rPr>
    </w:lvl>
    <w:lvl w:ilvl="2" w:tentative="0">
      <w:start w:val="1"/>
      <w:numFmt w:val="decimal"/>
      <w:lvlText w:val="?"/>
      <w:lvlJc w:val="left"/>
      <w:rPr>
        <w:rFonts w:hint="default" w:ascii="Times New Roman" w:hAnsi="Times New Roman" w:eastAsia="Times New Roman"/>
        <w:u w:val="none"/>
      </w:rPr>
    </w:lvl>
    <w:lvl w:ilvl="3" w:tentative="0">
      <w:start w:val="1"/>
      <w:numFmt w:val="decimal"/>
      <w:lvlText w:val="?"/>
      <w:lvlJc w:val="left"/>
      <w:rPr>
        <w:rFonts w:hint="default" w:ascii="Times New Roman" w:hAnsi="Times New Roman" w:eastAsia="Times New Roman"/>
        <w:u w:val="none"/>
      </w:rPr>
    </w:lvl>
    <w:lvl w:ilvl="4" w:tentative="0">
      <w:start w:val="1"/>
      <w:numFmt w:val="decimal"/>
      <w:lvlText w:val="?"/>
      <w:lvlJc w:val="left"/>
      <w:rPr>
        <w:rFonts w:hint="default" w:ascii="Times New Roman" w:hAnsi="Times New Roman" w:eastAsia="Times New Roman"/>
        <w:u w:val="none"/>
      </w:rPr>
    </w:lvl>
    <w:lvl w:ilvl="5" w:tentative="0">
      <w:start w:val="1"/>
      <w:numFmt w:val="decimal"/>
      <w:lvlText w:val="?"/>
      <w:lvlJc w:val="left"/>
      <w:rPr>
        <w:rFonts w:hint="default" w:ascii="Times New Roman" w:hAnsi="Times New Roman" w:eastAsia="Times New Roman"/>
        <w:u w:val="none"/>
      </w:rPr>
    </w:lvl>
    <w:lvl w:ilvl="6" w:tentative="0">
      <w:start w:val="1"/>
      <w:numFmt w:val="decimal"/>
      <w:lvlText w:val="?"/>
      <w:lvlJc w:val="left"/>
      <w:rPr>
        <w:rFonts w:hint="default" w:ascii="Times New Roman" w:hAnsi="Times New Roman" w:eastAsia="Times New Roman"/>
        <w:u w:val="none"/>
      </w:rPr>
    </w:lvl>
    <w:lvl w:ilvl="7" w:tentative="0">
      <w:start w:val="1"/>
      <w:numFmt w:val="decimal"/>
      <w:lvlText w:val="?"/>
      <w:lvlJc w:val="left"/>
      <w:rPr>
        <w:rFonts w:hint="default" w:ascii="Times New Roman" w:hAnsi="Times New Roman" w:eastAsia="Times New Roman"/>
        <w:u w:val="none"/>
      </w:rPr>
    </w:lvl>
    <w:lvl w:ilvl="8" w:tentative="0">
      <w:start w:val="1"/>
      <w:numFmt w:val="decimal"/>
      <w:lvlText w:val="?"/>
      <w:lvlJc w:val="left"/>
      <w:rPr>
        <w:rFonts w:hint="default" w:ascii="Times New Roman" w:hAnsi="Times New Roman" w:eastAsia="Times New Roman"/>
        <w:u w:val="none"/>
      </w:rPr>
    </w:lvl>
  </w:abstractNum>
  <w:abstractNum w:abstractNumId="1">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6"/>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00000420"/>
    <w:multiLevelType w:val="multilevel"/>
    <w:tmpl w:val="00000420"/>
    <w:lvl w:ilvl="0" w:tentative="0">
      <w:start w:val="1"/>
      <w:numFmt w:val="decimal"/>
      <w:lvlText w:val="%1"/>
      <w:lvlJc w:val="left"/>
      <w:pPr>
        <w:ind w:left="1038" w:hanging="526"/>
      </w:pPr>
      <w:rPr>
        <w:rFonts w:hint="default" w:ascii="Times New Roman" w:hAnsi="Times New Roman" w:eastAsia="Times New Roman"/>
        <w:u w:val="none" w:color="auto"/>
      </w:rPr>
    </w:lvl>
    <w:lvl w:ilvl="1" w:tentative="0">
      <w:start w:val="1"/>
      <w:numFmt w:val="decimal"/>
      <w:lvlText w:val="%1.%2"/>
      <w:lvlJc w:val="left"/>
      <w:pPr>
        <w:ind w:left="1038" w:hanging="526"/>
      </w:pPr>
      <w:rPr>
        <w:rFonts w:hint="default" w:ascii="Times New Roman" w:hAnsi="Times New Roman" w:eastAsia="Times New Roman"/>
        <w:u w:val="none" w:color="auto"/>
      </w:rPr>
    </w:lvl>
    <w:lvl w:ilvl="2" w:tentative="0">
      <w:start w:val="2"/>
      <w:numFmt w:val="decimal"/>
      <w:lvlText w:val="%1.%2.%3"/>
      <w:lvlJc w:val="left"/>
      <w:pPr>
        <w:ind w:left="1038" w:hanging="526"/>
      </w:pPr>
      <w:rPr>
        <w:rFonts w:hint="default" w:ascii="Times New Roman" w:hAnsi="Times New Roman" w:eastAsia="Times New Roman"/>
        <w:b/>
        <w:sz w:val="21"/>
        <w:u w:val="none" w:color="auto"/>
      </w:rPr>
    </w:lvl>
    <w:lvl w:ilvl="3" w:tentative="0">
      <w:start w:val="1"/>
      <w:numFmt w:val="decimal"/>
      <w:lvlText w:val="%1.%2.%3.%4"/>
      <w:lvlJc w:val="left"/>
      <w:pPr>
        <w:ind w:left="100" w:hanging="684"/>
      </w:pPr>
      <w:rPr>
        <w:rFonts w:hint="default" w:ascii="Times New Roman" w:hAnsi="Times New Roman" w:eastAsia="Times New Roman"/>
        <w:sz w:val="21"/>
        <w:u w:val="none" w:color="auto"/>
      </w:rPr>
    </w:lvl>
    <w:lvl w:ilvl="4" w:tentative="0">
      <w:start w:val="0"/>
      <w:numFmt w:val="bullet"/>
      <w:lvlText w:val="•"/>
      <w:lvlJc w:val="left"/>
      <w:pPr>
        <w:ind w:left="3680" w:hanging="684"/>
      </w:pPr>
      <w:rPr>
        <w:rFonts w:hint="default"/>
        <w:u w:val="none" w:color="auto"/>
      </w:rPr>
    </w:lvl>
    <w:lvl w:ilvl="5" w:tentative="0">
      <w:start w:val="0"/>
      <w:numFmt w:val="bullet"/>
      <w:lvlText w:val="•"/>
      <w:lvlJc w:val="left"/>
      <w:pPr>
        <w:ind w:left="4560" w:hanging="684"/>
      </w:pPr>
      <w:rPr>
        <w:rFonts w:hint="default"/>
        <w:u w:val="none" w:color="auto"/>
      </w:rPr>
    </w:lvl>
    <w:lvl w:ilvl="6" w:tentative="0">
      <w:start w:val="0"/>
      <w:numFmt w:val="bullet"/>
      <w:lvlText w:val="•"/>
      <w:lvlJc w:val="left"/>
      <w:pPr>
        <w:ind w:left="5440" w:hanging="684"/>
      </w:pPr>
      <w:rPr>
        <w:rFonts w:hint="default"/>
        <w:u w:val="none" w:color="auto"/>
      </w:rPr>
    </w:lvl>
    <w:lvl w:ilvl="7" w:tentative="0">
      <w:start w:val="0"/>
      <w:numFmt w:val="bullet"/>
      <w:lvlText w:val="•"/>
      <w:lvlJc w:val="left"/>
      <w:pPr>
        <w:ind w:left="6320" w:hanging="684"/>
      </w:pPr>
      <w:rPr>
        <w:rFonts w:hint="default"/>
        <w:u w:val="none" w:color="auto"/>
      </w:rPr>
    </w:lvl>
    <w:lvl w:ilvl="8" w:tentative="0">
      <w:start w:val="0"/>
      <w:numFmt w:val="bullet"/>
      <w:lvlText w:val="•"/>
      <w:lvlJc w:val="left"/>
      <w:pPr>
        <w:ind w:left="7200" w:hanging="684"/>
      </w:pPr>
      <w:rPr>
        <w:rFonts w:hint="default"/>
        <w:u w:val="none" w:color="auto"/>
      </w:rPr>
    </w:lvl>
  </w:abstractNum>
  <w:abstractNum w:abstractNumId="3">
    <w:nsid w:val="00000421"/>
    <w:multiLevelType w:val="multilevel"/>
    <w:tmpl w:val="00000421"/>
    <w:lvl w:ilvl="0" w:tentative="0">
      <w:start w:val="1"/>
      <w:numFmt w:val="decimal"/>
      <w:lvlText w:val="%1"/>
      <w:lvlJc w:val="left"/>
      <w:pPr>
        <w:ind w:left="1048" w:hanging="526"/>
      </w:pPr>
      <w:rPr>
        <w:rFonts w:hint="default" w:ascii="Times New Roman" w:hAnsi="Times New Roman" w:eastAsia="Times New Roman"/>
        <w:u w:val="none" w:color="auto"/>
      </w:rPr>
    </w:lvl>
    <w:lvl w:ilvl="1" w:tentative="0">
      <w:start w:val="1"/>
      <w:numFmt w:val="decimal"/>
      <w:lvlText w:val="%1.%2"/>
      <w:lvlJc w:val="left"/>
      <w:pPr>
        <w:ind w:left="1048" w:hanging="526"/>
      </w:pPr>
      <w:rPr>
        <w:rFonts w:hint="default" w:ascii="Times New Roman" w:hAnsi="Times New Roman" w:eastAsia="Times New Roman"/>
        <w:u w:val="none" w:color="auto"/>
      </w:rPr>
    </w:lvl>
    <w:lvl w:ilvl="2" w:tentative="0">
      <w:start w:val="3"/>
      <w:numFmt w:val="decimal"/>
      <w:lvlText w:val="%1.%2.%3"/>
      <w:lvlJc w:val="left"/>
      <w:pPr>
        <w:ind w:left="1048" w:hanging="526"/>
      </w:pPr>
      <w:rPr>
        <w:rFonts w:hint="default" w:ascii="Times New Roman" w:hAnsi="Times New Roman" w:eastAsia="Times New Roman"/>
        <w:b/>
        <w:sz w:val="21"/>
        <w:u w:val="none" w:color="auto"/>
      </w:rPr>
    </w:lvl>
    <w:lvl w:ilvl="3" w:tentative="0">
      <w:start w:val="1"/>
      <w:numFmt w:val="decimal"/>
      <w:lvlText w:val="%1.%2.%3.%4"/>
      <w:lvlJc w:val="left"/>
      <w:pPr>
        <w:ind w:left="100" w:hanging="684"/>
      </w:pPr>
      <w:rPr>
        <w:rFonts w:hint="default" w:ascii="Times New Roman" w:hAnsi="Times New Roman" w:eastAsia="Times New Roman"/>
        <w:sz w:val="21"/>
        <w:u w:val="none" w:color="auto"/>
      </w:rPr>
    </w:lvl>
    <w:lvl w:ilvl="4" w:tentative="0">
      <w:start w:val="0"/>
      <w:numFmt w:val="bullet"/>
      <w:lvlText w:val="•"/>
      <w:lvlJc w:val="left"/>
      <w:pPr>
        <w:ind w:left="3680" w:hanging="684"/>
      </w:pPr>
      <w:rPr>
        <w:rFonts w:hint="default"/>
        <w:u w:val="none" w:color="auto"/>
      </w:rPr>
    </w:lvl>
    <w:lvl w:ilvl="5" w:tentative="0">
      <w:start w:val="0"/>
      <w:numFmt w:val="bullet"/>
      <w:lvlText w:val="•"/>
      <w:lvlJc w:val="left"/>
      <w:pPr>
        <w:ind w:left="4560" w:hanging="684"/>
      </w:pPr>
      <w:rPr>
        <w:rFonts w:hint="default"/>
        <w:u w:val="none" w:color="auto"/>
      </w:rPr>
    </w:lvl>
    <w:lvl w:ilvl="6" w:tentative="0">
      <w:start w:val="0"/>
      <w:numFmt w:val="bullet"/>
      <w:lvlText w:val="•"/>
      <w:lvlJc w:val="left"/>
      <w:pPr>
        <w:ind w:left="5440" w:hanging="684"/>
      </w:pPr>
      <w:rPr>
        <w:rFonts w:hint="default"/>
        <w:u w:val="none" w:color="auto"/>
      </w:rPr>
    </w:lvl>
    <w:lvl w:ilvl="7" w:tentative="0">
      <w:start w:val="0"/>
      <w:numFmt w:val="bullet"/>
      <w:lvlText w:val="•"/>
      <w:lvlJc w:val="left"/>
      <w:pPr>
        <w:ind w:left="6320" w:hanging="684"/>
      </w:pPr>
      <w:rPr>
        <w:rFonts w:hint="default"/>
        <w:u w:val="none" w:color="auto"/>
      </w:rPr>
    </w:lvl>
    <w:lvl w:ilvl="8" w:tentative="0">
      <w:start w:val="0"/>
      <w:numFmt w:val="bullet"/>
      <w:lvlText w:val="•"/>
      <w:lvlJc w:val="left"/>
      <w:pPr>
        <w:ind w:left="7200" w:hanging="684"/>
      </w:pPr>
      <w:rPr>
        <w:rFonts w:hint="default"/>
        <w:u w:val="none" w:color="auto"/>
      </w:rPr>
    </w:lvl>
  </w:abstractNum>
  <w:abstractNum w:abstractNumId="4">
    <w:nsid w:val="00000422"/>
    <w:multiLevelType w:val="multilevel"/>
    <w:tmpl w:val="00000422"/>
    <w:lvl w:ilvl="0" w:tentative="0">
      <w:start w:val="1"/>
      <w:numFmt w:val="decimal"/>
      <w:lvlText w:val="%1"/>
      <w:lvlJc w:val="left"/>
      <w:pPr>
        <w:ind w:left="1038" w:hanging="526"/>
      </w:pPr>
      <w:rPr>
        <w:rFonts w:hint="default" w:ascii="Times New Roman" w:hAnsi="Times New Roman" w:eastAsia="Times New Roman"/>
        <w:u w:val="none" w:color="auto"/>
      </w:rPr>
    </w:lvl>
    <w:lvl w:ilvl="1" w:tentative="0">
      <w:start w:val="1"/>
      <w:numFmt w:val="decimal"/>
      <w:lvlText w:val="%1.%2"/>
      <w:lvlJc w:val="left"/>
      <w:pPr>
        <w:ind w:left="1038" w:hanging="526"/>
      </w:pPr>
      <w:rPr>
        <w:rFonts w:hint="default" w:ascii="Times New Roman" w:hAnsi="Times New Roman" w:eastAsia="Times New Roman"/>
        <w:u w:val="none" w:color="auto"/>
      </w:rPr>
    </w:lvl>
    <w:lvl w:ilvl="2" w:tentative="0">
      <w:start w:val="4"/>
      <w:numFmt w:val="decimal"/>
      <w:lvlText w:val="%1.%2.%3"/>
      <w:lvlJc w:val="left"/>
      <w:pPr>
        <w:ind w:left="1038" w:hanging="526"/>
      </w:pPr>
      <w:rPr>
        <w:rFonts w:hint="default" w:ascii="Times New Roman" w:hAnsi="Times New Roman" w:eastAsia="Times New Roman"/>
        <w:b/>
        <w:sz w:val="21"/>
        <w:u w:val="none" w:color="auto"/>
      </w:rPr>
    </w:lvl>
    <w:lvl w:ilvl="3" w:tentative="0">
      <w:start w:val="1"/>
      <w:numFmt w:val="decimal"/>
      <w:lvlText w:val="%1.%2.%3.%4"/>
      <w:lvlJc w:val="left"/>
      <w:pPr>
        <w:ind w:left="100" w:hanging="684"/>
      </w:pPr>
      <w:rPr>
        <w:rFonts w:hint="default" w:ascii="Times New Roman" w:hAnsi="Times New Roman" w:eastAsia="Times New Roman"/>
        <w:sz w:val="21"/>
        <w:u w:val="none" w:color="auto"/>
      </w:rPr>
    </w:lvl>
    <w:lvl w:ilvl="4" w:tentative="0">
      <w:start w:val="0"/>
      <w:numFmt w:val="bullet"/>
      <w:lvlText w:val="•"/>
      <w:lvlJc w:val="left"/>
      <w:pPr>
        <w:ind w:left="3646" w:hanging="684"/>
      </w:pPr>
      <w:rPr>
        <w:rFonts w:hint="default"/>
        <w:u w:val="none" w:color="auto"/>
      </w:rPr>
    </w:lvl>
    <w:lvl w:ilvl="5" w:tentative="0">
      <w:start w:val="0"/>
      <w:numFmt w:val="bullet"/>
      <w:lvlText w:val="•"/>
      <w:lvlJc w:val="left"/>
      <w:pPr>
        <w:ind w:left="4515" w:hanging="684"/>
      </w:pPr>
      <w:rPr>
        <w:rFonts w:hint="default"/>
        <w:u w:val="none" w:color="auto"/>
      </w:rPr>
    </w:lvl>
    <w:lvl w:ilvl="6" w:tentative="0">
      <w:start w:val="0"/>
      <w:numFmt w:val="bullet"/>
      <w:lvlText w:val="•"/>
      <w:lvlJc w:val="left"/>
      <w:pPr>
        <w:ind w:left="5384" w:hanging="684"/>
      </w:pPr>
      <w:rPr>
        <w:rFonts w:hint="default"/>
        <w:u w:val="none" w:color="auto"/>
      </w:rPr>
    </w:lvl>
    <w:lvl w:ilvl="7" w:tentative="0">
      <w:start w:val="0"/>
      <w:numFmt w:val="bullet"/>
      <w:lvlText w:val="•"/>
      <w:lvlJc w:val="left"/>
      <w:pPr>
        <w:ind w:left="6253" w:hanging="684"/>
      </w:pPr>
      <w:rPr>
        <w:rFonts w:hint="default"/>
        <w:u w:val="none" w:color="auto"/>
      </w:rPr>
    </w:lvl>
    <w:lvl w:ilvl="8" w:tentative="0">
      <w:start w:val="0"/>
      <w:numFmt w:val="bullet"/>
      <w:lvlText w:val="•"/>
      <w:lvlJc w:val="left"/>
      <w:pPr>
        <w:ind w:left="7122" w:hanging="684"/>
      </w:pPr>
      <w:rPr>
        <w:rFonts w:hint="default"/>
        <w:u w:val="none" w:color="auto"/>
      </w:rPr>
    </w:lvl>
  </w:abstractNum>
  <w:abstractNum w:abstractNumId="5">
    <w:nsid w:val="00000423"/>
    <w:multiLevelType w:val="multilevel"/>
    <w:tmpl w:val="00000423"/>
    <w:lvl w:ilvl="0" w:tentative="0">
      <w:start w:val="1"/>
      <w:numFmt w:val="decimal"/>
      <w:lvlText w:val="%1"/>
      <w:lvlJc w:val="left"/>
      <w:pPr>
        <w:ind w:left="1038" w:hanging="526"/>
      </w:pPr>
      <w:rPr>
        <w:rFonts w:hint="default" w:ascii="Times New Roman" w:hAnsi="Times New Roman" w:eastAsia="Times New Roman"/>
        <w:u w:val="none" w:color="auto"/>
      </w:rPr>
    </w:lvl>
    <w:lvl w:ilvl="1" w:tentative="0">
      <w:start w:val="1"/>
      <w:numFmt w:val="decimal"/>
      <w:lvlText w:val="%1.%2"/>
      <w:lvlJc w:val="left"/>
      <w:pPr>
        <w:ind w:left="1038" w:hanging="526"/>
      </w:pPr>
      <w:rPr>
        <w:rFonts w:hint="default" w:ascii="Times New Roman" w:hAnsi="Times New Roman" w:eastAsia="Times New Roman"/>
        <w:u w:val="none" w:color="auto"/>
      </w:rPr>
    </w:lvl>
    <w:lvl w:ilvl="2" w:tentative="0">
      <w:start w:val="5"/>
      <w:numFmt w:val="decimal"/>
      <w:lvlText w:val="%1.%2.%3"/>
      <w:lvlJc w:val="left"/>
      <w:pPr>
        <w:ind w:left="1038" w:hanging="526"/>
      </w:pPr>
      <w:rPr>
        <w:rFonts w:hint="default" w:ascii="Times New Roman" w:hAnsi="Times New Roman" w:eastAsia="Times New Roman"/>
        <w:b/>
        <w:sz w:val="21"/>
        <w:u w:val="none" w:color="auto"/>
      </w:rPr>
    </w:lvl>
    <w:lvl w:ilvl="3" w:tentative="0">
      <w:start w:val="1"/>
      <w:numFmt w:val="decimal"/>
      <w:lvlText w:val="%1.%2.%3.%4"/>
      <w:lvlJc w:val="left"/>
      <w:pPr>
        <w:ind w:left="100" w:hanging="684"/>
      </w:pPr>
      <w:rPr>
        <w:rFonts w:hint="default" w:ascii="Times New Roman" w:hAnsi="Times New Roman" w:eastAsia="Times New Roman"/>
        <w:sz w:val="21"/>
        <w:u w:val="none" w:color="auto"/>
      </w:rPr>
    </w:lvl>
    <w:lvl w:ilvl="4" w:tentative="0">
      <w:start w:val="0"/>
      <w:numFmt w:val="bullet"/>
      <w:lvlText w:val="•"/>
      <w:lvlJc w:val="left"/>
      <w:pPr>
        <w:ind w:left="3646" w:hanging="684"/>
      </w:pPr>
      <w:rPr>
        <w:rFonts w:hint="default"/>
        <w:u w:val="none" w:color="auto"/>
      </w:rPr>
    </w:lvl>
    <w:lvl w:ilvl="5" w:tentative="0">
      <w:start w:val="0"/>
      <w:numFmt w:val="bullet"/>
      <w:lvlText w:val="•"/>
      <w:lvlJc w:val="left"/>
      <w:pPr>
        <w:ind w:left="4515" w:hanging="684"/>
      </w:pPr>
      <w:rPr>
        <w:rFonts w:hint="default"/>
        <w:u w:val="none" w:color="auto"/>
      </w:rPr>
    </w:lvl>
    <w:lvl w:ilvl="6" w:tentative="0">
      <w:start w:val="0"/>
      <w:numFmt w:val="bullet"/>
      <w:lvlText w:val="•"/>
      <w:lvlJc w:val="left"/>
      <w:pPr>
        <w:ind w:left="5384" w:hanging="684"/>
      </w:pPr>
      <w:rPr>
        <w:rFonts w:hint="default"/>
        <w:u w:val="none" w:color="auto"/>
      </w:rPr>
    </w:lvl>
    <w:lvl w:ilvl="7" w:tentative="0">
      <w:start w:val="0"/>
      <w:numFmt w:val="bullet"/>
      <w:lvlText w:val="•"/>
      <w:lvlJc w:val="left"/>
      <w:pPr>
        <w:ind w:left="6253" w:hanging="684"/>
      </w:pPr>
      <w:rPr>
        <w:rFonts w:hint="default"/>
        <w:u w:val="none" w:color="auto"/>
      </w:rPr>
    </w:lvl>
    <w:lvl w:ilvl="8" w:tentative="0">
      <w:start w:val="0"/>
      <w:numFmt w:val="bullet"/>
      <w:lvlText w:val="•"/>
      <w:lvlJc w:val="left"/>
      <w:pPr>
        <w:ind w:left="7122" w:hanging="684"/>
      </w:pPr>
      <w:rPr>
        <w:rFonts w:hint="default"/>
        <w:u w:val="none" w:color="auto"/>
      </w:rPr>
    </w:lvl>
  </w:abstractNum>
  <w:abstractNum w:abstractNumId="6">
    <w:nsid w:val="00000425"/>
    <w:multiLevelType w:val="multilevel"/>
    <w:tmpl w:val="00000425"/>
    <w:lvl w:ilvl="0" w:tentative="0">
      <w:start w:val="1"/>
      <w:numFmt w:val="decimal"/>
      <w:lvlText w:val="%1."/>
      <w:lvlJc w:val="left"/>
      <w:pPr>
        <w:ind w:left="100" w:hanging="264"/>
      </w:pPr>
      <w:rPr>
        <w:rFonts w:hint="default" w:ascii="Times New Roman" w:hAnsi="Times New Roman" w:eastAsia="Times New Roman"/>
        <w:sz w:val="21"/>
        <w:u w:val="none" w:color="auto"/>
      </w:rPr>
    </w:lvl>
    <w:lvl w:ilvl="1" w:tentative="0">
      <w:start w:val="0"/>
      <w:numFmt w:val="bullet"/>
      <w:lvlText w:val="•"/>
      <w:lvlJc w:val="left"/>
      <w:pPr>
        <w:ind w:left="986" w:hanging="264"/>
      </w:pPr>
      <w:rPr>
        <w:rFonts w:hint="default"/>
        <w:u w:val="none" w:color="auto"/>
      </w:rPr>
    </w:lvl>
    <w:lvl w:ilvl="2" w:tentative="0">
      <w:start w:val="0"/>
      <w:numFmt w:val="bullet"/>
      <w:lvlText w:val="•"/>
      <w:lvlJc w:val="left"/>
      <w:pPr>
        <w:ind w:left="1872" w:hanging="264"/>
      </w:pPr>
      <w:rPr>
        <w:rFonts w:hint="default"/>
        <w:u w:val="none" w:color="auto"/>
      </w:rPr>
    </w:lvl>
    <w:lvl w:ilvl="3" w:tentative="0">
      <w:start w:val="0"/>
      <w:numFmt w:val="bullet"/>
      <w:lvlText w:val="•"/>
      <w:lvlJc w:val="left"/>
      <w:pPr>
        <w:ind w:left="2758" w:hanging="264"/>
      </w:pPr>
      <w:rPr>
        <w:rFonts w:hint="default"/>
        <w:u w:val="none" w:color="auto"/>
      </w:rPr>
    </w:lvl>
    <w:lvl w:ilvl="4" w:tentative="0">
      <w:start w:val="0"/>
      <w:numFmt w:val="bullet"/>
      <w:lvlText w:val="•"/>
      <w:lvlJc w:val="left"/>
      <w:pPr>
        <w:ind w:left="3644" w:hanging="264"/>
      </w:pPr>
      <w:rPr>
        <w:rFonts w:hint="default"/>
        <w:u w:val="none" w:color="auto"/>
      </w:rPr>
    </w:lvl>
    <w:lvl w:ilvl="5" w:tentative="0">
      <w:start w:val="0"/>
      <w:numFmt w:val="bullet"/>
      <w:lvlText w:val="•"/>
      <w:lvlJc w:val="left"/>
      <w:pPr>
        <w:ind w:left="4530" w:hanging="264"/>
      </w:pPr>
      <w:rPr>
        <w:rFonts w:hint="default"/>
        <w:u w:val="none" w:color="auto"/>
      </w:rPr>
    </w:lvl>
    <w:lvl w:ilvl="6" w:tentative="0">
      <w:start w:val="0"/>
      <w:numFmt w:val="bullet"/>
      <w:lvlText w:val="•"/>
      <w:lvlJc w:val="left"/>
      <w:pPr>
        <w:ind w:left="5416" w:hanging="264"/>
      </w:pPr>
      <w:rPr>
        <w:rFonts w:hint="default"/>
        <w:u w:val="none" w:color="auto"/>
      </w:rPr>
    </w:lvl>
    <w:lvl w:ilvl="7" w:tentative="0">
      <w:start w:val="0"/>
      <w:numFmt w:val="bullet"/>
      <w:lvlText w:val="•"/>
      <w:lvlJc w:val="left"/>
      <w:pPr>
        <w:ind w:left="6302" w:hanging="264"/>
      </w:pPr>
      <w:rPr>
        <w:rFonts w:hint="default"/>
        <w:u w:val="none" w:color="auto"/>
      </w:rPr>
    </w:lvl>
    <w:lvl w:ilvl="8" w:tentative="0">
      <w:start w:val="0"/>
      <w:numFmt w:val="bullet"/>
      <w:lvlText w:val="•"/>
      <w:lvlJc w:val="left"/>
      <w:pPr>
        <w:ind w:left="7188" w:hanging="264"/>
      </w:pPr>
      <w:rPr>
        <w:rFonts w:hint="default"/>
        <w:u w:val="none" w:color="auto"/>
      </w:rPr>
    </w:lvl>
  </w:abstractNum>
  <w:abstractNum w:abstractNumId="7">
    <w:nsid w:val="00000426"/>
    <w:multiLevelType w:val="multilevel"/>
    <w:tmpl w:val="00000426"/>
    <w:lvl w:ilvl="0" w:tentative="0">
      <w:start w:val="1"/>
      <w:numFmt w:val="decimal"/>
      <w:lvlText w:val="%1."/>
      <w:lvlJc w:val="left"/>
      <w:pPr>
        <w:ind w:left="100" w:hanging="264"/>
      </w:pPr>
      <w:rPr>
        <w:rFonts w:hint="default" w:ascii="Times New Roman" w:hAnsi="Times New Roman" w:eastAsia="Times New Roman"/>
        <w:sz w:val="21"/>
        <w:u w:val="none" w:color="auto"/>
      </w:rPr>
    </w:lvl>
    <w:lvl w:ilvl="1" w:tentative="0">
      <w:start w:val="0"/>
      <w:numFmt w:val="bullet"/>
      <w:lvlText w:val="•"/>
      <w:lvlJc w:val="left"/>
      <w:pPr>
        <w:ind w:left="986" w:hanging="264"/>
      </w:pPr>
      <w:rPr>
        <w:rFonts w:hint="default"/>
        <w:u w:val="none" w:color="auto"/>
      </w:rPr>
    </w:lvl>
    <w:lvl w:ilvl="2" w:tentative="0">
      <w:start w:val="0"/>
      <w:numFmt w:val="bullet"/>
      <w:lvlText w:val="•"/>
      <w:lvlJc w:val="left"/>
      <w:pPr>
        <w:ind w:left="1872" w:hanging="264"/>
      </w:pPr>
      <w:rPr>
        <w:rFonts w:hint="default"/>
        <w:u w:val="none" w:color="auto"/>
      </w:rPr>
    </w:lvl>
    <w:lvl w:ilvl="3" w:tentative="0">
      <w:start w:val="0"/>
      <w:numFmt w:val="bullet"/>
      <w:lvlText w:val="•"/>
      <w:lvlJc w:val="left"/>
      <w:pPr>
        <w:ind w:left="2758" w:hanging="264"/>
      </w:pPr>
      <w:rPr>
        <w:rFonts w:hint="default"/>
        <w:u w:val="none" w:color="auto"/>
      </w:rPr>
    </w:lvl>
    <w:lvl w:ilvl="4" w:tentative="0">
      <w:start w:val="0"/>
      <w:numFmt w:val="bullet"/>
      <w:lvlText w:val="•"/>
      <w:lvlJc w:val="left"/>
      <w:pPr>
        <w:ind w:left="3644" w:hanging="264"/>
      </w:pPr>
      <w:rPr>
        <w:rFonts w:hint="default"/>
        <w:u w:val="none" w:color="auto"/>
      </w:rPr>
    </w:lvl>
    <w:lvl w:ilvl="5" w:tentative="0">
      <w:start w:val="0"/>
      <w:numFmt w:val="bullet"/>
      <w:lvlText w:val="•"/>
      <w:lvlJc w:val="left"/>
      <w:pPr>
        <w:ind w:left="4530" w:hanging="264"/>
      </w:pPr>
      <w:rPr>
        <w:rFonts w:hint="default"/>
        <w:u w:val="none" w:color="auto"/>
      </w:rPr>
    </w:lvl>
    <w:lvl w:ilvl="6" w:tentative="0">
      <w:start w:val="0"/>
      <w:numFmt w:val="bullet"/>
      <w:lvlText w:val="•"/>
      <w:lvlJc w:val="left"/>
      <w:pPr>
        <w:ind w:left="5416" w:hanging="264"/>
      </w:pPr>
      <w:rPr>
        <w:rFonts w:hint="default"/>
        <w:u w:val="none" w:color="auto"/>
      </w:rPr>
    </w:lvl>
    <w:lvl w:ilvl="7" w:tentative="0">
      <w:start w:val="0"/>
      <w:numFmt w:val="bullet"/>
      <w:lvlText w:val="•"/>
      <w:lvlJc w:val="left"/>
      <w:pPr>
        <w:ind w:left="6302" w:hanging="264"/>
      </w:pPr>
      <w:rPr>
        <w:rFonts w:hint="default"/>
        <w:u w:val="none" w:color="auto"/>
      </w:rPr>
    </w:lvl>
    <w:lvl w:ilvl="8" w:tentative="0">
      <w:start w:val="0"/>
      <w:numFmt w:val="bullet"/>
      <w:lvlText w:val="•"/>
      <w:lvlJc w:val="left"/>
      <w:pPr>
        <w:ind w:left="7188" w:hanging="264"/>
      </w:pPr>
      <w:rPr>
        <w:rFonts w:hint="default"/>
        <w:u w:val="none" w:color="auto"/>
      </w:rPr>
    </w:lvl>
  </w:abstractNum>
  <w:abstractNum w:abstractNumId="8">
    <w:nsid w:val="1FC91163"/>
    <w:multiLevelType w:val="multilevel"/>
    <w:tmpl w:val="1FC91163"/>
    <w:lvl w:ilvl="0" w:tentative="0">
      <w:start w:val="1"/>
      <w:numFmt w:val="decimal"/>
      <w:pStyle w:val="188"/>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92"/>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203371BF"/>
    <w:multiLevelType w:val="multilevel"/>
    <w:tmpl w:val="203371BF"/>
    <w:lvl w:ilvl="0" w:tentative="0">
      <w:start w:val="1"/>
      <w:numFmt w:val="decimal"/>
      <w:pStyle w:val="30"/>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419E1B70"/>
    <w:multiLevelType w:val="multilevel"/>
    <w:tmpl w:val="419E1B70"/>
    <w:lvl w:ilvl="0" w:tentative="0">
      <w:start w:val="2"/>
      <w:numFmt w:val="bullet"/>
      <w:pStyle w:val="14"/>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1">
    <w:nsid w:val="44C50F90"/>
    <w:multiLevelType w:val="multilevel"/>
    <w:tmpl w:val="44C50F90"/>
    <w:lvl w:ilvl="0" w:tentative="0">
      <w:start w:val="1"/>
      <w:numFmt w:val="lowerLetter"/>
      <w:pStyle w:val="261"/>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20"/>
      <w:lvlText w:val="%2)"/>
      <w:lvlJc w:val="left"/>
      <w:pPr>
        <w:tabs>
          <w:tab w:val="left" w:pos="1260"/>
        </w:tabs>
        <w:ind w:left="1259" w:hanging="419"/>
      </w:pPr>
      <w:rPr>
        <w:rFonts w:hint="eastAsia"/>
      </w:rPr>
    </w:lvl>
    <w:lvl w:ilvl="2" w:tentative="0">
      <w:start w:val="1"/>
      <w:numFmt w:val="decimal"/>
      <w:pStyle w:val="225"/>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2">
    <w:nsid w:val="4B032D8B"/>
    <w:multiLevelType w:val="multilevel"/>
    <w:tmpl w:val="4B032D8B"/>
    <w:lvl w:ilvl="0" w:tentative="0">
      <w:start w:val="1"/>
      <w:numFmt w:val="decimal"/>
      <w:suff w:val="space"/>
      <w:lvlText w:val="%1."/>
      <w:lvlJc w:val="left"/>
      <w:rPr>
        <w:rFonts w:hint="eastAsia" w:ascii="Times New Roman" w:hAnsi="Times New Roman" w:eastAsia="Times New Roman"/>
        <w:u w:val="none" w:color="auto"/>
      </w:rPr>
    </w:lvl>
    <w:lvl w:ilvl="1" w:tentative="0">
      <w:start w:val="1"/>
      <w:numFmt w:val="decimal"/>
      <w:suff w:val="space"/>
      <w:lvlText w:val="%1.%2"/>
      <w:lvlJc w:val="left"/>
      <w:rPr>
        <w:rFonts w:hint="eastAsia" w:ascii="Times New Roman" w:hAnsi="Times New Roman" w:eastAsia="Times New Roman"/>
        <w:u w:val="none" w:color="auto"/>
      </w:rPr>
    </w:lvl>
    <w:lvl w:ilvl="2" w:tentative="0">
      <w:start w:val="1"/>
      <w:numFmt w:val="decimal"/>
      <w:suff w:val="space"/>
      <w:lvlText w:val="%1.%2.%3"/>
      <w:lvlJc w:val="left"/>
      <w:rPr>
        <w:rFonts w:hint="eastAsia" w:ascii="Times New Roman" w:hAnsi="Times New Roman" w:eastAsia="Times New Roman"/>
        <w:u w:val="none" w:color="auto"/>
      </w:rPr>
    </w:lvl>
    <w:lvl w:ilvl="3" w:tentative="0">
      <w:start w:val="1"/>
      <w:numFmt w:val="decimal"/>
      <w:suff w:val="space"/>
      <w:lvlText w:val="%1.%2.%3.%4"/>
      <w:lvlJc w:val="left"/>
      <w:rPr>
        <w:rFonts w:hint="eastAsia" w:ascii="Times New Roman" w:hAnsi="Times New Roman" w:eastAsia="Times New Roman"/>
        <w:u w:val="none" w:color="auto"/>
      </w:rPr>
    </w:lvl>
    <w:lvl w:ilvl="4" w:tentative="0">
      <w:start w:val="1"/>
      <w:numFmt w:val="decimal"/>
      <w:suff w:val="space"/>
      <w:lvlText w:val="%1.%2.%3.%4.%5"/>
      <w:lvlJc w:val="left"/>
      <w:rPr>
        <w:rFonts w:hint="eastAsia" w:ascii="Times New Roman" w:hAnsi="Times New Roman" w:eastAsia="Times New Roman"/>
        <w:u w:val="none" w:color="auto"/>
      </w:rPr>
    </w:lvl>
    <w:lvl w:ilvl="5" w:tentative="0">
      <w:start w:val="1"/>
      <w:numFmt w:val="decimal"/>
      <w:suff w:val="space"/>
      <w:lvlText w:val="%1.%2.%3.%4.%5.%6"/>
      <w:lvlJc w:val="left"/>
      <w:rPr>
        <w:rFonts w:hint="eastAsia" w:ascii="Times New Roman" w:hAnsi="Times New Roman" w:eastAsia="Times New Roman"/>
        <w:u w:val="none" w:color="auto"/>
      </w:rPr>
    </w:lvl>
    <w:lvl w:ilvl="6" w:tentative="0">
      <w:start w:val="1"/>
      <w:numFmt w:val="decimal"/>
      <w:suff w:val="space"/>
      <w:lvlText w:val="%1.%2.%3.%4.%5.%6.%7"/>
      <w:lvlJc w:val="left"/>
      <w:rPr>
        <w:rFonts w:hint="eastAsia" w:ascii="Times New Roman" w:hAnsi="Times New Roman" w:eastAsia="Times New Roman"/>
        <w:u w:val="none" w:color="auto"/>
      </w:rPr>
    </w:lvl>
    <w:lvl w:ilvl="7" w:tentative="0">
      <w:start w:val="1"/>
      <w:numFmt w:val="decimal"/>
      <w:suff w:val="space"/>
      <w:lvlText w:val="%1.%2.%3.%4.%5.%6.%7.%8"/>
      <w:lvlJc w:val="left"/>
      <w:rPr>
        <w:rFonts w:hint="eastAsia" w:ascii="Times New Roman" w:hAnsi="Times New Roman" w:eastAsia="Times New Roman"/>
        <w:u w:val="none" w:color="auto"/>
      </w:rPr>
    </w:lvl>
    <w:lvl w:ilvl="8" w:tentative="0">
      <w:start w:val="1"/>
      <w:numFmt w:val="decimal"/>
      <w:suff w:val="space"/>
      <w:lvlText w:val="%1.%2.%3.%4.%5.%6.%7.%8.%9"/>
      <w:lvlJc w:val="left"/>
      <w:rPr>
        <w:rFonts w:hint="eastAsia" w:ascii="Times New Roman" w:hAnsi="Times New Roman" w:eastAsia="Times New Roman"/>
        <w:u w:val="none" w:color="auto"/>
      </w:rPr>
    </w:lvl>
  </w:abstractNum>
  <w:abstractNum w:abstractNumId="13">
    <w:nsid w:val="4E915938"/>
    <w:multiLevelType w:val="multilevel"/>
    <w:tmpl w:val="4E915938"/>
    <w:lvl w:ilvl="0" w:tentative="0">
      <w:start w:val="1"/>
      <w:numFmt w:val="decimal"/>
      <w:pStyle w:val="1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50C857A2"/>
    <w:multiLevelType w:val="multilevel"/>
    <w:tmpl w:val="50C857A2"/>
    <w:lvl w:ilvl="0" w:tentative="0">
      <w:start w:val="1"/>
      <w:numFmt w:val="bullet"/>
      <w:pStyle w:val="22"/>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15">
    <w:nsid w:val="5B5E6480"/>
    <w:multiLevelType w:val="multilevel"/>
    <w:tmpl w:val="5B5E6480"/>
    <w:lvl w:ilvl="0" w:tentative="0">
      <w:start w:val="5"/>
      <w:numFmt w:val="decimal"/>
      <w:pStyle w:val="26"/>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0"/>
  </w:num>
  <w:num w:numId="2">
    <w:abstractNumId w:val="13"/>
  </w:num>
  <w:num w:numId="3">
    <w:abstractNumId w:val="14"/>
  </w:num>
  <w:num w:numId="4">
    <w:abstractNumId w:val="15"/>
  </w:num>
  <w:num w:numId="5">
    <w:abstractNumId w:val="9"/>
  </w:num>
  <w:num w:numId="6">
    <w:abstractNumId w:val="8"/>
  </w:num>
  <w:num w:numId="7">
    <w:abstractNumId w:val="11"/>
  </w:num>
  <w:num w:numId="8">
    <w:abstractNumId w:val="1"/>
  </w:num>
  <w:num w:numId="9">
    <w:abstractNumId w:val="6"/>
  </w:num>
  <w:num w:numId="10">
    <w:abstractNumId w:val="2"/>
  </w:num>
  <w:num w:numId="11">
    <w:abstractNumId w:val="3"/>
  </w:num>
  <w:num w:numId="12">
    <w:abstractNumId w:val="4"/>
  </w:num>
  <w:num w:numId="13">
    <w:abstractNumId w:val="5"/>
  </w:num>
  <w:num w:numId="14">
    <w:abstractNumId w:val="12"/>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2YjFjMThiN2Q1N2U5YTE5NGM3NzMyNDM3MGVjZWEifQ=="/>
  </w:docVars>
  <w:rsids>
    <w:rsidRoot w:val="00231191"/>
    <w:rsid w:val="00032E9F"/>
    <w:rsid w:val="00046A24"/>
    <w:rsid w:val="000571AE"/>
    <w:rsid w:val="0005799A"/>
    <w:rsid w:val="00062CCB"/>
    <w:rsid w:val="0009101B"/>
    <w:rsid w:val="0009768E"/>
    <w:rsid w:val="000B011D"/>
    <w:rsid w:val="000B2481"/>
    <w:rsid w:val="000B4516"/>
    <w:rsid w:val="000C5D42"/>
    <w:rsid w:val="000D4BB6"/>
    <w:rsid w:val="000E2ED8"/>
    <w:rsid w:val="000E3745"/>
    <w:rsid w:val="000F3501"/>
    <w:rsid w:val="0010512C"/>
    <w:rsid w:val="00110571"/>
    <w:rsid w:val="001328D4"/>
    <w:rsid w:val="001349F0"/>
    <w:rsid w:val="00135CAF"/>
    <w:rsid w:val="001467ED"/>
    <w:rsid w:val="00191E21"/>
    <w:rsid w:val="001E0C24"/>
    <w:rsid w:val="001F5A52"/>
    <w:rsid w:val="00206185"/>
    <w:rsid w:val="00220A68"/>
    <w:rsid w:val="002244C0"/>
    <w:rsid w:val="00231191"/>
    <w:rsid w:val="00237ED6"/>
    <w:rsid w:val="002534E9"/>
    <w:rsid w:val="00253F88"/>
    <w:rsid w:val="00262677"/>
    <w:rsid w:val="002761C9"/>
    <w:rsid w:val="002A6284"/>
    <w:rsid w:val="002C7F98"/>
    <w:rsid w:val="002D07D1"/>
    <w:rsid w:val="002E55B2"/>
    <w:rsid w:val="00322EFA"/>
    <w:rsid w:val="00325C7A"/>
    <w:rsid w:val="00327211"/>
    <w:rsid w:val="00337D23"/>
    <w:rsid w:val="0034161D"/>
    <w:rsid w:val="003640A8"/>
    <w:rsid w:val="003A1E13"/>
    <w:rsid w:val="003B5176"/>
    <w:rsid w:val="003E4B92"/>
    <w:rsid w:val="003F6640"/>
    <w:rsid w:val="0040122C"/>
    <w:rsid w:val="00446E9A"/>
    <w:rsid w:val="00447024"/>
    <w:rsid w:val="00465744"/>
    <w:rsid w:val="0047780F"/>
    <w:rsid w:val="00485F14"/>
    <w:rsid w:val="00493008"/>
    <w:rsid w:val="00494CA4"/>
    <w:rsid w:val="00496B46"/>
    <w:rsid w:val="004A0184"/>
    <w:rsid w:val="004B1F44"/>
    <w:rsid w:val="004B52BE"/>
    <w:rsid w:val="004C0EE8"/>
    <w:rsid w:val="004C5FE5"/>
    <w:rsid w:val="004D5549"/>
    <w:rsid w:val="004F7808"/>
    <w:rsid w:val="00502C5B"/>
    <w:rsid w:val="00506627"/>
    <w:rsid w:val="005071A5"/>
    <w:rsid w:val="0051417B"/>
    <w:rsid w:val="005168D9"/>
    <w:rsid w:val="00525AA7"/>
    <w:rsid w:val="00531FE9"/>
    <w:rsid w:val="00532C84"/>
    <w:rsid w:val="00544BCA"/>
    <w:rsid w:val="00560E89"/>
    <w:rsid w:val="00572C73"/>
    <w:rsid w:val="00583C11"/>
    <w:rsid w:val="00595AB1"/>
    <w:rsid w:val="005B655E"/>
    <w:rsid w:val="005B6B58"/>
    <w:rsid w:val="005B7165"/>
    <w:rsid w:val="005C0FFC"/>
    <w:rsid w:val="005C16D5"/>
    <w:rsid w:val="005C7F05"/>
    <w:rsid w:val="005F14BD"/>
    <w:rsid w:val="00625876"/>
    <w:rsid w:val="00641F4E"/>
    <w:rsid w:val="0065077B"/>
    <w:rsid w:val="00656027"/>
    <w:rsid w:val="00671DC9"/>
    <w:rsid w:val="0067262E"/>
    <w:rsid w:val="006A1659"/>
    <w:rsid w:val="006B2400"/>
    <w:rsid w:val="006E2CD4"/>
    <w:rsid w:val="006E3C98"/>
    <w:rsid w:val="007229FF"/>
    <w:rsid w:val="00742789"/>
    <w:rsid w:val="00746E26"/>
    <w:rsid w:val="007532DB"/>
    <w:rsid w:val="0078568E"/>
    <w:rsid w:val="007A378D"/>
    <w:rsid w:val="007D6D7E"/>
    <w:rsid w:val="0082300C"/>
    <w:rsid w:val="00832BD5"/>
    <w:rsid w:val="00835438"/>
    <w:rsid w:val="00856FA7"/>
    <w:rsid w:val="008622D6"/>
    <w:rsid w:val="00885321"/>
    <w:rsid w:val="00894512"/>
    <w:rsid w:val="008D6AC3"/>
    <w:rsid w:val="008E70B1"/>
    <w:rsid w:val="008F2F78"/>
    <w:rsid w:val="008F316A"/>
    <w:rsid w:val="008F76D2"/>
    <w:rsid w:val="00900AA7"/>
    <w:rsid w:val="009312BA"/>
    <w:rsid w:val="00950C91"/>
    <w:rsid w:val="009A597A"/>
    <w:rsid w:val="009B0FDE"/>
    <w:rsid w:val="009C2613"/>
    <w:rsid w:val="009D7386"/>
    <w:rsid w:val="009E5635"/>
    <w:rsid w:val="00A03E46"/>
    <w:rsid w:val="00A04270"/>
    <w:rsid w:val="00A16D96"/>
    <w:rsid w:val="00A222E9"/>
    <w:rsid w:val="00A24DF6"/>
    <w:rsid w:val="00A55282"/>
    <w:rsid w:val="00A55EBF"/>
    <w:rsid w:val="00A61E3F"/>
    <w:rsid w:val="00A66382"/>
    <w:rsid w:val="00A82A1B"/>
    <w:rsid w:val="00A83642"/>
    <w:rsid w:val="00AE09A8"/>
    <w:rsid w:val="00B062AA"/>
    <w:rsid w:val="00B15B3C"/>
    <w:rsid w:val="00B236B6"/>
    <w:rsid w:val="00B305AE"/>
    <w:rsid w:val="00B6568C"/>
    <w:rsid w:val="00B72B26"/>
    <w:rsid w:val="00B7327A"/>
    <w:rsid w:val="00B820BE"/>
    <w:rsid w:val="00BA0D29"/>
    <w:rsid w:val="00BA473C"/>
    <w:rsid w:val="00BB34F6"/>
    <w:rsid w:val="00BC3FC5"/>
    <w:rsid w:val="00C00A14"/>
    <w:rsid w:val="00C35F18"/>
    <w:rsid w:val="00C44F94"/>
    <w:rsid w:val="00C55F7E"/>
    <w:rsid w:val="00C97C7E"/>
    <w:rsid w:val="00CB1E52"/>
    <w:rsid w:val="00CD1CB6"/>
    <w:rsid w:val="00CD629A"/>
    <w:rsid w:val="00CF3735"/>
    <w:rsid w:val="00CF63A2"/>
    <w:rsid w:val="00D02334"/>
    <w:rsid w:val="00D058C5"/>
    <w:rsid w:val="00D146F7"/>
    <w:rsid w:val="00D16BAB"/>
    <w:rsid w:val="00DB5B02"/>
    <w:rsid w:val="00DD4CEF"/>
    <w:rsid w:val="00DF4DC8"/>
    <w:rsid w:val="00E0498B"/>
    <w:rsid w:val="00E103A5"/>
    <w:rsid w:val="00E368C9"/>
    <w:rsid w:val="00E5175B"/>
    <w:rsid w:val="00E543CE"/>
    <w:rsid w:val="00E74A08"/>
    <w:rsid w:val="00E821E3"/>
    <w:rsid w:val="00E94583"/>
    <w:rsid w:val="00EA33EA"/>
    <w:rsid w:val="00EB74F1"/>
    <w:rsid w:val="00ED7AC0"/>
    <w:rsid w:val="00EE0401"/>
    <w:rsid w:val="00F13E1A"/>
    <w:rsid w:val="00F569C2"/>
    <w:rsid w:val="00F93DFF"/>
    <w:rsid w:val="00FA31A5"/>
    <w:rsid w:val="00FE0044"/>
    <w:rsid w:val="00FE5AC5"/>
    <w:rsid w:val="00FF7FBD"/>
    <w:rsid w:val="010F6384"/>
    <w:rsid w:val="013C7B31"/>
    <w:rsid w:val="013F68D0"/>
    <w:rsid w:val="01A21DEA"/>
    <w:rsid w:val="01A73311"/>
    <w:rsid w:val="01CB77BB"/>
    <w:rsid w:val="01E8507C"/>
    <w:rsid w:val="022159DC"/>
    <w:rsid w:val="022B5FB7"/>
    <w:rsid w:val="0298598F"/>
    <w:rsid w:val="02B0310F"/>
    <w:rsid w:val="02FA6A24"/>
    <w:rsid w:val="0316290F"/>
    <w:rsid w:val="032A3795"/>
    <w:rsid w:val="03345AEF"/>
    <w:rsid w:val="03BC7AA7"/>
    <w:rsid w:val="03C842F0"/>
    <w:rsid w:val="03F65AB8"/>
    <w:rsid w:val="042C1A18"/>
    <w:rsid w:val="04685125"/>
    <w:rsid w:val="04A04A3B"/>
    <w:rsid w:val="04FD1F7F"/>
    <w:rsid w:val="050666C2"/>
    <w:rsid w:val="052370BF"/>
    <w:rsid w:val="053D708D"/>
    <w:rsid w:val="056469EA"/>
    <w:rsid w:val="05E030DA"/>
    <w:rsid w:val="05F15F19"/>
    <w:rsid w:val="062B10E4"/>
    <w:rsid w:val="065D5D31"/>
    <w:rsid w:val="06694116"/>
    <w:rsid w:val="06710C2F"/>
    <w:rsid w:val="06C94BD9"/>
    <w:rsid w:val="07686EDA"/>
    <w:rsid w:val="07857AD5"/>
    <w:rsid w:val="07D92767"/>
    <w:rsid w:val="07F27D26"/>
    <w:rsid w:val="07FB0E0D"/>
    <w:rsid w:val="080C11CE"/>
    <w:rsid w:val="0832788F"/>
    <w:rsid w:val="0899544F"/>
    <w:rsid w:val="08E92ED7"/>
    <w:rsid w:val="09156301"/>
    <w:rsid w:val="09781E59"/>
    <w:rsid w:val="09D91F4F"/>
    <w:rsid w:val="0A98311F"/>
    <w:rsid w:val="0AA93ABA"/>
    <w:rsid w:val="0ABA6F54"/>
    <w:rsid w:val="0B0E2A2F"/>
    <w:rsid w:val="0B503723"/>
    <w:rsid w:val="0B567751"/>
    <w:rsid w:val="0BFA6A04"/>
    <w:rsid w:val="0C317843"/>
    <w:rsid w:val="0C6A432F"/>
    <w:rsid w:val="0C732241"/>
    <w:rsid w:val="0C8939EA"/>
    <w:rsid w:val="0C9153AE"/>
    <w:rsid w:val="0CA05FA3"/>
    <w:rsid w:val="0CEC2E27"/>
    <w:rsid w:val="0D7B6314"/>
    <w:rsid w:val="0D9F4334"/>
    <w:rsid w:val="0DF91CCC"/>
    <w:rsid w:val="0DFF4F4B"/>
    <w:rsid w:val="0E7A5BB4"/>
    <w:rsid w:val="0E7D2072"/>
    <w:rsid w:val="0E89799C"/>
    <w:rsid w:val="0F0E2816"/>
    <w:rsid w:val="0F7A2146"/>
    <w:rsid w:val="0FA117D8"/>
    <w:rsid w:val="0FA57E95"/>
    <w:rsid w:val="0FA61B22"/>
    <w:rsid w:val="0FAC53B1"/>
    <w:rsid w:val="0FBA2AF7"/>
    <w:rsid w:val="0FDA60B2"/>
    <w:rsid w:val="0FF2423B"/>
    <w:rsid w:val="10415E67"/>
    <w:rsid w:val="10546334"/>
    <w:rsid w:val="10A60D33"/>
    <w:rsid w:val="10E66F1E"/>
    <w:rsid w:val="110C1E59"/>
    <w:rsid w:val="116F32A6"/>
    <w:rsid w:val="117C6D9C"/>
    <w:rsid w:val="11CC0E0B"/>
    <w:rsid w:val="11F04E67"/>
    <w:rsid w:val="11F96046"/>
    <w:rsid w:val="12301923"/>
    <w:rsid w:val="127F1010"/>
    <w:rsid w:val="131028FE"/>
    <w:rsid w:val="132930B8"/>
    <w:rsid w:val="139258B1"/>
    <w:rsid w:val="139D09B9"/>
    <w:rsid w:val="13DC50A4"/>
    <w:rsid w:val="14332066"/>
    <w:rsid w:val="144F6E2C"/>
    <w:rsid w:val="14C904F8"/>
    <w:rsid w:val="14E30F66"/>
    <w:rsid w:val="152005C0"/>
    <w:rsid w:val="153233E2"/>
    <w:rsid w:val="15520056"/>
    <w:rsid w:val="15B71182"/>
    <w:rsid w:val="160F67C2"/>
    <w:rsid w:val="16186259"/>
    <w:rsid w:val="16610551"/>
    <w:rsid w:val="16747FA1"/>
    <w:rsid w:val="16797767"/>
    <w:rsid w:val="169C20ED"/>
    <w:rsid w:val="16A37D53"/>
    <w:rsid w:val="16C11CFA"/>
    <w:rsid w:val="16E37B64"/>
    <w:rsid w:val="17292261"/>
    <w:rsid w:val="175064D0"/>
    <w:rsid w:val="17987C6A"/>
    <w:rsid w:val="17A52389"/>
    <w:rsid w:val="17CA1126"/>
    <w:rsid w:val="17DA0E7D"/>
    <w:rsid w:val="17DD62FD"/>
    <w:rsid w:val="18085350"/>
    <w:rsid w:val="18454A6A"/>
    <w:rsid w:val="18533B1C"/>
    <w:rsid w:val="187A1973"/>
    <w:rsid w:val="18A805E4"/>
    <w:rsid w:val="18BD0C76"/>
    <w:rsid w:val="18E87C5C"/>
    <w:rsid w:val="190C3E25"/>
    <w:rsid w:val="191F5C12"/>
    <w:rsid w:val="19385576"/>
    <w:rsid w:val="1A0542F5"/>
    <w:rsid w:val="1A835819"/>
    <w:rsid w:val="1A841C44"/>
    <w:rsid w:val="1A8C6662"/>
    <w:rsid w:val="1ADE4528"/>
    <w:rsid w:val="1B3C4A90"/>
    <w:rsid w:val="1B593847"/>
    <w:rsid w:val="1B596AF8"/>
    <w:rsid w:val="1B8F5B60"/>
    <w:rsid w:val="1BA77DA9"/>
    <w:rsid w:val="1BC544AA"/>
    <w:rsid w:val="1CA244F7"/>
    <w:rsid w:val="1CA4563B"/>
    <w:rsid w:val="1CBC630A"/>
    <w:rsid w:val="1CE94523"/>
    <w:rsid w:val="1D2B39CA"/>
    <w:rsid w:val="1D5B7281"/>
    <w:rsid w:val="1D766471"/>
    <w:rsid w:val="1D7768AC"/>
    <w:rsid w:val="1DD2420E"/>
    <w:rsid w:val="1DDD564C"/>
    <w:rsid w:val="1DF7421F"/>
    <w:rsid w:val="1E00478E"/>
    <w:rsid w:val="1E0651D3"/>
    <w:rsid w:val="1E354D19"/>
    <w:rsid w:val="1E5A1E57"/>
    <w:rsid w:val="1E6B1705"/>
    <w:rsid w:val="1E870283"/>
    <w:rsid w:val="1E9A6CF6"/>
    <w:rsid w:val="1EB50F39"/>
    <w:rsid w:val="1EEE0193"/>
    <w:rsid w:val="1F1A2D4E"/>
    <w:rsid w:val="1F1D4CF8"/>
    <w:rsid w:val="1F2219BE"/>
    <w:rsid w:val="1F5C5EA6"/>
    <w:rsid w:val="1F5F1A7A"/>
    <w:rsid w:val="1F757C62"/>
    <w:rsid w:val="1FBD2CFD"/>
    <w:rsid w:val="1FE860E4"/>
    <w:rsid w:val="1FF15BA7"/>
    <w:rsid w:val="1FF651BD"/>
    <w:rsid w:val="2011571A"/>
    <w:rsid w:val="205F2ACD"/>
    <w:rsid w:val="20B47E17"/>
    <w:rsid w:val="20E20180"/>
    <w:rsid w:val="20EA173D"/>
    <w:rsid w:val="20ED593C"/>
    <w:rsid w:val="2105362C"/>
    <w:rsid w:val="21170715"/>
    <w:rsid w:val="2161238C"/>
    <w:rsid w:val="21780E44"/>
    <w:rsid w:val="21E1382B"/>
    <w:rsid w:val="21F7620D"/>
    <w:rsid w:val="21FC3AB5"/>
    <w:rsid w:val="22057B73"/>
    <w:rsid w:val="221C66B3"/>
    <w:rsid w:val="228455F3"/>
    <w:rsid w:val="22A00653"/>
    <w:rsid w:val="22A64846"/>
    <w:rsid w:val="22AD38F8"/>
    <w:rsid w:val="23070815"/>
    <w:rsid w:val="2330745C"/>
    <w:rsid w:val="23426EE9"/>
    <w:rsid w:val="23CE520A"/>
    <w:rsid w:val="241122B3"/>
    <w:rsid w:val="241A6B45"/>
    <w:rsid w:val="24534E8E"/>
    <w:rsid w:val="24727151"/>
    <w:rsid w:val="25222D23"/>
    <w:rsid w:val="253C3860"/>
    <w:rsid w:val="25430894"/>
    <w:rsid w:val="254D62D4"/>
    <w:rsid w:val="259B38F6"/>
    <w:rsid w:val="25A0519D"/>
    <w:rsid w:val="25ED5027"/>
    <w:rsid w:val="26105AEF"/>
    <w:rsid w:val="26352233"/>
    <w:rsid w:val="264D353E"/>
    <w:rsid w:val="268427BE"/>
    <w:rsid w:val="269B4210"/>
    <w:rsid w:val="269E1DA3"/>
    <w:rsid w:val="26BF25AF"/>
    <w:rsid w:val="26C0631B"/>
    <w:rsid w:val="26E34FB2"/>
    <w:rsid w:val="27442975"/>
    <w:rsid w:val="274C05D2"/>
    <w:rsid w:val="274D5CF8"/>
    <w:rsid w:val="27737460"/>
    <w:rsid w:val="27A328AD"/>
    <w:rsid w:val="27FC5E27"/>
    <w:rsid w:val="27FD20A3"/>
    <w:rsid w:val="28311B7A"/>
    <w:rsid w:val="28F234D5"/>
    <w:rsid w:val="2930608D"/>
    <w:rsid w:val="293765D9"/>
    <w:rsid w:val="296617BB"/>
    <w:rsid w:val="298E7F53"/>
    <w:rsid w:val="29E62FBA"/>
    <w:rsid w:val="2A123D98"/>
    <w:rsid w:val="2A1A7CCB"/>
    <w:rsid w:val="2A3165D2"/>
    <w:rsid w:val="2A3C6EB3"/>
    <w:rsid w:val="2A6B59EA"/>
    <w:rsid w:val="2A9111AE"/>
    <w:rsid w:val="2A934CE6"/>
    <w:rsid w:val="2AAF2533"/>
    <w:rsid w:val="2AAF5D64"/>
    <w:rsid w:val="2B215C9E"/>
    <w:rsid w:val="2B2A6D39"/>
    <w:rsid w:val="2B7E45FB"/>
    <w:rsid w:val="2B8C133F"/>
    <w:rsid w:val="2B9B5C81"/>
    <w:rsid w:val="2B9D3EAE"/>
    <w:rsid w:val="2BCA01EB"/>
    <w:rsid w:val="2BCF3D57"/>
    <w:rsid w:val="2C726B1C"/>
    <w:rsid w:val="2CA022EC"/>
    <w:rsid w:val="2CC03F9B"/>
    <w:rsid w:val="2CD12E13"/>
    <w:rsid w:val="2CF55009"/>
    <w:rsid w:val="2CF72EFE"/>
    <w:rsid w:val="2D183FA1"/>
    <w:rsid w:val="2D487AF9"/>
    <w:rsid w:val="2D9C58E4"/>
    <w:rsid w:val="2DBA3437"/>
    <w:rsid w:val="2DBE4083"/>
    <w:rsid w:val="2DC311E7"/>
    <w:rsid w:val="2DC60326"/>
    <w:rsid w:val="2DD56D57"/>
    <w:rsid w:val="2DE2737A"/>
    <w:rsid w:val="2DF40D4A"/>
    <w:rsid w:val="2E472D1E"/>
    <w:rsid w:val="2E5E3BFA"/>
    <w:rsid w:val="2E963209"/>
    <w:rsid w:val="2EF069F5"/>
    <w:rsid w:val="2F0C6DE0"/>
    <w:rsid w:val="2F372B34"/>
    <w:rsid w:val="2F8E1CE6"/>
    <w:rsid w:val="2F9B1678"/>
    <w:rsid w:val="2FD46667"/>
    <w:rsid w:val="2FE10B52"/>
    <w:rsid w:val="30080AE4"/>
    <w:rsid w:val="300E7895"/>
    <w:rsid w:val="30132CDD"/>
    <w:rsid w:val="30671803"/>
    <w:rsid w:val="30853312"/>
    <w:rsid w:val="30892325"/>
    <w:rsid w:val="30D616E4"/>
    <w:rsid w:val="31545329"/>
    <w:rsid w:val="31A62AB1"/>
    <w:rsid w:val="325D64DC"/>
    <w:rsid w:val="32950020"/>
    <w:rsid w:val="329830F5"/>
    <w:rsid w:val="32DC7A40"/>
    <w:rsid w:val="32FC2E65"/>
    <w:rsid w:val="33377170"/>
    <w:rsid w:val="334A5A4C"/>
    <w:rsid w:val="33842801"/>
    <w:rsid w:val="33853840"/>
    <w:rsid w:val="339A3BBA"/>
    <w:rsid w:val="33E66C7A"/>
    <w:rsid w:val="33EA3AA1"/>
    <w:rsid w:val="33F05D9B"/>
    <w:rsid w:val="33FC10E5"/>
    <w:rsid w:val="341C6171"/>
    <w:rsid w:val="34C815C2"/>
    <w:rsid w:val="34EF47FD"/>
    <w:rsid w:val="34F3738C"/>
    <w:rsid w:val="34F7429B"/>
    <w:rsid w:val="35396A91"/>
    <w:rsid w:val="35721392"/>
    <w:rsid w:val="35954E58"/>
    <w:rsid w:val="35FC25FB"/>
    <w:rsid w:val="36414337"/>
    <w:rsid w:val="364A0BAA"/>
    <w:rsid w:val="367A77B8"/>
    <w:rsid w:val="370061A6"/>
    <w:rsid w:val="371B53B2"/>
    <w:rsid w:val="37246554"/>
    <w:rsid w:val="374942DA"/>
    <w:rsid w:val="376E2676"/>
    <w:rsid w:val="37BF0A7E"/>
    <w:rsid w:val="37D805D5"/>
    <w:rsid w:val="37F1665A"/>
    <w:rsid w:val="37FB47C0"/>
    <w:rsid w:val="384F1BBC"/>
    <w:rsid w:val="38712833"/>
    <w:rsid w:val="3884392E"/>
    <w:rsid w:val="389600D6"/>
    <w:rsid w:val="38AA4EFA"/>
    <w:rsid w:val="38F07455"/>
    <w:rsid w:val="390C188D"/>
    <w:rsid w:val="393020FA"/>
    <w:rsid w:val="39852267"/>
    <w:rsid w:val="39E71C0F"/>
    <w:rsid w:val="3A0C2EC0"/>
    <w:rsid w:val="3A5B5743"/>
    <w:rsid w:val="3A683CF4"/>
    <w:rsid w:val="3A6F795A"/>
    <w:rsid w:val="3AA27AA4"/>
    <w:rsid w:val="3AB3600D"/>
    <w:rsid w:val="3ACA2ADF"/>
    <w:rsid w:val="3ACD613B"/>
    <w:rsid w:val="3AEC6FAE"/>
    <w:rsid w:val="3AFB69A5"/>
    <w:rsid w:val="3B4148B0"/>
    <w:rsid w:val="3B7B7192"/>
    <w:rsid w:val="3B8406BA"/>
    <w:rsid w:val="3BED7258"/>
    <w:rsid w:val="3CCB5C9F"/>
    <w:rsid w:val="3D791A70"/>
    <w:rsid w:val="3DA31F6B"/>
    <w:rsid w:val="3DB91479"/>
    <w:rsid w:val="3DBE7BF7"/>
    <w:rsid w:val="3DBF7AD1"/>
    <w:rsid w:val="3E0613C2"/>
    <w:rsid w:val="3E272BFC"/>
    <w:rsid w:val="3E3A0475"/>
    <w:rsid w:val="3E3B7D6A"/>
    <w:rsid w:val="3E41181E"/>
    <w:rsid w:val="3E5C50AF"/>
    <w:rsid w:val="3E6E73FF"/>
    <w:rsid w:val="3ECF6625"/>
    <w:rsid w:val="3ECF7E9E"/>
    <w:rsid w:val="3ED83F43"/>
    <w:rsid w:val="3EDD7507"/>
    <w:rsid w:val="3F1750D1"/>
    <w:rsid w:val="3F30338E"/>
    <w:rsid w:val="3F5879E4"/>
    <w:rsid w:val="3F6075B2"/>
    <w:rsid w:val="3FC95142"/>
    <w:rsid w:val="3FCE446E"/>
    <w:rsid w:val="40880C84"/>
    <w:rsid w:val="40C14FA6"/>
    <w:rsid w:val="40C53BB2"/>
    <w:rsid w:val="40E70B24"/>
    <w:rsid w:val="413546A3"/>
    <w:rsid w:val="416E6DBD"/>
    <w:rsid w:val="417E5BAB"/>
    <w:rsid w:val="41817E2F"/>
    <w:rsid w:val="418331C2"/>
    <w:rsid w:val="41C34EE4"/>
    <w:rsid w:val="420240D9"/>
    <w:rsid w:val="420E1825"/>
    <w:rsid w:val="422D35A3"/>
    <w:rsid w:val="42311FDE"/>
    <w:rsid w:val="424D2346"/>
    <w:rsid w:val="42530DE6"/>
    <w:rsid w:val="427B05CE"/>
    <w:rsid w:val="429E0CCE"/>
    <w:rsid w:val="42F047A3"/>
    <w:rsid w:val="43042CFF"/>
    <w:rsid w:val="43296B90"/>
    <w:rsid w:val="4380721E"/>
    <w:rsid w:val="438F5102"/>
    <w:rsid w:val="43C2309C"/>
    <w:rsid w:val="43F17C0E"/>
    <w:rsid w:val="44117875"/>
    <w:rsid w:val="441575AA"/>
    <w:rsid w:val="44177C73"/>
    <w:rsid w:val="444E56DE"/>
    <w:rsid w:val="445A46AE"/>
    <w:rsid w:val="445F098C"/>
    <w:rsid w:val="449862EE"/>
    <w:rsid w:val="449E01CA"/>
    <w:rsid w:val="44D42A37"/>
    <w:rsid w:val="44E86818"/>
    <w:rsid w:val="4512627F"/>
    <w:rsid w:val="451F659E"/>
    <w:rsid w:val="45DC3DA3"/>
    <w:rsid w:val="45F236B5"/>
    <w:rsid w:val="464A6950"/>
    <w:rsid w:val="469F00B5"/>
    <w:rsid w:val="472D1FA6"/>
    <w:rsid w:val="47961EA1"/>
    <w:rsid w:val="47AD571C"/>
    <w:rsid w:val="47DF145A"/>
    <w:rsid w:val="47E71B3C"/>
    <w:rsid w:val="484B739A"/>
    <w:rsid w:val="48714FA8"/>
    <w:rsid w:val="48EF55A7"/>
    <w:rsid w:val="490A7C09"/>
    <w:rsid w:val="495A6EDA"/>
    <w:rsid w:val="497476FF"/>
    <w:rsid w:val="499B6DEF"/>
    <w:rsid w:val="49DA4F74"/>
    <w:rsid w:val="49DE3930"/>
    <w:rsid w:val="49F85A68"/>
    <w:rsid w:val="4A7A2AAD"/>
    <w:rsid w:val="4A9C07BF"/>
    <w:rsid w:val="4A9C4966"/>
    <w:rsid w:val="4AAD105A"/>
    <w:rsid w:val="4ACF780E"/>
    <w:rsid w:val="4AD94653"/>
    <w:rsid w:val="4AE275A3"/>
    <w:rsid w:val="4AF64A04"/>
    <w:rsid w:val="4B2466A5"/>
    <w:rsid w:val="4B286AD4"/>
    <w:rsid w:val="4B2D1FE9"/>
    <w:rsid w:val="4B9B2A59"/>
    <w:rsid w:val="4BAF5DA7"/>
    <w:rsid w:val="4BC84870"/>
    <w:rsid w:val="4BC86043"/>
    <w:rsid w:val="4BD544AE"/>
    <w:rsid w:val="4BE80345"/>
    <w:rsid w:val="4BF011E0"/>
    <w:rsid w:val="4C7774BB"/>
    <w:rsid w:val="4CB65578"/>
    <w:rsid w:val="4CBA6052"/>
    <w:rsid w:val="4D275349"/>
    <w:rsid w:val="4D470EED"/>
    <w:rsid w:val="4DBF621E"/>
    <w:rsid w:val="4DD96E49"/>
    <w:rsid w:val="4E273840"/>
    <w:rsid w:val="4E430ECC"/>
    <w:rsid w:val="4E486FBE"/>
    <w:rsid w:val="4E4B1590"/>
    <w:rsid w:val="4E9E4291"/>
    <w:rsid w:val="4EDB463D"/>
    <w:rsid w:val="4EF92D15"/>
    <w:rsid w:val="4F14094E"/>
    <w:rsid w:val="4FA9104D"/>
    <w:rsid w:val="4FE50A40"/>
    <w:rsid w:val="50027E21"/>
    <w:rsid w:val="500A4697"/>
    <w:rsid w:val="50D75A9A"/>
    <w:rsid w:val="50E83041"/>
    <w:rsid w:val="50F36840"/>
    <w:rsid w:val="51793711"/>
    <w:rsid w:val="51A541FC"/>
    <w:rsid w:val="51EF61A2"/>
    <w:rsid w:val="52636D79"/>
    <w:rsid w:val="526E5A66"/>
    <w:rsid w:val="52A92C55"/>
    <w:rsid w:val="52F12681"/>
    <w:rsid w:val="5300605D"/>
    <w:rsid w:val="535512DF"/>
    <w:rsid w:val="536006DF"/>
    <w:rsid w:val="53615E36"/>
    <w:rsid w:val="5377332D"/>
    <w:rsid w:val="53A37DD9"/>
    <w:rsid w:val="53CB06EC"/>
    <w:rsid w:val="53CE7AB4"/>
    <w:rsid w:val="53D371AE"/>
    <w:rsid w:val="53F3288B"/>
    <w:rsid w:val="54055FD1"/>
    <w:rsid w:val="54696247"/>
    <w:rsid w:val="549D7C50"/>
    <w:rsid w:val="54A14421"/>
    <w:rsid w:val="54E846DC"/>
    <w:rsid w:val="54EF499E"/>
    <w:rsid w:val="54F3187D"/>
    <w:rsid w:val="55145C34"/>
    <w:rsid w:val="551572DC"/>
    <w:rsid w:val="552359B4"/>
    <w:rsid w:val="55512E72"/>
    <w:rsid w:val="55542E19"/>
    <w:rsid w:val="55BB1E0A"/>
    <w:rsid w:val="55EA66C3"/>
    <w:rsid w:val="56117B70"/>
    <w:rsid w:val="567727F9"/>
    <w:rsid w:val="56A94E29"/>
    <w:rsid w:val="56B93E5E"/>
    <w:rsid w:val="56BD17EF"/>
    <w:rsid w:val="56F01E8D"/>
    <w:rsid w:val="56F444EE"/>
    <w:rsid w:val="57035D70"/>
    <w:rsid w:val="5728333A"/>
    <w:rsid w:val="575F5176"/>
    <w:rsid w:val="57717397"/>
    <w:rsid w:val="57A001D2"/>
    <w:rsid w:val="57AF20E7"/>
    <w:rsid w:val="57E3664C"/>
    <w:rsid w:val="57F25A5C"/>
    <w:rsid w:val="580A640A"/>
    <w:rsid w:val="58220054"/>
    <w:rsid w:val="583170F5"/>
    <w:rsid w:val="58360893"/>
    <w:rsid w:val="58615653"/>
    <w:rsid w:val="58661417"/>
    <w:rsid w:val="58B55CA2"/>
    <w:rsid w:val="58E67293"/>
    <w:rsid w:val="58E76FB2"/>
    <w:rsid w:val="58F24A5D"/>
    <w:rsid w:val="591F63D5"/>
    <w:rsid w:val="59A267B9"/>
    <w:rsid w:val="59AD44EB"/>
    <w:rsid w:val="59AF49A4"/>
    <w:rsid w:val="59CB2475"/>
    <w:rsid w:val="59DE4B15"/>
    <w:rsid w:val="59F64A97"/>
    <w:rsid w:val="59FB65D1"/>
    <w:rsid w:val="5A010721"/>
    <w:rsid w:val="5A3D73FE"/>
    <w:rsid w:val="5A403D88"/>
    <w:rsid w:val="5AA76636"/>
    <w:rsid w:val="5ADD3986"/>
    <w:rsid w:val="5AFA34B2"/>
    <w:rsid w:val="5AFF583F"/>
    <w:rsid w:val="5B771EE8"/>
    <w:rsid w:val="5BAD3DF8"/>
    <w:rsid w:val="5BC479AE"/>
    <w:rsid w:val="5BDA77E8"/>
    <w:rsid w:val="5C220805"/>
    <w:rsid w:val="5C294CC8"/>
    <w:rsid w:val="5C5477DD"/>
    <w:rsid w:val="5C6215FC"/>
    <w:rsid w:val="5C816B80"/>
    <w:rsid w:val="5CAB57ED"/>
    <w:rsid w:val="5CC52DED"/>
    <w:rsid w:val="5D0B68F7"/>
    <w:rsid w:val="5D417DBC"/>
    <w:rsid w:val="5D6667CE"/>
    <w:rsid w:val="5D731EE5"/>
    <w:rsid w:val="5D7F5C7E"/>
    <w:rsid w:val="5D8E0435"/>
    <w:rsid w:val="5D91471E"/>
    <w:rsid w:val="5DA30337"/>
    <w:rsid w:val="5DAE08A9"/>
    <w:rsid w:val="5DD26426"/>
    <w:rsid w:val="5E3B0EDD"/>
    <w:rsid w:val="5E58354A"/>
    <w:rsid w:val="5E585024"/>
    <w:rsid w:val="5E9B30E7"/>
    <w:rsid w:val="5E9C230D"/>
    <w:rsid w:val="5EEA11A6"/>
    <w:rsid w:val="5F594AB5"/>
    <w:rsid w:val="5F6A4923"/>
    <w:rsid w:val="5FA0433C"/>
    <w:rsid w:val="5FC847E6"/>
    <w:rsid w:val="5FD32738"/>
    <w:rsid w:val="5FFEAEFB"/>
    <w:rsid w:val="609D3DFE"/>
    <w:rsid w:val="60D25B0D"/>
    <w:rsid w:val="60E10822"/>
    <w:rsid w:val="61086EFF"/>
    <w:rsid w:val="615F541C"/>
    <w:rsid w:val="615F7176"/>
    <w:rsid w:val="61687878"/>
    <w:rsid w:val="616A0F73"/>
    <w:rsid w:val="61BC0AE2"/>
    <w:rsid w:val="61FB0E26"/>
    <w:rsid w:val="61FF4EEF"/>
    <w:rsid w:val="623A6307"/>
    <w:rsid w:val="623B585A"/>
    <w:rsid w:val="62C70F1C"/>
    <w:rsid w:val="62E50E4D"/>
    <w:rsid w:val="62FD48CC"/>
    <w:rsid w:val="633435EC"/>
    <w:rsid w:val="636B1EAE"/>
    <w:rsid w:val="63703B24"/>
    <w:rsid w:val="63AB1B39"/>
    <w:rsid w:val="64185826"/>
    <w:rsid w:val="64325827"/>
    <w:rsid w:val="64750FBE"/>
    <w:rsid w:val="647D79D6"/>
    <w:rsid w:val="656C639B"/>
    <w:rsid w:val="66234616"/>
    <w:rsid w:val="66500180"/>
    <w:rsid w:val="667F3020"/>
    <w:rsid w:val="66836700"/>
    <w:rsid w:val="668F0CB3"/>
    <w:rsid w:val="669C102C"/>
    <w:rsid w:val="66AD70A0"/>
    <w:rsid w:val="66CF5787"/>
    <w:rsid w:val="66E005EB"/>
    <w:rsid w:val="67303A36"/>
    <w:rsid w:val="67482713"/>
    <w:rsid w:val="677803D6"/>
    <w:rsid w:val="67B81997"/>
    <w:rsid w:val="67DC6A09"/>
    <w:rsid w:val="67F0485E"/>
    <w:rsid w:val="684476C9"/>
    <w:rsid w:val="689B37CB"/>
    <w:rsid w:val="68A53DBE"/>
    <w:rsid w:val="69474951"/>
    <w:rsid w:val="69D4466B"/>
    <w:rsid w:val="69F15723"/>
    <w:rsid w:val="69FE5A6C"/>
    <w:rsid w:val="6A1172C8"/>
    <w:rsid w:val="6A1B3158"/>
    <w:rsid w:val="6A325274"/>
    <w:rsid w:val="6AC46743"/>
    <w:rsid w:val="6AC57B32"/>
    <w:rsid w:val="6AFB1E97"/>
    <w:rsid w:val="6B5C6B96"/>
    <w:rsid w:val="6B66327F"/>
    <w:rsid w:val="6B840C2D"/>
    <w:rsid w:val="6C127A1B"/>
    <w:rsid w:val="6C1A6F22"/>
    <w:rsid w:val="6C3E44F1"/>
    <w:rsid w:val="6C454C25"/>
    <w:rsid w:val="6C5E5A56"/>
    <w:rsid w:val="6CAE4B52"/>
    <w:rsid w:val="6CE710B3"/>
    <w:rsid w:val="6D0A2068"/>
    <w:rsid w:val="6D245E51"/>
    <w:rsid w:val="6D3031D5"/>
    <w:rsid w:val="6D6D06FE"/>
    <w:rsid w:val="6D99505B"/>
    <w:rsid w:val="6DFD7A2B"/>
    <w:rsid w:val="6E2F6AE6"/>
    <w:rsid w:val="6E56533E"/>
    <w:rsid w:val="6E753769"/>
    <w:rsid w:val="6EB16947"/>
    <w:rsid w:val="6EBC78F0"/>
    <w:rsid w:val="6EC341BB"/>
    <w:rsid w:val="6ED90940"/>
    <w:rsid w:val="6F352D82"/>
    <w:rsid w:val="6F3B793B"/>
    <w:rsid w:val="6F730175"/>
    <w:rsid w:val="6F783C3C"/>
    <w:rsid w:val="6FD0564D"/>
    <w:rsid w:val="700178E6"/>
    <w:rsid w:val="70294DB1"/>
    <w:rsid w:val="706236E0"/>
    <w:rsid w:val="70E821FE"/>
    <w:rsid w:val="715C2F64"/>
    <w:rsid w:val="717D7D79"/>
    <w:rsid w:val="718B446E"/>
    <w:rsid w:val="725758DD"/>
    <w:rsid w:val="725C190D"/>
    <w:rsid w:val="72AA7185"/>
    <w:rsid w:val="72F13B80"/>
    <w:rsid w:val="73E7745D"/>
    <w:rsid w:val="73FC1800"/>
    <w:rsid w:val="747358AE"/>
    <w:rsid w:val="748200B4"/>
    <w:rsid w:val="7482161F"/>
    <w:rsid w:val="74DF34B9"/>
    <w:rsid w:val="74EB49E5"/>
    <w:rsid w:val="75034244"/>
    <w:rsid w:val="751F67E8"/>
    <w:rsid w:val="75591196"/>
    <w:rsid w:val="756170ED"/>
    <w:rsid w:val="76612DCA"/>
    <w:rsid w:val="768904A9"/>
    <w:rsid w:val="769B7F4D"/>
    <w:rsid w:val="76B10A7D"/>
    <w:rsid w:val="76B64E1F"/>
    <w:rsid w:val="779E520E"/>
    <w:rsid w:val="77F84862"/>
    <w:rsid w:val="77F96BEF"/>
    <w:rsid w:val="77FB3824"/>
    <w:rsid w:val="78454752"/>
    <w:rsid w:val="78746DE5"/>
    <w:rsid w:val="789D300C"/>
    <w:rsid w:val="78BC5426"/>
    <w:rsid w:val="78BE62B2"/>
    <w:rsid w:val="78F244F2"/>
    <w:rsid w:val="792210F1"/>
    <w:rsid w:val="79D31C3D"/>
    <w:rsid w:val="7A1E62D6"/>
    <w:rsid w:val="7A2C568E"/>
    <w:rsid w:val="7A3E28EB"/>
    <w:rsid w:val="7A441D0C"/>
    <w:rsid w:val="7A886B78"/>
    <w:rsid w:val="7ACF0B99"/>
    <w:rsid w:val="7B2C5E58"/>
    <w:rsid w:val="7BFA5853"/>
    <w:rsid w:val="7C4E5B9F"/>
    <w:rsid w:val="7DCB1123"/>
    <w:rsid w:val="7DD7656E"/>
    <w:rsid w:val="7DFD73F4"/>
    <w:rsid w:val="7E0DA67E"/>
    <w:rsid w:val="7E2003DD"/>
    <w:rsid w:val="7E295333"/>
    <w:rsid w:val="7E2E4A6C"/>
    <w:rsid w:val="7E734CE1"/>
    <w:rsid w:val="7E7F4CA2"/>
    <w:rsid w:val="7E867872"/>
    <w:rsid w:val="7E8D1FAB"/>
    <w:rsid w:val="7EB335DB"/>
    <w:rsid w:val="7ECB21E9"/>
    <w:rsid w:val="7F3B5B63"/>
    <w:rsid w:val="7F675F3F"/>
    <w:rsid w:val="7FBA6601"/>
    <w:rsid w:val="7FE76490"/>
    <w:rsid w:val="7FED23E2"/>
    <w:rsid w:val="7FFE7E18"/>
    <w:rsid w:val="9BF85268"/>
    <w:rsid w:val="AFF4E96A"/>
    <w:rsid w:val="EFF782A7"/>
    <w:rsid w:val="F77DA6F5"/>
    <w:rsid w:val="FEF74E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iPriority="99" w:semiHidden="0"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62"/>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4">
    <w:name w:val="heading 2"/>
    <w:basedOn w:val="1"/>
    <w:next w:val="1"/>
    <w:link w:val="76"/>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119"/>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6">
    <w:name w:val="heading 4"/>
    <w:basedOn w:val="1"/>
    <w:link w:val="121"/>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7">
    <w:name w:val="heading 5"/>
    <w:basedOn w:val="1"/>
    <w:next w:val="1"/>
    <w:link w:val="122"/>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8">
    <w:name w:val="heading 6"/>
    <w:basedOn w:val="1"/>
    <w:next w:val="1"/>
    <w:link w:val="131"/>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9">
    <w:name w:val="heading 7"/>
    <w:basedOn w:val="1"/>
    <w:next w:val="1"/>
    <w:link w:val="85"/>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10">
    <w:name w:val="heading 8"/>
    <w:basedOn w:val="1"/>
    <w:next w:val="1"/>
    <w:link w:val="107"/>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1">
    <w:name w:val="heading 9"/>
    <w:basedOn w:val="1"/>
    <w:next w:val="1"/>
    <w:link w:val="102"/>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23"/>
    <w:qFormat/>
    <w:uiPriority w:val="0"/>
    <w:pPr>
      <w:autoSpaceDE w:val="0"/>
      <w:autoSpaceDN w:val="0"/>
      <w:adjustRightInd w:val="0"/>
      <w:jc w:val="left"/>
    </w:pPr>
    <w:rPr>
      <w:rFonts w:ascii="宋体" w:hAnsiTheme="minorHAnsi" w:eastAsiaTheme="minorEastAsia" w:cstheme="minorBidi"/>
      <w:szCs w:val="24"/>
    </w:rPr>
  </w:style>
  <w:style w:type="paragraph" w:styleId="12">
    <w:name w:val="table of authorities"/>
    <w:basedOn w:val="13"/>
    <w:next w:val="13"/>
    <w:unhideWhenUsed/>
    <w:qFormat/>
    <w:uiPriority w:val="99"/>
    <w:pPr>
      <w:ind w:left="420" w:leftChars="200"/>
    </w:pPr>
  </w:style>
  <w:style w:type="paragraph" w:customStyle="1" w:styleId="13">
    <w:name w:val="Normal_2"/>
    <w:next w:val="12"/>
    <w:unhideWhenUsed/>
    <w:qFormat/>
    <w:uiPriority w:val="0"/>
    <w:pPr>
      <w:widowControl w:val="0"/>
      <w:jc w:val="both"/>
    </w:pPr>
    <w:rPr>
      <w:rFonts w:hint="eastAsia" w:ascii="Times New Roman" w:hAnsi="Times New Roman" w:eastAsia="宋体" w:cs="Times New Roman"/>
      <w:kern w:val="2"/>
      <w:sz w:val="21"/>
      <w:szCs w:val="24"/>
      <w:lang w:val="en-US" w:eastAsia="zh-CN" w:bidi="ar-SA"/>
    </w:rPr>
  </w:style>
  <w:style w:type="paragraph" w:styleId="14">
    <w:name w:val="List Bullet 4"/>
    <w:basedOn w:val="1"/>
    <w:qFormat/>
    <w:uiPriority w:val="0"/>
    <w:pPr>
      <w:numPr>
        <w:ilvl w:val="0"/>
        <w:numId w:val="1"/>
      </w:numPr>
      <w:tabs>
        <w:tab w:val="left" w:pos="1620"/>
      </w:tabs>
    </w:pPr>
    <w:rPr>
      <w:szCs w:val="24"/>
    </w:rPr>
  </w:style>
  <w:style w:type="paragraph" w:styleId="15">
    <w:name w:val="Normal Indent"/>
    <w:basedOn w:val="1"/>
    <w:qFormat/>
    <w:uiPriority w:val="0"/>
    <w:pPr>
      <w:ind w:firstLine="420" w:firstLineChars="200"/>
    </w:pPr>
    <w:rPr>
      <w:szCs w:val="21"/>
    </w:rPr>
  </w:style>
  <w:style w:type="paragraph" w:styleId="16">
    <w:name w:val="caption"/>
    <w:basedOn w:val="1"/>
    <w:next w:val="1"/>
    <w:qFormat/>
    <w:uiPriority w:val="0"/>
    <w:rPr>
      <w:rFonts w:ascii="Cambria" w:hAnsi="Cambria" w:eastAsia="黑体"/>
      <w:sz w:val="20"/>
    </w:rPr>
  </w:style>
  <w:style w:type="paragraph" w:styleId="17">
    <w:name w:val="List Bullet"/>
    <w:basedOn w:val="1"/>
    <w:qFormat/>
    <w:uiPriority w:val="0"/>
    <w:pPr>
      <w:numPr>
        <w:ilvl w:val="0"/>
        <w:numId w:val="2"/>
      </w:numPr>
      <w:tabs>
        <w:tab w:val="left" w:pos="360"/>
      </w:tabs>
    </w:pPr>
    <w:rPr>
      <w:szCs w:val="24"/>
    </w:rPr>
  </w:style>
  <w:style w:type="paragraph" w:styleId="18">
    <w:name w:val="Document Map"/>
    <w:basedOn w:val="1"/>
    <w:link w:val="103"/>
    <w:qFormat/>
    <w:uiPriority w:val="0"/>
    <w:pPr>
      <w:shd w:val="clear" w:color="auto" w:fill="000080"/>
    </w:pPr>
    <w:rPr>
      <w:rFonts w:asciiTheme="minorHAnsi" w:hAnsiTheme="minorHAnsi" w:eastAsiaTheme="minorEastAsia" w:cstheme="minorBidi"/>
      <w:szCs w:val="24"/>
    </w:rPr>
  </w:style>
  <w:style w:type="paragraph" w:styleId="19">
    <w:name w:val="toa heading"/>
    <w:basedOn w:val="1"/>
    <w:next w:val="1"/>
    <w:qFormat/>
    <w:uiPriority w:val="0"/>
    <w:pPr>
      <w:spacing w:before="120"/>
    </w:pPr>
    <w:rPr>
      <w:rFonts w:ascii="Arial" w:hAnsi="Arial" w:cs="Arial"/>
      <w:sz w:val="24"/>
      <w:szCs w:val="24"/>
    </w:rPr>
  </w:style>
  <w:style w:type="paragraph" w:styleId="20">
    <w:name w:val="annotation text"/>
    <w:basedOn w:val="1"/>
    <w:link w:val="130"/>
    <w:qFormat/>
    <w:uiPriority w:val="0"/>
    <w:pPr>
      <w:jc w:val="left"/>
    </w:pPr>
    <w:rPr>
      <w:rFonts w:asciiTheme="minorHAnsi" w:hAnsiTheme="minorHAnsi" w:eastAsiaTheme="minorEastAsia" w:cstheme="minorBidi"/>
      <w:szCs w:val="24"/>
    </w:rPr>
  </w:style>
  <w:style w:type="paragraph" w:styleId="21">
    <w:name w:val="Body Text 3"/>
    <w:basedOn w:val="1"/>
    <w:link w:val="115"/>
    <w:qFormat/>
    <w:uiPriority w:val="0"/>
    <w:rPr>
      <w:rFonts w:ascii="宋体" w:hAnsiTheme="minorHAnsi" w:eastAsiaTheme="minorEastAsia" w:cstheme="minorBidi"/>
      <w:sz w:val="24"/>
      <w:szCs w:val="22"/>
    </w:rPr>
  </w:style>
  <w:style w:type="paragraph" w:styleId="22">
    <w:name w:val="List Bullet 3"/>
    <w:basedOn w:val="1"/>
    <w:qFormat/>
    <w:uiPriority w:val="0"/>
    <w:pPr>
      <w:numPr>
        <w:ilvl w:val="0"/>
        <w:numId w:val="3"/>
      </w:numPr>
      <w:tabs>
        <w:tab w:val="left" w:pos="1200"/>
      </w:tabs>
    </w:pPr>
    <w:rPr>
      <w:szCs w:val="24"/>
    </w:rPr>
  </w:style>
  <w:style w:type="paragraph" w:styleId="23">
    <w:name w:val="Body Text"/>
    <w:basedOn w:val="1"/>
    <w:next w:val="1"/>
    <w:link w:val="111"/>
    <w:qFormat/>
    <w:uiPriority w:val="0"/>
    <w:pPr>
      <w:spacing w:after="120"/>
    </w:pPr>
    <w:rPr>
      <w:rFonts w:asciiTheme="minorHAnsi" w:hAnsiTheme="minorHAnsi" w:eastAsiaTheme="minorEastAsia" w:cstheme="minorBidi"/>
      <w:szCs w:val="24"/>
    </w:rPr>
  </w:style>
  <w:style w:type="paragraph" w:styleId="24">
    <w:name w:val="Body Text Indent"/>
    <w:basedOn w:val="1"/>
    <w:link w:val="84"/>
    <w:qFormat/>
    <w:uiPriority w:val="0"/>
    <w:pPr>
      <w:ind w:left="1620" w:leftChars="200" w:hanging="1200" w:hangingChars="500"/>
    </w:pPr>
    <w:rPr>
      <w:rFonts w:ascii="宋体" w:hAnsi="宋体" w:eastAsiaTheme="minorEastAsia" w:cstheme="minorBidi"/>
      <w:sz w:val="24"/>
      <w:szCs w:val="24"/>
    </w:rPr>
  </w:style>
  <w:style w:type="paragraph" w:styleId="25">
    <w:name w:val="Block Text"/>
    <w:basedOn w:val="1"/>
    <w:qFormat/>
    <w:uiPriority w:val="0"/>
    <w:pPr>
      <w:widowControl/>
      <w:spacing w:after="120"/>
      <w:ind w:left="1440" w:leftChars="700" w:right="1440" w:rightChars="700"/>
      <w:jc w:val="left"/>
    </w:pPr>
    <w:rPr>
      <w:kern w:val="0"/>
      <w:sz w:val="20"/>
    </w:rPr>
  </w:style>
  <w:style w:type="paragraph" w:styleId="26">
    <w:name w:val="List Bullet 2"/>
    <w:basedOn w:val="1"/>
    <w:qFormat/>
    <w:uiPriority w:val="0"/>
    <w:pPr>
      <w:numPr>
        <w:ilvl w:val="0"/>
        <w:numId w:val="4"/>
      </w:numPr>
      <w:tabs>
        <w:tab w:val="left" w:pos="780"/>
      </w:tabs>
    </w:pPr>
    <w:rPr>
      <w:szCs w:val="24"/>
    </w:rPr>
  </w:style>
  <w:style w:type="paragraph" w:styleId="27">
    <w:name w:val="index 4"/>
    <w:basedOn w:val="1"/>
    <w:next w:val="1"/>
    <w:qFormat/>
    <w:uiPriority w:val="0"/>
    <w:pPr>
      <w:ind w:left="600" w:leftChars="600"/>
    </w:pPr>
    <w:rPr>
      <w:szCs w:val="24"/>
    </w:rPr>
  </w:style>
  <w:style w:type="paragraph" w:styleId="28">
    <w:name w:val="toc 5"/>
    <w:basedOn w:val="1"/>
    <w:next w:val="1"/>
    <w:semiHidden/>
    <w:qFormat/>
    <w:uiPriority w:val="0"/>
    <w:pPr>
      <w:widowControl w:val="0"/>
    </w:pPr>
    <w:rPr>
      <w:rFonts w:ascii="Times New Roman" w:hAnsi="Times New Roman" w:eastAsia="宋体" w:cs="Times New Roman"/>
      <w:kern w:val="2"/>
      <w:sz w:val="22"/>
      <w:szCs w:val="22"/>
      <w:lang w:val="en-US" w:eastAsia="zh-CN" w:bidi="ar-SA"/>
    </w:rPr>
  </w:style>
  <w:style w:type="paragraph" w:styleId="29">
    <w:name w:val="toc 3"/>
    <w:basedOn w:val="1"/>
    <w:next w:val="1"/>
    <w:unhideWhenUsed/>
    <w:qFormat/>
    <w:uiPriority w:val="39"/>
    <w:pPr>
      <w:ind w:left="840" w:leftChars="400"/>
    </w:pPr>
  </w:style>
  <w:style w:type="paragraph" w:styleId="30">
    <w:name w:val="List Bullet 5"/>
    <w:basedOn w:val="1"/>
    <w:qFormat/>
    <w:uiPriority w:val="0"/>
    <w:pPr>
      <w:numPr>
        <w:ilvl w:val="0"/>
        <w:numId w:val="5"/>
      </w:numPr>
      <w:tabs>
        <w:tab w:val="left" w:pos="2040"/>
      </w:tabs>
    </w:pPr>
    <w:rPr>
      <w:szCs w:val="24"/>
    </w:rPr>
  </w:style>
  <w:style w:type="paragraph" w:styleId="31">
    <w:name w:val="index 3"/>
    <w:basedOn w:val="1"/>
    <w:next w:val="1"/>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32">
    <w:name w:val="Date"/>
    <w:basedOn w:val="1"/>
    <w:next w:val="1"/>
    <w:link w:val="100"/>
    <w:qFormat/>
    <w:uiPriority w:val="0"/>
    <w:pPr>
      <w:autoSpaceDE w:val="0"/>
      <w:autoSpaceDN w:val="0"/>
      <w:adjustRightInd w:val="0"/>
      <w:ind w:left="100"/>
      <w:jc w:val="left"/>
    </w:pPr>
    <w:rPr>
      <w:rFonts w:ascii="宋体" w:hAnsiTheme="minorHAnsi" w:eastAsiaTheme="minorEastAsia" w:cstheme="minorBidi"/>
      <w:szCs w:val="21"/>
    </w:rPr>
  </w:style>
  <w:style w:type="paragraph" w:styleId="33">
    <w:name w:val="Body Text Indent 2"/>
    <w:basedOn w:val="1"/>
    <w:link w:val="113"/>
    <w:qFormat/>
    <w:uiPriority w:val="0"/>
    <w:pPr>
      <w:ind w:left="1" w:firstLine="538" w:firstLineChars="192"/>
    </w:pPr>
    <w:rPr>
      <w:rFonts w:asciiTheme="minorHAnsi" w:hAnsiTheme="minorHAnsi" w:eastAsiaTheme="minorEastAsia" w:cstheme="minorBidi"/>
      <w:color w:val="000000"/>
      <w:sz w:val="28"/>
      <w:szCs w:val="24"/>
    </w:rPr>
  </w:style>
  <w:style w:type="paragraph" w:styleId="34">
    <w:name w:val="Balloon Text"/>
    <w:basedOn w:val="1"/>
    <w:link w:val="104"/>
    <w:qFormat/>
    <w:uiPriority w:val="0"/>
    <w:rPr>
      <w:rFonts w:asciiTheme="minorHAnsi" w:hAnsiTheme="minorHAnsi" w:eastAsiaTheme="minorEastAsia" w:cstheme="minorBidi"/>
      <w:sz w:val="18"/>
      <w:szCs w:val="18"/>
    </w:rPr>
  </w:style>
  <w:style w:type="paragraph" w:styleId="35">
    <w:name w:val="footer"/>
    <w:basedOn w:val="1"/>
    <w:link w:val="61"/>
    <w:unhideWhenUsed/>
    <w:qFormat/>
    <w:uiPriority w:val="99"/>
    <w:pPr>
      <w:tabs>
        <w:tab w:val="center" w:pos="4153"/>
        <w:tab w:val="right" w:pos="8306"/>
      </w:tabs>
      <w:snapToGrid w:val="0"/>
      <w:jc w:val="left"/>
    </w:pPr>
    <w:rPr>
      <w:sz w:val="18"/>
      <w:szCs w:val="18"/>
    </w:rPr>
  </w:style>
  <w:style w:type="paragraph" w:styleId="36">
    <w:name w:val="header"/>
    <w:basedOn w:val="1"/>
    <w:link w:val="60"/>
    <w:unhideWhenUsed/>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unhideWhenUsed/>
    <w:qFormat/>
    <w:uiPriority w:val="39"/>
  </w:style>
  <w:style w:type="paragraph" w:styleId="38">
    <w:name w:val="Subtitle"/>
    <w:basedOn w:val="1"/>
    <w:next w:val="1"/>
    <w:link w:val="92"/>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9">
    <w:name w:val="Body Text Indent 3"/>
    <w:basedOn w:val="1"/>
    <w:link w:val="71"/>
    <w:qFormat/>
    <w:uiPriority w:val="0"/>
    <w:pPr>
      <w:ind w:firstLine="538" w:firstLineChars="192"/>
    </w:pPr>
    <w:rPr>
      <w:rFonts w:asciiTheme="minorHAnsi" w:hAnsiTheme="minorHAnsi" w:eastAsiaTheme="minorEastAsia" w:cstheme="minorBidi"/>
      <w:color w:val="000000"/>
      <w:sz w:val="28"/>
      <w:szCs w:val="24"/>
    </w:rPr>
  </w:style>
  <w:style w:type="paragraph" w:styleId="40">
    <w:name w:val="toc 2"/>
    <w:basedOn w:val="1"/>
    <w:next w:val="1"/>
    <w:unhideWhenUsed/>
    <w:qFormat/>
    <w:uiPriority w:val="39"/>
    <w:pPr>
      <w:ind w:left="420" w:leftChars="200"/>
    </w:pPr>
  </w:style>
  <w:style w:type="paragraph" w:styleId="41">
    <w:name w:val="Body Text 2"/>
    <w:basedOn w:val="1"/>
    <w:link w:val="133"/>
    <w:qFormat/>
    <w:uiPriority w:val="0"/>
    <w:pPr>
      <w:spacing w:after="120" w:line="480" w:lineRule="auto"/>
    </w:pPr>
    <w:rPr>
      <w:rFonts w:asciiTheme="minorHAnsi" w:hAnsiTheme="minorHAnsi" w:eastAsiaTheme="minorEastAsia" w:cstheme="minorBidi"/>
      <w:szCs w:val="24"/>
    </w:rPr>
  </w:style>
  <w:style w:type="paragraph" w:styleId="42">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3">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4">
    <w:name w:val="index 1"/>
    <w:basedOn w:val="1"/>
    <w:next w:val="1"/>
    <w:qFormat/>
    <w:uiPriority w:val="0"/>
    <w:pPr>
      <w:ind w:firstLine="480" w:firstLineChars="200"/>
      <w:jc w:val="center"/>
    </w:pPr>
    <w:rPr>
      <w:sz w:val="24"/>
      <w:szCs w:val="24"/>
    </w:rPr>
  </w:style>
  <w:style w:type="paragraph" w:styleId="45">
    <w:name w:val="Title"/>
    <w:basedOn w:val="1"/>
    <w:next w:val="1"/>
    <w:link w:val="114"/>
    <w:qFormat/>
    <w:uiPriority w:val="0"/>
    <w:pPr>
      <w:spacing w:before="240" w:after="60"/>
      <w:jc w:val="center"/>
      <w:outlineLvl w:val="0"/>
    </w:pPr>
    <w:rPr>
      <w:rFonts w:ascii="Cambria" w:hAnsi="Cambria" w:eastAsiaTheme="minorEastAsia" w:cstheme="minorBidi"/>
      <w:b/>
      <w:bCs/>
      <w:sz w:val="32"/>
      <w:szCs w:val="32"/>
    </w:rPr>
  </w:style>
  <w:style w:type="paragraph" w:styleId="46">
    <w:name w:val="annotation subject"/>
    <w:basedOn w:val="20"/>
    <w:next w:val="20"/>
    <w:link w:val="93"/>
    <w:qFormat/>
    <w:uiPriority w:val="0"/>
    <w:rPr>
      <w:rFonts w:ascii="宋体"/>
      <w:b/>
      <w:bCs/>
      <w:sz w:val="28"/>
      <w:szCs w:val="22"/>
    </w:rPr>
  </w:style>
  <w:style w:type="paragraph" w:styleId="47">
    <w:name w:val="Body Text First Indent"/>
    <w:basedOn w:val="23"/>
    <w:qFormat/>
    <w:uiPriority w:val="0"/>
    <w:pPr>
      <w:adjustRightInd w:val="0"/>
      <w:spacing w:line="360" w:lineRule="atLeast"/>
      <w:ind w:firstLine="420" w:firstLineChars="100"/>
      <w:jc w:val="left"/>
      <w:textAlignment w:val="baseline"/>
    </w:pPr>
    <w:rPr>
      <w:kern w:val="0"/>
      <w:sz w:val="24"/>
    </w:rPr>
  </w:style>
  <w:style w:type="paragraph" w:styleId="48">
    <w:name w:val="Body Text First Indent 2"/>
    <w:basedOn w:val="24"/>
    <w:link w:val="129"/>
    <w:semiHidden/>
    <w:unhideWhenUsed/>
    <w:qFormat/>
    <w:uiPriority w:val="0"/>
    <w:pPr>
      <w:spacing w:after="120"/>
      <w:ind w:left="420" w:firstLine="420" w:firstLineChars="200"/>
    </w:pPr>
    <w:rPr>
      <w:b/>
      <w:bCs/>
    </w:rPr>
  </w:style>
  <w:style w:type="table" w:styleId="50">
    <w:name w:val="Table Grid"/>
    <w:basedOn w:val="4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2">
    <w:name w:val="Strong"/>
    <w:qFormat/>
    <w:uiPriority w:val="0"/>
    <w:rPr>
      <w:b/>
      <w:bCs/>
    </w:rPr>
  </w:style>
  <w:style w:type="character" w:styleId="53">
    <w:name w:val="page number"/>
    <w:basedOn w:val="51"/>
    <w:qFormat/>
    <w:uiPriority w:val="0"/>
  </w:style>
  <w:style w:type="character" w:styleId="54">
    <w:name w:val="FollowedHyperlink"/>
    <w:qFormat/>
    <w:uiPriority w:val="0"/>
    <w:rPr>
      <w:color w:val="800080"/>
      <w:u w:val="single"/>
    </w:rPr>
  </w:style>
  <w:style w:type="character" w:styleId="55">
    <w:name w:val="Emphasis"/>
    <w:qFormat/>
    <w:uiPriority w:val="0"/>
    <w:rPr>
      <w:i/>
      <w:iCs/>
    </w:rPr>
  </w:style>
  <w:style w:type="character" w:styleId="56">
    <w:name w:val="Hyperlink"/>
    <w:qFormat/>
    <w:uiPriority w:val="99"/>
    <w:rPr>
      <w:color w:val="0000FF"/>
      <w:u w:val="single"/>
    </w:rPr>
  </w:style>
  <w:style w:type="character" w:styleId="57">
    <w:name w:val="annotation reference"/>
    <w:qFormat/>
    <w:uiPriority w:val="0"/>
    <w:rPr>
      <w:sz w:val="21"/>
      <w:szCs w:val="21"/>
    </w:rPr>
  </w:style>
  <w:style w:type="character" w:customStyle="1" w:styleId="58">
    <w:name w:val="标题 1 Char"/>
    <w:link w:val="3"/>
    <w:qFormat/>
    <w:uiPriority w:val="0"/>
    <w:rPr>
      <w:rFonts w:ascii="仿宋_GB2312" w:hAnsi="MyriadMM_700_300_" w:eastAsia="宋体" w:cs="Times New Roman"/>
      <w:b/>
      <w:bCs/>
      <w:color w:val="000000"/>
      <w:kern w:val="0"/>
      <w:sz w:val="28"/>
      <w:szCs w:val="20"/>
    </w:rPr>
  </w:style>
  <w:style w:type="paragraph" w:customStyle="1" w:styleId="59">
    <w:name w:val="样式2"/>
    <w:basedOn w:val="36"/>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character" w:customStyle="1" w:styleId="60">
    <w:name w:val="页眉 Char1"/>
    <w:basedOn w:val="51"/>
    <w:link w:val="36"/>
    <w:qFormat/>
    <w:uiPriority w:val="99"/>
    <w:rPr>
      <w:sz w:val="18"/>
      <w:szCs w:val="18"/>
    </w:rPr>
  </w:style>
  <w:style w:type="character" w:customStyle="1" w:styleId="61">
    <w:name w:val="页脚 Char1"/>
    <w:basedOn w:val="51"/>
    <w:link w:val="35"/>
    <w:qFormat/>
    <w:uiPriority w:val="99"/>
    <w:rPr>
      <w:sz w:val="18"/>
      <w:szCs w:val="18"/>
    </w:rPr>
  </w:style>
  <w:style w:type="character" w:customStyle="1" w:styleId="62">
    <w:name w:val="标题 1 字符"/>
    <w:basedOn w:val="51"/>
    <w:link w:val="3"/>
    <w:qFormat/>
    <w:uiPriority w:val="9"/>
    <w:rPr>
      <w:rFonts w:ascii="Times New Roman" w:hAnsi="Times New Roman" w:eastAsia="宋体" w:cs="Times New Roman"/>
      <w:b/>
      <w:bCs/>
      <w:kern w:val="44"/>
      <w:sz w:val="44"/>
      <w:szCs w:val="44"/>
    </w:rPr>
  </w:style>
  <w:style w:type="character" w:customStyle="1" w:styleId="63">
    <w:name w:val="标题 2 字符"/>
    <w:basedOn w:val="51"/>
    <w:semiHidden/>
    <w:qFormat/>
    <w:uiPriority w:val="9"/>
    <w:rPr>
      <w:rFonts w:asciiTheme="majorHAnsi" w:hAnsiTheme="majorHAnsi" w:eastAsiaTheme="majorEastAsia" w:cstheme="majorBidi"/>
      <w:b/>
      <w:bCs/>
      <w:sz w:val="32"/>
      <w:szCs w:val="32"/>
    </w:rPr>
  </w:style>
  <w:style w:type="character" w:customStyle="1" w:styleId="64">
    <w:name w:val="标题 3 字符"/>
    <w:basedOn w:val="51"/>
    <w:semiHidden/>
    <w:qFormat/>
    <w:uiPriority w:val="9"/>
    <w:rPr>
      <w:rFonts w:ascii="Times New Roman" w:hAnsi="Times New Roman" w:eastAsia="宋体" w:cs="Times New Roman"/>
      <w:b/>
      <w:bCs/>
      <w:sz w:val="32"/>
      <w:szCs w:val="32"/>
    </w:rPr>
  </w:style>
  <w:style w:type="character" w:customStyle="1" w:styleId="65">
    <w:name w:val="标题 4 字符"/>
    <w:basedOn w:val="51"/>
    <w:semiHidden/>
    <w:qFormat/>
    <w:uiPriority w:val="9"/>
    <w:rPr>
      <w:rFonts w:asciiTheme="majorHAnsi" w:hAnsiTheme="majorHAnsi" w:eastAsiaTheme="majorEastAsia" w:cstheme="majorBidi"/>
      <w:b/>
      <w:bCs/>
      <w:sz w:val="28"/>
      <w:szCs w:val="28"/>
    </w:rPr>
  </w:style>
  <w:style w:type="character" w:customStyle="1" w:styleId="66">
    <w:name w:val="标题 5 字符"/>
    <w:basedOn w:val="51"/>
    <w:semiHidden/>
    <w:qFormat/>
    <w:uiPriority w:val="9"/>
    <w:rPr>
      <w:rFonts w:ascii="Times New Roman" w:hAnsi="Times New Roman" w:eastAsia="宋体" w:cs="Times New Roman"/>
      <w:b/>
      <w:bCs/>
      <w:sz w:val="28"/>
      <w:szCs w:val="28"/>
    </w:rPr>
  </w:style>
  <w:style w:type="character" w:customStyle="1" w:styleId="67">
    <w:name w:val="标题 6 字符"/>
    <w:basedOn w:val="51"/>
    <w:semiHidden/>
    <w:qFormat/>
    <w:uiPriority w:val="9"/>
    <w:rPr>
      <w:rFonts w:asciiTheme="majorHAnsi" w:hAnsiTheme="majorHAnsi" w:eastAsiaTheme="majorEastAsia" w:cstheme="majorBidi"/>
      <w:b/>
      <w:bCs/>
      <w:sz w:val="24"/>
      <w:szCs w:val="24"/>
    </w:rPr>
  </w:style>
  <w:style w:type="character" w:customStyle="1" w:styleId="68">
    <w:name w:val="标题 7 字符"/>
    <w:basedOn w:val="51"/>
    <w:semiHidden/>
    <w:qFormat/>
    <w:uiPriority w:val="9"/>
    <w:rPr>
      <w:rFonts w:ascii="Times New Roman" w:hAnsi="Times New Roman" w:eastAsia="宋体" w:cs="Times New Roman"/>
      <w:b/>
      <w:bCs/>
      <w:sz w:val="24"/>
      <w:szCs w:val="24"/>
    </w:rPr>
  </w:style>
  <w:style w:type="character" w:customStyle="1" w:styleId="69">
    <w:name w:val="标题 8 字符"/>
    <w:basedOn w:val="51"/>
    <w:semiHidden/>
    <w:qFormat/>
    <w:uiPriority w:val="9"/>
    <w:rPr>
      <w:rFonts w:asciiTheme="majorHAnsi" w:hAnsiTheme="majorHAnsi" w:eastAsiaTheme="majorEastAsia" w:cstheme="majorBidi"/>
      <w:sz w:val="24"/>
      <w:szCs w:val="24"/>
    </w:rPr>
  </w:style>
  <w:style w:type="character" w:customStyle="1" w:styleId="70">
    <w:name w:val="标题 9 字符"/>
    <w:basedOn w:val="51"/>
    <w:semiHidden/>
    <w:qFormat/>
    <w:uiPriority w:val="9"/>
    <w:rPr>
      <w:rFonts w:asciiTheme="majorHAnsi" w:hAnsiTheme="majorHAnsi" w:eastAsiaTheme="majorEastAsia" w:cstheme="majorBidi"/>
      <w:szCs w:val="21"/>
    </w:rPr>
  </w:style>
  <w:style w:type="character" w:customStyle="1" w:styleId="71">
    <w:name w:val="正文文本缩进 3 Char"/>
    <w:link w:val="39"/>
    <w:qFormat/>
    <w:uiPriority w:val="0"/>
    <w:rPr>
      <w:color w:val="000000"/>
      <w:sz w:val="28"/>
      <w:szCs w:val="24"/>
    </w:rPr>
  </w:style>
  <w:style w:type="character" w:customStyle="1" w:styleId="72">
    <w:name w:val="正文文本 3 Char1"/>
    <w:semiHidden/>
    <w:qFormat/>
    <w:uiPriority w:val="0"/>
    <w:rPr>
      <w:kern w:val="2"/>
      <w:sz w:val="16"/>
      <w:szCs w:val="16"/>
    </w:rPr>
  </w:style>
  <w:style w:type="character" w:customStyle="1" w:styleId="73">
    <w:name w:val="标题 2 Char Char"/>
    <w:qFormat/>
    <w:uiPriority w:val="0"/>
    <w:rPr>
      <w:rFonts w:hAnsi="仿宋_GB2312"/>
    </w:rPr>
  </w:style>
  <w:style w:type="character" w:customStyle="1" w:styleId="74">
    <w:name w:val="明显强调1"/>
    <w:qFormat/>
    <w:uiPriority w:val="0"/>
    <w:rPr>
      <w:b/>
      <w:bCs/>
      <w:i/>
      <w:iCs/>
      <w:color w:val="4F81BD"/>
    </w:rPr>
  </w:style>
  <w:style w:type="character" w:customStyle="1" w:styleId="75">
    <w:name w:val="引用 Char2"/>
    <w:qFormat/>
    <w:uiPriority w:val="29"/>
    <w:rPr>
      <w:i/>
      <w:iCs/>
      <w:color w:val="000000"/>
      <w:kern w:val="2"/>
      <w:sz w:val="21"/>
    </w:rPr>
  </w:style>
  <w:style w:type="character" w:customStyle="1" w:styleId="76">
    <w:name w:val="标题 2 Char1"/>
    <w:link w:val="4"/>
    <w:qFormat/>
    <w:uiPriority w:val="0"/>
    <w:rPr>
      <w:rFonts w:ascii="Arial" w:hAnsi="Arial" w:eastAsia="黑体" w:cs="Times New Roman"/>
      <w:b/>
      <w:bCs/>
      <w:sz w:val="32"/>
      <w:szCs w:val="32"/>
    </w:rPr>
  </w:style>
  <w:style w:type="character" w:customStyle="1" w:styleId="77">
    <w:name w:val="标题 1 Char1"/>
    <w:qFormat/>
    <w:uiPriority w:val="0"/>
    <w:rPr>
      <w:rFonts w:ascii="宋体-18030" w:eastAsia="宋体-18030"/>
      <w:b/>
      <w:kern w:val="2"/>
      <w:sz w:val="44"/>
    </w:rPr>
  </w:style>
  <w:style w:type="character" w:customStyle="1" w:styleId="78">
    <w:name w:val="批注文字 Char1"/>
    <w:semiHidden/>
    <w:qFormat/>
    <w:locked/>
    <w:uiPriority w:val="0"/>
    <w:rPr>
      <w:kern w:val="2"/>
      <w:sz w:val="21"/>
      <w:szCs w:val="24"/>
    </w:rPr>
  </w:style>
  <w:style w:type="character" w:customStyle="1" w:styleId="79">
    <w:name w:val="正文首行缩进 2 Char1"/>
    <w:semiHidden/>
    <w:qFormat/>
    <w:uiPriority w:val="0"/>
    <w:rPr>
      <w:rFonts w:ascii="宋体" w:hAnsi="宋体"/>
      <w:kern w:val="2"/>
      <w:sz w:val="21"/>
      <w:szCs w:val="24"/>
    </w:rPr>
  </w:style>
  <w:style w:type="character" w:customStyle="1" w:styleId="80">
    <w:name w:val="普通文字 Char Char1"/>
    <w:qFormat/>
    <w:uiPriority w:val="0"/>
    <w:rPr>
      <w:rFonts w:ascii="宋体" w:eastAsia="宋体"/>
      <w:kern w:val="2"/>
      <w:sz w:val="21"/>
      <w:lang w:val="en-US" w:eastAsia="zh-CN" w:bidi="ar-SA"/>
    </w:rPr>
  </w:style>
  <w:style w:type="character" w:customStyle="1" w:styleId="81">
    <w:name w:val="批注文字 Char Char"/>
    <w:qFormat/>
    <w:uiPriority w:val="0"/>
    <w:rPr>
      <w:rFonts w:ascii="宋体" w:hAnsi="Times New Roman" w:eastAsia="宋体" w:cs="Times New Roman"/>
      <w:sz w:val="28"/>
      <w:szCs w:val="20"/>
    </w:rPr>
  </w:style>
  <w:style w:type="character" w:customStyle="1" w:styleId="82">
    <w:name w:val="副标题 Char1"/>
    <w:qFormat/>
    <w:uiPriority w:val="0"/>
    <w:rPr>
      <w:rFonts w:ascii="Cambria" w:hAnsi="Cambria" w:cs="Times New Roman"/>
      <w:b/>
      <w:bCs/>
      <w:kern w:val="28"/>
      <w:sz w:val="32"/>
      <w:szCs w:val="32"/>
    </w:rPr>
  </w:style>
  <w:style w:type="character" w:customStyle="1" w:styleId="83">
    <w:name w:val="批注主题 Char2"/>
    <w:qFormat/>
    <w:uiPriority w:val="0"/>
    <w:rPr>
      <w:rFonts w:eastAsia="宋体"/>
      <w:b/>
      <w:bCs/>
      <w:kern w:val="2"/>
      <w:sz w:val="21"/>
      <w:szCs w:val="24"/>
      <w:lang w:val="en-US" w:eastAsia="zh-CN" w:bidi="ar-SA"/>
    </w:rPr>
  </w:style>
  <w:style w:type="character" w:customStyle="1" w:styleId="84">
    <w:name w:val="正文文本缩进 Char"/>
    <w:link w:val="24"/>
    <w:qFormat/>
    <w:uiPriority w:val="0"/>
    <w:rPr>
      <w:rFonts w:ascii="宋体" w:hAnsi="宋体"/>
      <w:sz w:val="24"/>
      <w:szCs w:val="24"/>
    </w:rPr>
  </w:style>
  <w:style w:type="character" w:customStyle="1" w:styleId="85">
    <w:name w:val="标题 7 Char"/>
    <w:link w:val="9"/>
    <w:qFormat/>
    <w:uiPriority w:val="0"/>
    <w:rPr>
      <w:rFonts w:ascii="Arial" w:hAnsi="Arial" w:eastAsia="仿宋_GB2312" w:cs="Times New Roman"/>
      <w:kern w:val="0"/>
      <w:sz w:val="28"/>
      <w:szCs w:val="20"/>
      <w:lang w:val="en-US" w:eastAsia="zh-CN"/>
    </w:rPr>
  </w:style>
  <w:style w:type="character" w:customStyle="1" w:styleId="86">
    <w:name w:val="HTML 预设格式 Char"/>
    <w:link w:val="42"/>
    <w:qFormat/>
    <w:uiPriority w:val="0"/>
    <w:rPr>
      <w:rFonts w:ascii="宋体" w:hAnsi="宋体" w:cs="宋体"/>
      <w:sz w:val="24"/>
      <w:szCs w:val="24"/>
    </w:rPr>
  </w:style>
  <w:style w:type="character" w:customStyle="1" w:styleId="87">
    <w:name w:val="明显引用 Char"/>
    <w:link w:val="88"/>
    <w:qFormat/>
    <w:uiPriority w:val="0"/>
    <w:rPr>
      <w:b/>
      <w:bCs/>
      <w:i/>
      <w:iCs/>
      <w:color w:val="4F81BD"/>
    </w:rPr>
  </w:style>
  <w:style w:type="paragraph" w:styleId="88">
    <w:name w:val="Intense Quote"/>
    <w:basedOn w:val="1"/>
    <w:next w:val="1"/>
    <w:link w:val="87"/>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9">
    <w:name w:val="引用 Char1"/>
    <w:qFormat/>
    <w:uiPriority w:val="29"/>
    <w:rPr>
      <w:i/>
      <w:iCs/>
      <w:color w:val="000000"/>
      <w:kern w:val="2"/>
      <w:sz w:val="21"/>
      <w:szCs w:val="24"/>
    </w:rPr>
  </w:style>
  <w:style w:type="character" w:customStyle="1" w:styleId="90">
    <w:name w:val="批注框文本 Char1"/>
    <w:qFormat/>
    <w:uiPriority w:val="0"/>
    <w:rPr>
      <w:kern w:val="2"/>
      <w:sz w:val="18"/>
      <w:szCs w:val="18"/>
    </w:rPr>
  </w:style>
  <w:style w:type="character" w:customStyle="1" w:styleId="91">
    <w:name w:val="日期 Char1"/>
    <w:qFormat/>
    <w:uiPriority w:val="0"/>
    <w:rPr>
      <w:kern w:val="2"/>
      <w:sz w:val="21"/>
      <w:szCs w:val="22"/>
    </w:rPr>
  </w:style>
  <w:style w:type="character" w:customStyle="1" w:styleId="92">
    <w:name w:val="副标题 Char"/>
    <w:link w:val="38"/>
    <w:qFormat/>
    <w:uiPriority w:val="0"/>
    <w:rPr>
      <w:rFonts w:ascii="Cambria" w:hAnsi="Cambria"/>
      <w:b/>
      <w:bCs/>
      <w:kern w:val="28"/>
      <w:sz w:val="32"/>
      <w:szCs w:val="32"/>
    </w:rPr>
  </w:style>
  <w:style w:type="character" w:customStyle="1" w:styleId="93">
    <w:name w:val="批注主题 Char"/>
    <w:link w:val="46"/>
    <w:qFormat/>
    <w:uiPriority w:val="0"/>
    <w:rPr>
      <w:rFonts w:ascii="宋体"/>
      <w:b/>
      <w:bCs/>
      <w:sz w:val="28"/>
    </w:rPr>
  </w:style>
  <w:style w:type="character" w:customStyle="1" w:styleId="94">
    <w:name w:val="question-title2"/>
    <w:basedOn w:val="51"/>
    <w:qFormat/>
    <w:uiPriority w:val="0"/>
  </w:style>
  <w:style w:type="character" w:customStyle="1" w:styleId="95">
    <w:name w:val="页眉 Char"/>
    <w:qFormat/>
    <w:uiPriority w:val="0"/>
    <w:rPr>
      <w:kern w:val="2"/>
      <w:sz w:val="18"/>
    </w:rPr>
  </w:style>
  <w:style w:type="character" w:customStyle="1" w:styleId="96">
    <w:name w:val="批注主题 Char1"/>
    <w:qFormat/>
    <w:uiPriority w:val="0"/>
    <w:rPr>
      <w:b/>
      <w:bCs/>
      <w:kern w:val="2"/>
      <w:sz w:val="21"/>
      <w:szCs w:val="22"/>
    </w:rPr>
  </w:style>
  <w:style w:type="character" w:customStyle="1" w:styleId="97">
    <w:name w:val="不明显强调1"/>
    <w:qFormat/>
    <w:uiPriority w:val="0"/>
    <w:rPr>
      <w:i/>
      <w:iCs/>
      <w:color w:val="808080"/>
    </w:rPr>
  </w:style>
  <w:style w:type="character" w:customStyle="1" w:styleId="98">
    <w:name w:val="引用 Char"/>
    <w:link w:val="99"/>
    <w:qFormat/>
    <w:uiPriority w:val="0"/>
    <w:rPr>
      <w:i/>
      <w:iCs/>
      <w:color w:val="000000"/>
    </w:rPr>
  </w:style>
  <w:style w:type="paragraph" w:styleId="99">
    <w:name w:val="Quote"/>
    <w:basedOn w:val="1"/>
    <w:next w:val="1"/>
    <w:link w:val="98"/>
    <w:qFormat/>
    <w:uiPriority w:val="0"/>
    <w:rPr>
      <w:rFonts w:asciiTheme="minorHAnsi" w:hAnsiTheme="minorHAnsi" w:eastAsiaTheme="minorEastAsia" w:cstheme="minorBidi"/>
      <w:i/>
      <w:iCs/>
      <w:color w:val="000000"/>
      <w:szCs w:val="22"/>
    </w:rPr>
  </w:style>
  <w:style w:type="character" w:customStyle="1" w:styleId="100">
    <w:name w:val="日期 Char"/>
    <w:link w:val="32"/>
    <w:qFormat/>
    <w:uiPriority w:val="0"/>
    <w:rPr>
      <w:rFonts w:ascii="宋体"/>
      <w:szCs w:val="21"/>
    </w:rPr>
  </w:style>
  <w:style w:type="character" w:customStyle="1" w:styleId="101">
    <w:name w:val="apple-converted-space"/>
    <w:basedOn w:val="51"/>
    <w:qFormat/>
    <w:uiPriority w:val="0"/>
  </w:style>
  <w:style w:type="character" w:customStyle="1" w:styleId="102">
    <w:name w:val="标题 9 Char"/>
    <w:link w:val="11"/>
    <w:qFormat/>
    <w:uiPriority w:val="0"/>
    <w:rPr>
      <w:rFonts w:ascii="Arial" w:hAnsi="Arial" w:eastAsia="仿宋_GB2312" w:cs="Times New Roman"/>
      <w:kern w:val="0"/>
      <w:sz w:val="28"/>
      <w:szCs w:val="20"/>
      <w:lang w:val="en-US" w:eastAsia="zh-CN"/>
    </w:rPr>
  </w:style>
  <w:style w:type="character" w:customStyle="1" w:styleId="103">
    <w:name w:val="文档结构图 Char"/>
    <w:link w:val="18"/>
    <w:qFormat/>
    <w:uiPriority w:val="0"/>
    <w:rPr>
      <w:szCs w:val="24"/>
      <w:shd w:val="clear" w:color="auto" w:fill="000080"/>
    </w:rPr>
  </w:style>
  <w:style w:type="character" w:customStyle="1" w:styleId="104">
    <w:name w:val="批注框文本 Char"/>
    <w:link w:val="34"/>
    <w:qFormat/>
    <w:uiPriority w:val="0"/>
    <w:rPr>
      <w:sz w:val="18"/>
      <w:szCs w:val="18"/>
    </w:rPr>
  </w:style>
  <w:style w:type="character" w:customStyle="1" w:styleId="105">
    <w:name w:val="不明显参考1"/>
    <w:qFormat/>
    <w:uiPriority w:val="0"/>
    <w:rPr>
      <w:smallCaps/>
      <w:color w:val="C0504D"/>
      <w:u w:val="single"/>
    </w:rPr>
  </w:style>
  <w:style w:type="character" w:customStyle="1" w:styleId="106">
    <w:name w:val="明显引用 Char1"/>
    <w:qFormat/>
    <w:uiPriority w:val="30"/>
    <w:rPr>
      <w:b/>
      <w:bCs/>
      <w:i/>
      <w:iCs/>
      <w:color w:val="4F81BD"/>
      <w:kern w:val="2"/>
      <w:sz w:val="21"/>
      <w:szCs w:val="24"/>
    </w:rPr>
  </w:style>
  <w:style w:type="character" w:customStyle="1" w:styleId="107">
    <w:name w:val="标题 8 Char"/>
    <w:link w:val="10"/>
    <w:qFormat/>
    <w:uiPriority w:val="0"/>
    <w:rPr>
      <w:rFonts w:ascii="Arial" w:hAnsi="Arial" w:eastAsia="仿宋_GB2312" w:cs="Times New Roman"/>
      <w:kern w:val="0"/>
      <w:sz w:val="28"/>
      <w:szCs w:val="20"/>
      <w:lang w:val="en-US" w:eastAsia="zh-CN"/>
    </w:rPr>
  </w:style>
  <w:style w:type="character" w:customStyle="1" w:styleId="108">
    <w:name w:val="HTML 预设格式 Char1"/>
    <w:semiHidden/>
    <w:qFormat/>
    <w:uiPriority w:val="0"/>
    <w:rPr>
      <w:rFonts w:ascii="Courier New" w:hAnsi="Courier New" w:cs="Courier New"/>
      <w:kern w:val="2"/>
    </w:rPr>
  </w:style>
  <w:style w:type="character" w:customStyle="1" w:styleId="109">
    <w:name w:val="书籍标题1"/>
    <w:qFormat/>
    <w:uiPriority w:val="0"/>
    <w:rPr>
      <w:b/>
      <w:bCs/>
      <w:smallCaps/>
      <w:spacing w:val="5"/>
    </w:rPr>
  </w:style>
  <w:style w:type="character" w:customStyle="1" w:styleId="110">
    <w:name w:val="明显参考1"/>
    <w:qFormat/>
    <w:uiPriority w:val="0"/>
    <w:rPr>
      <w:b/>
      <w:bCs/>
      <w:smallCaps/>
      <w:color w:val="C0504D"/>
      <w:spacing w:val="5"/>
      <w:u w:val="single"/>
    </w:rPr>
  </w:style>
  <w:style w:type="character" w:customStyle="1" w:styleId="111">
    <w:name w:val="正文文本 Char"/>
    <w:link w:val="23"/>
    <w:qFormat/>
    <w:uiPriority w:val="0"/>
    <w:rPr>
      <w:szCs w:val="24"/>
    </w:rPr>
  </w:style>
  <w:style w:type="character" w:customStyle="1" w:styleId="112">
    <w:name w:val="纯文本 Char Char Char Char Char Char Char Char Char1"/>
    <w:qFormat/>
    <w:uiPriority w:val="0"/>
    <w:rPr>
      <w:rFonts w:ascii="宋体" w:hAnsi="Courier New"/>
      <w:kern w:val="2"/>
      <w:sz w:val="21"/>
    </w:rPr>
  </w:style>
  <w:style w:type="character" w:customStyle="1" w:styleId="113">
    <w:name w:val="正文文本缩进 2 Char"/>
    <w:link w:val="33"/>
    <w:qFormat/>
    <w:uiPriority w:val="0"/>
    <w:rPr>
      <w:color w:val="000000"/>
      <w:sz w:val="28"/>
      <w:szCs w:val="24"/>
    </w:rPr>
  </w:style>
  <w:style w:type="character" w:customStyle="1" w:styleId="114">
    <w:name w:val="标题 Char"/>
    <w:link w:val="45"/>
    <w:qFormat/>
    <w:uiPriority w:val="0"/>
    <w:rPr>
      <w:rFonts w:ascii="Cambria" w:hAnsi="Cambria"/>
      <w:b/>
      <w:bCs/>
      <w:sz w:val="32"/>
      <w:szCs w:val="32"/>
    </w:rPr>
  </w:style>
  <w:style w:type="character" w:customStyle="1" w:styleId="115">
    <w:name w:val="正文文本 3 Char"/>
    <w:link w:val="21"/>
    <w:qFormat/>
    <w:uiPriority w:val="0"/>
    <w:rPr>
      <w:rFonts w:ascii="宋体"/>
      <w:sz w:val="24"/>
    </w:rPr>
  </w:style>
  <w:style w:type="character" w:customStyle="1" w:styleId="116">
    <w:name w:val="正文文本 Char1"/>
    <w:qFormat/>
    <w:uiPriority w:val="0"/>
    <w:rPr>
      <w:kern w:val="2"/>
      <w:sz w:val="21"/>
      <w:szCs w:val="22"/>
    </w:rPr>
  </w:style>
  <w:style w:type="character" w:customStyle="1" w:styleId="117">
    <w:name w:val="文档结构图 Char1"/>
    <w:qFormat/>
    <w:uiPriority w:val="0"/>
    <w:rPr>
      <w:rFonts w:ascii="宋体"/>
      <w:kern w:val="2"/>
      <w:sz w:val="18"/>
      <w:szCs w:val="18"/>
    </w:rPr>
  </w:style>
  <w:style w:type="character" w:customStyle="1" w:styleId="118">
    <w:name w:val="页脚 Char"/>
    <w:qFormat/>
    <w:uiPriority w:val="99"/>
    <w:rPr>
      <w:kern w:val="2"/>
      <w:sz w:val="18"/>
    </w:rPr>
  </w:style>
  <w:style w:type="character" w:customStyle="1" w:styleId="119">
    <w:name w:val="标题 3 Char"/>
    <w:link w:val="5"/>
    <w:qFormat/>
    <w:uiPriority w:val="0"/>
    <w:rPr>
      <w:rFonts w:ascii="宋体" w:hAnsi="宋体" w:eastAsia="黑体" w:cs="Times New Roman"/>
      <w:b/>
      <w:bCs/>
      <w:sz w:val="32"/>
      <w:szCs w:val="32"/>
    </w:rPr>
  </w:style>
  <w:style w:type="character" w:customStyle="1" w:styleId="120">
    <w:name w:val="明显引用 Char2"/>
    <w:qFormat/>
    <w:uiPriority w:val="30"/>
    <w:rPr>
      <w:b/>
      <w:bCs/>
      <w:i/>
      <w:iCs/>
      <w:color w:val="4F81BD"/>
      <w:kern w:val="2"/>
      <w:sz w:val="21"/>
    </w:rPr>
  </w:style>
  <w:style w:type="character" w:customStyle="1" w:styleId="121">
    <w:name w:val="标题 4 Char"/>
    <w:link w:val="6"/>
    <w:qFormat/>
    <w:uiPriority w:val="0"/>
    <w:rPr>
      <w:rFonts w:ascii="Arial" w:hAnsi="Arial" w:eastAsia="仿宋_GB2312" w:cs="Times New Roman"/>
      <w:b/>
      <w:kern w:val="0"/>
      <w:sz w:val="28"/>
      <w:szCs w:val="20"/>
      <w:lang w:val="en-US" w:eastAsia="zh-CN"/>
    </w:rPr>
  </w:style>
  <w:style w:type="character" w:customStyle="1" w:styleId="122">
    <w:name w:val="标题 5 Char"/>
    <w:link w:val="7"/>
    <w:qFormat/>
    <w:uiPriority w:val="0"/>
    <w:rPr>
      <w:rFonts w:ascii="Arial" w:hAnsi="Arial" w:eastAsia="仿宋_GB2312" w:cs="Times New Roman"/>
      <w:kern w:val="0"/>
      <w:sz w:val="28"/>
      <w:szCs w:val="20"/>
      <w:lang w:val="en-US" w:eastAsia="zh-CN"/>
    </w:rPr>
  </w:style>
  <w:style w:type="character" w:customStyle="1" w:styleId="123">
    <w:name w:val="纯文本 Char"/>
    <w:link w:val="2"/>
    <w:qFormat/>
    <w:uiPriority w:val="0"/>
    <w:rPr>
      <w:rFonts w:ascii="宋体"/>
      <w:szCs w:val="24"/>
    </w:rPr>
  </w:style>
  <w:style w:type="character" w:customStyle="1" w:styleId="124">
    <w:name w:val="标题4 Char Char"/>
    <w:link w:val="125"/>
    <w:qFormat/>
    <w:uiPriority w:val="0"/>
    <w:rPr>
      <w:rFonts w:ascii="Arial" w:hAnsi="Arial"/>
      <w:b/>
      <w:bCs/>
      <w:sz w:val="24"/>
      <w:szCs w:val="32"/>
    </w:rPr>
  </w:style>
  <w:style w:type="paragraph" w:customStyle="1" w:styleId="125">
    <w:name w:val="标题4"/>
    <w:basedOn w:val="4"/>
    <w:next w:val="27"/>
    <w:link w:val="124"/>
    <w:qFormat/>
    <w:uiPriority w:val="0"/>
    <w:pPr>
      <w:spacing w:line="413" w:lineRule="auto"/>
    </w:pPr>
    <w:rPr>
      <w:rFonts w:eastAsiaTheme="minorEastAsia" w:cstheme="minorBidi"/>
      <w:sz w:val="24"/>
    </w:rPr>
  </w:style>
  <w:style w:type="character" w:customStyle="1" w:styleId="126">
    <w:name w:val="批注主题 Char3"/>
    <w:semiHidden/>
    <w:qFormat/>
    <w:uiPriority w:val="0"/>
    <w:rPr>
      <w:b/>
      <w:bCs/>
      <w:kern w:val="2"/>
      <w:sz w:val="21"/>
      <w:szCs w:val="24"/>
    </w:rPr>
  </w:style>
  <w:style w:type="character" w:customStyle="1" w:styleId="127">
    <w:name w:val="style11"/>
    <w:qFormat/>
    <w:uiPriority w:val="0"/>
    <w:rPr>
      <w:b/>
      <w:bCs/>
    </w:rPr>
  </w:style>
  <w:style w:type="character" w:customStyle="1" w:styleId="128">
    <w:name w:val="标题 2 Char"/>
    <w:qFormat/>
    <w:uiPriority w:val="0"/>
    <w:rPr>
      <w:rFonts w:ascii="Cambria" w:hAnsi="Cambria" w:eastAsia="宋体" w:cs="Times New Roman"/>
      <w:b/>
      <w:bCs/>
      <w:kern w:val="2"/>
      <w:sz w:val="32"/>
      <w:szCs w:val="32"/>
    </w:rPr>
  </w:style>
  <w:style w:type="character" w:customStyle="1" w:styleId="129">
    <w:name w:val="正文首行缩进 2 Char"/>
    <w:link w:val="48"/>
    <w:semiHidden/>
    <w:qFormat/>
    <w:uiPriority w:val="0"/>
    <w:rPr>
      <w:rFonts w:ascii="宋体" w:hAnsi="宋体"/>
      <w:b/>
      <w:bCs/>
      <w:sz w:val="24"/>
      <w:szCs w:val="24"/>
    </w:rPr>
  </w:style>
  <w:style w:type="character" w:customStyle="1" w:styleId="130">
    <w:name w:val="批注文字 Char"/>
    <w:link w:val="20"/>
    <w:qFormat/>
    <w:uiPriority w:val="0"/>
    <w:rPr>
      <w:szCs w:val="24"/>
    </w:rPr>
  </w:style>
  <w:style w:type="character" w:customStyle="1" w:styleId="131">
    <w:name w:val="标题 6 Char"/>
    <w:link w:val="8"/>
    <w:qFormat/>
    <w:uiPriority w:val="0"/>
    <w:rPr>
      <w:rFonts w:ascii="Arial" w:hAnsi="Arial" w:eastAsia="仿宋_GB2312" w:cs="Times New Roman"/>
      <w:kern w:val="0"/>
      <w:sz w:val="28"/>
      <w:szCs w:val="20"/>
      <w:lang w:val="en-US" w:eastAsia="zh-CN"/>
    </w:rPr>
  </w:style>
  <w:style w:type="character" w:customStyle="1" w:styleId="132">
    <w:name w:val="javascript"/>
    <w:basedOn w:val="51"/>
    <w:qFormat/>
    <w:uiPriority w:val="0"/>
  </w:style>
  <w:style w:type="character" w:customStyle="1" w:styleId="133">
    <w:name w:val="正文文本 2 Char"/>
    <w:link w:val="41"/>
    <w:qFormat/>
    <w:uiPriority w:val="0"/>
    <w:rPr>
      <w:szCs w:val="24"/>
    </w:rPr>
  </w:style>
  <w:style w:type="character" w:customStyle="1" w:styleId="134">
    <w:name w:val="Para head"/>
    <w:qFormat/>
    <w:uiPriority w:val="0"/>
    <w:rPr>
      <w:rFonts w:ascii="Arial" w:hAnsi="Arial" w:eastAsia="Times New Roman"/>
      <w:sz w:val="20"/>
    </w:rPr>
  </w:style>
  <w:style w:type="character" w:customStyle="1" w:styleId="135">
    <w:name w:val="副标题 Char2"/>
    <w:qFormat/>
    <w:uiPriority w:val="0"/>
    <w:rPr>
      <w:rFonts w:ascii="Cambria" w:hAnsi="Cambria" w:cs="Times New Roman"/>
      <w:b/>
      <w:bCs/>
      <w:kern w:val="28"/>
      <w:sz w:val="32"/>
      <w:szCs w:val="32"/>
    </w:rPr>
  </w:style>
  <w:style w:type="character" w:customStyle="1" w:styleId="136">
    <w:name w:val="textcontents"/>
    <w:qFormat/>
    <w:uiPriority w:val="0"/>
    <w:rPr>
      <w:rFonts w:cs="Times New Roman"/>
    </w:rPr>
  </w:style>
  <w:style w:type="character" w:customStyle="1" w:styleId="137">
    <w:name w:val="标题5 Char Char"/>
    <w:link w:val="138"/>
    <w:qFormat/>
    <w:uiPriority w:val="0"/>
    <w:rPr>
      <w:rFonts w:ascii="Arial" w:hAnsi="Arial"/>
      <w:b/>
      <w:bCs/>
      <w:sz w:val="24"/>
      <w:szCs w:val="32"/>
    </w:rPr>
  </w:style>
  <w:style w:type="paragraph" w:customStyle="1" w:styleId="138">
    <w:name w:val="标题5"/>
    <w:basedOn w:val="5"/>
    <w:link w:val="137"/>
    <w:qFormat/>
    <w:uiPriority w:val="0"/>
    <w:pPr>
      <w:tabs>
        <w:tab w:val="left" w:pos="1575"/>
      </w:tabs>
      <w:spacing w:before="260" w:after="260" w:line="413" w:lineRule="auto"/>
      <w:jc w:val="both"/>
    </w:pPr>
    <w:rPr>
      <w:rFonts w:ascii="Arial" w:hAnsi="Arial" w:eastAsiaTheme="minorEastAsia" w:cstheme="minorBidi"/>
    </w:rPr>
  </w:style>
  <w:style w:type="character" w:customStyle="1" w:styleId="139">
    <w:name w:val="ft101"/>
    <w:qFormat/>
    <w:uiPriority w:val="0"/>
    <w:rPr>
      <w:spacing w:val="320"/>
      <w:sz w:val="20"/>
      <w:szCs w:val="20"/>
    </w:rPr>
  </w:style>
  <w:style w:type="character" w:customStyle="1" w:styleId="140">
    <w:name w:val="正文文本缩进 3 字符"/>
    <w:basedOn w:val="51"/>
    <w:semiHidden/>
    <w:qFormat/>
    <w:uiPriority w:val="99"/>
    <w:rPr>
      <w:rFonts w:ascii="Times New Roman" w:hAnsi="Times New Roman" w:eastAsia="宋体" w:cs="Times New Roman"/>
      <w:sz w:val="16"/>
      <w:szCs w:val="16"/>
    </w:rPr>
  </w:style>
  <w:style w:type="paragraph" w:customStyle="1" w:styleId="141">
    <w:name w:val="_Style 100"/>
    <w:basedOn w:val="1"/>
    <w:next w:val="142"/>
    <w:qFormat/>
    <w:uiPriority w:val="34"/>
    <w:pPr>
      <w:ind w:firstLine="420" w:firstLineChars="200"/>
    </w:pPr>
    <w:rPr>
      <w:rFonts w:ascii="Calibri" w:hAnsi="Calibri"/>
      <w:szCs w:val="22"/>
    </w:rPr>
  </w:style>
  <w:style w:type="paragraph" w:styleId="142">
    <w:name w:val="List Paragraph"/>
    <w:basedOn w:val="1"/>
    <w:qFormat/>
    <w:uiPriority w:val="34"/>
    <w:pPr>
      <w:ind w:firstLine="420" w:firstLineChars="200"/>
    </w:pPr>
  </w:style>
  <w:style w:type="character" w:customStyle="1" w:styleId="143">
    <w:name w:val="副标题 字符"/>
    <w:basedOn w:val="51"/>
    <w:qFormat/>
    <w:uiPriority w:val="11"/>
    <w:rPr>
      <w:b/>
      <w:bCs/>
      <w:kern w:val="28"/>
      <w:sz w:val="32"/>
      <w:szCs w:val="32"/>
    </w:rPr>
  </w:style>
  <w:style w:type="character" w:customStyle="1" w:styleId="144">
    <w:name w:val="日期 字符"/>
    <w:basedOn w:val="51"/>
    <w:qFormat/>
    <w:uiPriority w:val="0"/>
    <w:rPr>
      <w:rFonts w:ascii="Times New Roman" w:hAnsi="Times New Roman" w:eastAsia="宋体" w:cs="Times New Roman"/>
      <w:szCs w:val="20"/>
    </w:rPr>
  </w:style>
  <w:style w:type="character" w:customStyle="1" w:styleId="145">
    <w:name w:val="正文文本 3 字符"/>
    <w:basedOn w:val="51"/>
    <w:semiHidden/>
    <w:qFormat/>
    <w:uiPriority w:val="99"/>
    <w:rPr>
      <w:rFonts w:ascii="Times New Roman" w:hAnsi="Times New Roman" w:eastAsia="宋体" w:cs="Times New Roman"/>
      <w:sz w:val="16"/>
      <w:szCs w:val="16"/>
    </w:rPr>
  </w:style>
  <w:style w:type="character" w:customStyle="1" w:styleId="146">
    <w:name w:val="HTML 预设格式 字符"/>
    <w:basedOn w:val="51"/>
    <w:semiHidden/>
    <w:qFormat/>
    <w:uiPriority w:val="99"/>
    <w:rPr>
      <w:rFonts w:ascii="Courier New" w:hAnsi="Courier New" w:eastAsia="宋体" w:cs="Courier New"/>
      <w:sz w:val="20"/>
      <w:szCs w:val="20"/>
    </w:rPr>
  </w:style>
  <w:style w:type="character" w:customStyle="1" w:styleId="147">
    <w:name w:val="正文文本 2 字符"/>
    <w:basedOn w:val="51"/>
    <w:semiHidden/>
    <w:qFormat/>
    <w:uiPriority w:val="99"/>
    <w:rPr>
      <w:rFonts w:ascii="Times New Roman" w:hAnsi="Times New Roman" w:eastAsia="宋体" w:cs="Times New Roman"/>
      <w:szCs w:val="20"/>
    </w:rPr>
  </w:style>
  <w:style w:type="character" w:customStyle="1" w:styleId="148">
    <w:name w:val="批注文字 字符"/>
    <w:basedOn w:val="51"/>
    <w:semiHidden/>
    <w:qFormat/>
    <w:uiPriority w:val="99"/>
    <w:rPr>
      <w:rFonts w:ascii="Times New Roman" w:hAnsi="Times New Roman" w:eastAsia="宋体" w:cs="Times New Roman"/>
      <w:szCs w:val="20"/>
    </w:rPr>
  </w:style>
  <w:style w:type="character" w:customStyle="1" w:styleId="149">
    <w:name w:val="批注主题 字符"/>
    <w:basedOn w:val="148"/>
    <w:semiHidden/>
    <w:qFormat/>
    <w:uiPriority w:val="99"/>
    <w:rPr>
      <w:rFonts w:ascii="Times New Roman" w:hAnsi="Times New Roman" w:eastAsia="宋体" w:cs="Times New Roman"/>
      <w:b/>
      <w:bCs/>
      <w:szCs w:val="20"/>
    </w:rPr>
  </w:style>
  <w:style w:type="character" w:customStyle="1" w:styleId="150">
    <w:name w:val="正文文本缩进 字符"/>
    <w:basedOn w:val="51"/>
    <w:semiHidden/>
    <w:qFormat/>
    <w:uiPriority w:val="99"/>
    <w:rPr>
      <w:rFonts w:ascii="Times New Roman" w:hAnsi="Times New Roman" w:eastAsia="宋体" w:cs="Times New Roman"/>
      <w:szCs w:val="20"/>
    </w:rPr>
  </w:style>
  <w:style w:type="character" w:customStyle="1" w:styleId="151">
    <w:name w:val="正文文本 字符"/>
    <w:basedOn w:val="51"/>
    <w:semiHidden/>
    <w:qFormat/>
    <w:uiPriority w:val="99"/>
    <w:rPr>
      <w:rFonts w:ascii="Times New Roman" w:hAnsi="Times New Roman" w:eastAsia="宋体" w:cs="Times New Roman"/>
      <w:szCs w:val="20"/>
    </w:rPr>
  </w:style>
  <w:style w:type="character" w:customStyle="1" w:styleId="152">
    <w:name w:val="文档结构图 字符"/>
    <w:basedOn w:val="51"/>
    <w:semiHidden/>
    <w:qFormat/>
    <w:uiPriority w:val="99"/>
    <w:rPr>
      <w:rFonts w:ascii="Microsoft YaHei UI" w:hAnsi="Times New Roman" w:eastAsia="Microsoft YaHei UI" w:cs="Times New Roman"/>
      <w:sz w:val="18"/>
      <w:szCs w:val="18"/>
    </w:rPr>
  </w:style>
  <w:style w:type="character" w:customStyle="1" w:styleId="153">
    <w:name w:val="纯文本 字符"/>
    <w:basedOn w:val="51"/>
    <w:semiHidden/>
    <w:qFormat/>
    <w:uiPriority w:val="99"/>
    <w:rPr>
      <w:rFonts w:hAnsi="Courier New" w:cs="Courier New" w:asciiTheme="minorEastAsia"/>
      <w:szCs w:val="20"/>
    </w:rPr>
  </w:style>
  <w:style w:type="character" w:customStyle="1" w:styleId="154">
    <w:name w:val="标题 字符"/>
    <w:basedOn w:val="51"/>
    <w:qFormat/>
    <w:uiPriority w:val="10"/>
    <w:rPr>
      <w:rFonts w:asciiTheme="majorHAnsi" w:hAnsiTheme="majorHAnsi" w:eastAsiaTheme="majorEastAsia" w:cstheme="majorBidi"/>
      <w:b/>
      <w:bCs/>
      <w:sz w:val="32"/>
      <w:szCs w:val="32"/>
    </w:rPr>
  </w:style>
  <w:style w:type="character" w:customStyle="1" w:styleId="155">
    <w:name w:val="批注框文本 字符"/>
    <w:basedOn w:val="51"/>
    <w:semiHidden/>
    <w:qFormat/>
    <w:uiPriority w:val="99"/>
    <w:rPr>
      <w:rFonts w:ascii="Times New Roman" w:hAnsi="Times New Roman" w:eastAsia="宋体" w:cs="Times New Roman"/>
      <w:sz w:val="18"/>
      <w:szCs w:val="18"/>
    </w:rPr>
  </w:style>
  <w:style w:type="character" w:customStyle="1" w:styleId="156">
    <w:name w:val="正文文本缩进 2 字符"/>
    <w:basedOn w:val="51"/>
    <w:semiHidden/>
    <w:qFormat/>
    <w:uiPriority w:val="99"/>
    <w:rPr>
      <w:rFonts w:ascii="Times New Roman" w:hAnsi="Times New Roman" w:eastAsia="宋体" w:cs="Times New Roman"/>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8">
    <w:name w:val="纯文本1"/>
    <w:basedOn w:val="1"/>
    <w:qFormat/>
    <w:uiPriority w:val="0"/>
    <w:pPr>
      <w:adjustRightInd w:val="0"/>
      <w:textAlignment w:val="baseline"/>
    </w:pPr>
    <w:rPr>
      <w:rFonts w:ascii="宋体"/>
      <w:kern w:val="0"/>
      <w:sz w:val="24"/>
    </w:rPr>
  </w:style>
  <w:style w:type="paragraph" w:customStyle="1" w:styleId="159">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60">
    <w:name w:val="正文1"/>
    <w:basedOn w:val="1"/>
    <w:qFormat/>
    <w:uiPriority w:val="0"/>
    <w:pPr>
      <w:adjustRightInd w:val="0"/>
      <w:spacing w:line="360" w:lineRule="atLeast"/>
      <w:textAlignment w:val="baseline"/>
    </w:pPr>
    <w:rPr>
      <w:rFonts w:ascii="宋体"/>
      <w:kern w:val="0"/>
      <w:sz w:val="36"/>
    </w:rPr>
  </w:style>
  <w:style w:type="paragraph" w:customStyle="1" w:styleId="161">
    <w:name w:val="Char"/>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62">
    <w:name w:val="默认段落字体 Para Char"/>
    <w:basedOn w:val="1"/>
    <w:qFormat/>
    <w:uiPriority w:val="0"/>
    <w:pPr>
      <w:snapToGrid w:val="0"/>
      <w:spacing w:line="360" w:lineRule="auto"/>
      <w:ind w:firstLine="200" w:firstLineChars="200"/>
    </w:pPr>
    <w:rPr>
      <w:rFonts w:eastAsia="仿宋_GB2312"/>
      <w:sz w:val="24"/>
      <w:szCs w:val="24"/>
    </w:rPr>
  </w:style>
  <w:style w:type="paragraph" w:customStyle="1" w:styleId="163">
    <w:name w:val="xl3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4">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165">
    <w:name w:val="引用 字符"/>
    <w:basedOn w:val="51"/>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7">
    <w:name w:val="小标题2"/>
    <w:basedOn w:val="1"/>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69">
    <w:name w:val="TOC 标题1"/>
    <w:basedOn w:val="3"/>
    <w:next w:val="1"/>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70">
    <w:name w:val="CM27"/>
    <w:basedOn w:val="171"/>
    <w:next w:val="171"/>
    <w:qFormat/>
    <w:uiPriority w:val="0"/>
    <w:pPr>
      <w:spacing w:after="718"/>
    </w:pPr>
    <w:rPr>
      <w:rFonts w:cs="Sim Hei+ 2"/>
      <w:color w:val="auto"/>
    </w:rPr>
  </w:style>
  <w:style w:type="paragraph" w:customStyle="1" w:styleId="17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3">
    <w:name w:val="日期1"/>
    <w:basedOn w:val="1"/>
    <w:next w:val="1"/>
    <w:qFormat/>
    <w:uiPriority w:val="0"/>
    <w:pPr>
      <w:adjustRightInd w:val="0"/>
      <w:textAlignment w:val="baseline"/>
    </w:pPr>
    <w:rPr>
      <w:rFonts w:ascii="宋体"/>
      <w:kern w:val="0"/>
      <w:sz w:val="24"/>
    </w:rPr>
  </w:style>
  <w:style w:type="paragraph" w:customStyle="1" w:styleId="174">
    <w:name w:val="font5"/>
    <w:basedOn w:val="1"/>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5">
    <w:name w:val="表格文字"/>
    <w:basedOn w:val="1"/>
    <w:qFormat/>
    <w:uiPriority w:val="0"/>
    <w:pPr>
      <w:adjustRightInd w:val="0"/>
      <w:spacing w:line="420" w:lineRule="atLeast"/>
      <w:jc w:val="left"/>
      <w:textAlignment w:val="baseline"/>
    </w:pPr>
    <w:rPr>
      <w:kern w:val="0"/>
    </w:rPr>
  </w:style>
  <w:style w:type="paragraph" w:customStyle="1" w:styleId="176">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8">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79">
    <w:name w:val="xl3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80">
    <w:name w:val="中文表内容"/>
    <w:basedOn w:val="1"/>
    <w:next w:val="1"/>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81">
    <w:name w:val="Char2 Char Char Char Char Char Char"/>
    <w:basedOn w:val="18"/>
    <w:qFormat/>
    <w:uiPriority w:val="0"/>
    <w:rPr>
      <w:rFonts w:ascii="Tahoma" w:hAnsi="Tahoma"/>
      <w:sz w:val="24"/>
    </w:rPr>
  </w:style>
  <w:style w:type="paragraph" w:customStyle="1" w:styleId="18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4">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5">
    <w:name w:val="表格标题"/>
    <w:basedOn w:val="1"/>
    <w:next w:val="178"/>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7">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8">
    <w:name w:val="章标题"/>
    <w:next w:val="1"/>
    <w:qFormat/>
    <w:uiPriority w:val="0"/>
    <w:pPr>
      <w:numPr>
        <w:ilvl w:val="0"/>
        <w:numId w:val="6"/>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89">
    <w:name w:val="font0"/>
    <w:basedOn w:val="1"/>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90">
    <w:name w:val="二级无"/>
    <w:basedOn w:val="191"/>
    <w:qFormat/>
    <w:uiPriority w:val="0"/>
    <w:pPr>
      <w:spacing w:before="0" w:beforeLines="0" w:after="0" w:afterLines="0"/>
      <w:ind w:left="0"/>
    </w:pPr>
    <w:rPr>
      <w:rFonts w:ascii="宋体" w:eastAsia="宋体"/>
    </w:rPr>
  </w:style>
  <w:style w:type="paragraph" w:customStyle="1" w:styleId="191">
    <w:name w:val="二级条标题"/>
    <w:basedOn w:val="192"/>
    <w:next w:val="1"/>
    <w:qFormat/>
    <w:uiPriority w:val="0"/>
    <w:pPr>
      <w:numPr>
        <w:ilvl w:val="0"/>
        <w:numId w:val="0"/>
      </w:numPr>
      <w:spacing w:before="50" w:after="50"/>
      <w:ind w:left="840"/>
      <w:outlineLvl w:val="3"/>
    </w:pPr>
  </w:style>
  <w:style w:type="paragraph" w:customStyle="1" w:styleId="192">
    <w:name w:val="一级条标题"/>
    <w:next w:val="1"/>
    <w:qFormat/>
    <w:uiPriority w:val="0"/>
    <w:pPr>
      <w:numPr>
        <w:ilvl w:val="1"/>
        <w:numId w:val="6"/>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3">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195">
    <w:name w:val="编号"/>
    <w:basedOn w:val="1"/>
    <w:next w:val="1"/>
    <w:qFormat/>
    <w:uiPriority w:val="0"/>
    <w:pPr>
      <w:tabs>
        <w:tab w:val="left" w:pos="480"/>
      </w:tabs>
      <w:spacing w:line="360" w:lineRule="auto"/>
      <w:ind w:left="200" w:hanging="200" w:hangingChars="200"/>
    </w:pPr>
    <w:rPr>
      <w:rFonts w:ascii="宋体"/>
      <w:sz w:val="24"/>
      <w:szCs w:val="24"/>
    </w:rPr>
  </w:style>
  <w:style w:type="paragraph" w:customStyle="1" w:styleId="196">
    <w:name w:val="目录"/>
    <w:basedOn w:val="1"/>
    <w:qFormat/>
    <w:uiPriority w:val="0"/>
    <w:pPr>
      <w:widowControl/>
      <w:jc w:val="center"/>
    </w:pPr>
    <w:rPr>
      <w:rFonts w:ascii="宋体"/>
      <w:b/>
      <w:kern w:val="0"/>
      <w:sz w:val="36"/>
    </w:rPr>
  </w:style>
  <w:style w:type="paragraph" w:customStyle="1" w:styleId="197">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rPr>
  </w:style>
  <w:style w:type="paragraph" w:customStyle="1" w:styleId="198">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99">
    <w:name w:val="font6"/>
    <w:basedOn w:val="1"/>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20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01">
    <w:name w:val="三级条标题"/>
    <w:basedOn w:val="191"/>
    <w:next w:val="1"/>
    <w:qFormat/>
    <w:uiPriority w:val="0"/>
    <w:pPr>
      <w:numPr>
        <w:ilvl w:val="3"/>
      </w:numPr>
      <w:ind w:left="840"/>
      <w:outlineLvl w:val="4"/>
    </w:pPr>
  </w:style>
  <w:style w:type="paragraph" w:customStyle="1" w:styleId="202">
    <w:name w:val="正文 A"/>
    <w:qFormat/>
    <w:uiPriority w:val="99"/>
    <w:pPr>
      <w:widowControl w:val="0"/>
      <w:jc w:val="both"/>
    </w:pPr>
    <w:rPr>
      <w:rFonts w:ascii="Times New Roman" w:hAnsi="Times New Roman" w:eastAsia="宋体" w:cs="Times New Roman"/>
      <w:color w:val="000000"/>
      <w:kern w:val="2"/>
      <w:sz w:val="21"/>
      <w:lang w:val="en-US" w:eastAsia="zh-CN" w:bidi="ar-SA"/>
    </w:rPr>
  </w:style>
  <w:style w:type="paragraph" w:customStyle="1" w:styleId="203">
    <w:name w:val="修订1"/>
    <w:qFormat/>
    <w:uiPriority w:val="0"/>
    <w:rPr>
      <w:rFonts w:ascii="Times New Roman" w:hAnsi="Times New Roman" w:eastAsia="宋体" w:cs="Times New Roman"/>
      <w:kern w:val="2"/>
      <w:sz w:val="21"/>
      <w:szCs w:val="24"/>
      <w:lang w:val="en-US" w:eastAsia="zh-CN" w:bidi="ar-SA"/>
    </w:rPr>
  </w:style>
  <w:style w:type="paragraph" w:customStyle="1" w:styleId="204">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5">
    <w:name w:val="Absatz2AL"/>
    <w:basedOn w:val="23"/>
    <w:next w:val="1"/>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6">
    <w:name w:val="默认段落字体 Para Char Char Char Char Char"/>
    <w:basedOn w:val="1"/>
    <w:qFormat/>
    <w:uiPriority w:val="0"/>
    <w:rPr>
      <w:szCs w:val="21"/>
    </w:rPr>
  </w:style>
  <w:style w:type="paragraph" w:customStyle="1" w:styleId="207">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08">
    <w:name w:val="样式 标题 3 + (中文) 黑体 小四 非加粗 段前: 7.8 磅 段后: 0 磅 行距: 固定值 20 磅"/>
    <w:basedOn w:val="5"/>
    <w:qFormat/>
    <w:uiPriority w:val="0"/>
    <w:pPr>
      <w:tabs>
        <w:tab w:val="left" w:pos="1575"/>
      </w:tabs>
      <w:spacing w:before="0" w:after="0" w:line="400" w:lineRule="exact"/>
      <w:jc w:val="both"/>
    </w:pPr>
    <w:rPr>
      <w:rFonts w:ascii="Times New Roman" w:hAnsi="Times New Roman" w:cs="宋体"/>
      <w:b w:val="0"/>
      <w:bCs w:val="0"/>
      <w:szCs w:val="20"/>
    </w:rPr>
  </w:style>
  <w:style w:type="paragraph" w:customStyle="1" w:styleId="209">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210">
    <w:name w:val="Char Char Char Char"/>
    <w:basedOn w:val="1"/>
    <w:qFormat/>
    <w:uiPriority w:val="0"/>
    <w:pPr>
      <w:spacing w:line="240" w:lineRule="atLeast"/>
      <w:ind w:left="420" w:firstLine="420"/>
    </w:pPr>
    <w:rPr>
      <w:kern w:val="0"/>
      <w:szCs w:val="21"/>
    </w:rPr>
  </w:style>
  <w:style w:type="character" w:customStyle="1" w:styleId="211">
    <w:name w:val="明显引用 字符"/>
    <w:basedOn w:val="51"/>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12">
    <w:name w:val="xl3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4">
    <w:name w:val="中文正文"/>
    <w:basedOn w:val="1"/>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5">
    <w:name w:val="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6">
    <w:name w:val="xl3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7">
    <w:name w:val="文档结构图1"/>
    <w:basedOn w:val="1"/>
    <w:qFormat/>
    <w:uiPriority w:val="0"/>
    <w:pPr>
      <w:shd w:val="clear" w:color="auto" w:fill="000080"/>
      <w:adjustRightInd w:val="0"/>
      <w:textAlignment w:val="baseline"/>
    </w:pPr>
    <w:rPr>
      <w:rFonts w:ascii="楷体_GB2312" w:eastAsia="楷体_GB2312"/>
      <w:kern w:val="0"/>
      <w:sz w:val="28"/>
    </w:rPr>
  </w:style>
  <w:style w:type="paragraph" w:customStyle="1" w:styleId="218">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19">
    <w:name w:val="目录文字"/>
    <w:basedOn w:val="1"/>
    <w:qFormat/>
    <w:uiPriority w:val="0"/>
    <w:pPr>
      <w:widowControl/>
      <w:spacing w:line="480" w:lineRule="auto"/>
      <w:jc w:val="left"/>
    </w:pPr>
    <w:rPr>
      <w:rFonts w:ascii="宋体" w:hAnsi="宋体"/>
      <w:kern w:val="0"/>
      <w:sz w:val="24"/>
    </w:rPr>
  </w:style>
  <w:style w:type="paragraph" w:customStyle="1" w:styleId="220">
    <w:name w:val="数字编号列项（二级）"/>
    <w:qFormat/>
    <w:uiPriority w:val="0"/>
    <w:pPr>
      <w:numPr>
        <w:ilvl w:val="1"/>
        <w:numId w:val="7"/>
      </w:numPr>
      <w:jc w:val="both"/>
    </w:pPr>
    <w:rPr>
      <w:rFonts w:ascii="宋体" w:hAnsi="Times New Roman" w:eastAsia="宋体" w:cs="Times New Roman"/>
      <w:sz w:val="21"/>
      <w:lang w:val="en-US" w:eastAsia="zh-CN" w:bidi="ar-SA"/>
    </w:rPr>
  </w:style>
  <w:style w:type="paragraph" w:customStyle="1" w:styleId="221">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22">
    <w:name w:val="正文文本 21"/>
    <w:basedOn w:val="1"/>
    <w:qFormat/>
    <w:uiPriority w:val="0"/>
    <w:pPr>
      <w:adjustRightInd w:val="0"/>
      <w:spacing w:line="360" w:lineRule="atLeast"/>
      <w:ind w:firstLine="720"/>
      <w:textAlignment w:val="baseline"/>
    </w:pPr>
    <w:rPr>
      <w:rFonts w:ascii="宋体"/>
      <w:kern w:val="0"/>
      <w:sz w:val="28"/>
    </w:rPr>
  </w:style>
  <w:style w:type="paragraph" w:customStyle="1" w:styleId="22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4">
    <w:name w:val="xl4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5">
    <w:name w:val="编号列项（三级）"/>
    <w:qFormat/>
    <w:uiPriority w:val="0"/>
    <w:pPr>
      <w:numPr>
        <w:ilvl w:val="2"/>
        <w:numId w:val="7"/>
      </w:numPr>
    </w:pPr>
    <w:rPr>
      <w:rFonts w:ascii="宋体" w:hAnsi="Times New Roman" w:eastAsia="宋体" w:cs="Times New Roman"/>
      <w:sz w:val="21"/>
      <w:lang w:val="en-US" w:eastAsia="zh-CN" w:bidi="ar-SA"/>
    </w:rPr>
  </w:style>
  <w:style w:type="paragraph" w:customStyle="1" w:styleId="226">
    <w:name w:val="7"/>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7">
    <w:name w:val="项目符号2"/>
    <w:basedOn w:val="1"/>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8">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29">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1">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2">
    <w:name w:val="Char12"/>
    <w:basedOn w:val="1"/>
    <w:qFormat/>
    <w:uiPriority w:val="0"/>
  </w:style>
  <w:style w:type="paragraph" w:customStyle="1" w:styleId="233">
    <w:name w:val="表格"/>
    <w:basedOn w:val="1"/>
    <w:qFormat/>
    <w:uiPriority w:val="0"/>
    <w:pPr>
      <w:tabs>
        <w:tab w:val="left" w:pos="1200"/>
      </w:tabs>
      <w:spacing w:line="500" w:lineRule="exact"/>
      <w:jc w:val="center"/>
    </w:pPr>
    <w:rPr>
      <w:rFonts w:ascii="宋体"/>
      <w:sz w:val="24"/>
      <w:szCs w:val="18"/>
    </w:rPr>
  </w:style>
  <w:style w:type="paragraph" w:customStyle="1" w:styleId="234">
    <w:name w:val="正文文本缩进 31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35">
    <w:name w:val="1"/>
    <w:basedOn w:val="1"/>
    <w:next w:val="25"/>
    <w:qFormat/>
    <w:uiPriority w:val="0"/>
    <w:pPr>
      <w:adjustRightInd w:val="0"/>
      <w:ind w:left="420" w:right="33"/>
      <w:jc w:val="left"/>
      <w:textAlignment w:val="baseline"/>
    </w:pPr>
    <w:rPr>
      <w:kern w:val="0"/>
      <w:sz w:val="24"/>
    </w:rPr>
  </w:style>
  <w:style w:type="paragraph" w:customStyle="1" w:styleId="23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styleId="237">
    <w:name w:val="No Spacing"/>
    <w:link w:val="284"/>
    <w:qFormat/>
    <w:uiPriority w:val="1"/>
    <w:pPr>
      <w:widowControl w:val="0"/>
      <w:jc w:val="both"/>
    </w:pPr>
    <w:rPr>
      <w:rFonts w:ascii="Calibri" w:hAnsi="Calibri" w:eastAsia="宋体" w:cs="Times New Roman"/>
      <w:kern w:val="2"/>
      <w:sz w:val="21"/>
      <w:szCs w:val="22"/>
      <w:lang w:val="en-US" w:eastAsia="zh-CN" w:bidi="ar-SA"/>
    </w:rPr>
  </w:style>
  <w:style w:type="paragraph" w:customStyle="1" w:styleId="23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39">
    <w:name w:val="Char Char Char Char Char Char Char Char Char Char Char Char"/>
    <w:basedOn w:val="1"/>
    <w:qFormat/>
    <w:uiPriority w:val="0"/>
    <w:pPr>
      <w:spacing w:line="240" w:lineRule="atLeast"/>
      <w:ind w:left="420" w:firstLine="420"/>
    </w:pPr>
    <w:rPr>
      <w:kern w:val="0"/>
      <w:szCs w:val="21"/>
    </w:rPr>
  </w:style>
  <w:style w:type="paragraph" w:customStyle="1" w:styleId="240">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1">
    <w:name w:val="_Style 27"/>
    <w:basedOn w:val="1"/>
    <w:next w:val="25"/>
    <w:qFormat/>
    <w:uiPriority w:val="0"/>
    <w:pPr>
      <w:adjustRightInd w:val="0"/>
      <w:ind w:left="420" w:right="33"/>
      <w:jc w:val="left"/>
      <w:textAlignment w:val="baseline"/>
    </w:pPr>
    <w:rPr>
      <w:kern w:val="0"/>
      <w:sz w:val="24"/>
    </w:rPr>
  </w:style>
  <w:style w:type="paragraph" w:customStyle="1" w:styleId="242">
    <w:name w:val="正文文本 211"/>
    <w:basedOn w:val="1"/>
    <w:qFormat/>
    <w:uiPriority w:val="0"/>
    <w:pPr>
      <w:adjustRightInd w:val="0"/>
      <w:spacing w:line="500" w:lineRule="exact"/>
      <w:ind w:firstLine="540" w:firstLineChars="200"/>
      <w:textAlignment w:val="baseline"/>
    </w:pPr>
    <w:rPr>
      <w:rFonts w:eastAsia="楷体_GB2312"/>
      <w:kern w:val="0"/>
      <w:sz w:val="28"/>
    </w:rPr>
  </w:style>
  <w:style w:type="paragraph" w:customStyle="1" w:styleId="243">
    <w:name w:val="Char Char Char Char1"/>
    <w:basedOn w:val="1"/>
    <w:qFormat/>
    <w:uiPriority w:val="0"/>
    <w:pPr>
      <w:spacing w:line="240" w:lineRule="atLeast"/>
      <w:ind w:left="420" w:firstLine="420"/>
    </w:pPr>
    <w:rPr>
      <w:kern w:val="0"/>
      <w:szCs w:val="21"/>
    </w:rPr>
  </w:style>
  <w:style w:type="paragraph" w:customStyle="1" w:styleId="244">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5">
    <w:name w:val="CM8"/>
    <w:basedOn w:val="171"/>
    <w:next w:val="171"/>
    <w:qFormat/>
    <w:uiPriority w:val="0"/>
    <w:pPr>
      <w:spacing w:line="500" w:lineRule="atLeast"/>
    </w:pPr>
    <w:rPr>
      <w:rFonts w:cs="Sim Hei+ 2"/>
      <w:color w:val="auto"/>
    </w:rPr>
  </w:style>
  <w:style w:type="paragraph" w:customStyle="1" w:styleId="24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7">
    <w:name w:val="文档结构图11"/>
    <w:basedOn w:val="1"/>
    <w:qFormat/>
    <w:uiPriority w:val="0"/>
    <w:pPr>
      <w:shd w:val="clear" w:color="auto" w:fill="000080"/>
      <w:adjustRightInd w:val="0"/>
      <w:textAlignment w:val="baseline"/>
    </w:pPr>
    <w:rPr>
      <w:rFonts w:ascii="楷体_GB2312" w:eastAsia="楷体_GB2312"/>
      <w:kern w:val="0"/>
      <w:sz w:val="28"/>
    </w:rPr>
  </w:style>
  <w:style w:type="paragraph" w:customStyle="1" w:styleId="248">
    <w:name w:val="列表段落1"/>
    <w:basedOn w:val="1"/>
    <w:qFormat/>
    <w:uiPriority w:val="0"/>
    <w:pPr>
      <w:ind w:firstLine="420" w:firstLineChars="200"/>
    </w:pPr>
    <w:rPr>
      <w:rFonts w:ascii="宋体" w:hAnsi="宋体"/>
      <w:szCs w:val="24"/>
    </w:rPr>
  </w:style>
  <w:style w:type="paragraph" w:customStyle="1" w:styleId="249">
    <w:name w:val="Char Char Char"/>
    <w:basedOn w:val="1"/>
    <w:qFormat/>
    <w:uiPriority w:val="0"/>
    <w:rPr>
      <w:rFonts w:ascii="Tahoma" w:hAnsi="Tahoma"/>
      <w:sz w:val="24"/>
    </w:rPr>
  </w:style>
  <w:style w:type="paragraph" w:customStyle="1" w:styleId="250">
    <w:name w:val="Char Char Char Char Char Char Char Char Char Char Char Char1"/>
    <w:basedOn w:val="1"/>
    <w:qFormat/>
    <w:uiPriority w:val="0"/>
    <w:pPr>
      <w:spacing w:line="240" w:lineRule="atLeast"/>
      <w:ind w:left="420" w:firstLine="420"/>
    </w:pPr>
    <w:rPr>
      <w:kern w:val="0"/>
      <w:szCs w:val="21"/>
    </w:rPr>
  </w:style>
  <w:style w:type="paragraph" w:customStyle="1" w:styleId="251">
    <w:name w:val="横表格"/>
    <w:basedOn w:val="1"/>
    <w:qFormat/>
    <w:uiPriority w:val="0"/>
    <w:pPr>
      <w:tabs>
        <w:tab w:val="left" w:pos="1200"/>
      </w:tabs>
      <w:spacing w:line="360" w:lineRule="exact"/>
      <w:ind w:right="-41" w:rightChars="-41"/>
      <w:jc w:val="center"/>
    </w:pPr>
    <w:rPr>
      <w:rFonts w:ascii="宋体"/>
      <w:sz w:val="24"/>
      <w:szCs w:val="24"/>
    </w:rPr>
  </w:style>
  <w:style w:type="paragraph" w:customStyle="1" w:styleId="252">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3">
    <w:name w:val="样式1"/>
    <w:basedOn w:val="19"/>
    <w:qFormat/>
    <w:uiPriority w:val="0"/>
    <w:pPr>
      <w:spacing w:line="360" w:lineRule="auto"/>
    </w:pPr>
    <w:rPr>
      <w:rFonts w:cs="Times New Roman"/>
      <w:szCs w:val="20"/>
    </w:rPr>
  </w:style>
  <w:style w:type="paragraph" w:customStyle="1" w:styleId="254">
    <w:name w:val="五级条标题"/>
    <w:basedOn w:val="255"/>
    <w:next w:val="1"/>
    <w:qFormat/>
    <w:uiPriority w:val="0"/>
    <w:pPr>
      <w:numPr>
        <w:ilvl w:val="5"/>
      </w:numPr>
      <w:ind w:left="840"/>
      <w:outlineLvl w:val="6"/>
    </w:pPr>
  </w:style>
  <w:style w:type="paragraph" w:customStyle="1" w:styleId="255">
    <w:name w:val="四级条标题"/>
    <w:basedOn w:val="201"/>
    <w:next w:val="1"/>
    <w:qFormat/>
    <w:uiPriority w:val="0"/>
    <w:pPr>
      <w:numPr>
        <w:ilvl w:val="4"/>
      </w:numPr>
      <w:ind w:left="840"/>
      <w:outlineLvl w:val="5"/>
    </w:pPr>
  </w:style>
  <w:style w:type="paragraph" w:customStyle="1" w:styleId="256">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7">
    <w:name w:val="日期11"/>
    <w:basedOn w:val="1"/>
    <w:next w:val="1"/>
    <w:qFormat/>
    <w:uiPriority w:val="0"/>
    <w:pPr>
      <w:adjustRightInd w:val="0"/>
      <w:textAlignment w:val="baseline"/>
    </w:pPr>
    <w:rPr>
      <w:rFonts w:ascii="宋体"/>
      <w:kern w:val="0"/>
      <w:sz w:val="24"/>
    </w:rPr>
  </w:style>
  <w:style w:type="paragraph" w:customStyle="1" w:styleId="258">
    <w:name w:val="正文文本缩进 21"/>
    <w:basedOn w:val="1"/>
    <w:qFormat/>
    <w:uiPriority w:val="0"/>
    <w:pPr>
      <w:adjustRightInd w:val="0"/>
      <w:spacing w:line="360" w:lineRule="atLeast"/>
      <w:ind w:firstLine="502"/>
      <w:textAlignment w:val="baseline"/>
    </w:pPr>
    <w:rPr>
      <w:rFonts w:ascii="宋体"/>
      <w:kern w:val="0"/>
      <w:sz w:val="28"/>
    </w:rPr>
  </w:style>
  <w:style w:type="paragraph" w:customStyle="1" w:styleId="259">
    <w:name w:val="xl51"/>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6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61">
    <w:name w:val="字母编号列项（一级）"/>
    <w:qFormat/>
    <w:uiPriority w:val="0"/>
    <w:pPr>
      <w:numPr>
        <w:ilvl w:val="0"/>
        <w:numId w:val="7"/>
      </w:numPr>
      <w:jc w:val="both"/>
    </w:pPr>
    <w:rPr>
      <w:rFonts w:ascii="宋体" w:hAnsi="Times New Roman" w:eastAsia="宋体" w:cs="Times New Roman"/>
      <w:sz w:val="21"/>
      <w:lang w:val="en-US" w:eastAsia="zh-CN" w:bidi="ar-SA"/>
    </w:rPr>
  </w:style>
  <w:style w:type="paragraph" w:customStyle="1" w:styleId="262">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3">
    <w:name w:val="CM24"/>
    <w:basedOn w:val="171"/>
    <w:next w:val="171"/>
    <w:qFormat/>
    <w:uiPriority w:val="0"/>
    <w:pPr>
      <w:spacing w:after="495"/>
    </w:pPr>
    <w:rPr>
      <w:rFonts w:cs="Sim Hei+ 2"/>
      <w:color w:val="auto"/>
    </w:rPr>
  </w:style>
  <w:style w:type="paragraph" w:customStyle="1" w:styleId="264">
    <w:name w:val="font7"/>
    <w:basedOn w:val="1"/>
    <w:qFormat/>
    <w:uiPriority w:val="0"/>
    <w:pPr>
      <w:widowControl/>
      <w:spacing w:before="100" w:beforeAutospacing="1" w:after="100" w:afterAutospacing="1"/>
      <w:ind w:firstLine="200" w:firstLineChars="200"/>
      <w:jc w:val="left"/>
    </w:pPr>
    <w:rPr>
      <w:kern w:val="0"/>
      <w:sz w:val="20"/>
    </w:rPr>
  </w:style>
  <w:style w:type="paragraph" w:customStyle="1" w:styleId="265">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6">
    <w:name w:val="三级无"/>
    <w:basedOn w:val="201"/>
    <w:qFormat/>
    <w:uiPriority w:val="0"/>
    <w:pPr>
      <w:numPr>
        <w:numId w:val="8"/>
      </w:numPr>
      <w:tabs>
        <w:tab w:val="left" w:pos="432"/>
        <w:tab w:val="left" w:pos="864"/>
      </w:tabs>
      <w:spacing w:before="0" w:beforeLines="0" w:after="0" w:afterLines="0"/>
    </w:pPr>
    <w:rPr>
      <w:rFonts w:ascii="宋体" w:eastAsia="宋体"/>
    </w:rPr>
  </w:style>
  <w:style w:type="paragraph" w:customStyle="1" w:styleId="26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69">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70">
    <w:name w:val="正文文本缩进 211"/>
    <w:basedOn w:val="1"/>
    <w:qFormat/>
    <w:uiPriority w:val="0"/>
    <w:pPr>
      <w:adjustRightInd w:val="0"/>
      <w:spacing w:line="360" w:lineRule="atLeast"/>
      <w:ind w:firstLine="502"/>
      <w:textAlignment w:val="baseline"/>
    </w:pPr>
    <w:rPr>
      <w:rFonts w:ascii="宋体"/>
      <w:kern w:val="0"/>
      <w:sz w:val="28"/>
    </w:rPr>
  </w:style>
  <w:style w:type="paragraph" w:customStyle="1" w:styleId="271">
    <w:name w:val="抬头"/>
    <w:basedOn w:val="1"/>
    <w:qFormat/>
    <w:uiPriority w:val="0"/>
    <w:pPr>
      <w:spacing w:beforeLines="50" w:line="360" w:lineRule="auto"/>
    </w:pPr>
    <w:rPr>
      <w:rFonts w:ascii="宋体"/>
      <w:sz w:val="24"/>
      <w:szCs w:val="24"/>
    </w:rPr>
  </w:style>
  <w:style w:type="character" w:customStyle="1" w:styleId="272">
    <w:name w:val="纯文本 Char1"/>
    <w:qFormat/>
    <w:uiPriority w:val="0"/>
    <w:rPr>
      <w:rFonts w:ascii="宋体" w:hAnsi="Times New Roman"/>
      <w:kern w:val="2"/>
      <w:sz w:val="21"/>
    </w:rPr>
  </w:style>
  <w:style w:type="character" w:customStyle="1" w:styleId="273">
    <w:name w:val="正文文本首行缩进 2 字符"/>
    <w:basedOn w:val="150"/>
    <w:semiHidden/>
    <w:qFormat/>
    <w:uiPriority w:val="99"/>
    <w:rPr>
      <w:rFonts w:ascii="Times New Roman" w:hAnsi="Times New Roman" w:eastAsia="宋体" w:cs="Times New Roman"/>
      <w:szCs w:val="20"/>
    </w:rPr>
  </w:style>
  <w:style w:type="paragraph" w:customStyle="1" w:styleId="274">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5">
    <w:name w:val="wj样式 + 首行缩进:  2 字符"/>
    <w:basedOn w:val="1"/>
    <w:qFormat/>
    <w:uiPriority w:val="0"/>
    <w:pPr>
      <w:spacing w:line="360" w:lineRule="auto"/>
      <w:ind w:firstLine="536" w:firstLineChars="200"/>
    </w:pPr>
    <w:rPr>
      <w:rFonts w:cs="宋体"/>
      <w:spacing w:val="14"/>
      <w:sz w:val="24"/>
    </w:rPr>
  </w:style>
  <w:style w:type="character" w:customStyle="1" w:styleId="276">
    <w:name w:val="Hyperlink.0"/>
    <w:qFormat/>
    <w:uiPriority w:val="0"/>
    <w:rPr>
      <w:rFonts w:ascii="宋体" w:hAnsi="宋体" w:eastAsia="宋体" w:cs="宋体"/>
      <w:sz w:val="24"/>
      <w:szCs w:val="24"/>
      <w:lang w:val="en-US"/>
    </w:rPr>
  </w:style>
  <w:style w:type="character" w:customStyle="1" w:styleId="277">
    <w:name w:val="Hyperlink.1"/>
    <w:qFormat/>
    <w:uiPriority w:val="0"/>
    <w:rPr>
      <w:rFonts w:ascii="宋体" w:hAnsi="宋体" w:eastAsia="宋体" w:cs="宋体"/>
      <w:sz w:val="24"/>
      <w:szCs w:val="24"/>
      <w:lang w:val="zh-TW" w:eastAsia="zh-TW"/>
    </w:rPr>
  </w:style>
  <w:style w:type="character" w:customStyle="1" w:styleId="278">
    <w:name w:val="无"/>
    <w:qFormat/>
    <w:uiPriority w:val="0"/>
  </w:style>
  <w:style w:type="character" w:customStyle="1" w:styleId="279">
    <w:name w:val="font11"/>
    <w:qFormat/>
    <w:uiPriority w:val="0"/>
    <w:rPr>
      <w:rFonts w:hint="eastAsia" w:ascii="宋体" w:hAnsi="宋体" w:eastAsia="宋体" w:cs="宋体"/>
      <w:color w:val="000000"/>
      <w:sz w:val="22"/>
      <w:szCs w:val="22"/>
      <w:u w:val="none"/>
    </w:rPr>
  </w:style>
  <w:style w:type="character" w:customStyle="1" w:styleId="280">
    <w:name w:val="font01"/>
    <w:qFormat/>
    <w:uiPriority w:val="0"/>
    <w:rPr>
      <w:rFonts w:ascii="Tahoma" w:hAnsi="Tahoma" w:eastAsia="Tahoma" w:cs="Tahoma"/>
      <w:color w:val="000000"/>
      <w:sz w:val="22"/>
      <w:szCs w:val="22"/>
      <w:u w:val="none"/>
    </w:rPr>
  </w:style>
  <w:style w:type="paragraph" w:customStyle="1" w:styleId="281">
    <w:name w:val="Plain Text2"/>
    <w:basedOn w:val="1"/>
    <w:qFormat/>
    <w:uiPriority w:val="0"/>
    <w:pPr>
      <w:adjustRightInd w:val="0"/>
      <w:spacing w:line="312" w:lineRule="atLeast"/>
      <w:textAlignment w:val="baseline"/>
    </w:pPr>
    <w:rPr>
      <w:rFonts w:ascii="宋体" w:hAnsi="Courier New"/>
      <w:sz w:val="20"/>
    </w:rPr>
  </w:style>
  <w:style w:type="character" w:customStyle="1" w:styleId="282">
    <w:name w:val="font21"/>
    <w:qFormat/>
    <w:uiPriority w:val="0"/>
    <w:rPr>
      <w:rFonts w:hint="eastAsia" w:ascii="宋体" w:hAnsi="宋体" w:eastAsia="宋体" w:cs="宋体"/>
      <w:b/>
      <w:color w:val="000000"/>
      <w:sz w:val="20"/>
      <w:szCs w:val="20"/>
      <w:u w:val="none"/>
    </w:rPr>
  </w:style>
  <w:style w:type="character" w:customStyle="1" w:styleId="283">
    <w:name w:val="font31"/>
    <w:qFormat/>
    <w:uiPriority w:val="0"/>
    <w:rPr>
      <w:rFonts w:hint="default" w:ascii="Times New Roman" w:hAnsi="Times New Roman" w:cs="Times New Roman"/>
      <w:b/>
      <w:color w:val="000000"/>
      <w:sz w:val="20"/>
      <w:szCs w:val="20"/>
      <w:u w:val="none"/>
    </w:rPr>
  </w:style>
  <w:style w:type="character" w:customStyle="1" w:styleId="284">
    <w:name w:val="无间隔 Char"/>
    <w:link w:val="237"/>
    <w:qFormat/>
    <w:locked/>
    <w:uiPriority w:val="1"/>
    <w:rPr>
      <w:rFonts w:ascii="Calibri" w:hAnsi="Calibri"/>
      <w:kern w:val="2"/>
      <w:sz w:val="21"/>
      <w:szCs w:val="22"/>
    </w:rPr>
  </w:style>
  <w:style w:type="paragraph" w:customStyle="1" w:styleId="285">
    <w:name w:val="正文（标准）"/>
    <w:basedOn w:val="1"/>
    <w:next w:val="1"/>
    <w:semiHidden/>
    <w:qFormat/>
    <w:uiPriority w:val="0"/>
    <w:pPr>
      <w:spacing w:line="560" w:lineRule="exact"/>
      <w:ind w:firstLine="525"/>
    </w:pPr>
    <w:rPr>
      <w:rFonts w:ascii="宋体" w:hAnsi="宋体" w:eastAsia="仿宋_GB2312" w:cs="宋体"/>
      <w:sz w:val="28"/>
      <w:szCs w:val="28"/>
    </w:rPr>
  </w:style>
  <w:style w:type="table" w:customStyle="1" w:styleId="286">
    <w:name w:val="Table Normal"/>
    <w:semiHidden/>
    <w:unhideWhenUsed/>
    <w:qFormat/>
    <w:uiPriority w:val="0"/>
    <w:tblPr>
      <w:tblCellMar>
        <w:top w:w="0" w:type="dxa"/>
        <w:left w:w="0" w:type="dxa"/>
        <w:bottom w:w="0" w:type="dxa"/>
        <w:right w:w="0" w:type="dxa"/>
      </w:tblCellMar>
    </w:tblPr>
  </w:style>
  <w:style w:type="paragraph" w:customStyle="1" w:styleId="287">
    <w:name w:val="Table Text"/>
    <w:basedOn w:val="1"/>
    <w:semiHidden/>
    <w:qFormat/>
    <w:uiPriority w:val="0"/>
    <w:rPr>
      <w:rFonts w:ascii="Arial" w:hAnsi="Arial" w:eastAsia="Arial" w:cs="Arial"/>
      <w:sz w:val="21"/>
      <w:szCs w:val="21"/>
      <w:lang w:val="en-US" w:eastAsia="en-US" w:bidi="ar-SA"/>
    </w:rPr>
  </w:style>
  <w:style w:type="character" w:customStyle="1" w:styleId="288">
    <w:name w:val="10"/>
    <w:unhideWhenUsed/>
    <w:qFormat/>
    <w:uiPriority w:val="0"/>
    <w:rPr>
      <w:rFonts w:hint="default" w:ascii="Times New Roman" w:hAnsi="Wingdings" w:eastAsia="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113</Pages>
  <Words>50291</Words>
  <Characters>52971</Characters>
  <Lines>155</Lines>
  <Paragraphs>43</Paragraphs>
  <TotalTime>12</TotalTime>
  <ScaleCrop>false</ScaleCrop>
  <LinksUpToDate>false</LinksUpToDate>
  <CharactersWithSpaces>55650</CharactersWithSpaces>
  <Application>WPS Office_12.1.3.29176_F1E327BC-269C-435d-A152-05C5408002CA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2023-08-30T07:09:00Z</dcterms:created>
  <dc:creator>马 俊松</dc:creator>
  <cp:lastModifiedBy>企业用户_1203882377</cp:lastModifiedBy>
  <cp:lastPrinted>2025-07-26T08:40:00Z</cp:lastPrinted>
  <dcterms:modified xsi:type="dcterms:W3CDTF">2026-10-26T22:36:40Z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2052-12.1.3.29176</vt:lpwstr>
  </property>
  <property fmtid="{D5CDD505-2E9C-101B-9397-08002B2CF9AE}" pid="3" name="ICV">
    <vt:lpwstr>880B040EDCA64F558A40B9B9C7ED477D_13</vt:lpwstr>
  </property>
  <property fmtid="{D5CDD505-2E9C-101B-9397-08002B2CF9AE}" pid="4" name="KSOTemplateDocerSaveRecord">
    <vt:lpwstr>eyJoZGlkIjoiMTRhYTAzOTEyMTU5Y2E4YzgyMDQzMDdkNzY0OWNiY2IiLCJ1c2VySWQiOiIxNzEwMjgxNDc3In0=</vt:lpwstr>
  </property>
</Properties>
</file>