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39B3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77" w:lineRule="auto"/>
        <w:jc w:val="left"/>
        <w:textAlignment w:val="auto"/>
        <w:rPr>
          <w:rFonts w:hint="default" w:ascii="Times New Roman" w:hAnsi="Times New Roman" w:eastAsia="方正仿宋_GBK" w:cs="Times New Roman"/>
          <w:b w:val="0"/>
          <w:bCs/>
          <w:kern w:val="2"/>
          <w:sz w:val="32"/>
          <w:szCs w:val="32"/>
          <w:highlight w:val="none"/>
          <w:lang w:val="en-US" w:eastAsia="zh-CN" w:bidi="ar-SA"/>
        </w:rPr>
      </w:pPr>
      <w:bookmarkStart w:id="2" w:name="_GoBack"/>
      <w:bookmarkEnd w:id="2"/>
      <w:bookmarkStart w:id="0" w:name="_Toc191374454"/>
      <w:bookmarkStart w:id="1" w:name="_Toc86124101"/>
      <w:r>
        <w:rPr>
          <w:rFonts w:hint="default" w:ascii="Times New Roman" w:hAnsi="Times New Roman" w:eastAsia="方正仿宋_GBK" w:cs="Times New Roman"/>
          <w:b w:val="0"/>
          <w:bCs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方正仿宋_GBK" w:cs="Times New Roman"/>
          <w:b w:val="0"/>
          <w:bCs/>
          <w:kern w:val="2"/>
          <w:sz w:val="32"/>
          <w:szCs w:val="32"/>
          <w:highlight w:val="none"/>
          <w:lang w:val="en-US" w:eastAsia="zh-CN" w:bidi="ar-SA"/>
        </w:rPr>
        <w:t>三</w:t>
      </w:r>
      <w:r>
        <w:rPr>
          <w:rFonts w:hint="default" w:ascii="Times New Roman" w:hAnsi="Times New Roman" w:eastAsia="方正仿宋_GBK" w:cs="Times New Roman"/>
          <w:b w:val="0"/>
          <w:bCs/>
          <w:kern w:val="2"/>
          <w:sz w:val="32"/>
          <w:szCs w:val="32"/>
          <w:highlight w:val="none"/>
          <w:lang w:val="en-US" w:eastAsia="zh-CN" w:bidi="ar-SA"/>
        </w:rPr>
        <w:t>：综合评分明细</w:t>
      </w:r>
    </w:p>
    <w:bookmarkEnd w:id="0"/>
    <w:bookmarkEnd w:id="1"/>
    <w:tbl>
      <w:tblPr>
        <w:tblStyle w:val="10"/>
        <w:tblW w:w="10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685"/>
        <w:gridCol w:w="7553"/>
        <w:gridCol w:w="410"/>
      </w:tblGrid>
      <w:tr w14:paraId="7356B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1451" w:type="dxa"/>
            <w:vMerge w:val="restart"/>
            <w:vAlign w:val="center"/>
          </w:tcPr>
          <w:p w14:paraId="2C3ED3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8238" w:type="dxa"/>
            <w:gridSpan w:val="2"/>
            <w:vAlign w:val="center"/>
          </w:tcPr>
          <w:p w14:paraId="7BDBA4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  <w:tc>
          <w:tcPr>
            <w:tcW w:w="410" w:type="dxa"/>
            <w:vMerge w:val="restart"/>
            <w:vAlign w:val="center"/>
          </w:tcPr>
          <w:p w14:paraId="0B1DC6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454C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451" w:type="dxa"/>
            <w:vMerge w:val="continue"/>
            <w:vAlign w:val="center"/>
          </w:tcPr>
          <w:p w14:paraId="1524D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85" w:type="dxa"/>
            <w:vAlign w:val="center"/>
          </w:tcPr>
          <w:p w14:paraId="3E37A7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7553" w:type="dxa"/>
            <w:vAlign w:val="center"/>
          </w:tcPr>
          <w:p w14:paraId="7A2A64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细则</w:t>
            </w:r>
          </w:p>
        </w:tc>
        <w:tc>
          <w:tcPr>
            <w:tcW w:w="410" w:type="dxa"/>
            <w:vMerge w:val="continue"/>
            <w:vAlign w:val="center"/>
          </w:tcPr>
          <w:p w14:paraId="5307CA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8A6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0099" w:type="dxa"/>
            <w:gridSpan w:val="4"/>
            <w:vAlign w:val="center"/>
          </w:tcPr>
          <w:p w14:paraId="2D2111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F1报价部分（50分）</w:t>
            </w:r>
          </w:p>
        </w:tc>
      </w:tr>
      <w:tr w14:paraId="0C6BD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  <w:jc w:val="center"/>
        </w:trPr>
        <w:tc>
          <w:tcPr>
            <w:tcW w:w="1451" w:type="dxa"/>
            <w:vAlign w:val="center"/>
          </w:tcPr>
          <w:p w14:paraId="1F32A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报价部分</w:t>
            </w:r>
          </w:p>
        </w:tc>
        <w:tc>
          <w:tcPr>
            <w:tcW w:w="685" w:type="dxa"/>
            <w:vAlign w:val="center"/>
          </w:tcPr>
          <w:p w14:paraId="114CC4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50分</w:t>
            </w:r>
          </w:p>
        </w:tc>
        <w:tc>
          <w:tcPr>
            <w:tcW w:w="7553" w:type="dxa"/>
            <w:vAlign w:val="center"/>
          </w:tcPr>
          <w:p w14:paraId="258307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当最终报价等于评标基准价时得报价基本分40分；</w:t>
            </w:r>
          </w:p>
          <w:p w14:paraId="7CC906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最终总报价低于评标基准价10%（含10%）以内，在报价基本分的基础上，每低于评标基准价1%加1分，最多得满分；低于评标基准价10%以外，从满分起扣，每超1%扣1分，扣完为止；</w:t>
            </w:r>
          </w:p>
          <w:p w14:paraId="39B8B8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高于评标基准价时，从基本分起扣，每高于评标基准价1%扣1分，扣完为止。按内插法计算。</w:t>
            </w:r>
          </w:p>
          <w:p w14:paraId="15C914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合格申请人数大于5家（含5家）时，评标基准价为去掉最高最终报价和最低最终报价后，其他申请人最终报价的算术平均值；合格申请人数少于5家时，评标基准价为申请人最终报价的算术平均值。注：增值税税率不一致时，以不含税价格作为报价评分依据。 </w:t>
            </w:r>
          </w:p>
        </w:tc>
        <w:tc>
          <w:tcPr>
            <w:tcW w:w="410" w:type="dxa"/>
            <w:vAlign w:val="center"/>
          </w:tcPr>
          <w:p w14:paraId="446C4E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A6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10099" w:type="dxa"/>
            <w:gridSpan w:val="4"/>
            <w:vAlign w:val="center"/>
          </w:tcPr>
          <w:p w14:paraId="4A2255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F2商务部分（10分）</w:t>
            </w:r>
          </w:p>
        </w:tc>
      </w:tr>
      <w:tr w14:paraId="36125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451" w:type="dxa"/>
            <w:vAlign w:val="center"/>
          </w:tcPr>
          <w:p w14:paraId="5094E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685" w:type="dxa"/>
            <w:vAlign w:val="center"/>
          </w:tcPr>
          <w:p w14:paraId="0B0913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7553" w:type="dxa"/>
            <w:vAlign w:val="center"/>
          </w:tcPr>
          <w:p w14:paraId="1616B3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  <w:tc>
          <w:tcPr>
            <w:tcW w:w="410" w:type="dxa"/>
            <w:vAlign w:val="center"/>
          </w:tcPr>
          <w:p w14:paraId="61F035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5CC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451" w:type="dxa"/>
            <w:vAlign w:val="center"/>
          </w:tcPr>
          <w:p w14:paraId="4C8D8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企业实力</w:t>
            </w:r>
          </w:p>
        </w:tc>
        <w:tc>
          <w:tcPr>
            <w:tcW w:w="685" w:type="dxa"/>
            <w:vAlign w:val="center"/>
          </w:tcPr>
          <w:p w14:paraId="215048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4分</w:t>
            </w:r>
          </w:p>
        </w:tc>
        <w:tc>
          <w:tcPr>
            <w:tcW w:w="7553" w:type="dxa"/>
            <w:vAlign w:val="center"/>
          </w:tcPr>
          <w:p w14:paraId="4FEB65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企业综合实力评审主要以投标单位的营业收入、获奖情况等因素进行横向比较后赋分：</w:t>
            </w:r>
          </w:p>
          <w:p w14:paraId="73D486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第一个档次（4分）：企业综合实力情况优的；</w:t>
            </w:r>
          </w:p>
          <w:p w14:paraId="7C98CC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第二个档次（2分）：企业综合实力情况好的；</w:t>
            </w:r>
          </w:p>
          <w:p w14:paraId="47587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第三个档次（1分）：企业综合实力情况一般的；</w:t>
            </w:r>
          </w:p>
          <w:p w14:paraId="08ED51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pacing w:line="300" w:lineRule="exact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  <w:t>第四个档次（0分）：企业综合实力情况差的。</w:t>
            </w:r>
          </w:p>
        </w:tc>
        <w:tc>
          <w:tcPr>
            <w:tcW w:w="410" w:type="dxa"/>
            <w:vAlign w:val="center"/>
          </w:tcPr>
          <w:p w14:paraId="24CEE3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E8E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451" w:type="dxa"/>
            <w:vAlign w:val="center"/>
          </w:tcPr>
          <w:p w14:paraId="678119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企业业绩</w:t>
            </w:r>
          </w:p>
        </w:tc>
        <w:tc>
          <w:tcPr>
            <w:tcW w:w="685" w:type="dxa"/>
            <w:vAlign w:val="center"/>
          </w:tcPr>
          <w:p w14:paraId="58038F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7553" w:type="dxa"/>
            <w:vAlign w:val="center"/>
          </w:tcPr>
          <w:p w14:paraId="69B932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pacing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pacing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满足资格要求的得3分。</w:t>
            </w:r>
          </w:p>
          <w:p w14:paraId="023C2A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pacing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申请人每增加一项满足资格要求的业绩加1分，最多得6分。</w:t>
            </w:r>
          </w:p>
        </w:tc>
        <w:tc>
          <w:tcPr>
            <w:tcW w:w="410" w:type="dxa"/>
            <w:vAlign w:val="center"/>
          </w:tcPr>
          <w:p w14:paraId="707A9E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0E6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099" w:type="dxa"/>
            <w:gridSpan w:val="4"/>
            <w:vAlign w:val="center"/>
          </w:tcPr>
          <w:p w14:paraId="6428B5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F3技术部分（40分）</w:t>
            </w:r>
          </w:p>
        </w:tc>
      </w:tr>
      <w:tr w14:paraId="4D34A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51" w:type="dxa"/>
            <w:vAlign w:val="center"/>
          </w:tcPr>
          <w:p w14:paraId="0E2B8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b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685" w:type="dxa"/>
            <w:vAlign w:val="center"/>
          </w:tcPr>
          <w:p w14:paraId="375C16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b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7553" w:type="dxa"/>
            <w:vAlign w:val="center"/>
          </w:tcPr>
          <w:p w14:paraId="65E30E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b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b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  <w:tc>
          <w:tcPr>
            <w:tcW w:w="410" w:type="dxa"/>
            <w:vAlign w:val="center"/>
          </w:tcPr>
          <w:p w14:paraId="51B3C0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b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CB0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  <w:jc w:val="center"/>
        </w:trPr>
        <w:tc>
          <w:tcPr>
            <w:tcW w:w="1451" w:type="dxa"/>
            <w:vAlign w:val="center"/>
          </w:tcPr>
          <w:p w14:paraId="01AD82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实施方案</w:t>
            </w:r>
          </w:p>
        </w:tc>
        <w:tc>
          <w:tcPr>
            <w:tcW w:w="685" w:type="dxa"/>
            <w:vAlign w:val="center"/>
          </w:tcPr>
          <w:p w14:paraId="1A66A3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7553" w:type="dxa"/>
            <w:vAlign w:val="center"/>
          </w:tcPr>
          <w:p w14:paraId="34724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第一档次（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-1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分）：</w:t>
            </w:r>
          </w:p>
          <w:p w14:paraId="68FD2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制作工艺描述详尽，选材及制作流程完全符合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采购人</w:t>
            </w: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已确定的标识标准及场站户外耐候性要求；安装施工组织科学合理，施工区域划分清晰，对正常生产办公秩序影响小；进度计划安排紧凑可行，各工序衔接顺畅；质量控制及验收标准明确，针对性强。</w:t>
            </w:r>
          </w:p>
          <w:p w14:paraId="3512F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第二档次（4-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分）：</w:t>
            </w:r>
          </w:p>
          <w:p w14:paraId="6B359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制作工艺描述基本完整，选材基本满足甲方已确定的标准要求；施工组织及安全管理措施基本可行；进度计划基本合理，但存在一定的瑕疵或衔接不够顺畅；质量控制措施一般，针对性不足。</w:t>
            </w:r>
          </w:p>
          <w:p w14:paraId="65268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第三档次（1-3分）：</w:t>
            </w:r>
          </w:p>
          <w:p w14:paraId="3AA0C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制作工艺描述模糊，选材不明确或不符合甲方确定的标准要求；施工组织混乱，缺乏必要的安全管理措施；进度计划不合理，缺乏可行性；无质量控制措施。</w:t>
            </w:r>
          </w:p>
          <w:p w14:paraId="094E4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未提供实施方案的不得分。</w:t>
            </w:r>
          </w:p>
        </w:tc>
        <w:tc>
          <w:tcPr>
            <w:tcW w:w="410" w:type="dxa"/>
            <w:vAlign w:val="center"/>
          </w:tcPr>
          <w:p w14:paraId="35746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 w:eastAsiaTheme="majorEastAsia"/>
                <w:b w:val="0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23D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  <w:jc w:val="center"/>
        </w:trPr>
        <w:tc>
          <w:tcPr>
            <w:tcW w:w="1451" w:type="dxa"/>
            <w:vAlign w:val="center"/>
          </w:tcPr>
          <w:p w14:paraId="1A8D8D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cs="Times New Roman" w:eastAsiaTheme="majorEastAsia"/>
                <w:snapToGrid/>
                <w:color w:val="000000" w:themeColor="text1"/>
                <w:sz w:val="20"/>
                <w:szCs w:val="20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项目组人员配置</w:t>
            </w:r>
          </w:p>
        </w:tc>
        <w:tc>
          <w:tcPr>
            <w:tcW w:w="685" w:type="dxa"/>
            <w:vAlign w:val="center"/>
          </w:tcPr>
          <w:p w14:paraId="7996D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pacing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7553" w:type="dxa"/>
            <w:vAlign w:val="center"/>
          </w:tcPr>
          <w:p w14:paraId="7011F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第一档次（8-10分）：项目负责人具备丰富的标识类项目施工管理经验，团队中配备经验丰富的安装技工（熟悉场站类作业环境及安全操作规程），人员分工明确、职责清晰，并能指定专人负责与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采购人</w:t>
            </w: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现场对接协调，确保安装工作高效有序推进。</w:t>
            </w:r>
          </w:p>
          <w:p w14:paraId="4CF62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第二档次（4-7分）：项目负责人具有同类项目管理经验，团队配置基本完整，安装人员能够满足项目主要要求，但经验或专业度一般。</w:t>
            </w:r>
          </w:p>
          <w:p w14:paraId="3CA8E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第三档次（1-3分）：项目负责人缺乏同类项目管理实施经验，团队配置不合理，缺乏专业安装人员。</w:t>
            </w:r>
          </w:p>
        </w:tc>
        <w:tc>
          <w:tcPr>
            <w:tcW w:w="410" w:type="dxa"/>
            <w:vAlign w:val="center"/>
          </w:tcPr>
          <w:p w14:paraId="09454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 w:eastAsiaTheme="majorEastAsia"/>
                <w:b w:val="0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7FC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9" w:hRule="atLeast"/>
          <w:jc w:val="center"/>
        </w:trPr>
        <w:tc>
          <w:tcPr>
            <w:tcW w:w="1451" w:type="dxa"/>
            <w:vAlign w:val="center"/>
          </w:tcPr>
          <w:p w14:paraId="42F60D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服务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期限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保障措施</w:t>
            </w:r>
          </w:p>
        </w:tc>
        <w:tc>
          <w:tcPr>
            <w:tcW w:w="685" w:type="dxa"/>
            <w:vAlign w:val="center"/>
          </w:tcPr>
          <w:p w14:paraId="30C0A9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10分</w:t>
            </w:r>
          </w:p>
        </w:tc>
        <w:tc>
          <w:tcPr>
            <w:tcW w:w="7553" w:type="dxa"/>
            <w:vAlign w:val="center"/>
          </w:tcPr>
          <w:p w14:paraId="17BF3D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textAlignment w:val="auto"/>
              <w:rPr>
                <w:rFonts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第一档次（8</w:t>
            </w:r>
            <w:r>
              <w:rPr>
                <w:rFonts w:hint="eastAsia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10分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报告提交时间优于</w:t>
            </w:r>
            <w:r>
              <w:rPr>
                <w:rFonts w:hint="eastAsia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询价文件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要求且有具体的违约责任承诺，质量保证措施具体且详细；</w:t>
            </w:r>
          </w:p>
          <w:p w14:paraId="06CC48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textAlignment w:val="auto"/>
              <w:rPr>
                <w:rFonts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第二档次（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4-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报告提交时间满足</w:t>
            </w:r>
            <w:r>
              <w:rPr>
                <w:rFonts w:hint="eastAsia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询价文件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要求且有违约责任承诺，有质量保证措施但不具体；</w:t>
            </w:r>
          </w:p>
          <w:p w14:paraId="683BBE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第三档次（1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-3分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报告提交时间满足</w:t>
            </w:r>
            <w:r>
              <w:rPr>
                <w:rFonts w:hint="eastAsia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询价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文件要求，但有重大缺漏，无违约责任承诺，无质量保证措施。</w:t>
            </w:r>
          </w:p>
        </w:tc>
        <w:tc>
          <w:tcPr>
            <w:tcW w:w="410" w:type="dxa"/>
            <w:vAlign w:val="center"/>
          </w:tcPr>
          <w:p w14:paraId="3B8F1D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 w:eastAsiaTheme="majorEastAsia"/>
                <w:b w:val="0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8F5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  <w:jc w:val="center"/>
        </w:trPr>
        <w:tc>
          <w:tcPr>
            <w:tcW w:w="1451" w:type="dxa"/>
            <w:vAlign w:val="center"/>
          </w:tcPr>
          <w:p w14:paraId="6B34D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服务质量保障措施</w:t>
            </w:r>
          </w:p>
        </w:tc>
        <w:tc>
          <w:tcPr>
            <w:tcW w:w="685" w:type="dxa"/>
            <w:vAlign w:val="center"/>
          </w:tcPr>
          <w:p w14:paraId="1627D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  <w:tc>
          <w:tcPr>
            <w:tcW w:w="7553" w:type="dxa"/>
            <w:vAlign w:val="center"/>
          </w:tcPr>
          <w:p w14:paraId="68356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第一档次（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分）：质量承诺具体明确，有完善的质量检验流程（含材质验收、制作巡检、安装复核）；售后服务方案详尽（含质保期限、维修响应时间），能承诺接到故障或维修通知后24小时内响应并安排处理，保障措施到位。</w:t>
            </w:r>
          </w:p>
          <w:p w14:paraId="6C93C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第二档次（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分）：有基本的质量承诺和服务保障措施，售后响应时间满足常规要求，但缺乏具体细则和针对性。</w:t>
            </w:r>
          </w:p>
          <w:p w14:paraId="26D7D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第三档次（</w:t>
            </w:r>
            <w:r>
              <w:rPr>
                <w:rFonts w:hint="eastAsia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1-3</w:t>
            </w:r>
            <w:r>
              <w:rPr>
                <w:rFonts w:hint="default" w:ascii="Times New Roman" w:hAnsi="Times New Roman" w:cs="Times New Roman" w:eastAsiaTheme="majorEastAsia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分）：质量承诺模糊，售后服务缺失或响应时间过长，缺乏切实可行的保障措施。</w:t>
            </w:r>
          </w:p>
        </w:tc>
        <w:tc>
          <w:tcPr>
            <w:tcW w:w="410" w:type="dxa"/>
            <w:vAlign w:val="center"/>
          </w:tcPr>
          <w:p w14:paraId="108C1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 w:eastAsiaTheme="majorEastAsia"/>
                <w:b w:val="0"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01B12F7">
      <w:pPr>
        <w:pStyle w:val="14"/>
        <w:wordWrap/>
        <w:spacing w:line="560" w:lineRule="exact"/>
        <w:ind w:left="0" w:leftChars="0" w:firstLine="0" w:firstLineChars="0"/>
        <w:rPr>
          <w:rFonts w:hint="default" w:ascii="Times New Roman" w:hAnsi="Times New Roman" w:cs="Times New Roman"/>
          <w:highlight w:val="none"/>
        </w:rPr>
      </w:pPr>
    </w:p>
    <w:p w14:paraId="353E3352">
      <w:pPr>
        <w:pStyle w:val="6"/>
        <w:rPr>
          <w:rFonts w:hint="default"/>
          <w:highlight w:val="none"/>
          <w:lang w:val="en-US" w:eastAsia="zh-CN"/>
        </w:rPr>
      </w:pPr>
    </w:p>
    <w:sectPr>
      <w:footerReference r:id="rId3" w:type="default"/>
      <w:pgSz w:w="11906" w:h="16838"/>
      <w:pgMar w:top="850" w:right="1304" w:bottom="794" w:left="1361" w:header="851" w:footer="850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260F14C6-C970-484D-BFD8-1FB3FAC0FB43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AC0C5B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DEBEF3">
                          <w:pPr>
                            <w:pStyle w:val="9"/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DEBEF3">
                    <w:pPr>
                      <w:pStyle w:val="9"/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2419AF"/>
    <w:rsid w:val="0274588B"/>
    <w:rsid w:val="037273EE"/>
    <w:rsid w:val="0A1F46A8"/>
    <w:rsid w:val="0B4D5B4B"/>
    <w:rsid w:val="0DAB1873"/>
    <w:rsid w:val="1CCD2164"/>
    <w:rsid w:val="1CE807CA"/>
    <w:rsid w:val="1EA529D6"/>
    <w:rsid w:val="27381433"/>
    <w:rsid w:val="283D42FF"/>
    <w:rsid w:val="2A896A68"/>
    <w:rsid w:val="2B402792"/>
    <w:rsid w:val="33B26A3A"/>
    <w:rsid w:val="3A2419AF"/>
    <w:rsid w:val="44DF1B8D"/>
    <w:rsid w:val="4C210EF5"/>
    <w:rsid w:val="4D5B647D"/>
    <w:rsid w:val="568C5997"/>
    <w:rsid w:val="57016C0B"/>
    <w:rsid w:val="5B2A30B1"/>
    <w:rsid w:val="65875B1F"/>
    <w:rsid w:val="67BF59B8"/>
    <w:rsid w:val="73A8280B"/>
    <w:rsid w:val="73A93831"/>
    <w:rsid w:val="7AB2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spacing w:before="260" w:beforeAutospacing="0" w:after="260" w:afterAutospacing="0" w:line="416" w:lineRule="auto"/>
      <w:outlineLvl w:val="1"/>
    </w:pPr>
    <w:rPr>
      <w:rFonts w:ascii="Arial" w:eastAsia="黑体"/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libri Light" w:hAnsi="Calibri Light" w:eastAsia="宋体" w:cs="Times New Roman"/>
      <w:b/>
      <w:bCs/>
      <w:sz w:val="28"/>
      <w:szCs w:val="28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line="360" w:lineRule="auto"/>
      <w:ind w:firstLine="464"/>
      <w:jc w:val="both"/>
    </w:pPr>
    <w:rPr>
      <w:rFonts w:asciiTheme="majorEastAsia" w:hAnsiTheme="majorEastAsia" w:eastAsiaTheme="majorEastAsia"/>
      <w:spacing w:val="-4"/>
      <w:sz w:val="24"/>
    </w:rPr>
  </w:style>
  <w:style w:type="paragraph" w:styleId="3">
    <w:name w:val="Body Text Indent"/>
    <w:basedOn w:val="1"/>
    <w:qFormat/>
    <w:uiPriority w:val="0"/>
    <w:pPr>
      <w:spacing w:after="120"/>
      <w:ind w:left="420"/>
    </w:pPr>
  </w:style>
  <w:style w:type="paragraph" w:styleId="6">
    <w:name w:val="Normal Indent"/>
    <w:basedOn w:val="1"/>
    <w:qFormat/>
    <w:uiPriority w:val="0"/>
    <w:pPr>
      <w:ind w:firstLine="420" w:firstLineChars="200"/>
    </w:pPr>
    <w:rPr>
      <w:szCs w:val="24"/>
    </w:rPr>
  </w:style>
  <w:style w:type="paragraph" w:styleId="7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unhideWhenUsed/>
    <w:qFormat/>
    <w:uiPriority w:val="99"/>
    <w:pPr>
      <w:spacing w:after="120"/>
    </w:pPr>
    <w:rPr>
      <w:kern w:val="0"/>
      <w:sz w:val="24"/>
    </w:rPr>
  </w:style>
  <w:style w:type="paragraph" w:styleId="9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 Spacing"/>
    <w:qFormat/>
    <w:uiPriority w:val="0"/>
    <w:rPr>
      <w:rFonts w:ascii="Times New Roman" w:hAnsi="Times New Roman" w:eastAsia="宋体" w:cs="Times New Roman"/>
      <w:sz w:val="22"/>
      <w:szCs w:val="22"/>
      <w:lang w:val="en-US" w:eastAsia="zh-CN" w:bidi="ar-SA"/>
    </w:rPr>
  </w:style>
  <w:style w:type="paragraph" w:customStyle="1" w:styleId="14">
    <w:name w:val="首行缩进"/>
    <w:basedOn w:val="1"/>
    <w:qFormat/>
    <w:uiPriority w:val="0"/>
    <w:pPr>
      <w:spacing w:line="360" w:lineRule="auto"/>
      <w:ind w:firstLine="480" w:firstLineChars="200"/>
    </w:pPr>
    <w:rPr>
      <w:rFonts w:ascii="Calibri" w:hAnsi="Calibri"/>
      <w:sz w:val="2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5876</Words>
  <Characters>6417</Characters>
  <Lines>0</Lines>
  <Paragraphs>0</Paragraphs>
  <TotalTime>14</TotalTime>
  <ScaleCrop>false</ScaleCrop>
  <LinksUpToDate>false</LinksUpToDate>
  <CharactersWithSpaces>6780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2026-07-17T07:52:00Z</dcterms:created>
  <dc:creator>信仰</dc:creator>
  <cp:lastModifiedBy>仙</cp:lastModifiedBy>
  <cp:lastPrinted>2026-10-29T07:30:54Z</cp:lastPrinted>
  <dcterms:modified xsi:type="dcterms:W3CDTF">2026-10-29T10:08:27Z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E8FF3B2E53424C5BB1CACE96CF79A643_13</vt:lpwstr>
  </property>
  <property fmtid="{D5CDD505-2E9C-101B-9397-08002B2CF9AE}" pid="4" name="KSOTemplateDocerSaveRecord">
    <vt:lpwstr>eyJoZGlkIjoiOGI2N2E3ZWYxYTljNDRkMjM3N2M5MTcxZmYwMzUxZWEiLCJ1c2VySWQiOiIyOTg5MjUyODIifQ==</vt:lpwstr>
  </property>
</Properties>
</file>