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CD1BBE">
      <w:pPr>
        <w:rPr>
          <w:rFonts w:hint="eastAsia" w:ascii="宋体" w:hAnsi="宋体" w:eastAsia="宋体" w:cs="宋体"/>
          <w:color w:val="auto"/>
          <w:sz w:val="20"/>
          <w:highlight w:val="white"/>
        </w:rPr>
      </w:pPr>
      <w:bookmarkStart w:id="0" w:name="EBc5f07c7791e845b3a2cc44c0f0a875a8"/>
      <w:bookmarkStart w:id="157" w:name="_GoBack"/>
      <w:bookmarkEnd w:id="157"/>
      <w:r>
        <w:rPr>
          <w:rFonts w:hint="eastAsia" w:ascii="宋体" w:hAnsi="宋体" w:eastAsia="宋体" w:cs="宋体"/>
          <w:color w:val="auto"/>
          <w:sz w:val="20"/>
          <w:highlight w:val="white"/>
        </w:rPr>
        <w:t xml:space="preserve"> </w:t>
      </w:r>
      <w:bookmarkEnd w:id="0"/>
      <w:bookmarkStart w:id="1" w:name="EB9df2b97227774bedbfabd5a4ccc26653"/>
      <w:r>
        <w:rPr>
          <w:rFonts w:hint="eastAsia" w:ascii="宋体" w:hAnsi="宋体" w:eastAsia="宋体" w:cs="宋体"/>
          <w:color w:val="auto"/>
          <w:sz w:val="20"/>
          <w:highlight w:val="white"/>
        </w:rPr>
        <w:t xml:space="preserve"> </w:t>
      </w:r>
      <w:bookmarkEnd w:id="1"/>
    </w:p>
    <w:p w14:paraId="5499608E">
      <w:pPr>
        <w:rPr>
          <w:rFonts w:hint="eastAsia" w:ascii="宋体" w:hAnsi="宋体" w:eastAsia="宋体" w:cs="宋体"/>
          <w:color w:val="auto"/>
          <w:sz w:val="20"/>
          <w:highlight w:val="white"/>
        </w:rPr>
      </w:pPr>
    </w:p>
    <w:p w14:paraId="446E8F4D">
      <w:pPr>
        <w:rPr>
          <w:rFonts w:hint="eastAsia" w:ascii="宋体" w:hAnsi="宋体" w:eastAsia="宋体" w:cs="宋体"/>
          <w:color w:val="auto"/>
          <w:sz w:val="20"/>
          <w:highlight w:val="white"/>
        </w:rPr>
      </w:pPr>
    </w:p>
    <w:p w14:paraId="6DA50C4C">
      <w:pPr>
        <w:rPr>
          <w:rFonts w:hint="eastAsia" w:ascii="宋体" w:hAnsi="宋体" w:eastAsia="宋体" w:cs="宋体"/>
          <w:color w:val="auto"/>
          <w:sz w:val="20"/>
          <w:highlight w:val="white"/>
        </w:rPr>
      </w:pPr>
    </w:p>
    <w:p w14:paraId="6F383D36">
      <w:pPr>
        <w:tabs>
          <w:tab w:val="left" w:pos="1134"/>
          <w:tab w:val="left" w:pos="5481"/>
          <w:tab w:val="left" w:pos="5859"/>
        </w:tabs>
        <w:spacing w:line="240" w:lineRule="auto"/>
        <w:jc w:val="center"/>
        <w:rPr>
          <w:rFonts w:hint="eastAsia" w:ascii="宋体" w:hAnsi="宋体" w:cs="宋体"/>
          <w:b/>
          <w:bCs/>
          <w:color w:val="auto"/>
          <w:sz w:val="56"/>
          <w:szCs w:val="56"/>
          <w:highlight w:val="white"/>
          <w:lang w:eastAsia="zh-CN"/>
        </w:rPr>
      </w:pPr>
      <w:r>
        <w:rPr>
          <w:rFonts w:hint="eastAsia" w:ascii="宋体" w:hAnsi="宋体" w:cs="宋体"/>
          <w:b/>
          <w:bCs/>
          <w:color w:val="auto"/>
          <w:sz w:val="56"/>
          <w:szCs w:val="56"/>
          <w:highlight w:val="white"/>
          <w:lang w:eastAsia="zh-CN"/>
        </w:rPr>
        <w:t>皮山县维吾尔医医院中药饮片采购项目（单一来源采购）</w:t>
      </w:r>
    </w:p>
    <w:p w14:paraId="36ADFC01">
      <w:pPr>
        <w:tabs>
          <w:tab w:val="left" w:pos="1134"/>
          <w:tab w:val="left" w:pos="5481"/>
          <w:tab w:val="left" w:pos="5859"/>
        </w:tabs>
        <w:spacing w:line="240" w:lineRule="auto"/>
        <w:jc w:val="center"/>
        <w:rPr>
          <w:rFonts w:hint="eastAsia" w:ascii="宋体" w:hAnsi="宋体" w:cs="宋体"/>
          <w:b/>
          <w:bCs/>
          <w:color w:val="auto"/>
          <w:sz w:val="56"/>
          <w:szCs w:val="56"/>
          <w:highlight w:val="white"/>
          <w:lang w:eastAsia="zh-CN"/>
        </w:rPr>
      </w:pPr>
    </w:p>
    <w:p w14:paraId="22BDA2B8">
      <w:pPr>
        <w:tabs>
          <w:tab w:val="left" w:pos="1134"/>
          <w:tab w:val="left" w:pos="5481"/>
          <w:tab w:val="left" w:pos="5859"/>
        </w:tabs>
        <w:spacing w:line="240" w:lineRule="auto"/>
        <w:jc w:val="center"/>
        <w:rPr>
          <w:rFonts w:hint="eastAsia" w:ascii="宋体" w:hAnsi="宋体" w:cs="宋体"/>
          <w:b/>
          <w:bCs/>
          <w:color w:val="auto"/>
          <w:sz w:val="56"/>
          <w:szCs w:val="56"/>
          <w:highlight w:val="white"/>
          <w:lang w:eastAsia="zh-CN"/>
        </w:rPr>
      </w:pPr>
    </w:p>
    <w:p w14:paraId="6371DD0A">
      <w:pPr>
        <w:tabs>
          <w:tab w:val="left" w:pos="1134"/>
          <w:tab w:val="left" w:pos="5481"/>
          <w:tab w:val="left" w:pos="5859"/>
        </w:tabs>
        <w:spacing w:line="240" w:lineRule="auto"/>
        <w:jc w:val="center"/>
        <w:rPr>
          <w:rFonts w:hint="eastAsia" w:ascii="宋体" w:hAnsi="宋体" w:cs="宋体"/>
          <w:b/>
          <w:bCs/>
          <w:color w:val="auto"/>
          <w:sz w:val="56"/>
          <w:szCs w:val="56"/>
          <w:highlight w:val="white"/>
          <w:lang w:eastAsia="zh-CN"/>
        </w:rPr>
      </w:pPr>
    </w:p>
    <w:p w14:paraId="06F13E23">
      <w:pPr>
        <w:tabs>
          <w:tab w:val="left" w:pos="1134"/>
          <w:tab w:val="left" w:pos="5481"/>
          <w:tab w:val="left" w:pos="5859"/>
        </w:tabs>
        <w:spacing w:line="240" w:lineRule="auto"/>
        <w:jc w:val="center"/>
        <w:rPr>
          <w:rFonts w:hint="eastAsia" w:ascii="宋体" w:hAnsi="宋体" w:cs="宋体"/>
          <w:b/>
          <w:bCs/>
          <w:color w:val="auto"/>
          <w:sz w:val="56"/>
          <w:szCs w:val="56"/>
          <w:highlight w:val="white"/>
          <w:lang w:eastAsia="zh-CN"/>
        </w:rPr>
      </w:pPr>
    </w:p>
    <w:p w14:paraId="4CAD9262">
      <w:pPr>
        <w:tabs>
          <w:tab w:val="left" w:pos="1134"/>
          <w:tab w:val="left" w:pos="5481"/>
          <w:tab w:val="left" w:pos="5859"/>
        </w:tabs>
        <w:spacing w:line="240" w:lineRule="auto"/>
        <w:jc w:val="center"/>
        <w:rPr>
          <w:rFonts w:hint="eastAsia" w:ascii="宋体" w:hAnsi="宋体" w:eastAsia="宋体" w:cs="宋体"/>
          <w:b/>
          <w:bCs/>
          <w:color w:val="auto"/>
          <w:sz w:val="56"/>
          <w:szCs w:val="56"/>
        </w:rPr>
      </w:pPr>
      <w:r>
        <w:rPr>
          <w:rFonts w:hint="eastAsia" w:ascii="宋体" w:hAnsi="宋体" w:cs="宋体"/>
          <w:b/>
          <w:bCs/>
          <w:color w:val="auto"/>
          <w:sz w:val="56"/>
          <w:szCs w:val="56"/>
          <w:highlight w:val="white"/>
          <w:lang w:eastAsia="zh-CN"/>
        </w:rPr>
        <w:t>单一来源</w:t>
      </w:r>
      <w:r>
        <w:rPr>
          <w:rFonts w:hint="eastAsia" w:ascii="宋体" w:hAnsi="宋体" w:eastAsia="宋体" w:cs="宋体"/>
          <w:b/>
          <w:bCs/>
          <w:color w:val="auto"/>
          <w:sz w:val="56"/>
          <w:szCs w:val="56"/>
          <w:highlight w:val="white"/>
        </w:rPr>
        <w:t>采购文件</w:t>
      </w:r>
    </w:p>
    <w:p w14:paraId="6925501D">
      <w:pPr>
        <w:spacing w:line="360" w:lineRule="auto"/>
        <w:rPr>
          <w:rFonts w:hint="eastAsia" w:ascii="宋体" w:hAnsi="宋体" w:eastAsia="宋体" w:cs="宋体"/>
          <w:b/>
          <w:color w:val="auto"/>
          <w:sz w:val="32"/>
          <w:szCs w:val="32"/>
        </w:rPr>
      </w:pPr>
    </w:p>
    <w:p w14:paraId="61111FA1">
      <w:pPr>
        <w:spacing w:line="360" w:lineRule="auto"/>
        <w:rPr>
          <w:rFonts w:hint="eastAsia" w:ascii="宋体" w:hAnsi="宋体" w:eastAsia="宋体" w:cs="宋体"/>
          <w:b/>
          <w:color w:val="auto"/>
          <w:sz w:val="32"/>
          <w:szCs w:val="32"/>
        </w:rPr>
      </w:pPr>
    </w:p>
    <w:p w14:paraId="2638479C">
      <w:pPr>
        <w:pStyle w:val="20"/>
        <w:rPr>
          <w:rFonts w:hint="eastAsia" w:ascii="宋体" w:hAnsi="宋体" w:eastAsia="宋体" w:cs="宋体"/>
          <w:color w:val="auto"/>
        </w:rPr>
      </w:pPr>
    </w:p>
    <w:p w14:paraId="1905062A">
      <w:pPr>
        <w:keepNext w:val="0"/>
        <w:keepLines w:val="0"/>
        <w:pageBreakBefore w:val="0"/>
        <w:widowControl w:val="0"/>
        <w:kinsoku/>
        <w:wordWrap/>
        <w:overflowPunct/>
        <w:topLinePunct/>
        <w:autoSpaceDE/>
        <w:autoSpaceDN/>
        <w:bidi w:val="0"/>
        <w:adjustRightInd/>
        <w:snapToGrid/>
        <w:spacing w:line="360" w:lineRule="auto"/>
        <w:textAlignment w:val="auto"/>
        <w:rPr>
          <w:rFonts w:hint="eastAsia" w:ascii="宋体" w:hAnsi="宋体" w:eastAsia="宋体" w:cs="宋体"/>
          <w:b/>
          <w:color w:val="auto"/>
          <w:sz w:val="28"/>
          <w:szCs w:val="28"/>
          <w:highlight w:val="white"/>
        </w:rPr>
      </w:pPr>
    </w:p>
    <w:p w14:paraId="6C0B53C1">
      <w:pPr>
        <w:keepNext w:val="0"/>
        <w:keepLines w:val="0"/>
        <w:pageBreakBefore w:val="0"/>
        <w:widowControl w:val="0"/>
        <w:kinsoku/>
        <w:wordWrap/>
        <w:overflowPunct/>
        <w:topLinePunct/>
        <w:autoSpaceDE/>
        <w:autoSpaceDN/>
        <w:bidi w:val="0"/>
        <w:adjustRightInd/>
        <w:snapToGrid/>
        <w:spacing w:line="360" w:lineRule="auto"/>
        <w:textAlignment w:val="auto"/>
        <w:rPr>
          <w:rFonts w:hint="eastAsia" w:ascii="宋体" w:hAnsi="宋体" w:eastAsia="宋体" w:cs="宋体"/>
          <w:b/>
          <w:color w:val="auto"/>
          <w:sz w:val="28"/>
          <w:szCs w:val="28"/>
          <w:highlight w:val="white"/>
        </w:rPr>
      </w:pPr>
    </w:p>
    <w:p w14:paraId="686D2BB4">
      <w:pPr>
        <w:keepNext w:val="0"/>
        <w:keepLines w:val="0"/>
        <w:pageBreakBefore w:val="0"/>
        <w:widowControl w:val="0"/>
        <w:kinsoku/>
        <w:wordWrap/>
        <w:overflowPunct/>
        <w:topLinePunct/>
        <w:autoSpaceDE/>
        <w:autoSpaceDN/>
        <w:bidi w:val="0"/>
        <w:adjustRightInd/>
        <w:snapToGrid/>
        <w:spacing w:line="360" w:lineRule="auto"/>
        <w:textAlignment w:val="auto"/>
        <w:rPr>
          <w:rFonts w:hint="eastAsia" w:ascii="宋体" w:hAnsi="宋体" w:eastAsia="宋体" w:cs="宋体"/>
          <w:b/>
          <w:color w:val="auto"/>
          <w:sz w:val="28"/>
          <w:szCs w:val="28"/>
          <w:highlight w:val="white"/>
        </w:rPr>
      </w:pPr>
    </w:p>
    <w:p w14:paraId="4C420E64">
      <w:pPr>
        <w:keepNext w:val="0"/>
        <w:keepLines w:val="0"/>
        <w:pageBreakBefore w:val="0"/>
        <w:widowControl w:val="0"/>
        <w:kinsoku/>
        <w:wordWrap/>
        <w:overflowPunct/>
        <w:topLinePunct/>
        <w:autoSpaceDE/>
        <w:autoSpaceDN/>
        <w:bidi w:val="0"/>
        <w:adjustRightInd/>
        <w:snapToGrid/>
        <w:spacing w:line="360" w:lineRule="auto"/>
        <w:textAlignment w:val="auto"/>
        <w:rPr>
          <w:rFonts w:hint="eastAsia" w:ascii="宋体" w:hAnsi="宋体" w:eastAsia="宋体" w:cs="宋体"/>
          <w:b/>
          <w:color w:val="auto"/>
          <w:sz w:val="28"/>
          <w:szCs w:val="28"/>
          <w:highlight w:val="white"/>
        </w:rPr>
      </w:pPr>
    </w:p>
    <w:p w14:paraId="3FD37AEF">
      <w:pPr>
        <w:keepNext w:val="0"/>
        <w:keepLines w:val="0"/>
        <w:pageBreakBefore w:val="0"/>
        <w:widowControl w:val="0"/>
        <w:kinsoku/>
        <w:wordWrap/>
        <w:overflowPunct/>
        <w:topLinePunct/>
        <w:autoSpaceDE/>
        <w:autoSpaceDN/>
        <w:bidi w:val="0"/>
        <w:adjustRightInd/>
        <w:snapToGrid/>
        <w:spacing w:line="360" w:lineRule="auto"/>
        <w:textAlignment w:val="auto"/>
        <w:rPr>
          <w:rFonts w:hint="eastAsia" w:ascii="宋体" w:hAnsi="宋体" w:eastAsia="宋体" w:cs="宋体"/>
          <w:b/>
          <w:color w:val="auto"/>
          <w:sz w:val="28"/>
          <w:szCs w:val="28"/>
          <w:highlight w:val="white"/>
        </w:rPr>
      </w:pPr>
    </w:p>
    <w:p w14:paraId="17CD292E">
      <w:pPr>
        <w:keepNext w:val="0"/>
        <w:keepLines w:val="0"/>
        <w:pageBreakBefore w:val="0"/>
        <w:widowControl w:val="0"/>
        <w:kinsoku/>
        <w:wordWrap/>
        <w:overflowPunct/>
        <w:topLinePunct/>
        <w:autoSpaceDE/>
        <w:autoSpaceDN/>
        <w:bidi w:val="0"/>
        <w:adjustRightInd/>
        <w:snapToGrid/>
        <w:spacing w:line="360" w:lineRule="auto"/>
        <w:textAlignment w:val="auto"/>
        <w:rPr>
          <w:rFonts w:hint="eastAsia" w:ascii="宋体" w:hAnsi="宋体" w:cs="宋体"/>
          <w:b/>
          <w:color w:val="auto"/>
          <w:sz w:val="28"/>
          <w:szCs w:val="28"/>
          <w:highlight w:val="white"/>
          <w:lang w:eastAsia="zh-CN"/>
        </w:rPr>
      </w:pPr>
      <w:r>
        <w:rPr>
          <w:rFonts w:hint="eastAsia" w:ascii="宋体" w:hAnsi="宋体" w:eastAsia="宋体" w:cs="宋体"/>
          <w:b/>
          <w:color w:val="auto"/>
          <w:sz w:val="28"/>
          <w:szCs w:val="28"/>
          <w:highlight w:val="white"/>
        </w:rPr>
        <w:t>项目名称：</w:t>
      </w:r>
      <w:r>
        <w:rPr>
          <w:rFonts w:hint="eastAsia" w:ascii="宋体" w:hAnsi="宋体" w:cs="宋体"/>
          <w:b/>
          <w:color w:val="auto"/>
          <w:sz w:val="28"/>
          <w:szCs w:val="28"/>
          <w:highlight w:val="white"/>
          <w:lang w:eastAsia="zh-CN"/>
        </w:rPr>
        <w:t>皮山县维吾尔医医院中药饮片采购项目（单一来源采购）</w:t>
      </w:r>
    </w:p>
    <w:p w14:paraId="186C83AB">
      <w:pPr>
        <w:keepNext w:val="0"/>
        <w:keepLines w:val="0"/>
        <w:pageBreakBefore w:val="0"/>
        <w:widowControl w:val="0"/>
        <w:kinsoku/>
        <w:wordWrap/>
        <w:overflowPunct/>
        <w:topLinePunct/>
        <w:autoSpaceDE/>
        <w:autoSpaceDN/>
        <w:bidi w:val="0"/>
        <w:adjustRightInd/>
        <w:snapToGrid/>
        <w:spacing w:line="360" w:lineRule="auto"/>
        <w:textAlignment w:val="auto"/>
        <w:rPr>
          <w:rFonts w:hint="eastAsia" w:ascii="宋体" w:hAnsi="宋体" w:eastAsia="宋体" w:cs="宋体"/>
          <w:b/>
          <w:color w:val="auto"/>
          <w:sz w:val="28"/>
          <w:szCs w:val="28"/>
          <w:lang w:val="en-US" w:eastAsia="zh-CN"/>
        </w:rPr>
      </w:pPr>
      <w:r>
        <w:rPr>
          <w:rFonts w:hint="eastAsia" w:ascii="宋体" w:hAnsi="宋体" w:eastAsia="宋体" w:cs="宋体"/>
          <w:b/>
          <w:color w:val="auto"/>
          <w:sz w:val="28"/>
          <w:szCs w:val="28"/>
          <w:highlight w:val="white"/>
          <w:lang w:eastAsia="zh-CN"/>
        </w:rPr>
        <w:t>项目编号：</w:t>
      </w:r>
      <w:r>
        <w:rPr>
          <w:rFonts w:hint="eastAsia" w:ascii="宋体" w:hAnsi="宋体" w:cs="宋体"/>
          <w:b/>
          <w:color w:val="auto"/>
          <w:sz w:val="28"/>
          <w:szCs w:val="28"/>
          <w:highlight w:val="white"/>
          <w:lang w:eastAsia="zh-CN"/>
        </w:rPr>
        <w:t>PSXZC2026-</w:t>
      </w:r>
      <w:r>
        <w:rPr>
          <w:rFonts w:hint="eastAsia" w:ascii="宋体" w:hAnsi="宋体" w:cs="宋体"/>
          <w:b/>
          <w:color w:val="auto"/>
          <w:sz w:val="28"/>
          <w:szCs w:val="28"/>
          <w:highlight w:val="white"/>
          <w:lang w:val="en-US" w:eastAsia="zh-CN"/>
        </w:rPr>
        <w:t>056</w:t>
      </w:r>
      <w:r>
        <w:rPr>
          <w:rFonts w:hint="eastAsia" w:ascii="宋体" w:hAnsi="宋体" w:cs="宋体"/>
          <w:b/>
          <w:color w:val="auto"/>
          <w:sz w:val="28"/>
          <w:szCs w:val="28"/>
          <w:highlight w:val="white"/>
          <w:lang w:eastAsia="zh-CN"/>
        </w:rPr>
        <w:t>号</w:t>
      </w:r>
    </w:p>
    <w:p w14:paraId="21F71194">
      <w:pPr>
        <w:keepNext w:val="0"/>
        <w:keepLines w:val="0"/>
        <w:pageBreakBefore w:val="0"/>
        <w:widowControl w:val="0"/>
        <w:kinsoku/>
        <w:wordWrap/>
        <w:overflowPunct/>
        <w:topLinePunct/>
        <w:autoSpaceDE/>
        <w:autoSpaceDN/>
        <w:bidi w:val="0"/>
        <w:adjustRightInd/>
        <w:snapToGrid/>
        <w:spacing w:line="360" w:lineRule="auto"/>
        <w:textAlignment w:val="auto"/>
        <w:rPr>
          <w:rFonts w:hint="eastAsia" w:ascii="宋体" w:hAnsi="宋体" w:eastAsia="宋体" w:cs="宋体"/>
          <w:b/>
          <w:color w:val="auto"/>
          <w:sz w:val="28"/>
          <w:szCs w:val="28"/>
          <w:lang w:eastAsia="zh-CN"/>
        </w:rPr>
      </w:pPr>
      <w:r>
        <w:rPr>
          <w:rFonts w:hint="eastAsia" w:ascii="宋体" w:hAnsi="宋体" w:eastAsia="宋体" w:cs="宋体"/>
          <w:b/>
          <w:color w:val="auto"/>
          <w:sz w:val="28"/>
          <w:szCs w:val="28"/>
          <w:highlight w:val="white"/>
        </w:rPr>
        <w:t>采</w:t>
      </w:r>
      <w:r>
        <w:rPr>
          <w:rFonts w:hint="eastAsia" w:ascii="宋体" w:hAnsi="宋体" w:eastAsia="宋体" w:cs="宋体"/>
          <w:b/>
          <w:color w:val="auto"/>
          <w:sz w:val="28"/>
          <w:szCs w:val="28"/>
          <w:highlight w:val="white"/>
          <w:lang w:val="en-US" w:eastAsia="zh-CN"/>
        </w:rPr>
        <w:t xml:space="preserve"> </w:t>
      </w:r>
      <w:r>
        <w:rPr>
          <w:rFonts w:hint="eastAsia" w:ascii="宋体" w:hAnsi="宋体" w:eastAsia="宋体" w:cs="宋体"/>
          <w:b/>
          <w:color w:val="auto"/>
          <w:sz w:val="28"/>
          <w:szCs w:val="28"/>
          <w:highlight w:val="white"/>
        </w:rPr>
        <w:t>购</w:t>
      </w:r>
      <w:r>
        <w:rPr>
          <w:rFonts w:hint="eastAsia" w:ascii="宋体" w:hAnsi="宋体" w:eastAsia="宋体" w:cs="宋体"/>
          <w:b/>
          <w:color w:val="auto"/>
          <w:sz w:val="28"/>
          <w:szCs w:val="28"/>
          <w:highlight w:val="white"/>
          <w:lang w:val="en-US" w:eastAsia="zh-CN"/>
        </w:rPr>
        <w:t xml:space="preserve"> </w:t>
      </w:r>
      <w:r>
        <w:rPr>
          <w:rFonts w:hint="eastAsia" w:ascii="宋体" w:hAnsi="宋体" w:eastAsia="宋体" w:cs="宋体"/>
          <w:b/>
          <w:color w:val="auto"/>
          <w:sz w:val="28"/>
          <w:szCs w:val="28"/>
          <w:highlight w:val="white"/>
        </w:rPr>
        <w:t>人：</w:t>
      </w:r>
      <w:r>
        <w:rPr>
          <w:rFonts w:hint="eastAsia" w:ascii="宋体" w:hAnsi="宋体" w:cs="宋体"/>
          <w:b/>
          <w:color w:val="auto"/>
          <w:sz w:val="28"/>
          <w:szCs w:val="28"/>
          <w:highlight w:val="white"/>
          <w:lang w:eastAsia="zh-CN"/>
        </w:rPr>
        <w:t>皮山县维吾尔医医院</w:t>
      </w:r>
    </w:p>
    <w:p w14:paraId="2175FD0D">
      <w:pPr>
        <w:keepNext w:val="0"/>
        <w:keepLines w:val="0"/>
        <w:pageBreakBefore w:val="0"/>
        <w:widowControl w:val="0"/>
        <w:kinsoku/>
        <w:wordWrap/>
        <w:overflowPunct/>
        <w:topLinePunct/>
        <w:autoSpaceDE/>
        <w:autoSpaceDN/>
        <w:bidi w:val="0"/>
        <w:adjustRightInd/>
        <w:snapToGrid/>
        <w:spacing w:line="360" w:lineRule="auto"/>
        <w:textAlignment w:val="auto"/>
        <w:rPr>
          <w:rFonts w:hint="eastAsia" w:ascii="宋体" w:hAnsi="宋体" w:eastAsia="宋体" w:cs="宋体"/>
          <w:b/>
          <w:color w:val="auto"/>
          <w:sz w:val="28"/>
          <w:szCs w:val="28"/>
          <w:highlight w:val="white"/>
          <w:lang w:eastAsia="zh-CN"/>
        </w:rPr>
      </w:pPr>
      <w:r>
        <w:rPr>
          <w:rFonts w:hint="eastAsia" w:ascii="宋体" w:hAnsi="宋体" w:eastAsia="宋体" w:cs="宋体"/>
          <w:b/>
          <w:color w:val="auto"/>
          <w:sz w:val="28"/>
          <w:szCs w:val="28"/>
          <w:highlight w:val="white"/>
        </w:rPr>
        <w:t>采购机构：</w:t>
      </w:r>
      <w:r>
        <w:rPr>
          <w:rFonts w:hint="eastAsia" w:ascii="宋体" w:hAnsi="宋体" w:cs="宋体"/>
          <w:b/>
          <w:color w:val="auto"/>
          <w:sz w:val="28"/>
          <w:szCs w:val="28"/>
          <w:highlight w:val="white"/>
          <w:lang w:eastAsia="zh-CN"/>
        </w:rPr>
        <w:t>新疆晓君招标有限公司</w:t>
      </w:r>
    </w:p>
    <w:p w14:paraId="7A630FB4">
      <w:pPr>
        <w:keepNext w:val="0"/>
        <w:keepLines w:val="0"/>
        <w:pageBreakBefore w:val="0"/>
        <w:widowControl w:val="0"/>
        <w:kinsoku/>
        <w:wordWrap/>
        <w:overflowPunct/>
        <w:topLinePunct/>
        <w:autoSpaceDE/>
        <w:autoSpaceDN/>
        <w:bidi w:val="0"/>
        <w:adjustRightInd/>
        <w:snapToGrid/>
        <w:spacing w:line="360" w:lineRule="auto"/>
        <w:textAlignment w:val="auto"/>
        <w:rPr>
          <w:rFonts w:hint="default" w:ascii="宋体" w:hAnsi="宋体" w:eastAsia="宋体" w:cs="宋体"/>
          <w:b/>
          <w:color w:val="auto"/>
          <w:sz w:val="28"/>
          <w:szCs w:val="28"/>
          <w:lang w:val="en-US" w:eastAsia="zh-CN"/>
        </w:rPr>
      </w:pPr>
      <w:r>
        <w:rPr>
          <w:rFonts w:hint="eastAsia" w:ascii="宋体" w:hAnsi="宋体" w:eastAsia="宋体" w:cs="宋体"/>
          <w:b/>
          <w:color w:val="auto"/>
          <w:sz w:val="28"/>
          <w:szCs w:val="28"/>
          <w:highlight w:val="white"/>
        </w:rPr>
        <w:t>日    期：</w:t>
      </w:r>
      <w:bookmarkStart w:id="2" w:name="EB03bfe67b2aa743f2972007e6e89c8bac"/>
      <w:r>
        <w:rPr>
          <w:rFonts w:hint="eastAsia" w:ascii="宋体" w:hAnsi="宋体" w:eastAsia="宋体" w:cs="宋体"/>
          <w:b/>
          <w:color w:val="auto"/>
          <w:sz w:val="28"/>
          <w:szCs w:val="28"/>
          <w:highlight w:val="white"/>
        </w:rPr>
        <w:t>202</w:t>
      </w:r>
      <w:r>
        <w:rPr>
          <w:rFonts w:hint="eastAsia" w:ascii="宋体" w:hAnsi="宋体" w:cs="宋体"/>
          <w:b/>
          <w:color w:val="auto"/>
          <w:sz w:val="28"/>
          <w:szCs w:val="28"/>
          <w:highlight w:val="white"/>
          <w:lang w:val="en-US" w:eastAsia="zh-CN"/>
        </w:rPr>
        <w:t>6</w:t>
      </w:r>
      <w:r>
        <w:rPr>
          <w:rFonts w:hint="eastAsia" w:ascii="宋体" w:hAnsi="宋体" w:eastAsia="宋体" w:cs="宋体"/>
          <w:b/>
          <w:color w:val="auto"/>
          <w:sz w:val="28"/>
          <w:szCs w:val="28"/>
          <w:highlight w:val="white"/>
        </w:rPr>
        <w:t>-</w:t>
      </w:r>
      <w:bookmarkEnd w:id="2"/>
      <w:r>
        <w:rPr>
          <w:rFonts w:hint="eastAsia" w:ascii="宋体" w:hAnsi="宋体" w:cs="宋体"/>
          <w:b/>
          <w:color w:val="auto"/>
          <w:sz w:val="28"/>
          <w:szCs w:val="28"/>
          <w:highlight w:val="white"/>
          <w:lang w:val="en-US" w:eastAsia="zh-CN"/>
        </w:rPr>
        <w:t>10</w:t>
      </w:r>
      <w:r>
        <w:rPr>
          <w:rFonts w:hint="eastAsia" w:ascii="宋体" w:hAnsi="宋体" w:eastAsia="宋体" w:cs="宋体"/>
          <w:b/>
          <w:color w:val="auto"/>
          <w:sz w:val="28"/>
          <w:szCs w:val="28"/>
          <w:highlight w:val="white"/>
          <w:lang w:val="en-US" w:eastAsia="zh-CN"/>
        </w:rPr>
        <w:t>-</w:t>
      </w:r>
      <w:r>
        <w:rPr>
          <w:rFonts w:hint="eastAsia" w:ascii="宋体" w:hAnsi="宋体" w:cs="宋体"/>
          <w:b/>
          <w:color w:val="auto"/>
          <w:sz w:val="28"/>
          <w:szCs w:val="28"/>
          <w:highlight w:val="white"/>
          <w:lang w:val="en-US" w:eastAsia="zh-CN"/>
        </w:rPr>
        <w:t>13</w:t>
      </w:r>
    </w:p>
    <w:p w14:paraId="731A4761">
      <w:pPr>
        <w:pStyle w:val="20"/>
        <w:rPr>
          <w:rFonts w:hint="eastAsia" w:ascii="宋体" w:hAnsi="宋体" w:eastAsia="宋体" w:cs="宋体"/>
          <w:color w:val="auto"/>
          <w:sz w:val="24"/>
          <w:szCs w:val="24"/>
        </w:rPr>
      </w:pPr>
    </w:p>
    <w:p w14:paraId="1A16679E">
      <w:pPr>
        <w:rPr>
          <w:rFonts w:hint="eastAsia" w:ascii="宋体" w:hAnsi="宋体" w:eastAsia="宋体" w:cs="宋体"/>
          <w:b/>
          <w:i w:val="0"/>
          <w:iCs w:val="0"/>
          <w:color w:val="auto"/>
          <w:sz w:val="32"/>
          <w:szCs w:val="32"/>
          <w:highlight w:val="white"/>
        </w:rPr>
      </w:pPr>
      <w:bookmarkStart w:id="3" w:name="EB4f132c6c00314c9eae955250c2556d3f"/>
      <w:bookmarkEnd w:id="3"/>
      <w:r>
        <w:rPr>
          <w:rFonts w:hint="eastAsia" w:ascii="宋体" w:hAnsi="宋体" w:eastAsia="宋体" w:cs="宋体"/>
          <w:b/>
          <w:i w:val="0"/>
          <w:iCs w:val="0"/>
          <w:color w:val="auto"/>
          <w:sz w:val="32"/>
          <w:szCs w:val="32"/>
          <w:highlight w:val="white"/>
        </w:rPr>
        <w:br w:type="page"/>
      </w:r>
    </w:p>
    <w:p w14:paraId="6D76F570">
      <w:pPr>
        <w:spacing w:line="360" w:lineRule="auto"/>
        <w:jc w:val="center"/>
        <w:rPr>
          <w:rFonts w:hint="eastAsia" w:ascii="宋体" w:hAnsi="宋体" w:eastAsia="宋体" w:cs="宋体"/>
          <w:i w:val="0"/>
          <w:iCs w:val="0"/>
          <w:color w:val="auto"/>
        </w:rPr>
      </w:pPr>
      <w:r>
        <w:rPr>
          <w:rFonts w:hint="eastAsia" w:ascii="宋体" w:hAnsi="宋体" w:eastAsia="宋体" w:cs="宋体"/>
          <w:b/>
          <w:i w:val="0"/>
          <w:iCs w:val="0"/>
          <w:color w:val="auto"/>
          <w:sz w:val="32"/>
          <w:szCs w:val="32"/>
          <w:highlight w:val="white"/>
        </w:rPr>
        <w:t>目  录</w:t>
      </w:r>
      <w:r>
        <w:rPr>
          <w:rFonts w:hint="eastAsia" w:ascii="宋体" w:hAnsi="宋体" w:eastAsia="宋体" w:cs="宋体"/>
          <w:b/>
          <w:i w:val="0"/>
          <w:iCs w:val="0"/>
          <w:color w:val="auto"/>
          <w:sz w:val="24"/>
          <w:szCs w:val="24"/>
        </w:rPr>
        <w:fldChar w:fldCharType="begin"/>
      </w:r>
      <w:r>
        <w:rPr>
          <w:rFonts w:hint="eastAsia" w:ascii="宋体" w:hAnsi="宋体" w:eastAsia="宋体" w:cs="宋体"/>
          <w:b/>
          <w:i w:val="0"/>
          <w:iCs w:val="0"/>
          <w:color w:val="auto"/>
          <w:sz w:val="24"/>
          <w:szCs w:val="24"/>
          <w:highlight w:val="white"/>
        </w:rPr>
        <w:instrText xml:space="preserve"> TOC \o "1-3" \h \z \u </w:instrText>
      </w:r>
      <w:r>
        <w:rPr>
          <w:rFonts w:hint="eastAsia" w:ascii="宋体" w:hAnsi="宋体" w:eastAsia="宋体" w:cs="宋体"/>
          <w:b/>
          <w:i w:val="0"/>
          <w:iCs w:val="0"/>
          <w:color w:val="auto"/>
          <w:sz w:val="24"/>
          <w:szCs w:val="24"/>
        </w:rPr>
        <w:fldChar w:fldCharType="separate"/>
      </w:r>
    </w:p>
    <w:p w14:paraId="083F29BD">
      <w:pPr>
        <w:pStyle w:val="19"/>
        <w:spacing w:line="480" w:lineRule="auto"/>
        <w:rPr>
          <w:rFonts w:hint="eastAsia" w:ascii="宋体" w:hAnsi="宋体" w:eastAsia="宋体" w:cs="宋体"/>
          <w:i w:val="0"/>
          <w:iCs w:val="0"/>
          <w:color w:val="auto"/>
          <w:sz w:val="28"/>
          <w:szCs w:val="28"/>
          <w:lang w:val="en-US" w:eastAsia="zh-CN"/>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color w:val="auto"/>
          <w:sz w:val="28"/>
          <w:szCs w:val="28"/>
        </w:rPr>
        <w:instrText xml:space="preserve"> HYPERLINK \l "_Toc256000000" </w:instrText>
      </w:r>
      <w:r>
        <w:rPr>
          <w:rFonts w:hint="eastAsia" w:ascii="宋体" w:hAnsi="宋体" w:eastAsia="宋体" w:cs="宋体"/>
          <w:i w:val="0"/>
          <w:iCs w:val="0"/>
          <w:color w:val="auto"/>
          <w:sz w:val="28"/>
          <w:szCs w:val="28"/>
        </w:rPr>
        <w:fldChar w:fldCharType="separate"/>
      </w:r>
      <w:r>
        <w:rPr>
          <w:rStyle w:val="35"/>
          <w:rFonts w:hint="eastAsia" w:ascii="宋体" w:hAnsi="宋体" w:eastAsia="宋体" w:cs="宋体"/>
          <w:i w:val="0"/>
          <w:iCs w:val="0"/>
          <w:color w:val="auto"/>
          <w:sz w:val="28"/>
          <w:szCs w:val="28"/>
          <w:highlight w:val="white"/>
        </w:rPr>
        <w:t>第一章 单一来源采购</w:t>
      </w:r>
      <w:r>
        <w:rPr>
          <w:rStyle w:val="35"/>
          <w:rFonts w:hint="eastAsia" w:ascii="宋体" w:hAnsi="宋体" w:eastAsia="宋体" w:cs="宋体"/>
          <w:i w:val="0"/>
          <w:iCs w:val="0"/>
          <w:color w:val="auto"/>
          <w:sz w:val="28"/>
          <w:szCs w:val="28"/>
          <w:highlight w:val="white"/>
          <w:lang w:val="en-US"/>
        </w:rPr>
        <w:t>邀请书</w:t>
      </w:r>
      <w:r>
        <w:rPr>
          <w:rFonts w:hint="eastAsia" w:ascii="宋体" w:hAnsi="宋体" w:eastAsia="宋体" w:cs="宋体"/>
          <w:i w:val="0"/>
          <w:iCs w:val="0"/>
          <w:color w:val="auto"/>
          <w:sz w:val="28"/>
          <w:szCs w:val="28"/>
        </w:rPr>
        <w:tab/>
      </w:r>
      <w:r>
        <w:rPr>
          <w:rFonts w:hint="eastAsia" w:ascii="宋体" w:hAnsi="宋体" w:eastAsia="宋体" w:cs="宋体"/>
          <w:i w:val="0"/>
          <w:iCs w:val="0"/>
          <w:color w:val="auto"/>
          <w:sz w:val="28"/>
          <w:szCs w:val="28"/>
        </w:rPr>
        <w:fldChar w:fldCharType="end"/>
      </w:r>
      <w:r>
        <w:rPr>
          <w:rFonts w:hint="eastAsia" w:ascii="宋体" w:hAnsi="宋体" w:eastAsia="宋体" w:cs="宋体"/>
          <w:i w:val="0"/>
          <w:iCs w:val="0"/>
          <w:color w:val="auto"/>
          <w:sz w:val="28"/>
          <w:szCs w:val="28"/>
          <w:lang w:val="en-US" w:eastAsia="zh-CN"/>
        </w:rPr>
        <w:t>2</w:t>
      </w:r>
    </w:p>
    <w:p w14:paraId="2850B978">
      <w:pPr>
        <w:pStyle w:val="19"/>
        <w:spacing w:line="480" w:lineRule="auto"/>
        <w:rPr>
          <w:rFonts w:hint="eastAsia" w:ascii="宋体" w:hAnsi="宋体" w:eastAsia="宋体" w:cs="宋体"/>
          <w:i w:val="0"/>
          <w:iCs w:val="0"/>
          <w:color w:val="auto"/>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color w:val="auto"/>
          <w:sz w:val="28"/>
          <w:szCs w:val="28"/>
        </w:rPr>
        <w:instrText xml:space="preserve"> HYPERLINK \l "_Toc256000001" </w:instrText>
      </w:r>
      <w:r>
        <w:rPr>
          <w:rFonts w:hint="eastAsia" w:ascii="宋体" w:hAnsi="宋体" w:eastAsia="宋体" w:cs="宋体"/>
          <w:i w:val="0"/>
          <w:iCs w:val="0"/>
          <w:color w:val="auto"/>
          <w:sz w:val="28"/>
          <w:szCs w:val="28"/>
        </w:rPr>
        <w:fldChar w:fldCharType="separate"/>
      </w:r>
      <w:r>
        <w:rPr>
          <w:rStyle w:val="35"/>
          <w:rFonts w:hint="eastAsia" w:ascii="宋体" w:hAnsi="宋体" w:eastAsia="宋体" w:cs="宋体"/>
          <w:i w:val="0"/>
          <w:iCs w:val="0"/>
          <w:color w:val="auto"/>
          <w:sz w:val="28"/>
          <w:szCs w:val="28"/>
          <w:highlight w:val="white"/>
        </w:rPr>
        <w:t>第二章 供应商须知前附表</w:t>
      </w:r>
      <w:r>
        <w:rPr>
          <w:rFonts w:hint="eastAsia" w:ascii="宋体" w:hAnsi="宋体" w:eastAsia="宋体" w:cs="宋体"/>
          <w:i w:val="0"/>
          <w:iCs w:val="0"/>
          <w:color w:val="auto"/>
          <w:sz w:val="28"/>
          <w:szCs w:val="28"/>
        </w:rPr>
        <w:tab/>
      </w:r>
      <w:r>
        <w:rPr>
          <w:rFonts w:hint="eastAsia" w:cs="宋体"/>
          <w:i w:val="0"/>
          <w:iCs w:val="0"/>
          <w:color w:val="auto"/>
          <w:sz w:val="28"/>
          <w:szCs w:val="28"/>
          <w:lang w:val="en-US" w:eastAsia="zh-CN"/>
        </w:rPr>
        <w:t>8</w:t>
      </w:r>
      <w:r>
        <w:rPr>
          <w:rFonts w:hint="eastAsia" w:ascii="宋体" w:hAnsi="宋体" w:eastAsia="宋体" w:cs="宋体"/>
          <w:i w:val="0"/>
          <w:iCs w:val="0"/>
          <w:color w:val="auto"/>
          <w:sz w:val="28"/>
          <w:szCs w:val="28"/>
        </w:rPr>
        <w:fldChar w:fldCharType="end"/>
      </w:r>
    </w:p>
    <w:p w14:paraId="6971B454">
      <w:pPr>
        <w:pStyle w:val="19"/>
        <w:spacing w:line="480" w:lineRule="auto"/>
        <w:rPr>
          <w:rFonts w:hint="eastAsia" w:ascii="宋体" w:hAnsi="宋体" w:eastAsia="宋体" w:cs="宋体"/>
          <w:i w:val="0"/>
          <w:iCs w:val="0"/>
          <w:color w:val="auto"/>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color w:val="auto"/>
          <w:sz w:val="28"/>
          <w:szCs w:val="28"/>
        </w:rPr>
        <w:instrText xml:space="preserve"> HYPERLINK \l "_Toc256000002" </w:instrText>
      </w:r>
      <w:r>
        <w:rPr>
          <w:rFonts w:hint="eastAsia" w:ascii="宋体" w:hAnsi="宋体" w:eastAsia="宋体" w:cs="宋体"/>
          <w:i w:val="0"/>
          <w:iCs w:val="0"/>
          <w:color w:val="auto"/>
          <w:sz w:val="28"/>
          <w:szCs w:val="28"/>
        </w:rPr>
        <w:fldChar w:fldCharType="separate"/>
      </w:r>
      <w:r>
        <w:rPr>
          <w:rStyle w:val="35"/>
          <w:rFonts w:hint="eastAsia" w:ascii="宋体" w:hAnsi="宋体" w:eastAsia="宋体" w:cs="宋体"/>
          <w:i w:val="0"/>
          <w:iCs w:val="0"/>
          <w:color w:val="auto"/>
          <w:sz w:val="28"/>
          <w:szCs w:val="28"/>
          <w:highlight w:val="white"/>
        </w:rPr>
        <w:t>第三章 供应商须知</w:t>
      </w:r>
      <w:r>
        <w:rPr>
          <w:rFonts w:hint="eastAsia" w:ascii="宋体" w:hAnsi="宋体" w:eastAsia="宋体" w:cs="宋体"/>
          <w:i w:val="0"/>
          <w:iCs w:val="0"/>
          <w:color w:val="auto"/>
          <w:sz w:val="28"/>
          <w:szCs w:val="28"/>
        </w:rPr>
        <w:tab/>
      </w: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color w:val="auto"/>
          <w:sz w:val="28"/>
          <w:szCs w:val="28"/>
        </w:rPr>
        <w:instrText xml:space="preserve"> PAGEREF _Toc256000002 \h </w:instrText>
      </w:r>
      <w:r>
        <w:rPr>
          <w:rFonts w:hint="eastAsia" w:ascii="宋体" w:hAnsi="宋体" w:eastAsia="宋体" w:cs="宋体"/>
          <w:i w:val="0"/>
          <w:iCs w:val="0"/>
          <w:color w:val="auto"/>
          <w:sz w:val="28"/>
          <w:szCs w:val="28"/>
        </w:rPr>
        <w:fldChar w:fldCharType="separate"/>
      </w:r>
      <w:r>
        <w:rPr>
          <w:rFonts w:hint="eastAsia" w:ascii="宋体" w:hAnsi="宋体" w:eastAsia="宋体" w:cs="宋体"/>
          <w:i w:val="0"/>
          <w:iCs w:val="0"/>
          <w:color w:val="auto"/>
          <w:sz w:val="28"/>
          <w:szCs w:val="28"/>
        </w:rPr>
        <w:t>15</w:t>
      </w:r>
      <w:r>
        <w:rPr>
          <w:rFonts w:hint="eastAsia" w:ascii="宋体" w:hAnsi="宋体" w:eastAsia="宋体" w:cs="宋体"/>
          <w:i w:val="0"/>
          <w:iCs w:val="0"/>
          <w:color w:val="auto"/>
          <w:sz w:val="28"/>
          <w:szCs w:val="28"/>
        </w:rPr>
        <w:fldChar w:fldCharType="end"/>
      </w:r>
      <w:r>
        <w:rPr>
          <w:rFonts w:hint="eastAsia" w:ascii="宋体" w:hAnsi="宋体" w:eastAsia="宋体" w:cs="宋体"/>
          <w:i w:val="0"/>
          <w:iCs w:val="0"/>
          <w:color w:val="auto"/>
          <w:sz w:val="28"/>
          <w:szCs w:val="28"/>
        </w:rPr>
        <w:fldChar w:fldCharType="end"/>
      </w:r>
    </w:p>
    <w:p w14:paraId="4217E373">
      <w:pPr>
        <w:pStyle w:val="19"/>
        <w:spacing w:line="480" w:lineRule="auto"/>
        <w:rPr>
          <w:rFonts w:hint="eastAsia" w:ascii="宋体" w:hAnsi="宋体" w:eastAsia="宋体" w:cs="宋体"/>
          <w:i w:val="0"/>
          <w:iCs w:val="0"/>
          <w:color w:val="auto"/>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color w:val="auto"/>
          <w:sz w:val="28"/>
          <w:szCs w:val="28"/>
        </w:rPr>
        <w:instrText xml:space="preserve"> HYPERLINK \l "_Toc256000003" </w:instrText>
      </w:r>
      <w:r>
        <w:rPr>
          <w:rFonts w:hint="eastAsia" w:ascii="宋体" w:hAnsi="宋体" w:eastAsia="宋体" w:cs="宋体"/>
          <w:i w:val="0"/>
          <w:iCs w:val="0"/>
          <w:color w:val="auto"/>
          <w:sz w:val="28"/>
          <w:szCs w:val="28"/>
        </w:rPr>
        <w:fldChar w:fldCharType="separate"/>
      </w:r>
      <w:r>
        <w:rPr>
          <w:rStyle w:val="35"/>
          <w:rFonts w:hint="eastAsia" w:ascii="宋体" w:hAnsi="宋体" w:eastAsia="宋体" w:cs="宋体"/>
          <w:i w:val="0"/>
          <w:iCs w:val="0"/>
          <w:color w:val="auto"/>
          <w:sz w:val="28"/>
          <w:szCs w:val="28"/>
          <w:highlight w:val="white"/>
        </w:rPr>
        <w:t>第四章 审议与协商</w:t>
      </w:r>
      <w:r>
        <w:rPr>
          <w:rFonts w:hint="eastAsia" w:ascii="宋体" w:hAnsi="宋体" w:eastAsia="宋体" w:cs="宋体"/>
          <w:i w:val="0"/>
          <w:iCs w:val="0"/>
          <w:color w:val="auto"/>
          <w:sz w:val="28"/>
          <w:szCs w:val="28"/>
        </w:rPr>
        <w:tab/>
      </w: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color w:val="auto"/>
          <w:sz w:val="28"/>
          <w:szCs w:val="28"/>
        </w:rPr>
        <w:instrText xml:space="preserve"> PAGEREF _Toc256000003 \h </w:instrText>
      </w:r>
      <w:r>
        <w:rPr>
          <w:rFonts w:hint="eastAsia" w:ascii="宋体" w:hAnsi="宋体" w:eastAsia="宋体" w:cs="宋体"/>
          <w:i w:val="0"/>
          <w:iCs w:val="0"/>
          <w:color w:val="auto"/>
          <w:sz w:val="28"/>
          <w:szCs w:val="28"/>
        </w:rPr>
        <w:fldChar w:fldCharType="separate"/>
      </w:r>
      <w:r>
        <w:rPr>
          <w:rFonts w:hint="eastAsia" w:ascii="宋体" w:hAnsi="宋体" w:eastAsia="宋体" w:cs="宋体"/>
          <w:i w:val="0"/>
          <w:iCs w:val="0"/>
          <w:color w:val="auto"/>
          <w:sz w:val="28"/>
          <w:szCs w:val="28"/>
        </w:rPr>
        <w:t>21</w:t>
      </w:r>
      <w:r>
        <w:rPr>
          <w:rFonts w:hint="eastAsia" w:ascii="宋体" w:hAnsi="宋体" w:eastAsia="宋体" w:cs="宋体"/>
          <w:i w:val="0"/>
          <w:iCs w:val="0"/>
          <w:color w:val="auto"/>
          <w:sz w:val="28"/>
          <w:szCs w:val="28"/>
        </w:rPr>
        <w:fldChar w:fldCharType="end"/>
      </w:r>
      <w:r>
        <w:rPr>
          <w:rFonts w:hint="eastAsia" w:ascii="宋体" w:hAnsi="宋体" w:eastAsia="宋体" w:cs="宋体"/>
          <w:i w:val="0"/>
          <w:iCs w:val="0"/>
          <w:color w:val="auto"/>
          <w:sz w:val="28"/>
          <w:szCs w:val="28"/>
        </w:rPr>
        <w:fldChar w:fldCharType="end"/>
      </w:r>
    </w:p>
    <w:p w14:paraId="10C0B1A5">
      <w:pPr>
        <w:pStyle w:val="19"/>
        <w:spacing w:line="480" w:lineRule="auto"/>
        <w:rPr>
          <w:rFonts w:hint="eastAsia" w:ascii="宋体" w:hAnsi="宋体" w:eastAsia="宋体" w:cs="宋体"/>
          <w:i w:val="0"/>
          <w:iCs w:val="0"/>
          <w:color w:val="auto"/>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color w:val="auto"/>
          <w:sz w:val="28"/>
          <w:szCs w:val="28"/>
        </w:rPr>
        <w:instrText xml:space="preserve"> HYPERLINK \l "_Toc256000005" </w:instrText>
      </w:r>
      <w:r>
        <w:rPr>
          <w:rFonts w:hint="eastAsia" w:ascii="宋体" w:hAnsi="宋体" w:eastAsia="宋体" w:cs="宋体"/>
          <w:i w:val="0"/>
          <w:iCs w:val="0"/>
          <w:color w:val="auto"/>
          <w:sz w:val="28"/>
          <w:szCs w:val="28"/>
        </w:rPr>
        <w:fldChar w:fldCharType="separate"/>
      </w:r>
      <w:r>
        <w:rPr>
          <w:rStyle w:val="35"/>
          <w:rFonts w:hint="eastAsia" w:ascii="宋体" w:hAnsi="宋体" w:eastAsia="宋体" w:cs="宋体"/>
          <w:i w:val="0"/>
          <w:iCs w:val="0"/>
          <w:color w:val="auto"/>
          <w:sz w:val="28"/>
          <w:szCs w:val="28"/>
          <w:highlight w:val="white"/>
        </w:rPr>
        <w:t>第五章 采购内容及要求</w:t>
      </w:r>
      <w:r>
        <w:rPr>
          <w:rFonts w:hint="eastAsia" w:ascii="宋体" w:hAnsi="宋体" w:eastAsia="宋体" w:cs="宋体"/>
          <w:i w:val="0"/>
          <w:iCs w:val="0"/>
          <w:color w:val="auto"/>
          <w:sz w:val="28"/>
          <w:szCs w:val="28"/>
        </w:rPr>
        <w:tab/>
      </w: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color w:val="auto"/>
          <w:sz w:val="28"/>
          <w:szCs w:val="28"/>
        </w:rPr>
        <w:instrText xml:space="preserve"> PAGEREF _Toc256000005 \h </w:instrText>
      </w:r>
      <w:r>
        <w:rPr>
          <w:rFonts w:hint="eastAsia" w:ascii="宋体" w:hAnsi="宋体" w:eastAsia="宋体" w:cs="宋体"/>
          <w:i w:val="0"/>
          <w:iCs w:val="0"/>
          <w:color w:val="auto"/>
          <w:sz w:val="28"/>
          <w:szCs w:val="28"/>
        </w:rPr>
        <w:fldChar w:fldCharType="separate"/>
      </w:r>
      <w:r>
        <w:rPr>
          <w:rFonts w:hint="eastAsia" w:ascii="宋体" w:hAnsi="宋体" w:eastAsia="宋体" w:cs="宋体"/>
          <w:i w:val="0"/>
          <w:iCs w:val="0"/>
          <w:color w:val="auto"/>
          <w:sz w:val="28"/>
          <w:szCs w:val="28"/>
        </w:rPr>
        <w:t>25</w:t>
      </w:r>
      <w:r>
        <w:rPr>
          <w:rFonts w:hint="eastAsia" w:ascii="宋体" w:hAnsi="宋体" w:eastAsia="宋体" w:cs="宋体"/>
          <w:i w:val="0"/>
          <w:iCs w:val="0"/>
          <w:color w:val="auto"/>
          <w:sz w:val="28"/>
          <w:szCs w:val="28"/>
        </w:rPr>
        <w:fldChar w:fldCharType="end"/>
      </w:r>
      <w:r>
        <w:rPr>
          <w:rFonts w:hint="eastAsia" w:ascii="宋体" w:hAnsi="宋体" w:eastAsia="宋体" w:cs="宋体"/>
          <w:i w:val="0"/>
          <w:iCs w:val="0"/>
          <w:color w:val="auto"/>
          <w:sz w:val="28"/>
          <w:szCs w:val="28"/>
        </w:rPr>
        <w:fldChar w:fldCharType="end"/>
      </w:r>
    </w:p>
    <w:p w14:paraId="7C837616">
      <w:pPr>
        <w:pStyle w:val="19"/>
        <w:spacing w:line="480" w:lineRule="auto"/>
        <w:rPr>
          <w:rFonts w:hint="eastAsia" w:ascii="宋体" w:hAnsi="宋体" w:eastAsia="宋体" w:cs="宋体"/>
          <w:i w:val="0"/>
          <w:iCs w:val="0"/>
          <w:color w:val="auto"/>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color w:val="auto"/>
          <w:sz w:val="28"/>
          <w:szCs w:val="28"/>
        </w:rPr>
        <w:instrText xml:space="preserve"> HYPERLINK \l "_Toc256000006" </w:instrText>
      </w:r>
      <w:r>
        <w:rPr>
          <w:rFonts w:hint="eastAsia" w:ascii="宋体" w:hAnsi="宋体" w:eastAsia="宋体" w:cs="宋体"/>
          <w:i w:val="0"/>
          <w:iCs w:val="0"/>
          <w:color w:val="auto"/>
          <w:sz w:val="28"/>
          <w:szCs w:val="28"/>
        </w:rPr>
        <w:fldChar w:fldCharType="separate"/>
      </w:r>
      <w:r>
        <w:rPr>
          <w:rStyle w:val="35"/>
          <w:rFonts w:hint="eastAsia" w:ascii="宋体" w:hAnsi="宋体" w:eastAsia="宋体" w:cs="宋体"/>
          <w:i w:val="0"/>
          <w:iCs w:val="0"/>
          <w:color w:val="auto"/>
          <w:sz w:val="28"/>
          <w:szCs w:val="28"/>
          <w:highlight w:val="white"/>
        </w:rPr>
        <w:t>第六章 合同条款及合同格式</w:t>
      </w:r>
      <w:r>
        <w:rPr>
          <w:rFonts w:hint="eastAsia" w:ascii="宋体" w:hAnsi="宋体" w:eastAsia="宋体" w:cs="宋体"/>
          <w:i w:val="0"/>
          <w:iCs w:val="0"/>
          <w:color w:val="auto"/>
          <w:sz w:val="28"/>
          <w:szCs w:val="28"/>
        </w:rPr>
        <w:tab/>
      </w: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color w:val="auto"/>
          <w:sz w:val="28"/>
          <w:szCs w:val="28"/>
        </w:rPr>
        <w:instrText xml:space="preserve"> PAGEREF _Toc256000006 \h </w:instrText>
      </w:r>
      <w:r>
        <w:rPr>
          <w:rFonts w:hint="eastAsia" w:ascii="宋体" w:hAnsi="宋体" w:eastAsia="宋体" w:cs="宋体"/>
          <w:i w:val="0"/>
          <w:iCs w:val="0"/>
          <w:color w:val="auto"/>
          <w:sz w:val="28"/>
          <w:szCs w:val="28"/>
        </w:rPr>
        <w:fldChar w:fldCharType="separate"/>
      </w:r>
      <w:r>
        <w:rPr>
          <w:rFonts w:hint="eastAsia" w:ascii="宋体" w:hAnsi="宋体" w:eastAsia="宋体" w:cs="宋体"/>
          <w:i w:val="0"/>
          <w:iCs w:val="0"/>
          <w:color w:val="auto"/>
          <w:sz w:val="28"/>
          <w:szCs w:val="28"/>
        </w:rPr>
        <w:t>25</w:t>
      </w:r>
      <w:r>
        <w:rPr>
          <w:rFonts w:hint="eastAsia" w:ascii="宋体" w:hAnsi="宋体" w:eastAsia="宋体" w:cs="宋体"/>
          <w:i w:val="0"/>
          <w:iCs w:val="0"/>
          <w:color w:val="auto"/>
          <w:sz w:val="28"/>
          <w:szCs w:val="28"/>
        </w:rPr>
        <w:fldChar w:fldCharType="end"/>
      </w:r>
      <w:r>
        <w:rPr>
          <w:rFonts w:hint="eastAsia" w:ascii="宋体" w:hAnsi="宋体" w:eastAsia="宋体" w:cs="宋体"/>
          <w:i w:val="0"/>
          <w:iCs w:val="0"/>
          <w:color w:val="auto"/>
          <w:sz w:val="28"/>
          <w:szCs w:val="28"/>
        </w:rPr>
        <w:fldChar w:fldCharType="end"/>
      </w:r>
    </w:p>
    <w:p w14:paraId="0CBF5905">
      <w:pPr>
        <w:pStyle w:val="19"/>
        <w:spacing w:line="480" w:lineRule="auto"/>
        <w:rPr>
          <w:rFonts w:hint="eastAsia" w:ascii="宋体" w:hAnsi="宋体" w:eastAsia="宋体" w:cs="宋体"/>
          <w:i w:val="0"/>
          <w:iCs w:val="0"/>
          <w:color w:val="auto"/>
          <w:sz w:val="28"/>
          <w:szCs w:val="28"/>
        </w:rPr>
      </w:pP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color w:val="auto"/>
          <w:sz w:val="28"/>
          <w:szCs w:val="28"/>
        </w:rPr>
        <w:instrText xml:space="preserve"> HYPERLINK \l "_Toc256000007" </w:instrText>
      </w:r>
      <w:r>
        <w:rPr>
          <w:rFonts w:hint="eastAsia" w:ascii="宋体" w:hAnsi="宋体" w:eastAsia="宋体" w:cs="宋体"/>
          <w:i w:val="0"/>
          <w:iCs w:val="0"/>
          <w:color w:val="auto"/>
          <w:sz w:val="28"/>
          <w:szCs w:val="28"/>
        </w:rPr>
        <w:fldChar w:fldCharType="separate"/>
      </w:r>
      <w:r>
        <w:rPr>
          <w:rStyle w:val="35"/>
          <w:rFonts w:hint="eastAsia" w:ascii="宋体" w:hAnsi="宋体" w:eastAsia="宋体" w:cs="宋体"/>
          <w:i w:val="0"/>
          <w:iCs w:val="0"/>
          <w:color w:val="auto"/>
          <w:sz w:val="28"/>
          <w:szCs w:val="28"/>
          <w:highlight w:val="white"/>
        </w:rPr>
        <w:t>第七章 采购响应文件格式</w:t>
      </w:r>
      <w:r>
        <w:rPr>
          <w:rFonts w:hint="eastAsia" w:ascii="宋体" w:hAnsi="宋体" w:eastAsia="宋体" w:cs="宋体"/>
          <w:i w:val="0"/>
          <w:iCs w:val="0"/>
          <w:color w:val="auto"/>
          <w:sz w:val="28"/>
          <w:szCs w:val="28"/>
        </w:rPr>
        <w:tab/>
      </w:r>
      <w:r>
        <w:rPr>
          <w:rFonts w:hint="eastAsia" w:ascii="宋体" w:hAnsi="宋体" w:eastAsia="宋体" w:cs="宋体"/>
          <w:i w:val="0"/>
          <w:iCs w:val="0"/>
          <w:color w:val="auto"/>
          <w:sz w:val="28"/>
          <w:szCs w:val="28"/>
        </w:rPr>
        <w:fldChar w:fldCharType="begin"/>
      </w:r>
      <w:r>
        <w:rPr>
          <w:rFonts w:hint="eastAsia" w:ascii="宋体" w:hAnsi="宋体" w:eastAsia="宋体" w:cs="宋体"/>
          <w:i w:val="0"/>
          <w:iCs w:val="0"/>
          <w:color w:val="auto"/>
          <w:sz w:val="28"/>
          <w:szCs w:val="28"/>
        </w:rPr>
        <w:instrText xml:space="preserve"> PAGEREF _Toc256000007 \h </w:instrText>
      </w:r>
      <w:r>
        <w:rPr>
          <w:rFonts w:hint="eastAsia" w:ascii="宋体" w:hAnsi="宋体" w:eastAsia="宋体" w:cs="宋体"/>
          <w:i w:val="0"/>
          <w:iCs w:val="0"/>
          <w:color w:val="auto"/>
          <w:sz w:val="28"/>
          <w:szCs w:val="28"/>
        </w:rPr>
        <w:fldChar w:fldCharType="separate"/>
      </w:r>
      <w:r>
        <w:rPr>
          <w:rFonts w:hint="eastAsia" w:ascii="宋体" w:hAnsi="宋体" w:eastAsia="宋体" w:cs="宋体"/>
          <w:i w:val="0"/>
          <w:iCs w:val="0"/>
          <w:color w:val="auto"/>
          <w:sz w:val="28"/>
          <w:szCs w:val="28"/>
        </w:rPr>
        <w:t>40</w:t>
      </w:r>
      <w:r>
        <w:rPr>
          <w:rFonts w:hint="eastAsia" w:ascii="宋体" w:hAnsi="宋体" w:eastAsia="宋体" w:cs="宋体"/>
          <w:i w:val="0"/>
          <w:iCs w:val="0"/>
          <w:color w:val="auto"/>
          <w:sz w:val="28"/>
          <w:szCs w:val="28"/>
        </w:rPr>
        <w:fldChar w:fldCharType="end"/>
      </w:r>
      <w:r>
        <w:rPr>
          <w:rFonts w:hint="eastAsia" w:ascii="宋体" w:hAnsi="宋体" w:eastAsia="宋体" w:cs="宋体"/>
          <w:i w:val="0"/>
          <w:iCs w:val="0"/>
          <w:color w:val="auto"/>
          <w:sz w:val="28"/>
          <w:szCs w:val="28"/>
        </w:rPr>
        <w:fldChar w:fldCharType="end"/>
      </w:r>
    </w:p>
    <w:p w14:paraId="2B13F6BF">
      <w:pPr>
        <w:pStyle w:val="12"/>
        <w:tabs>
          <w:tab w:val="right" w:leader="dot" w:pos="8297"/>
        </w:tabs>
        <w:rPr>
          <w:rFonts w:hint="eastAsia" w:ascii="宋体" w:hAnsi="宋体" w:eastAsia="宋体" w:cs="宋体"/>
          <w:i w:val="0"/>
          <w:iCs w:val="0"/>
          <w:color w:val="auto"/>
          <w:sz w:val="28"/>
          <w:szCs w:val="28"/>
        </w:rPr>
      </w:pPr>
    </w:p>
    <w:p w14:paraId="4C61E66B">
      <w:pPr>
        <w:rPr>
          <w:rFonts w:hint="eastAsia" w:ascii="宋体" w:hAnsi="宋体" w:eastAsia="宋体" w:cs="宋体"/>
          <w:color w:val="auto"/>
        </w:rPr>
      </w:pPr>
      <w:r>
        <w:rPr>
          <w:rFonts w:hint="eastAsia" w:ascii="宋体" w:hAnsi="宋体" w:eastAsia="宋体" w:cs="宋体"/>
          <w:i w:val="0"/>
          <w:iCs w:val="0"/>
          <w:color w:val="auto"/>
        </w:rPr>
        <w:fldChar w:fldCharType="end"/>
      </w:r>
    </w:p>
    <w:p w14:paraId="71BBC01F">
      <w:pPr>
        <w:rPr>
          <w:rFonts w:hint="eastAsia" w:ascii="宋体" w:hAnsi="宋体" w:eastAsia="宋体" w:cs="宋体"/>
          <w:color w:val="auto"/>
          <w:sz w:val="28"/>
          <w:szCs w:val="28"/>
          <w:highlight w:val="yellow"/>
        </w:rPr>
        <w:sectPr>
          <w:footerReference r:id="rId3" w:type="default"/>
          <w:footerReference r:id="rId4" w:type="even"/>
          <w:pgSz w:w="11907" w:h="16840"/>
          <w:pgMar w:top="1440" w:right="1080" w:bottom="1440" w:left="1080" w:header="720" w:footer="720" w:gutter="0"/>
          <w:pgBorders>
            <w:top w:val="none" w:sz="0" w:space="0"/>
            <w:left w:val="none" w:sz="0" w:space="0"/>
            <w:bottom w:val="none" w:sz="0" w:space="0"/>
            <w:right w:val="none" w:sz="0" w:space="0"/>
          </w:pgBorders>
          <w:cols w:space="720" w:num="1"/>
          <w:docGrid w:linePitch="285" w:charSpace="0"/>
        </w:sectPr>
      </w:pPr>
      <w:bookmarkStart w:id="4" w:name="EBc2cbb61ed69f48dbbcc7747ab2497e39"/>
    </w:p>
    <w:p w14:paraId="56F0E6D7">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eastAsia" w:ascii="宋体" w:hAnsi="宋体" w:eastAsia="宋体" w:cs="宋体"/>
          <w:b/>
          <w:bCs/>
          <w:color w:val="auto"/>
          <w:kern w:val="2"/>
          <w:sz w:val="32"/>
          <w:szCs w:val="32"/>
          <w:highlight w:val="none"/>
          <w:lang w:val="en-US" w:eastAsia="zh-CN" w:bidi="ar-SA"/>
        </w:rPr>
      </w:pPr>
      <w:r>
        <w:rPr>
          <w:rFonts w:hint="eastAsia" w:ascii="宋体" w:hAnsi="宋体" w:eastAsia="宋体" w:cs="宋体"/>
          <w:b/>
          <w:bCs/>
          <w:color w:val="auto"/>
          <w:kern w:val="2"/>
          <w:sz w:val="32"/>
          <w:szCs w:val="32"/>
          <w:highlight w:val="none"/>
          <w:lang w:val="en-US" w:eastAsia="zh-CN" w:bidi="ar-SA"/>
        </w:rPr>
        <w:t>第一章 单一来源采购邀请书</w:t>
      </w:r>
    </w:p>
    <w:p w14:paraId="2B5CECB9">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auto"/>
          <w:sz w:val="24"/>
          <w:szCs w:val="24"/>
          <w:lang w:eastAsia="zh-CN"/>
        </w:rPr>
      </w:pPr>
      <w:r>
        <w:rPr>
          <w:rFonts w:hint="eastAsia" w:ascii="宋体" w:hAnsi="宋体" w:eastAsia="宋体" w:cs="宋体"/>
          <w:b/>
          <w:bCs/>
          <w:color w:val="auto"/>
          <w:sz w:val="24"/>
          <w:szCs w:val="24"/>
          <w:lang w:eastAsia="zh-CN"/>
        </w:rPr>
        <w:t>新疆宝康药业有限公司：</w:t>
      </w:r>
    </w:p>
    <w:p w14:paraId="43B491A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eastAsia="zh-CN"/>
        </w:rPr>
      </w:pPr>
      <w:r>
        <w:rPr>
          <w:rFonts w:hint="eastAsia" w:ascii="宋体" w:hAnsi="宋体" w:cs="宋体"/>
          <w:b/>
          <w:bCs/>
          <w:color w:val="auto"/>
          <w:sz w:val="24"/>
          <w:szCs w:val="24"/>
          <w:lang w:eastAsia="zh-CN"/>
        </w:rPr>
        <w:t>一</w:t>
      </w:r>
      <w:r>
        <w:rPr>
          <w:rFonts w:hint="eastAsia" w:ascii="宋体" w:hAnsi="宋体" w:eastAsia="宋体" w:cs="宋体"/>
          <w:b/>
          <w:bCs/>
          <w:color w:val="auto"/>
          <w:sz w:val="24"/>
          <w:szCs w:val="24"/>
          <w:lang w:eastAsia="zh-CN"/>
        </w:rPr>
        <w:t>、根据《中华人民共和国政府采购法》等有关规定，现对“</w:t>
      </w:r>
      <w:r>
        <w:rPr>
          <w:rFonts w:hint="eastAsia" w:ascii="宋体" w:hAnsi="宋体" w:cs="宋体"/>
          <w:b/>
          <w:bCs/>
          <w:color w:val="auto"/>
          <w:sz w:val="24"/>
          <w:szCs w:val="24"/>
          <w:lang w:eastAsia="zh-CN"/>
        </w:rPr>
        <w:t>皮山县维吾尔医医院中药饮片采购项目（单一来源采购）</w:t>
      </w:r>
      <w:r>
        <w:rPr>
          <w:rFonts w:hint="eastAsia" w:ascii="宋体" w:hAnsi="宋体" w:eastAsia="宋体" w:cs="宋体"/>
          <w:b/>
          <w:bCs/>
          <w:color w:val="auto"/>
          <w:sz w:val="24"/>
          <w:szCs w:val="24"/>
          <w:lang w:eastAsia="zh-CN"/>
        </w:rPr>
        <w:t>”进行单一来源采购。</w:t>
      </w:r>
    </w:p>
    <w:p w14:paraId="476EB6C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1</w:t>
      </w:r>
      <w:r>
        <w:rPr>
          <w:rFonts w:hint="eastAsia" w:ascii="宋体" w:hAnsi="宋体" w:cs="宋体"/>
          <w:color w:val="auto"/>
          <w:sz w:val="24"/>
          <w:szCs w:val="24"/>
          <w:lang w:val="en-US" w:eastAsia="zh-CN"/>
        </w:rPr>
        <w:t>.</w:t>
      </w:r>
      <w:r>
        <w:rPr>
          <w:rFonts w:hint="eastAsia" w:ascii="宋体" w:hAnsi="宋体" w:eastAsia="宋体" w:cs="宋体"/>
          <w:color w:val="auto"/>
          <w:sz w:val="24"/>
          <w:szCs w:val="24"/>
          <w:lang w:eastAsia="zh-CN"/>
        </w:rPr>
        <w:t>采购单位：</w:t>
      </w:r>
      <w:r>
        <w:rPr>
          <w:rFonts w:hint="eastAsia" w:ascii="宋体" w:hAnsi="宋体" w:cs="宋体"/>
          <w:color w:val="auto"/>
          <w:sz w:val="24"/>
          <w:szCs w:val="24"/>
          <w:lang w:eastAsia="zh-CN"/>
        </w:rPr>
        <w:t>皮山县维吾尔医医院</w:t>
      </w:r>
    </w:p>
    <w:p w14:paraId="3A4E95F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w:t>
      </w:r>
      <w:r>
        <w:rPr>
          <w:rFonts w:hint="eastAsia" w:ascii="宋体" w:hAnsi="宋体" w:cs="宋体"/>
          <w:color w:val="auto"/>
          <w:sz w:val="24"/>
          <w:szCs w:val="24"/>
          <w:lang w:val="en-US" w:eastAsia="zh-CN"/>
        </w:rPr>
        <w:t>.</w:t>
      </w:r>
      <w:r>
        <w:rPr>
          <w:rFonts w:hint="eastAsia" w:ascii="宋体" w:hAnsi="宋体" w:eastAsia="宋体" w:cs="宋体"/>
          <w:color w:val="auto"/>
          <w:sz w:val="24"/>
          <w:szCs w:val="24"/>
          <w:lang w:val="en-US" w:eastAsia="zh-CN"/>
        </w:rPr>
        <w:t>项目编号：</w:t>
      </w:r>
      <w:r>
        <w:rPr>
          <w:rFonts w:hint="eastAsia" w:ascii="宋体" w:hAnsi="宋体" w:cs="宋体"/>
          <w:color w:val="auto"/>
          <w:sz w:val="24"/>
          <w:szCs w:val="24"/>
          <w:lang w:val="en-US" w:eastAsia="zh-CN"/>
        </w:rPr>
        <w:t>PSXZC2026-056号</w:t>
      </w:r>
    </w:p>
    <w:p w14:paraId="058F5B8D">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eastAsia="zh-CN"/>
        </w:rPr>
      </w:pPr>
      <w:r>
        <w:rPr>
          <w:rFonts w:hint="eastAsia" w:ascii="宋体" w:hAnsi="宋体" w:cs="宋体"/>
          <w:b/>
          <w:bCs/>
          <w:color w:val="auto"/>
          <w:sz w:val="24"/>
          <w:szCs w:val="24"/>
          <w:lang w:eastAsia="zh-CN"/>
        </w:rPr>
        <w:t>二、</w:t>
      </w:r>
      <w:r>
        <w:rPr>
          <w:rFonts w:hint="eastAsia" w:ascii="宋体" w:hAnsi="宋体" w:eastAsia="宋体" w:cs="宋体"/>
          <w:b/>
          <w:bCs/>
          <w:color w:val="auto"/>
          <w:sz w:val="24"/>
          <w:szCs w:val="24"/>
          <w:lang w:eastAsia="zh-CN"/>
        </w:rPr>
        <w:t>项目概况与招标范围</w:t>
      </w:r>
    </w:p>
    <w:p w14:paraId="5713F9A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lang w:eastAsia="zh-CN"/>
        </w:rPr>
      </w:pPr>
      <w:r>
        <w:rPr>
          <w:rFonts w:hint="eastAsia" w:ascii="宋体" w:hAnsi="宋体" w:eastAsia="宋体" w:cs="宋体"/>
          <w:color w:val="auto"/>
          <w:sz w:val="24"/>
          <w:szCs w:val="24"/>
          <w:lang w:eastAsia="zh-CN"/>
        </w:rPr>
        <w:t>1</w:t>
      </w:r>
      <w:r>
        <w:rPr>
          <w:rFonts w:hint="eastAsia" w:ascii="宋体" w:hAnsi="宋体" w:cs="宋体"/>
          <w:color w:val="auto"/>
          <w:sz w:val="24"/>
          <w:szCs w:val="24"/>
          <w:lang w:val="en-US" w:eastAsia="zh-CN"/>
        </w:rPr>
        <w:t>.</w:t>
      </w:r>
      <w:r>
        <w:rPr>
          <w:rFonts w:hint="eastAsia" w:ascii="宋体" w:hAnsi="宋体" w:eastAsia="宋体" w:cs="宋体"/>
          <w:color w:val="auto"/>
          <w:sz w:val="24"/>
          <w:szCs w:val="24"/>
          <w:lang w:eastAsia="zh-CN"/>
        </w:rPr>
        <w:t>项目名称：</w:t>
      </w:r>
      <w:r>
        <w:rPr>
          <w:rFonts w:hint="eastAsia" w:ascii="宋体" w:hAnsi="宋体" w:cs="宋体"/>
          <w:color w:val="auto"/>
          <w:sz w:val="24"/>
          <w:szCs w:val="24"/>
          <w:lang w:eastAsia="zh-CN"/>
        </w:rPr>
        <w:t>皮山县维吾尔医医院中药饮片采购项目（单一来源采购）</w:t>
      </w:r>
    </w:p>
    <w:p w14:paraId="280817F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w:t>
      </w:r>
      <w:r>
        <w:rPr>
          <w:rFonts w:hint="eastAsia" w:ascii="宋体" w:hAnsi="宋体" w:cs="宋体"/>
          <w:color w:val="auto"/>
          <w:sz w:val="24"/>
          <w:szCs w:val="24"/>
          <w:lang w:val="en-US" w:eastAsia="zh-CN"/>
        </w:rPr>
        <w:t>.</w:t>
      </w:r>
      <w:r>
        <w:rPr>
          <w:rFonts w:hint="eastAsia" w:ascii="宋体" w:hAnsi="宋体" w:eastAsia="宋体" w:cs="宋体"/>
          <w:color w:val="auto"/>
          <w:sz w:val="24"/>
          <w:szCs w:val="24"/>
          <w:lang w:val="en-US" w:eastAsia="zh-CN"/>
        </w:rPr>
        <w:t>服务地点</w:t>
      </w:r>
      <w:r>
        <w:rPr>
          <w:rFonts w:hint="eastAsia" w:ascii="宋体" w:hAnsi="宋体" w:eastAsia="宋体" w:cs="宋体"/>
          <w:color w:val="auto"/>
          <w:sz w:val="24"/>
          <w:szCs w:val="24"/>
          <w:lang w:eastAsia="zh-CN"/>
        </w:rPr>
        <w:t>：</w:t>
      </w:r>
      <w:r>
        <w:rPr>
          <w:rFonts w:hint="eastAsia" w:ascii="宋体" w:hAnsi="宋体" w:cs="宋体"/>
          <w:color w:val="auto"/>
          <w:sz w:val="24"/>
          <w:szCs w:val="24"/>
          <w:lang w:eastAsia="zh-CN"/>
        </w:rPr>
        <w:t>皮山县维吾尔医医院</w:t>
      </w:r>
    </w:p>
    <w:p w14:paraId="137C241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eastAsia="zh-CN"/>
        </w:rPr>
        <w:t>3</w:t>
      </w:r>
      <w:r>
        <w:rPr>
          <w:rFonts w:hint="eastAsia" w:ascii="宋体" w:hAnsi="宋体" w:cs="宋体"/>
          <w:color w:val="auto"/>
          <w:sz w:val="24"/>
          <w:szCs w:val="24"/>
          <w:lang w:val="en-US" w:eastAsia="zh-CN"/>
        </w:rPr>
        <w:t>.</w:t>
      </w:r>
      <w:r>
        <w:rPr>
          <w:rFonts w:hint="eastAsia" w:ascii="宋体" w:hAnsi="宋体" w:eastAsia="宋体" w:cs="宋体"/>
          <w:color w:val="auto"/>
          <w:sz w:val="24"/>
          <w:szCs w:val="24"/>
          <w:lang w:eastAsia="zh-CN"/>
        </w:rPr>
        <w:t>简要规格描述或项目基本概况介绍：</w:t>
      </w:r>
      <w:r>
        <w:rPr>
          <w:rFonts w:hint="eastAsia" w:ascii="宋体" w:hAnsi="宋体" w:cs="宋体"/>
          <w:color w:val="auto"/>
          <w:sz w:val="24"/>
          <w:szCs w:val="24"/>
          <w:lang w:val="en-US" w:eastAsia="zh-CN"/>
        </w:rPr>
        <w:t>采购人工麝香一批</w:t>
      </w:r>
    </w:p>
    <w:p w14:paraId="573697E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4</w:t>
      </w:r>
      <w:r>
        <w:rPr>
          <w:rFonts w:hint="eastAsia" w:ascii="宋体" w:hAnsi="宋体" w:cs="宋体"/>
          <w:color w:val="auto"/>
          <w:sz w:val="24"/>
          <w:szCs w:val="24"/>
          <w:lang w:val="en-US" w:eastAsia="zh-CN"/>
        </w:rPr>
        <w:t>.</w:t>
      </w:r>
      <w:r>
        <w:rPr>
          <w:rFonts w:hint="eastAsia" w:ascii="宋体" w:hAnsi="宋体" w:eastAsia="宋体" w:cs="宋体"/>
          <w:color w:val="auto"/>
          <w:sz w:val="24"/>
          <w:szCs w:val="24"/>
          <w:lang w:eastAsia="zh-CN"/>
        </w:rPr>
        <w:t>预算金额：</w:t>
      </w:r>
      <w:r>
        <w:rPr>
          <w:rFonts w:hint="eastAsia" w:ascii="宋体" w:hAnsi="宋体" w:cs="宋体"/>
          <w:color w:val="auto"/>
          <w:sz w:val="24"/>
          <w:szCs w:val="24"/>
          <w:lang w:eastAsia="zh-CN"/>
        </w:rPr>
        <w:t>490000.00</w:t>
      </w:r>
      <w:r>
        <w:rPr>
          <w:rFonts w:hint="eastAsia" w:ascii="宋体" w:hAnsi="宋体" w:eastAsia="宋体" w:cs="宋体"/>
          <w:color w:val="auto"/>
          <w:sz w:val="24"/>
          <w:szCs w:val="24"/>
          <w:lang w:val="en-US" w:eastAsia="zh-CN"/>
        </w:rPr>
        <w:t>元</w:t>
      </w:r>
    </w:p>
    <w:p w14:paraId="0AB25DF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FF"/>
          <w:sz w:val="24"/>
          <w:szCs w:val="24"/>
          <w:lang w:val="en-US" w:eastAsia="zh-CN"/>
        </w:rPr>
      </w:pPr>
      <w:r>
        <w:rPr>
          <w:rFonts w:hint="eastAsia" w:ascii="宋体" w:hAnsi="宋体" w:eastAsia="宋体" w:cs="宋体"/>
          <w:color w:val="auto"/>
          <w:sz w:val="24"/>
          <w:szCs w:val="24"/>
          <w:lang w:val="en-US" w:eastAsia="zh-CN"/>
        </w:rPr>
        <w:t>5</w:t>
      </w:r>
      <w:r>
        <w:rPr>
          <w:rFonts w:hint="eastAsia" w:ascii="宋体" w:hAnsi="宋体" w:cs="宋体"/>
          <w:color w:val="auto"/>
          <w:sz w:val="24"/>
          <w:szCs w:val="24"/>
          <w:lang w:val="en-US" w:eastAsia="zh-CN"/>
        </w:rPr>
        <w:t>.</w:t>
      </w:r>
      <w:r>
        <w:rPr>
          <w:rFonts w:hint="eastAsia" w:ascii="宋体" w:hAnsi="宋体" w:eastAsia="宋体" w:cs="宋体"/>
          <w:color w:val="auto"/>
          <w:sz w:val="24"/>
          <w:szCs w:val="24"/>
          <w:lang w:val="en-US" w:eastAsia="zh-CN"/>
        </w:rPr>
        <w:t>采用单一来源采购方式的原因及说明：经市场调研，本项目拟采购的人工麝香0.3g/瓶目前全国仅有北京联馨药业有限公司具备药品生产资质.为该规格产品的唯一生产厂家,新疆宝康药业有限公司是该企业在新疆区域内独家授权经销商，该区域内无其他供货渠道，人工麝香配方及生产工艺均有专利技书、0.3g/瓶独立包装是生产企业原厂分装规格，取得国药准字批文，综上所述,该项目具有唯一性，为满足采购需求，更好的服务于医院的临床工作，根据政府采购法的相关规定，同意该项目采用单一来源式采购。</w:t>
      </w:r>
    </w:p>
    <w:p w14:paraId="15F1EAF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6</w:t>
      </w:r>
      <w:r>
        <w:rPr>
          <w:rFonts w:hint="eastAsia" w:ascii="宋体" w:hAnsi="宋体" w:cs="宋体"/>
          <w:color w:val="auto"/>
          <w:sz w:val="24"/>
          <w:szCs w:val="24"/>
          <w:lang w:val="en-US" w:eastAsia="zh-CN"/>
        </w:rPr>
        <w:t>.供货</w:t>
      </w:r>
      <w:r>
        <w:rPr>
          <w:rFonts w:hint="eastAsia" w:ascii="宋体" w:hAnsi="宋体" w:eastAsia="宋体" w:cs="宋体"/>
          <w:color w:val="auto"/>
          <w:sz w:val="24"/>
          <w:szCs w:val="24"/>
          <w:lang w:val="en-US" w:eastAsia="zh-CN"/>
        </w:rPr>
        <w:t>期</w:t>
      </w:r>
      <w:r>
        <w:rPr>
          <w:rFonts w:hint="eastAsia" w:ascii="宋体" w:hAnsi="宋体" w:eastAsia="宋体" w:cs="宋体"/>
          <w:color w:val="auto"/>
          <w:sz w:val="24"/>
          <w:szCs w:val="24"/>
          <w:lang w:eastAsia="zh-CN"/>
        </w:rPr>
        <w:t>：1年（具体时间以签订合同为准）；</w:t>
      </w:r>
    </w:p>
    <w:p w14:paraId="44E2428E">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eastAsia="zh-CN"/>
        </w:rPr>
      </w:pPr>
      <w:r>
        <w:rPr>
          <w:rFonts w:hint="eastAsia" w:ascii="宋体" w:hAnsi="宋体" w:cs="宋体"/>
          <w:b/>
          <w:bCs/>
          <w:color w:val="auto"/>
          <w:sz w:val="24"/>
          <w:szCs w:val="24"/>
          <w:lang w:eastAsia="zh-CN"/>
        </w:rPr>
        <w:t>三、</w:t>
      </w:r>
      <w:r>
        <w:rPr>
          <w:rFonts w:hint="eastAsia" w:ascii="宋体" w:hAnsi="宋体" w:eastAsia="宋体" w:cs="宋体"/>
          <w:b/>
          <w:bCs/>
          <w:color w:val="auto"/>
          <w:sz w:val="24"/>
          <w:szCs w:val="24"/>
          <w:lang w:eastAsia="zh-CN"/>
        </w:rPr>
        <w:t>供应商资格要求</w:t>
      </w:r>
    </w:p>
    <w:p w14:paraId="43BBF03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1、供应商必须符合《中华人民共和国政府采购法》第二十二条规定：</w:t>
      </w:r>
    </w:p>
    <w:p w14:paraId="2378D8D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1）具有独立承担民事责任的能力：提供在中华人民共和国境内注册的法人或其他组织的营业执照或事业单位法人证书或社会团体法人登记证书复印件，如投标人为自然人的提供自然人身份证明复印件；如国家另有规定的，则从其规定。</w:t>
      </w:r>
    </w:p>
    <w:p w14:paraId="636DF9B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2）有依法缴纳税收和社会保障资金的良好记录：提供近段时间内（</w:t>
      </w:r>
      <w:r>
        <w:rPr>
          <w:rFonts w:hint="eastAsia" w:ascii="宋体" w:hAnsi="宋体" w:cs="宋体"/>
          <w:color w:val="auto"/>
          <w:sz w:val="24"/>
          <w:szCs w:val="24"/>
          <w:lang w:eastAsia="zh-CN"/>
        </w:rPr>
        <w:t>2026年7月-2026年9月</w:t>
      </w:r>
      <w:r>
        <w:rPr>
          <w:rFonts w:hint="eastAsia" w:ascii="宋体" w:hAnsi="宋体" w:eastAsia="宋体" w:cs="宋体"/>
          <w:color w:val="auto"/>
          <w:sz w:val="24"/>
          <w:szCs w:val="24"/>
          <w:lang w:eastAsia="zh-CN"/>
        </w:rPr>
        <w:t>、新成立的公司按实际发生提供）的缴纳税收的完税证明或税务部门出具的纳税证明；如当月无需缴税需提供税务机关出具的无欠税证明；提供近段时间内（</w:t>
      </w:r>
      <w:r>
        <w:rPr>
          <w:rFonts w:hint="eastAsia" w:ascii="宋体" w:hAnsi="宋体" w:cs="宋体"/>
          <w:color w:val="auto"/>
          <w:sz w:val="24"/>
          <w:szCs w:val="24"/>
          <w:lang w:eastAsia="zh-CN"/>
        </w:rPr>
        <w:t>2026年7月-2026年9月</w:t>
      </w:r>
      <w:r>
        <w:rPr>
          <w:rFonts w:hint="eastAsia" w:ascii="宋体" w:hAnsi="宋体" w:eastAsia="宋体" w:cs="宋体"/>
          <w:color w:val="auto"/>
          <w:sz w:val="24"/>
          <w:szCs w:val="24"/>
          <w:lang w:eastAsia="zh-CN"/>
        </w:rPr>
        <w:t>、新成立的公司按实际发生提供）的缴纳社保证明材料加盖公章。如依法不需要缴纳社会保障资金的，应提供相应文件证明；</w:t>
      </w:r>
    </w:p>
    <w:p w14:paraId="22DDDAE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3）提供2025年度由第三方财务审计机构出具的在注册会计师行业统一监管平台备案赋码的财务审计报告（2026年新成立的公司按实际发生的情况提供银行出具的近一个月资信证明）；</w:t>
      </w:r>
    </w:p>
    <w:p w14:paraId="21FF9B6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4）履行合同所必需的设备和专业技术能力：提供《投标人资格声明函》；</w:t>
      </w:r>
    </w:p>
    <w:p w14:paraId="066F202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5）参加采购活动前3年内，在经营活动中没有重大违法记录：提供《投标人资格声明函》。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068B121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6）近三年拟参加本次招标项目的投标人在“信用中国（www.creditchina.gov.cn）”被列入失信被执行人、企业经营异常名录、重大税收违法案件当事人名单、政府采购严重违法失信名单（尚在处罚期内的）；在“中国政府采购网（www.ccgp.gov.cn）”被列入政府采购严重违法失信行为记录名单的（尚在处罚期内的）；经营异常名录的取消投标资格。</w:t>
      </w:r>
    </w:p>
    <w:p w14:paraId="1D97424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（7）企业负责人为同一人或者存在直接控股、管理关系的不同投标人，不得参加同一合同项下的政府采购活动。否则，皆取消投标资格。</w:t>
      </w:r>
    </w:p>
    <w:p w14:paraId="136B8B7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（8）本项目不接受联合体投标。</w:t>
      </w:r>
    </w:p>
    <w:p w14:paraId="1BD510D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auto"/>
          <w:sz w:val="24"/>
          <w:szCs w:val="24"/>
          <w:lang w:val="en-US" w:eastAsia="zh-CN"/>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9）提供投标保证金缴纳凭证或电子保函</w:t>
      </w:r>
    </w:p>
    <w:p w14:paraId="3AB0E27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2.落实政府采购政策需满足的资格要求：</w:t>
      </w:r>
    </w:p>
    <w:p w14:paraId="01A8C2F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2.1 中小企业政策</w:t>
      </w:r>
    </w:p>
    <w:p w14:paraId="7AAE0EC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☑本项目不专门面向中小企业预留采购份额。</w:t>
      </w:r>
    </w:p>
    <w:p w14:paraId="3538DC0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□本项目专门面向  □中小 □小微企业  采购。即：提供的货物或服务全部由符合政策要求的中小/小微企业制造、服务全部由符合政策要求的中小/小微企业承接。</w:t>
      </w:r>
    </w:p>
    <w:p w14:paraId="333E009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□本项目预留部分采购项目预算专门面向中小企业采购。对于预留份额，提供的货物由符合政策要求的中小企业制造、服务由符合政策要求的中小企业承接。预留份额通过以下措施进行：_______。</w:t>
      </w:r>
    </w:p>
    <w:p w14:paraId="5FEB907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2.2 落实的政府采购政策</w:t>
      </w:r>
    </w:p>
    <w:p w14:paraId="5D6E4B9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 xml:space="preserve">（1）财政部、国家发展改革委、生态环境部、市场监管总局《关于调整优化节能产品、环境标志产品政府采购执行机制的通知》（财库[2019]9号文）；  </w:t>
      </w:r>
    </w:p>
    <w:p w14:paraId="53C5638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 xml:space="preserve">（2）财政部、生态环境部《关于印发环境标志产品政府采购品目清单的通知》（财库[2019]18号文）； </w:t>
      </w:r>
    </w:p>
    <w:p w14:paraId="1D605ED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 xml:space="preserve">（3）财政部、发展改革委《关于印发节能产品政府采购品目清单的通知》（财库[2019]19号文）； </w:t>
      </w:r>
    </w:p>
    <w:p w14:paraId="07FF9C8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 xml:space="preserve">（4）市场监管总局《市场监管总局关于发布参与实施政府采购节能产品、环境标志产品认证机构名录的公告》（2019年第16号）；  </w:t>
      </w:r>
    </w:p>
    <w:p w14:paraId="2828409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 xml:space="preserve">（5）财政部、工业和信息化部《关于印发《政府采购促进中小企业发展管理办法》的通知》（财库[2020]46号文）《关于进一步加大政府采购支持中小企业力度的通知》（财库[2022]19号文）执行； </w:t>
      </w:r>
    </w:p>
    <w:p w14:paraId="36C952D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 xml:space="preserve">（6）财政部、民政部、中国残疾人联合会《关于促进残疾人就业政府采购政策的通知》（财库[2017]141号）；  </w:t>
      </w:r>
    </w:p>
    <w:p w14:paraId="0947A16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 xml:space="preserve">（7）财政部、司法部《关于政府采购支持监狱企业发展有关问题的通知》（财库[2014]68号文）； </w:t>
      </w:r>
    </w:p>
    <w:p w14:paraId="6EDC4C0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（8）财政部、生态环境部、国家邮政局《关于印发《商品包装政府采购需求标准（试行）》、 《快递包装政府采购需求标准（试行）》的通知》（财办库〔2020〕123号）。</w:t>
      </w:r>
    </w:p>
    <w:p w14:paraId="46F31BD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3.本项目的特定资格要求：</w:t>
      </w:r>
    </w:p>
    <w:p w14:paraId="12BB849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供应商为生产厂家，提供《药品生产许可证》；供应商为经销商，提供《药品经营许可证》。</w:t>
      </w:r>
      <w:r>
        <w:rPr>
          <w:rFonts w:hint="eastAsia" w:ascii="宋体" w:hAnsi="宋体" w:eastAsia="宋体" w:cs="宋体"/>
          <w:color w:val="auto"/>
          <w:sz w:val="24"/>
          <w:szCs w:val="24"/>
          <w:lang w:eastAsia="zh-CN"/>
        </w:rPr>
        <w:t xml:space="preserve"> </w:t>
      </w:r>
    </w:p>
    <w:p w14:paraId="61E524DC">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eastAsia="zh-CN"/>
        </w:rPr>
      </w:pPr>
      <w:r>
        <w:rPr>
          <w:rFonts w:hint="eastAsia" w:ascii="宋体" w:hAnsi="宋体" w:cs="宋体"/>
          <w:b/>
          <w:bCs/>
          <w:color w:val="auto"/>
          <w:sz w:val="24"/>
          <w:szCs w:val="24"/>
          <w:lang w:val="en-US" w:eastAsia="zh-CN"/>
        </w:rPr>
        <w:t>四</w:t>
      </w:r>
      <w:r>
        <w:rPr>
          <w:rFonts w:hint="eastAsia" w:ascii="宋体" w:hAnsi="宋体" w:cs="宋体"/>
          <w:b/>
          <w:bCs/>
          <w:color w:val="auto"/>
          <w:sz w:val="24"/>
          <w:szCs w:val="24"/>
          <w:lang w:eastAsia="zh-CN"/>
        </w:rPr>
        <w:t>、</w:t>
      </w:r>
      <w:r>
        <w:rPr>
          <w:rFonts w:hint="eastAsia" w:ascii="宋体" w:hAnsi="宋体" w:eastAsia="宋体" w:cs="宋体"/>
          <w:b/>
          <w:bCs/>
          <w:color w:val="auto"/>
          <w:sz w:val="24"/>
          <w:szCs w:val="24"/>
          <w:lang w:eastAsia="zh-CN"/>
        </w:rPr>
        <w:t>单一来源文件获取</w:t>
      </w:r>
    </w:p>
    <w:p w14:paraId="2017F1A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1</w:t>
      </w:r>
      <w:r>
        <w:rPr>
          <w:rFonts w:hint="eastAsia" w:ascii="宋体" w:hAnsi="宋体" w:cs="宋体"/>
          <w:color w:val="auto"/>
          <w:sz w:val="24"/>
          <w:szCs w:val="24"/>
          <w:lang w:val="en-US" w:eastAsia="zh-CN"/>
        </w:rPr>
        <w:t>.</w:t>
      </w:r>
      <w:r>
        <w:rPr>
          <w:rFonts w:hint="eastAsia" w:ascii="宋体" w:hAnsi="宋体" w:eastAsia="宋体" w:cs="宋体"/>
          <w:color w:val="auto"/>
          <w:sz w:val="24"/>
          <w:szCs w:val="24"/>
          <w:lang w:eastAsia="zh-CN"/>
        </w:rPr>
        <w:t>时间：202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eastAsia="zh-CN"/>
        </w:rPr>
        <w:t>年</w:t>
      </w:r>
      <w:r>
        <w:rPr>
          <w:rFonts w:hint="eastAsia" w:ascii="宋体" w:hAnsi="宋体" w:cs="宋体"/>
          <w:color w:val="auto"/>
          <w:sz w:val="24"/>
          <w:szCs w:val="24"/>
          <w:lang w:val="en-US" w:eastAsia="zh-CN"/>
        </w:rPr>
        <w:t>10</w:t>
      </w:r>
      <w:r>
        <w:rPr>
          <w:rFonts w:hint="eastAsia" w:ascii="宋体" w:hAnsi="宋体" w:eastAsia="宋体" w:cs="宋体"/>
          <w:color w:val="auto"/>
          <w:sz w:val="24"/>
          <w:szCs w:val="24"/>
          <w:lang w:eastAsia="zh-CN"/>
        </w:rPr>
        <w:t>月</w:t>
      </w:r>
      <w:r>
        <w:rPr>
          <w:rFonts w:hint="eastAsia" w:ascii="宋体" w:hAnsi="宋体" w:cs="宋体"/>
          <w:color w:val="auto"/>
          <w:sz w:val="24"/>
          <w:szCs w:val="24"/>
          <w:lang w:val="en-US" w:eastAsia="zh-CN"/>
        </w:rPr>
        <w:t>15</w:t>
      </w:r>
      <w:r>
        <w:rPr>
          <w:rFonts w:hint="eastAsia" w:ascii="宋体" w:hAnsi="宋体" w:eastAsia="宋体" w:cs="宋体"/>
          <w:color w:val="auto"/>
          <w:sz w:val="24"/>
          <w:szCs w:val="24"/>
          <w:lang w:eastAsia="zh-CN"/>
        </w:rPr>
        <w:t>日至202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eastAsia="zh-CN"/>
        </w:rPr>
        <w:t>年</w:t>
      </w:r>
      <w:r>
        <w:rPr>
          <w:rFonts w:hint="eastAsia" w:ascii="宋体" w:hAnsi="宋体" w:cs="宋体"/>
          <w:color w:val="auto"/>
          <w:sz w:val="24"/>
          <w:szCs w:val="24"/>
          <w:lang w:val="en-US" w:eastAsia="zh-CN"/>
        </w:rPr>
        <w:t>10</w:t>
      </w:r>
      <w:r>
        <w:rPr>
          <w:rFonts w:hint="eastAsia" w:ascii="宋体" w:hAnsi="宋体" w:eastAsia="宋体" w:cs="宋体"/>
          <w:color w:val="auto"/>
          <w:sz w:val="24"/>
          <w:szCs w:val="24"/>
          <w:lang w:eastAsia="zh-CN"/>
        </w:rPr>
        <w:t>月</w:t>
      </w:r>
      <w:r>
        <w:rPr>
          <w:rFonts w:hint="eastAsia" w:ascii="宋体" w:hAnsi="宋体" w:cs="宋体"/>
          <w:color w:val="auto"/>
          <w:sz w:val="24"/>
          <w:szCs w:val="24"/>
          <w:lang w:val="en-US" w:eastAsia="zh-CN"/>
        </w:rPr>
        <w:t>22</w:t>
      </w:r>
      <w:r>
        <w:rPr>
          <w:rFonts w:hint="eastAsia" w:ascii="宋体" w:hAnsi="宋体" w:eastAsia="宋体" w:cs="宋体"/>
          <w:color w:val="auto"/>
          <w:sz w:val="24"/>
          <w:szCs w:val="24"/>
          <w:lang w:eastAsia="zh-CN"/>
        </w:rPr>
        <w:t>日，每天上午00:00至1</w:t>
      </w: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eastAsia="zh-CN"/>
        </w:rPr>
        <w:t>:00，下午1</w:t>
      </w: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eastAsia="zh-CN"/>
        </w:rPr>
        <w:t>:00至23:59（北京时间）</w:t>
      </w:r>
    </w:p>
    <w:p w14:paraId="5B662C2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val="en-US" w:eastAsia="zh-CN"/>
        </w:rPr>
        <w:t>.</w:t>
      </w:r>
      <w:r>
        <w:rPr>
          <w:rFonts w:hint="eastAsia" w:ascii="宋体" w:hAnsi="宋体" w:eastAsia="宋体" w:cs="宋体"/>
          <w:color w:val="auto"/>
          <w:sz w:val="24"/>
          <w:szCs w:val="24"/>
          <w:lang w:eastAsia="zh-CN"/>
        </w:rPr>
        <w:t>地点：政采云平台线上获取</w:t>
      </w:r>
    </w:p>
    <w:p w14:paraId="4ACEEAE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3</w:t>
      </w:r>
      <w:r>
        <w:rPr>
          <w:rFonts w:hint="eastAsia" w:ascii="宋体" w:hAnsi="宋体" w:cs="宋体"/>
          <w:color w:val="auto"/>
          <w:sz w:val="24"/>
          <w:szCs w:val="24"/>
          <w:lang w:val="en-US" w:eastAsia="zh-CN"/>
        </w:rPr>
        <w:t>.</w:t>
      </w:r>
      <w:r>
        <w:rPr>
          <w:rFonts w:hint="eastAsia" w:ascii="宋体" w:hAnsi="宋体" w:eastAsia="宋体" w:cs="宋体"/>
          <w:color w:val="auto"/>
          <w:sz w:val="24"/>
          <w:szCs w:val="24"/>
          <w:lang w:eastAsia="zh-CN"/>
        </w:rPr>
        <w:t>方式：供应商登录政采云平台https://www.zcygov.cn/在线申请获取采购文件（进入“项目采购”应用，在获取采购文件菜单中选择项目，申请获取采购文件），或者点击采购公告底部潜在供应商“获取采购文件”，页面跳转后登陆，直接获取采购文件。</w:t>
      </w:r>
    </w:p>
    <w:p w14:paraId="523641F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4</w:t>
      </w:r>
      <w:r>
        <w:rPr>
          <w:rFonts w:hint="eastAsia" w:ascii="宋体" w:hAnsi="宋体" w:cs="宋体"/>
          <w:color w:val="auto"/>
          <w:sz w:val="24"/>
          <w:szCs w:val="24"/>
          <w:lang w:val="en-US" w:eastAsia="zh-CN"/>
        </w:rPr>
        <w:t>.</w:t>
      </w:r>
      <w:r>
        <w:rPr>
          <w:rFonts w:hint="eastAsia" w:ascii="宋体" w:hAnsi="宋体" w:eastAsia="宋体" w:cs="宋体"/>
          <w:color w:val="auto"/>
          <w:sz w:val="24"/>
          <w:szCs w:val="24"/>
          <w:lang w:eastAsia="zh-CN"/>
        </w:rPr>
        <w:t>售价：0元/份 </w:t>
      </w:r>
    </w:p>
    <w:p w14:paraId="4E2B67BD">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val="en-US" w:eastAsia="zh-CN"/>
        </w:rPr>
      </w:pPr>
      <w:r>
        <w:rPr>
          <w:rFonts w:hint="eastAsia" w:ascii="宋体" w:hAnsi="宋体" w:cs="宋体"/>
          <w:b/>
          <w:bCs/>
          <w:color w:val="auto"/>
          <w:sz w:val="24"/>
          <w:szCs w:val="24"/>
          <w:lang w:val="en-US" w:eastAsia="zh-CN"/>
        </w:rPr>
        <w:t>五</w:t>
      </w:r>
      <w:r>
        <w:rPr>
          <w:rFonts w:hint="eastAsia" w:ascii="宋体" w:hAnsi="宋体" w:eastAsia="宋体" w:cs="宋体"/>
          <w:b/>
          <w:bCs/>
          <w:color w:val="auto"/>
          <w:sz w:val="24"/>
          <w:szCs w:val="24"/>
          <w:lang w:val="en-US" w:eastAsia="zh-CN"/>
        </w:rPr>
        <w:t xml:space="preserve">、采购响应文件截止时间、开标时间和地点 </w:t>
      </w:r>
    </w:p>
    <w:p w14:paraId="5A3E712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1</w:t>
      </w:r>
      <w:r>
        <w:rPr>
          <w:rFonts w:hint="eastAsia" w:ascii="宋体" w:hAnsi="宋体" w:cs="宋体"/>
          <w:b w:val="0"/>
          <w:bCs w:val="0"/>
          <w:color w:val="auto"/>
          <w:sz w:val="24"/>
          <w:szCs w:val="24"/>
          <w:lang w:val="en-US" w:eastAsia="zh-CN"/>
        </w:rPr>
        <w:t>.</w:t>
      </w:r>
      <w:r>
        <w:rPr>
          <w:rFonts w:hint="eastAsia" w:ascii="宋体" w:hAnsi="宋体" w:eastAsia="宋体" w:cs="宋体"/>
          <w:b w:val="0"/>
          <w:bCs w:val="0"/>
          <w:color w:val="auto"/>
          <w:sz w:val="24"/>
          <w:szCs w:val="24"/>
          <w:lang w:val="en-US" w:eastAsia="zh-CN"/>
        </w:rPr>
        <w:t>提交投标文件截止时间：</w:t>
      </w:r>
      <w:r>
        <w:rPr>
          <w:rFonts w:hint="eastAsia" w:ascii="宋体" w:hAnsi="宋体" w:cs="宋体"/>
          <w:b w:val="0"/>
          <w:bCs w:val="0"/>
          <w:color w:val="auto"/>
          <w:sz w:val="24"/>
          <w:szCs w:val="24"/>
          <w:lang w:val="en-US" w:eastAsia="zh-CN"/>
        </w:rPr>
        <w:t>2026年10月23日</w:t>
      </w:r>
      <w:r>
        <w:rPr>
          <w:rFonts w:hint="eastAsia" w:ascii="宋体" w:hAnsi="宋体" w:eastAsia="宋体" w:cs="宋体"/>
          <w:b w:val="0"/>
          <w:bCs w:val="0"/>
          <w:color w:val="auto"/>
          <w:sz w:val="24"/>
          <w:szCs w:val="24"/>
          <w:lang w:val="en-US" w:eastAsia="zh-CN"/>
        </w:rPr>
        <w:t xml:space="preserve"> 11：00（北京时间）</w:t>
      </w:r>
    </w:p>
    <w:p w14:paraId="46770FE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2</w:t>
      </w:r>
      <w:r>
        <w:rPr>
          <w:rFonts w:hint="eastAsia" w:ascii="宋体" w:hAnsi="宋体" w:cs="宋体"/>
          <w:b w:val="0"/>
          <w:bCs w:val="0"/>
          <w:color w:val="auto"/>
          <w:sz w:val="24"/>
          <w:szCs w:val="24"/>
          <w:lang w:val="en-US" w:eastAsia="zh-CN"/>
        </w:rPr>
        <w:t>.</w:t>
      </w:r>
      <w:r>
        <w:rPr>
          <w:rFonts w:hint="eastAsia" w:ascii="宋体" w:hAnsi="宋体" w:eastAsia="宋体" w:cs="宋体"/>
          <w:b w:val="0"/>
          <w:bCs w:val="0"/>
          <w:color w:val="auto"/>
          <w:sz w:val="24"/>
          <w:szCs w:val="24"/>
          <w:lang w:val="en-US" w:eastAsia="zh-CN"/>
        </w:rPr>
        <w:t>投标地点：投标人应于</w:t>
      </w:r>
      <w:r>
        <w:rPr>
          <w:rFonts w:hint="eastAsia" w:ascii="宋体" w:hAnsi="宋体" w:cs="宋体"/>
          <w:b w:val="0"/>
          <w:bCs w:val="0"/>
          <w:color w:val="auto"/>
          <w:sz w:val="24"/>
          <w:szCs w:val="24"/>
          <w:lang w:val="en-US" w:eastAsia="zh-CN"/>
        </w:rPr>
        <w:t>2026年10月23日</w:t>
      </w:r>
      <w:r>
        <w:rPr>
          <w:rFonts w:hint="eastAsia" w:ascii="宋体" w:hAnsi="宋体" w:eastAsia="宋体" w:cs="宋体"/>
          <w:b w:val="0"/>
          <w:bCs w:val="0"/>
          <w:color w:val="auto"/>
          <w:sz w:val="24"/>
          <w:szCs w:val="24"/>
          <w:lang w:val="en-US" w:eastAsia="zh-CN"/>
        </w:rPr>
        <w:t xml:space="preserve"> 11：00(北京时间）之前将电子投标文件上传到“政采云”平台。应按照本项目招标文件和政采云平台的要求编制、加密传输投标文件；</w:t>
      </w:r>
    </w:p>
    <w:p w14:paraId="3533D15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3</w:t>
      </w:r>
      <w:r>
        <w:rPr>
          <w:rFonts w:hint="eastAsia" w:ascii="宋体" w:hAnsi="宋体" w:cs="宋体"/>
          <w:b w:val="0"/>
          <w:bCs w:val="0"/>
          <w:color w:val="auto"/>
          <w:sz w:val="24"/>
          <w:szCs w:val="24"/>
          <w:lang w:val="en-US" w:eastAsia="zh-CN"/>
        </w:rPr>
        <w:t>.</w:t>
      </w:r>
      <w:r>
        <w:rPr>
          <w:rFonts w:hint="eastAsia" w:ascii="宋体" w:hAnsi="宋体" w:eastAsia="宋体" w:cs="宋体"/>
          <w:b w:val="0"/>
          <w:bCs w:val="0"/>
          <w:color w:val="auto"/>
          <w:sz w:val="24"/>
          <w:szCs w:val="24"/>
          <w:lang w:val="en-US" w:eastAsia="zh-CN"/>
        </w:rPr>
        <w:t>开标时间：</w:t>
      </w:r>
      <w:r>
        <w:rPr>
          <w:rFonts w:hint="eastAsia" w:ascii="宋体" w:hAnsi="宋体" w:cs="宋体"/>
          <w:b w:val="0"/>
          <w:bCs w:val="0"/>
          <w:color w:val="auto"/>
          <w:sz w:val="24"/>
          <w:szCs w:val="24"/>
          <w:lang w:val="en-US" w:eastAsia="zh-CN"/>
        </w:rPr>
        <w:t>2026年10月23日</w:t>
      </w:r>
      <w:r>
        <w:rPr>
          <w:rFonts w:hint="eastAsia" w:ascii="宋体" w:hAnsi="宋体" w:eastAsia="宋体" w:cs="宋体"/>
          <w:b w:val="0"/>
          <w:bCs w:val="0"/>
          <w:color w:val="auto"/>
          <w:sz w:val="24"/>
          <w:szCs w:val="24"/>
          <w:lang w:val="en-US" w:eastAsia="zh-CN"/>
        </w:rPr>
        <w:t xml:space="preserve"> 11：00（北京时间）</w:t>
      </w:r>
    </w:p>
    <w:p w14:paraId="5C4ED87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4</w:t>
      </w:r>
      <w:r>
        <w:rPr>
          <w:rFonts w:hint="eastAsia" w:ascii="宋体" w:hAnsi="宋体" w:cs="宋体"/>
          <w:b w:val="0"/>
          <w:bCs w:val="0"/>
          <w:color w:val="auto"/>
          <w:sz w:val="24"/>
          <w:szCs w:val="24"/>
          <w:lang w:val="en-US" w:eastAsia="zh-CN"/>
        </w:rPr>
        <w:t>.</w:t>
      </w:r>
      <w:r>
        <w:rPr>
          <w:rFonts w:hint="eastAsia" w:ascii="宋体" w:hAnsi="宋体" w:eastAsia="宋体" w:cs="宋体"/>
          <w:b w:val="0"/>
          <w:bCs w:val="0"/>
          <w:color w:val="auto"/>
          <w:sz w:val="24"/>
          <w:szCs w:val="24"/>
          <w:lang w:val="en-US" w:eastAsia="zh-CN"/>
        </w:rPr>
        <w:t>开标地点：政采云平台https://www.zcygov.cn/</w:t>
      </w:r>
    </w:p>
    <w:p w14:paraId="1E2F0F6C">
      <w:pPr>
        <w:keepNext w:val="0"/>
        <w:keepLines w:val="0"/>
        <w:pageBreakBefore w:val="0"/>
        <w:widowControl/>
        <w:kinsoku/>
        <w:wordWrap/>
        <w:overflowPunct/>
        <w:topLinePunct w:val="0"/>
        <w:bidi w:val="0"/>
        <w:snapToGrid/>
        <w:spacing w:line="360" w:lineRule="auto"/>
        <w:ind w:firstLine="482" w:firstLineChars="200"/>
        <w:jc w:val="left"/>
        <w:textAlignment w:val="auto"/>
        <w:rPr>
          <w:rFonts w:hint="eastAsia" w:ascii="宋体" w:hAnsi="宋体" w:eastAsia="宋体" w:cs="宋体"/>
          <w:b/>
          <w:bCs/>
          <w:color w:val="auto"/>
          <w:kern w:val="0"/>
          <w:sz w:val="24"/>
          <w:szCs w:val="24"/>
          <w:highlight w:val="none"/>
          <w:lang w:eastAsia="zh-CN"/>
        </w:rPr>
      </w:pPr>
      <w:bookmarkStart w:id="5" w:name="_Toc1554"/>
      <w:bookmarkStart w:id="6" w:name="_Toc14845"/>
      <w:bookmarkStart w:id="7" w:name="_Toc18038"/>
      <w:r>
        <w:rPr>
          <w:rFonts w:hint="eastAsia" w:ascii="宋体" w:hAnsi="宋体" w:cs="宋体"/>
          <w:b/>
          <w:bCs/>
          <w:color w:val="auto"/>
          <w:sz w:val="24"/>
          <w:szCs w:val="24"/>
          <w:lang w:val="en-US" w:eastAsia="zh-CN"/>
        </w:rPr>
        <w:t>六</w:t>
      </w:r>
      <w:r>
        <w:rPr>
          <w:rFonts w:hint="eastAsia" w:ascii="宋体" w:hAnsi="宋体" w:eastAsia="宋体" w:cs="宋体"/>
          <w:b/>
          <w:bCs/>
          <w:color w:val="auto"/>
          <w:sz w:val="24"/>
          <w:szCs w:val="24"/>
        </w:rPr>
        <w:t>、</w:t>
      </w:r>
      <w:r>
        <w:rPr>
          <w:rFonts w:hint="eastAsia" w:ascii="宋体" w:hAnsi="宋体" w:eastAsia="宋体" w:cs="宋体"/>
          <w:b/>
          <w:bCs/>
          <w:color w:val="auto"/>
          <w:kern w:val="0"/>
          <w:sz w:val="24"/>
          <w:szCs w:val="24"/>
          <w:highlight w:val="none"/>
        </w:rPr>
        <w:t>公告期限</w:t>
      </w:r>
      <w:bookmarkEnd w:id="5"/>
      <w:bookmarkEnd w:id="6"/>
      <w:bookmarkEnd w:id="7"/>
      <w:r>
        <w:rPr>
          <w:rFonts w:hint="eastAsia" w:ascii="宋体" w:hAnsi="宋体" w:eastAsia="宋体" w:cs="宋体"/>
          <w:b/>
          <w:bCs/>
          <w:color w:val="auto"/>
          <w:kern w:val="0"/>
          <w:sz w:val="24"/>
          <w:szCs w:val="24"/>
          <w:highlight w:val="none"/>
          <w:lang w:eastAsia="zh-CN"/>
        </w:rPr>
        <w:t>：</w:t>
      </w:r>
    </w:p>
    <w:p w14:paraId="3B5D7AE2">
      <w:pPr>
        <w:keepNext w:val="0"/>
        <w:keepLines w:val="0"/>
        <w:pageBreakBefore w:val="0"/>
        <w:widowControl/>
        <w:kinsoku/>
        <w:wordWrap/>
        <w:overflowPunct/>
        <w:topLinePunct w:val="0"/>
        <w:bidi w:val="0"/>
        <w:snapToGrid/>
        <w:spacing w:line="360" w:lineRule="auto"/>
        <w:ind w:left="0" w:leftChars="0"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自本公告发布之日起5个工作日。</w:t>
      </w:r>
    </w:p>
    <w:p w14:paraId="3116520D">
      <w:pPr>
        <w:keepNext w:val="0"/>
        <w:keepLines w:val="0"/>
        <w:pageBreakBefore w:val="0"/>
        <w:widowControl/>
        <w:kinsoku/>
        <w:wordWrap/>
        <w:overflowPunct/>
        <w:topLinePunct w:val="0"/>
        <w:bidi w:val="0"/>
        <w:snapToGrid/>
        <w:spacing w:line="360" w:lineRule="auto"/>
        <w:ind w:firstLine="482" w:firstLineChars="200"/>
        <w:jc w:val="left"/>
        <w:textAlignment w:val="auto"/>
        <w:rPr>
          <w:rFonts w:hint="eastAsia" w:ascii="宋体" w:hAnsi="宋体" w:eastAsia="宋体" w:cs="宋体"/>
          <w:b/>
          <w:bCs/>
          <w:color w:val="auto"/>
          <w:sz w:val="24"/>
          <w:szCs w:val="24"/>
        </w:rPr>
      </w:pPr>
      <w:bookmarkStart w:id="8" w:name="_Toc35393626"/>
      <w:bookmarkStart w:id="9" w:name="_Toc1253"/>
      <w:bookmarkStart w:id="10" w:name="_Toc35393795"/>
      <w:bookmarkStart w:id="11" w:name="_Toc27078"/>
      <w:bookmarkStart w:id="12" w:name="_Toc21056"/>
      <w:r>
        <w:rPr>
          <w:rFonts w:hint="eastAsia" w:ascii="宋体" w:hAnsi="宋体" w:cs="宋体"/>
          <w:b/>
          <w:bCs/>
          <w:color w:val="auto"/>
          <w:sz w:val="24"/>
          <w:szCs w:val="24"/>
          <w:lang w:val="en-US" w:eastAsia="zh-CN"/>
        </w:rPr>
        <w:t>七</w:t>
      </w:r>
      <w:r>
        <w:rPr>
          <w:rFonts w:hint="eastAsia" w:ascii="宋体" w:hAnsi="宋体" w:eastAsia="宋体" w:cs="宋体"/>
          <w:b/>
          <w:bCs/>
          <w:color w:val="auto"/>
          <w:sz w:val="24"/>
          <w:szCs w:val="24"/>
          <w:lang w:val="en-US" w:eastAsia="zh-CN"/>
        </w:rPr>
        <w:t>、</w:t>
      </w:r>
      <w:r>
        <w:rPr>
          <w:rFonts w:hint="eastAsia" w:ascii="宋体" w:hAnsi="宋体" w:eastAsia="宋体" w:cs="宋体"/>
          <w:b/>
          <w:bCs/>
          <w:color w:val="auto"/>
          <w:sz w:val="24"/>
          <w:szCs w:val="24"/>
        </w:rPr>
        <w:t>其他补充事宜</w:t>
      </w:r>
      <w:bookmarkEnd w:id="8"/>
      <w:bookmarkEnd w:id="9"/>
      <w:bookmarkEnd w:id="10"/>
      <w:bookmarkEnd w:id="11"/>
      <w:bookmarkEnd w:id="12"/>
    </w:p>
    <w:p w14:paraId="2D564FAA">
      <w:pPr>
        <w:keepNext w:val="0"/>
        <w:keepLines w:val="0"/>
        <w:pageBreakBefore w:val="0"/>
        <w:widowControl/>
        <w:kinsoku/>
        <w:wordWrap/>
        <w:overflowPunct/>
        <w:topLinePunct w:val="0"/>
        <w:bidi w:val="0"/>
        <w:snapToGrid/>
        <w:spacing w:line="360" w:lineRule="auto"/>
        <w:ind w:left="0" w:leftChars="0"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 xml:space="preserve">本项目实行网上投标，采用电子投标文件。若供应商参与投标，自行承担投标一切费用。 </w:t>
      </w:r>
    </w:p>
    <w:p w14:paraId="3FD48A83">
      <w:pPr>
        <w:keepNext w:val="0"/>
        <w:keepLines w:val="0"/>
        <w:pageBreakBefore w:val="0"/>
        <w:widowControl/>
        <w:kinsoku/>
        <w:wordWrap/>
        <w:overflowPunct/>
        <w:topLinePunct w:val="0"/>
        <w:bidi w:val="0"/>
        <w:snapToGrid/>
        <w:spacing w:line="360" w:lineRule="auto"/>
        <w:ind w:left="0" w:leftChars="0"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 xml:space="preserve">各供应商应在开标前应确保成为新疆维吾尔自治区政府采购网正式注册入库供应商，并完成CA数字证书申领。因未注册入库、未办理CA数字证书等原因造成无法投标或投标失败等后果由供应商自行承担。 </w:t>
      </w:r>
    </w:p>
    <w:p w14:paraId="1CA493F4">
      <w:pPr>
        <w:keepNext w:val="0"/>
        <w:keepLines w:val="0"/>
        <w:pageBreakBefore w:val="0"/>
        <w:widowControl/>
        <w:kinsoku/>
        <w:wordWrap/>
        <w:overflowPunct/>
        <w:topLinePunct w:val="0"/>
        <w:bidi w:val="0"/>
        <w:snapToGrid/>
        <w:spacing w:line="360" w:lineRule="auto"/>
        <w:ind w:left="0" w:leftChars="0"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供应商将政采云电子交易客户端下载、安装完成后，可通过账号密码或CA登录客户端进行投标文件制作。在使用政采云投标客户端时，建议使用WIN7及以上操作系统。客户端请至新疆政府采购网（http://www.ccgp-xinjiang.gov.cn/）下载专区查看，如有问题可拨打政采云客户服务热线</w:t>
      </w:r>
      <w:r>
        <w:rPr>
          <w:rFonts w:hint="eastAsia" w:ascii="宋体" w:hAnsi="宋体" w:cs="宋体"/>
          <w:color w:val="auto"/>
          <w:kern w:val="0"/>
          <w:sz w:val="24"/>
          <w:szCs w:val="24"/>
          <w:highlight w:val="none"/>
          <w:lang w:eastAsia="zh-CN"/>
        </w:rPr>
        <w:t>95763</w:t>
      </w:r>
      <w:r>
        <w:rPr>
          <w:rFonts w:hint="eastAsia" w:ascii="宋体" w:hAnsi="宋体" w:eastAsia="宋体" w:cs="宋体"/>
          <w:color w:val="auto"/>
          <w:kern w:val="0"/>
          <w:sz w:val="24"/>
          <w:szCs w:val="24"/>
          <w:highlight w:val="none"/>
        </w:rPr>
        <w:t xml:space="preserve">进行咨询。 </w:t>
      </w:r>
    </w:p>
    <w:p w14:paraId="1092EEEB">
      <w:pPr>
        <w:keepNext w:val="0"/>
        <w:keepLines w:val="0"/>
        <w:pageBreakBefore w:val="0"/>
        <w:widowControl/>
        <w:kinsoku/>
        <w:wordWrap/>
        <w:overflowPunct/>
        <w:topLinePunct w:val="0"/>
        <w:bidi w:val="0"/>
        <w:snapToGrid/>
        <w:spacing w:line="360" w:lineRule="auto"/>
        <w:ind w:left="0" w:leftChars="0"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4、</w:t>
      </w:r>
      <w:r>
        <w:rPr>
          <w:rFonts w:hint="eastAsia" w:ascii="宋体" w:hAnsi="宋体" w:eastAsia="宋体" w:cs="宋体"/>
          <w:color w:val="auto"/>
          <w:kern w:val="0"/>
          <w:sz w:val="24"/>
          <w:szCs w:val="24"/>
          <w:highlight w:val="none"/>
        </w:rPr>
        <w:t>有意向参与新疆区域电子开评标的供应商，可访问新疆数字证书认证中心官方网站（https://www.xjca.com.cn/）或下载“新疆政务通”APP自行进行申领。如需咨询，请联系新疆CA服务热线0991-2819290</w:t>
      </w:r>
    </w:p>
    <w:p w14:paraId="277E0FD2">
      <w:pPr>
        <w:keepNext w:val="0"/>
        <w:keepLines w:val="0"/>
        <w:pageBreakBefore w:val="0"/>
        <w:widowControl/>
        <w:kinsoku/>
        <w:wordWrap/>
        <w:overflowPunct/>
        <w:topLinePunct w:val="0"/>
        <w:bidi w:val="0"/>
        <w:snapToGrid/>
        <w:spacing w:line="360" w:lineRule="auto"/>
        <w:ind w:left="0" w:leftChars="0" w:firstLine="480" w:firstLineChars="200"/>
        <w:jc w:val="left"/>
        <w:textAlignment w:val="auto"/>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5、根据财政部、工业和信息化部关于印发《政府采购促进中小企业发展暂行办法》的通知(财库[2011]181号)，投标人及其所投产品的制造商均属于《工业和信息化部、国家统计局、国家发展和改革委员会、财政部关于印发中小企业划型标准规定的通知》(工信部联企业[2011]300号)中规定的小型、微型企业标准的，按招标文件格式提供《中小企业声明函》等政府采购政策。 《财政部 发展改革委 生态环境部 市场监管总局 关于调整优化节能产品、环境标志产品政府采购执行机制的通知》（财库〔2019〕9号）。《关于信息安全产品实施政府采购的通知》（财库〔2010〕48号）</w:t>
      </w:r>
      <w:r>
        <w:rPr>
          <w:rFonts w:hint="eastAsia" w:ascii="宋体" w:hAnsi="宋体" w:eastAsia="宋体" w:cs="宋体"/>
          <w:color w:val="auto"/>
          <w:kern w:val="0"/>
          <w:sz w:val="24"/>
          <w:szCs w:val="24"/>
          <w:highlight w:val="none"/>
          <w:lang w:eastAsia="zh-CN"/>
        </w:rPr>
        <w:t>。</w:t>
      </w:r>
    </w:p>
    <w:p w14:paraId="30C14B1B">
      <w:pPr>
        <w:pStyle w:val="24"/>
        <w:keepNext w:val="0"/>
        <w:keepLines w:val="0"/>
        <w:pageBreakBefore w:val="0"/>
        <w:kinsoku/>
        <w:wordWrap/>
        <w:overflowPunct/>
        <w:topLinePunct w:val="0"/>
        <w:bidi w:val="0"/>
        <w:snapToGrid/>
        <w:spacing w:beforeAutospacing="0" w:afterAutospacing="0" w:line="360" w:lineRule="auto"/>
        <w:ind w:left="0" w:leftChars="0" w:firstLine="480" w:firstLineChars="200"/>
        <w:textAlignment w:val="auto"/>
        <w:rPr>
          <w:rFonts w:hint="eastAsia" w:ascii="宋体" w:hAnsi="宋体" w:eastAsia="宋体" w:cs="宋体"/>
          <w:b w:val="0"/>
          <w:bCs w:val="0"/>
          <w:color w:val="auto"/>
          <w:kern w:val="0"/>
          <w:sz w:val="24"/>
          <w:szCs w:val="24"/>
          <w:highlight w:val="none"/>
          <w:lang w:val="en-US" w:eastAsia="zh-CN" w:bidi="ar-SA"/>
        </w:rPr>
      </w:pPr>
      <w:r>
        <w:rPr>
          <w:rFonts w:hint="eastAsia" w:ascii="宋体" w:hAnsi="宋体" w:eastAsia="宋体" w:cs="宋体"/>
          <w:b w:val="0"/>
          <w:bCs w:val="0"/>
          <w:color w:val="auto"/>
          <w:kern w:val="0"/>
          <w:sz w:val="24"/>
          <w:szCs w:val="24"/>
          <w:highlight w:val="none"/>
          <w:lang w:val="en-US" w:eastAsia="zh-CN" w:bidi="ar-SA"/>
        </w:rPr>
        <w:t>特别提示：</w:t>
      </w:r>
    </w:p>
    <w:p w14:paraId="0F24F862">
      <w:pPr>
        <w:pStyle w:val="24"/>
        <w:keepNext w:val="0"/>
        <w:keepLines w:val="0"/>
        <w:pageBreakBefore w:val="0"/>
        <w:kinsoku/>
        <w:wordWrap/>
        <w:overflowPunct/>
        <w:topLinePunct w:val="0"/>
        <w:bidi w:val="0"/>
        <w:snapToGrid/>
        <w:spacing w:beforeAutospacing="0" w:afterAutospacing="0" w:line="360" w:lineRule="auto"/>
        <w:ind w:left="0" w:leftChars="0" w:firstLine="480" w:firstLineChars="200"/>
        <w:textAlignment w:val="auto"/>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kern w:val="0"/>
          <w:sz w:val="24"/>
          <w:szCs w:val="24"/>
          <w:highlight w:val="none"/>
        </w:rPr>
        <w:t>1、采购限额标准以上，200万元以下的货物和服务采购项目、400万元以下的工程采购项目，适宜由中小企业提供的，采购人应当专门面向中小企业采购。</w:t>
      </w:r>
    </w:p>
    <w:p w14:paraId="5A8A56C6">
      <w:pPr>
        <w:pStyle w:val="24"/>
        <w:keepNext w:val="0"/>
        <w:keepLines w:val="0"/>
        <w:pageBreakBefore w:val="0"/>
        <w:kinsoku/>
        <w:wordWrap/>
        <w:overflowPunct/>
        <w:topLinePunct w:val="0"/>
        <w:bidi w:val="0"/>
        <w:snapToGrid/>
        <w:spacing w:beforeAutospacing="0" w:afterAutospacing="0" w:line="360" w:lineRule="auto"/>
        <w:ind w:left="0" w:leftChars="0" w:firstLine="480" w:firstLineChars="200"/>
        <w:textAlignment w:val="auto"/>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kern w:val="0"/>
          <w:sz w:val="24"/>
          <w:szCs w:val="24"/>
          <w:highlight w:val="none"/>
        </w:rPr>
        <w:t>2、超过200万元的货物和服务采购项目，预留该部分采购项目预算总额的30%以上专门面向中小企业采购，其中预留给小微企业的比例不低于60%。</w:t>
      </w:r>
    </w:p>
    <w:p w14:paraId="353188EB">
      <w:pPr>
        <w:pStyle w:val="24"/>
        <w:keepNext w:val="0"/>
        <w:keepLines w:val="0"/>
        <w:pageBreakBefore w:val="0"/>
        <w:kinsoku/>
        <w:wordWrap/>
        <w:overflowPunct/>
        <w:topLinePunct w:val="0"/>
        <w:bidi w:val="0"/>
        <w:snapToGrid/>
        <w:spacing w:beforeAutospacing="0" w:afterAutospacing="0" w:line="360" w:lineRule="auto"/>
        <w:ind w:left="0" w:leftChars="0" w:firstLine="480" w:firstLineChars="200"/>
        <w:textAlignment w:val="auto"/>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kern w:val="0"/>
          <w:sz w:val="24"/>
          <w:szCs w:val="24"/>
          <w:highlight w:val="none"/>
        </w:rPr>
        <w:t>3、超过400万元的工程采购项目中适宜由中小企业提供的，预留该部分采购项目预算总额的40%以上专门面向中小企业采购，其中预留给小微企业的比例不低于60%。</w:t>
      </w:r>
    </w:p>
    <w:p w14:paraId="50FB3D67">
      <w:pPr>
        <w:pStyle w:val="24"/>
        <w:keepNext w:val="0"/>
        <w:keepLines w:val="0"/>
        <w:pageBreakBefore w:val="0"/>
        <w:kinsoku/>
        <w:wordWrap/>
        <w:overflowPunct/>
        <w:topLinePunct w:val="0"/>
        <w:bidi w:val="0"/>
        <w:snapToGrid/>
        <w:spacing w:beforeAutospacing="0" w:afterAutospacing="0" w:line="360" w:lineRule="auto"/>
        <w:ind w:left="0" w:leftChars="0" w:firstLine="480" w:firstLineChars="200"/>
        <w:textAlignment w:val="auto"/>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kern w:val="0"/>
          <w:sz w:val="24"/>
          <w:szCs w:val="24"/>
          <w:highlight w:val="none"/>
        </w:rPr>
        <w:t>4、对于未预留份额专门面向中小企业的采购项目，以及预留份额项目中的非预留部分采购包，采购人、采购代理机构应当对符合规定的小微企业报价给予10%~20%（工程项目为3%~5%）的扣除，用扣除后的价格参加评审。适用招标投标法的政府采购工程建设项目，采用综合评估法但未采用低价优先法计算价格分的，评标时应当在采用原报价进行评分的基础上增加其价格得分的3%~5%作为其价格分。</w:t>
      </w:r>
    </w:p>
    <w:p w14:paraId="4EF56EEF">
      <w:pPr>
        <w:pStyle w:val="24"/>
        <w:keepNext w:val="0"/>
        <w:keepLines w:val="0"/>
        <w:pageBreakBefore w:val="0"/>
        <w:kinsoku/>
        <w:wordWrap/>
        <w:overflowPunct/>
        <w:topLinePunct w:val="0"/>
        <w:bidi w:val="0"/>
        <w:snapToGrid/>
        <w:spacing w:beforeAutospacing="0" w:afterAutospacing="0" w:line="360" w:lineRule="auto"/>
        <w:ind w:left="0" w:leftChars="0" w:firstLine="480" w:firstLineChars="200"/>
        <w:textAlignment w:val="auto"/>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kern w:val="0"/>
          <w:sz w:val="24"/>
          <w:szCs w:val="24"/>
          <w:highlight w:val="none"/>
        </w:rPr>
        <w:t>5、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工程项目为1%~2%）的扣除，用扣除后的价格参加评审。适用招标投标法的政府采购工程建设项目，采用综合评估法但未采用低价优先法计算价格分的，评标时应当在采用原报价进行评分的基础上增加其价格得分的1%~2%作为其价格分。</w:t>
      </w:r>
    </w:p>
    <w:p w14:paraId="7FA36C12">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lang w:eastAsia="zh-CN"/>
        </w:rPr>
      </w:pPr>
      <w:r>
        <w:rPr>
          <w:rFonts w:hint="eastAsia" w:ascii="宋体" w:hAnsi="宋体" w:cs="宋体"/>
          <w:b/>
          <w:bCs/>
          <w:color w:val="auto"/>
          <w:sz w:val="24"/>
          <w:szCs w:val="24"/>
          <w:lang w:val="en-US" w:eastAsia="zh-CN"/>
        </w:rPr>
        <w:t>八</w:t>
      </w:r>
      <w:r>
        <w:rPr>
          <w:rFonts w:hint="eastAsia" w:ascii="宋体" w:hAnsi="宋体" w:eastAsia="宋体" w:cs="宋体"/>
          <w:b/>
          <w:bCs/>
          <w:color w:val="auto"/>
          <w:sz w:val="24"/>
          <w:szCs w:val="24"/>
          <w:lang w:eastAsia="zh-CN"/>
        </w:rPr>
        <w:t>．凡对本次招标提出询问，请按以下方式联系</w:t>
      </w:r>
    </w:p>
    <w:p w14:paraId="58893BA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1</w:t>
      </w:r>
      <w:r>
        <w:rPr>
          <w:rFonts w:hint="eastAsia" w:ascii="宋体" w:hAnsi="宋体" w:cs="宋体"/>
          <w:color w:val="auto"/>
          <w:sz w:val="24"/>
          <w:szCs w:val="24"/>
          <w:lang w:val="en-US" w:eastAsia="zh-CN"/>
        </w:rPr>
        <w:t>.</w:t>
      </w:r>
      <w:r>
        <w:rPr>
          <w:rFonts w:hint="eastAsia" w:ascii="宋体" w:hAnsi="宋体" w:eastAsia="宋体" w:cs="宋体"/>
          <w:color w:val="auto"/>
          <w:sz w:val="24"/>
          <w:szCs w:val="24"/>
          <w:lang w:eastAsia="zh-CN"/>
        </w:rPr>
        <w:t xml:space="preserve">采购人信息 </w:t>
      </w:r>
    </w:p>
    <w:p w14:paraId="3028F41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名    称：</w:t>
      </w:r>
      <w:r>
        <w:rPr>
          <w:rFonts w:hint="eastAsia" w:ascii="宋体" w:hAnsi="宋体" w:cs="宋体"/>
          <w:color w:val="auto"/>
          <w:sz w:val="24"/>
          <w:szCs w:val="24"/>
          <w:lang w:eastAsia="zh-CN"/>
        </w:rPr>
        <w:t>皮山县维吾尔医医院</w:t>
      </w:r>
    </w:p>
    <w:p w14:paraId="06CCD6E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eastAsia="zh-CN"/>
        </w:rPr>
        <w:t>联 系 人：迪</w:t>
      </w:r>
      <w:r>
        <w:rPr>
          <w:rFonts w:hint="eastAsia" w:ascii="宋体" w:hAnsi="宋体" w:cs="宋体"/>
          <w:color w:val="auto"/>
          <w:sz w:val="24"/>
          <w:szCs w:val="24"/>
          <w:lang w:val="en-US" w:eastAsia="zh-CN"/>
        </w:rPr>
        <w:t>女士</w:t>
      </w:r>
    </w:p>
    <w:p w14:paraId="15746BE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联系电话：16689802667</w:t>
      </w:r>
    </w:p>
    <w:p w14:paraId="0A97645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联系地址：</w:t>
      </w:r>
      <w:r>
        <w:rPr>
          <w:rFonts w:hint="eastAsia" w:ascii="宋体" w:hAnsi="宋体" w:cs="宋体"/>
          <w:color w:val="auto"/>
          <w:sz w:val="24"/>
          <w:szCs w:val="24"/>
          <w:lang w:eastAsia="zh-CN"/>
        </w:rPr>
        <w:t>皮山县安徽大道496号</w:t>
      </w:r>
      <w:r>
        <w:rPr>
          <w:rFonts w:hint="eastAsia" w:ascii="宋体" w:hAnsi="宋体" w:eastAsia="宋体" w:cs="宋体"/>
          <w:color w:val="auto"/>
          <w:sz w:val="24"/>
          <w:szCs w:val="24"/>
          <w:lang w:eastAsia="zh-CN"/>
        </w:rPr>
        <w:t xml:space="preserve">     </w:t>
      </w:r>
    </w:p>
    <w:p w14:paraId="50DA49B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val="en-US" w:eastAsia="zh-CN"/>
        </w:rPr>
        <w:t>.</w:t>
      </w:r>
      <w:r>
        <w:rPr>
          <w:rFonts w:hint="eastAsia" w:ascii="宋体" w:hAnsi="宋体" w:eastAsia="宋体" w:cs="宋体"/>
          <w:color w:val="auto"/>
          <w:sz w:val="24"/>
          <w:szCs w:val="24"/>
          <w:lang w:eastAsia="zh-CN"/>
        </w:rPr>
        <w:t>采购代理机构</w:t>
      </w:r>
    </w:p>
    <w:p w14:paraId="6A4F8D1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名    称：</w:t>
      </w:r>
      <w:r>
        <w:rPr>
          <w:rFonts w:hint="eastAsia" w:ascii="宋体" w:hAnsi="宋体" w:cs="宋体"/>
          <w:color w:val="auto"/>
          <w:sz w:val="24"/>
          <w:szCs w:val="24"/>
          <w:lang w:eastAsia="zh-CN"/>
        </w:rPr>
        <w:t>新疆晓君招标有限公司</w:t>
      </w:r>
    </w:p>
    <w:p w14:paraId="2B6BA95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联 系 人：</w:t>
      </w:r>
      <w:r>
        <w:rPr>
          <w:rFonts w:hint="eastAsia" w:ascii="宋体" w:hAnsi="宋体" w:cs="宋体"/>
          <w:color w:val="auto"/>
          <w:sz w:val="24"/>
          <w:szCs w:val="24"/>
          <w:lang w:val="en-US" w:eastAsia="zh-CN"/>
        </w:rPr>
        <w:t>杨强</w:t>
      </w:r>
    </w:p>
    <w:p w14:paraId="6B115C3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联系电话：</w:t>
      </w:r>
      <w:r>
        <w:rPr>
          <w:rFonts w:hint="eastAsia" w:ascii="宋体" w:hAnsi="宋体" w:cs="宋体"/>
          <w:color w:val="auto"/>
          <w:sz w:val="24"/>
          <w:szCs w:val="24"/>
          <w:lang w:val="en-US" w:eastAsia="zh-CN"/>
        </w:rPr>
        <w:t>17799150765</w:t>
      </w:r>
    </w:p>
    <w:p w14:paraId="58C7634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联系地址：</w:t>
      </w:r>
      <w:r>
        <w:rPr>
          <w:rFonts w:hint="eastAsia" w:ascii="宋体" w:hAnsi="宋体" w:cs="宋体"/>
          <w:color w:val="auto"/>
          <w:sz w:val="24"/>
          <w:szCs w:val="24"/>
          <w:lang w:eastAsia="zh-CN"/>
        </w:rPr>
        <w:t>和田市古江巴格乡塔木巴格村加米达路3号2楼</w:t>
      </w:r>
    </w:p>
    <w:p w14:paraId="73DF8DC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3.政府采购监督管理部门</w:t>
      </w:r>
    </w:p>
    <w:p w14:paraId="7C35776C">
      <w:pPr>
        <w:keepNext w:val="0"/>
        <w:keepLines w:val="0"/>
        <w:pageBreakBefore w:val="0"/>
        <w:widowControl w:val="0"/>
        <w:kinsoku/>
        <w:wordWrap/>
        <w:overflowPunct/>
        <w:topLinePunct/>
        <w:autoSpaceDE/>
        <w:autoSpaceDN/>
        <w:bidi w:val="0"/>
        <w:adjustRightInd w:val="0"/>
        <w:snapToGrid w:val="0"/>
        <w:spacing w:line="360" w:lineRule="auto"/>
        <w:ind w:right="0" w:firstLine="480" w:firstLineChars="200"/>
        <w:textAlignment w:val="baseline"/>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名称：</w:t>
      </w:r>
      <w:r>
        <w:rPr>
          <w:rFonts w:hint="eastAsia" w:ascii="宋体" w:hAnsi="宋体" w:cs="宋体"/>
          <w:color w:val="auto"/>
          <w:kern w:val="0"/>
          <w:sz w:val="24"/>
          <w:szCs w:val="24"/>
          <w:highlight w:val="none"/>
          <w:lang w:val="en-US" w:eastAsia="zh-CN"/>
        </w:rPr>
        <w:t>皮山县财政局</w:t>
      </w:r>
    </w:p>
    <w:p w14:paraId="21AA80B1">
      <w:pPr>
        <w:keepNext w:val="0"/>
        <w:keepLines w:val="0"/>
        <w:pageBreakBefore w:val="0"/>
        <w:widowControl w:val="0"/>
        <w:kinsoku/>
        <w:wordWrap/>
        <w:overflowPunct/>
        <w:autoSpaceDE/>
        <w:autoSpaceDN/>
        <w:bidi w:val="0"/>
        <w:spacing w:line="360" w:lineRule="auto"/>
        <w:ind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kern w:val="0"/>
          <w:sz w:val="24"/>
          <w:szCs w:val="24"/>
          <w:highlight w:val="none"/>
        </w:rPr>
        <w:t>联系电话：0903-6422575</w:t>
      </w:r>
      <w:r>
        <w:rPr>
          <w:rFonts w:hint="eastAsia" w:ascii="宋体" w:hAnsi="宋体" w:eastAsia="宋体" w:cs="宋体"/>
          <w:color w:val="auto"/>
          <w:sz w:val="24"/>
          <w:szCs w:val="24"/>
          <w:lang w:eastAsia="zh-CN"/>
        </w:rPr>
        <w:t xml:space="preserve">                         </w:t>
      </w:r>
    </w:p>
    <w:p w14:paraId="6AE08DC5">
      <w:pPr>
        <w:pStyle w:val="25"/>
        <w:rPr>
          <w:rFonts w:hint="eastAsia" w:ascii="宋体" w:hAnsi="宋体" w:eastAsia="宋体" w:cs="宋体"/>
          <w:color w:val="auto"/>
        </w:rPr>
      </w:pPr>
      <w:r>
        <w:rPr>
          <w:rFonts w:hint="eastAsia" w:ascii="宋体" w:hAnsi="宋体" w:eastAsia="宋体" w:cs="宋体"/>
          <w:b/>
          <w:bCs/>
          <w:color w:val="auto"/>
          <w:sz w:val="24"/>
          <w:szCs w:val="24"/>
          <w:lang w:val="en-US" w:eastAsia="zh-CN"/>
        </w:rPr>
        <w:br w:type="page"/>
      </w:r>
      <w:bookmarkEnd w:id="4"/>
    </w:p>
    <w:p w14:paraId="6749EBEF">
      <w:pPr>
        <w:numPr>
          <w:ilvl w:val="0"/>
          <w:numId w:val="0"/>
        </w:numPr>
        <w:jc w:val="center"/>
        <w:rPr>
          <w:rFonts w:hint="eastAsia" w:ascii="宋体" w:hAnsi="宋体" w:eastAsia="宋体" w:cs="宋体"/>
          <w:b/>
          <w:bCs/>
          <w:color w:val="auto"/>
          <w:sz w:val="32"/>
          <w:szCs w:val="32"/>
        </w:rPr>
      </w:pPr>
      <w:bookmarkStart w:id="13" w:name="EB9ac80847ea734c3088783424f81e6226"/>
      <w:r>
        <w:rPr>
          <w:rFonts w:hint="eastAsia" w:ascii="宋体" w:hAnsi="宋体" w:eastAsia="宋体" w:cs="宋体"/>
          <w:b/>
          <w:bCs/>
          <w:color w:val="auto"/>
          <w:sz w:val="32"/>
          <w:szCs w:val="32"/>
        </w:rPr>
        <w:t>第二章 供应商须知前附表</w:t>
      </w:r>
    </w:p>
    <w:p w14:paraId="3137850B">
      <w:pPr>
        <w:numPr>
          <w:ilvl w:val="0"/>
          <w:numId w:val="0"/>
        </w:numPr>
        <w:jc w:val="center"/>
        <w:rPr>
          <w:rFonts w:hint="eastAsia" w:ascii="宋体" w:hAnsi="宋体" w:eastAsia="宋体" w:cs="宋体"/>
          <w:b/>
          <w:bCs/>
          <w:color w:val="auto"/>
          <w:sz w:val="32"/>
          <w:szCs w:val="32"/>
        </w:rPr>
      </w:pPr>
    </w:p>
    <w:tbl>
      <w:tblPr>
        <w:tblStyle w:val="29"/>
        <w:tblW w:w="1028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26"/>
        <w:gridCol w:w="2614"/>
        <w:gridCol w:w="6940"/>
      </w:tblGrid>
      <w:tr w14:paraId="445928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726" w:type="dxa"/>
            <w:shd w:val="clear" w:color="auto" w:fill="D7D7D7"/>
            <w:noWrap w:val="0"/>
            <w:vAlign w:val="center"/>
          </w:tcPr>
          <w:p w14:paraId="5C9348DB">
            <w:pPr>
              <w:keepNext w:val="0"/>
              <w:keepLines w:val="0"/>
              <w:pageBreakBefore w:val="0"/>
              <w:widowControl w:val="0"/>
              <w:kinsoku/>
              <w:wordWrap/>
              <w:overflowPunct/>
              <w:topLinePunct w:val="0"/>
              <w:autoSpaceDE/>
              <w:autoSpaceDN/>
              <w:bidi w:val="0"/>
              <w:snapToGrid/>
              <w:spacing w:line="440" w:lineRule="exact"/>
              <w:jc w:val="center"/>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序号</w:t>
            </w:r>
          </w:p>
        </w:tc>
        <w:tc>
          <w:tcPr>
            <w:tcW w:w="2614" w:type="dxa"/>
            <w:shd w:val="clear" w:color="auto" w:fill="D7D7D7"/>
            <w:noWrap w:val="0"/>
            <w:vAlign w:val="center"/>
          </w:tcPr>
          <w:p w14:paraId="15CB9D42">
            <w:pPr>
              <w:keepNext w:val="0"/>
              <w:keepLines w:val="0"/>
              <w:pageBreakBefore w:val="0"/>
              <w:widowControl w:val="0"/>
              <w:kinsoku/>
              <w:wordWrap/>
              <w:overflowPunct/>
              <w:topLinePunct w:val="0"/>
              <w:autoSpaceDE/>
              <w:autoSpaceDN/>
              <w:bidi w:val="0"/>
              <w:snapToGrid/>
              <w:spacing w:line="440" w:lineRule="exact"/>
              <w:jc w:val="center"/>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条款名称</w:t>
            </w:r>
          </w:p>
        </w:tc>
        <w:tc>
          <w:tcPr>
            <w:tcW w:w="6940" w:type="dxa"/>
            <w:shd w:val="clear" w:color="auto" w:fill="D7D7D7"/>
            <w:noWrap w:val="0"/>
            <w:vAlign w:val="center"/>
          </w:tcPr>
          <w:p w14:paraId="1F515962">
            <w:pPr>
              <w:keepNext w:val="0"/>
              <w:keepLines w:val="0"/>
              <w:pageBreakBefore w:val="0"/>
              <w:widowControl w:val="0"/>
              <w:kinsoku/>
              <w:wordWrap/>
              <w:overflowPunct/>
              <w:topLinePunct w:val="0"/>
              <w:autoSpaceDE/>
              <w:autoSpaceDN/>
              <w:bidi w:val="0"/>
              <w:snapToGrid/>
              <w:spacing w:line="440" w:lineRule="exact"/>
              <w:jc w:val="center"/>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编列内容</w:t>
            </w:r>
          </w:p>
        </w:tc>
      </w:tr>
      <w:tr w14:paraId="172603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81" w:hRule="atLeast"/>
          <w:jc w:val="center"/>
        </w:trPr>
        <w:tc>
          <w:tcPr>
            <w:tcW w:w="726" w:type="dxa"/>
            <w:noWrap w:val="0"/>
            <w:vAlign w:val="center"/>
          </w:tcPr>
          <w:p w14:paraId="0E9FB746">
            <w:pPr>
              <w:keepNext w:val="0"/>
              <w:keepLines w:val="0"/>
              <w:pageBreakBefore w:val="0"/>
              <w:widowControl w:val="0"/>
              <w:kinsoku/>
              <w:wordWrap/>
              <w:overflowPunct/>
              <w:topLinePunct w:val="0"/>
              <w:autoSpaceDE/>
              <w:autoSpaceDN/>
              <w:bidi w:val="0"/>
              <w:snapToGrid/>
              <w:spacing w:line="44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2614" w:type="dxa"/>
            <w:noWrap w:val="0"/>
            <w:vAlign w:val="center"/>
          </w:tcPr>
          <w:p w14:paraId="70C06792">
            <w:pPr>
              <w:keepNext w:val="0"/>
              <w:keepLines w:val="0"/>
              <w:pageBreakBefore w:val="0"/>
              <w:widowControl w:val="0"/>
              <w:kinsoku/>
              <w:wordWrap/>
              <w:overflowPunct/>
              <w:topLinePunct w:val="0"/>
              <w:autoSpaceDE/>
              <w:autoSpaceDN/>
              <w:bidi w:val="0"/>
              <w:adjustRightInd w:val="0"/>
              <w:snapToGrid/>
              <w:spacing w:line="44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采购人</w:t>
            </w:r>
          </w:p>
        </w:tc>
        <w:tc>
          <w:tcPr>
            <w:tcW w:w="6940" w:type="dxa"/>
            <w:noWrap w:val="0"/>
            <w:vAlign w:val="center"/>
          </w:tcPr>
          <w:p w14:paraId="4EAFF47E">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名    称：</w:t>
            </w:r>
            <w:r>
              <w:rPr>
                <w:rFonts w:hint="eastAsia" w:ascii="宋体" w:hAnsi="宋体" w:cs="宋体"/>
                <w:color w:val="auto"/>
                <w:sz w:val="24"/>
                <w:szCs w:val="24"/>
                <w:lang w:eastAsia="zh-CN"/>
              </w:rPr>
              <w:t>皮山县维吾尔医医院</w:t>
            </w:r>
          </w:p>
          <w:p w14:paraId="156CB2EB">
            <w:pPr>
              <w:keepNext w:val="0"/>
              <w:keepLines w:val="0"/>
              <w:pageBreakBefore w:val="0"/>
              <w:widowControl w:val="0"/>
              <w:kinsoku/>
              <w:wordWrap/>
              <w:overflowPunct/>
              <w:topLinePunct w:val="0"/>
              <w:autoSpaceDE/>
              <w:autoSpaceDN/>
              <w:bidi w:val="0"/>
              <w:adjustRightInd/>
              <w:snapToGrid/>
              <w:spacing w:line="312" w:lineRule="auto"/>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eastAsia="zh-CN"/>
              </w:rPr>
              <w:t>联 系 人：</w:t>
            </w:r>
            <w:r>
              <w:rPr>
                <w:rFonts w:hint="eastAsia" w:ascii="宋体" w:hAnsi="宋体" w:cs="宋体"/>
                <w:color w:val="auto"/>
                <w:sz w:val="24"/>
                <w:szCs w:val="24"/>
                <w:lang w:val="en-US" w:eastAsia="zh-CN"/>
              </w:rPr>
              <w:t>迪女士</w:t>
            </w:r>
          </w:p>
          <w:p w14:paraId="3848787A">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联系电话：16689802667</w:t>
            </w:r>
          </w:p>
          <w:p w14:paraId="6CF6C632">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联系地址：</w:t>
            </w:r>
            <w:r>
              <w:rPr>
                <w:rFonts w:hint="eastAsia" w:ascii="宋体" w:hAnsi="宋体" w:cs="宋体"/>
                <w:color w:val="auto"/>
                <w:sz w:val="24"/>
                <w:szCs w:val="24"/>
                <w:lang w:eastAsia="zh-CN"/>
              </w:rPr>
              <w:t>皮山县安徽大道496号</w:t>
            </w:r>
          </w:p>
        </w:tc>
      </w:tr>
      <w:tr w14:paraId="2A8337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15" w:hRule="atLeast"/>
          <w:jc w:val="center"/>
        </w:trPr>
        <w:tc>
          <w:tcPr>
            <w:tcW w:w="726" w:type="dxa"/>
            <w:noWrap w:val="0"/>
            <w:vAlign w:val="center"/>
          </w:tcPr>
          <w:p w14:paraId="0F980A55">
            <w:pPr>
              <w:keepNext w:val="0"/>
              <w:keepLines w:val="0"/>
              <w:pageBreakBefore w:val="0"/>
              <w:widowControl w:val="0"/>
              <w:kinsoku/>
              <w:wordWrap/>
              <w:overflowPunct/>
              <w:topLinePunct w:val="0"/>
              <w:autoSpaceDE/>
              <w:autoSpaceDN/>
              <w:bidi w:val="0"/>
              <w:snapToGrid/>
              <w:spacing w:line="44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2614" w:type="dxa"/>
            <w:noWrap w:val="0"/>
            <w:vAlign w:val="center"/>
          </w:tcPr>
          <w:p w14:paraId="1429A1F4">
            <w:pPr>
              <w:keepNext w:val="0"/>
              <w:keepLines w:val="0"/>
              <w:pageBreakBefore w:val="0"/>
              <w:widowControl w:val="0"/>
              <w:kinsoku/>
              <w:wordWrap/>
              <w:overflowPunct/>
              <w:topLinePunct w:val="0"/>
              <w:autoSpaceDE/>
              <w:autoSpaceDN/>
              <w:bidi w:val="0"/>
              <w:adjustRightInd w:val="0"/>
              <w:snapToGrid/>
              <w:spacing w:line="44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采购机构</w:t>
            </w:r>
          </w:p>
        </w:tc>
        <w:tc>
          <w:tcPr>
            <w:tcW w:w="6940" w:type="dxa"/>
            <w:noWrap w:val="0"/>
            <w:vAlign w:val="center"/>
          </w:tcPr>
          <w:p w14:paraId="531BF89D">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名    称：</w:t>
            </w:r>
            <w:r>
              <w:rPr>
                <w:rFonts w:hint="eastAsia" w:ascii="宋体" w:hAnsi="宋体" w:cs="宋体"/>
                <w:color w:val="auto"/>
                <w:sz w:val="24"/>
                <w:szCs w:val="24"/>
                <w:lang w:eastAsia="zh-CN"/>
              </w:rPr>
              <w:t>新疆晓君招标有限公司</w:t>
            </w:r>
          </w:p>
          <w:p w14:paraId="04D4FAE0">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联 系 人：</w:t>
            </w:r>
            <w:r>
              <w:rPr>
                <w:rFonts w:hint="eastAsia" w:ascii="宋体" w:hAnsi="宋体" w:cs="宋体"/>
                <w:color w:val="auto"/>
                <w:sz w:val="24"/>
                <w:szCs w:val="24"/>
                <w:lang w:val="en-US" w:eastAsia="zh-CN"/>
              </w:rPr>
              <w:t>杨强</w:t>
            </w:r>
          </w:p>
          <w:p w14:paraId="1997C051">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联系电话：</w:t>
            </w:r>
            <w:r>
              <w:rPr>
                <w:rFonts w:hint="eastAsia" w:ascii="宋体" w:hAnsi="宋体" w:cs="宋体"/>
                <w:color w:val="auto"/>
                <w:sz w:val="24"/>
                <w:szCs w:val="24"/>
                <w:lang w:val="en-US" w:eastAsia="zh-CN"/>
              </w:rPr>
              <w:t>17799150765</w:t>
            </w:r>
          </w:p>
          <w:p w14:paraId="35E42611">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联系地址：</w:t>
            </w:r>
            <w:r>
              <w:rPr>
                <w:rFonts w:hint="eastAsia" w:ascii="宋体" w:hAnsi="宋体" w:cs="宋体"/>
                <w:color w:val="auto"/>
                <w:sz w:val="24"/>
                <w:szCs w:val="24"/>
                <w:lang w:eastAsia="zh-CN"/>
              </w:rPr>
              <w:t>和田市古江巴格乡塔木巴格村加米达路3号2楼</w:t>
            </w:r>
          </w:p>
        </w:tc>
      </w:tr>
      <w:tr w14:paraId="6D1FFA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726" w:type="dxa"/>
            <w:noWrap w:val="0"/>
            <w:vAlign w:val="center"/>
          </w:tcPr>
          <w:p w14:paraId="7E2DF3B5">
            <w:pPr>
              <w:keepNext w:val="0"/>
              <w:keepLines w:val="0"/>
              <w:pageBreakBefore w:val="0"/>
              <w:widowControl w:val="0"/>
              <w:kinsoku/>
              <w:wordWrap/>
              <w:overflowPunct/>
              <w:topLinePunct w:val="0"/>
              <w:autoSpaceDE/>
              <w:autoSpaceDN/>
              <w:bidi w:val="0"/>
              <w:snapToGrid/>
              <w:spacing w:line="44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p>
        </w:tc>
        <w:tc>
          <w:tcPr>
            <w:tcW w:w="2614" w:type="dxa"/>
            <w:noWrap w:val="0"/>
            <w:vAlign w:val="center"/>
          </w:tcPr>
          <w:p w14:paraId="68570AD7">
            <w:pPr>
              <w:keepNext w:val="0"/>
              <w:keepLines w:val="0"/>
              <w:pageBreakBefore w:val="0"/>
              <w:widowControl w:val="0"/>
              <w:kinsoku/>
              <w:wordWrap/>
              <w:overflowPunct/>
              <w:topLinePunct w:val="0"/>
              <w:autoSpaceDE/>
              <w:autoSpaceDN/>
              <w:bidi w:val="0"/>
              <w:adjustRightInd w:val="0"/>
              <w:snapToGrid/>
              <w:spacing w:line="44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项目名称</w:t>
            </w:r>
          </w:p>
        </w:tc>
        <w:tc>
          <w:tcPr>
            <w:tcW w:w="6940" w:type="dxa"/>
            <w:noWrap w:val="0"/>
            <w:vAlign w:val="center"/>
          </w:tcPr>
          <w:p w14:paraId="4BD4CBE1">
            <w:pPr>
              <w:keepNext w:val="0"/>
              <w:keepLines w:val="0"/>
              <w:pageBreakBefore w:val="0"/>
              <w:widowControl w:val="0"/>
              <w:kinsoku/>
              <w:wordWrap/>
              <w:overflowPunct/>
              <w:topLinePunct w:val="0"/>
              <w:autoSpaceDE/>
              <w:autoSpaceDN/>
              <w:bidi w:val="0"/>
              <w:adjustRightInd w:val="0"/>
              <w:snapToGrid/>
              <w:spacing w:line="440" w:lineRule="exact"/>
              <w:textAlignment w:val="auto"/>
              <w:rPr>
                <w:rFonts w:hint="eastAsia" w:ascii="宋体" w:hAnsi="宋体" w:eastAsia="宋体" w:cs="宋体"/>
                <w:b w:val="0"/>
                <w:bCs w:val="0"/>
                <w:color w:val="auto"/>
                <w:sz w:val="24"/>
                <w:szCs w:val="24"/>
              </w:rPr>
            </w:pPr>
            <w:r>
              <w:rPr>
                <w:rFonts w:hint="eastAsia" w:ascii="宋体" w:hAnsi="宋体" w:cs="宋体"/>
                <w:b w:val="0"/>
                <w:bCs w:val="0"/>
                <w:color w:val="auto"/>
                <w:sz w:val="24"/>
                <w:szCs w:val="24"/>
                <w:lang w:eastAsia="zh-CN"/>
              </w:rPr>
              <w:t>皮山县维吾尔医医院中药饮片采购项目（单一来源采购）</w:t>
            </w:r>
          </w:p>
        </w:tc>
      </w:tr>
      <w:tr w14:paraId="413C74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26" w:type="dxa"/>
            <w:noWrap w:val="0"/>
            <w:vAlign w:val="center"/>
          </w:tcPr>
          <w:p w14:paraId="7B2EC535">
            <w:pPr>
              <w:keepNext w:val="0"/>
              <w:keepLines w:val="0"/>
              <w:pageBreakBefore w:val="0"/>
              <w:widowControl w:val="0"/>
              <w:kinsoku/>
              <w:wordWrap/>
              <w:overflowPunct/>
              <w:topLinePunct w:val="0"/>
              <w:autoSpaceDE/>
              <w:autoSpaceDN/>
              <w:bidi w:val="0"/>
              <w:snapToGrid/>
              <w:spacing w:line="44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p>
        </w:tc>
        <w:tc>
          <w:tcPr>
            <w:tcW w:w="2614" w:type="dxa"/>
            <w:noWrap w:val="0"/>
            <w:vAlign w:val="center"/>
          </w:tcPr>
          <w:p w14:paraId="1A9E91BB">
            <w:pPr>
              <w:keepNext w:val="0"/>
              <w:keepLines w:val="0"/>
              <w:pageBreakBefore w:val="0"/>
              <w:widowControl w:val="0"/>
              <w:kinsoku/>
              <w:wordWrap/>
              <w:overflowPunct/>
              <w:topLinePunct w:val="0"/>
              <w:autoSpaceDE/>
              <w:autoSpaceDN/>
              <w:bidi w:val="0"/>
              <w:adjustRightInd w:val="0"/>
              <w:snapToGrid/>
              <w:spacing w:line="44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预算金额</w:t>
            </w:r>
          </w:p>
        </w:tc>
        <w:tc>
          <w:tcPr>
            <w:tcW w:w="6940" w:type="dxa"/>
            <w:noWrap w:val="0"/>
            <w:vAlign w:val="center"/>
          </w:tcPr>
          <w:p w14:paraId="41A1192E">
            <w:pPr>
              <w:keepNext w:val="0"/>
              <w:keepLines w:val="0"/>
              <w:pageBreakBefore w:val="0"/>
              <w:widowControl w:val="0"/>
              <w:kinsoku/>
              <w:wordWrap/>
              <w:overflowPunct/>
              <w:topLinePunct w:val="0"/>
              <w:autoSpaceDE/>
              <w:autoSpaceDN/>
              <w:bidi w:val="0"/>
              <w:adjustRightInd w:val="0"/>
              <w:snapToGrid/>
              <w:spacing w:line="440" w:lineRule="exact"/>
              <w:textAlignment w:val="auto"/>
              <w:rPr>
                <w:rFonts w:hint="eastAsia" w:ascii="宋体" w:hAnsi="宋体" w:eastAsia="宋体" w:cs="宋体"/>
                <w:b w:val="0"/>
                <w:bCs w:val="0"/>
                <w:color w:val="auto"/>
                <w:sz w:val="24"/>
                <w:szCs w:val="24"/>
              </w:rPr>
            </w:pPr>
            <w:r>
              <w:rPr>
                <w:rFonts w:hint="eastAsia" w:ascii="宋体" w:hAnsi="宋体" w:cs="宋体"/>
                <w:b w:val="0"/>
                <w:bCs w:val="0"/>
                <w:color w:val="auto"/>
                <w:sz w:val="24"/>
                <w:szCs w:val="24"/>
                <w:lang w:val="en-US" w:eastAsia="zh-CN"/>
              </w:rPr>
              <w:t>490000.00</w:t>
            </w:r>
            <w:r>
              <w:rPr>
                <w:rFonts w:hint="eastAsia" w:ascii="宋体" w:hAnsi="宋体" w:eastAsia="宋体" w:cs="宋体"/>
                <w:b w:val="0"/>
                <w:bCs w:val="0"/>
                <w:color w:val="auto"/>
                <w:sz w:val="24"/>
                <w:szCs w:val="24"/>
                <w:lang w:val="en-US" w:eastAsia="zh-CN"/>
              </w:rPr>
              <w:t>元</w:t>
            </w:r>
          </w:p>
        </w:tc>
      </w:tr>
      <w:tr w14:paraId="78BEC2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26" w:type="dxa"/>
            <w:noWrap w:val="0"/>
            <w:vAlign w:val="center"/>
          </w:tcPr>
          <w:p w14:paraId="2B574A73">
            <w:pPr>
              <w:keepNext w:val="0"/>
              <w:keepLines w:val="0"/>
              <w:pageBreakBefore w:val="0"/>
              <w:widowControl w:val="0"/>
              <w:kinsoku/>
              <w:wordWrap/>
              <w:overflowPunct/>
              <w:topLinePunct w:val="0"/>
              <w:autoSpaceDE/>
              <w:autoSpaceDN/>
              <w:bidi w:val="0"/>
              <w:snapToGrid/>
              <w:spacing w:line="440" w:lineRule="exact"/>
              <w:jc w:val="center"/>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5</w:t>
            </w:r>
          </w:p>
        </w:tc>
        <w:tc>
          <w:tcPr>
            <w:tcW w:w="2614" w:type="dxa"/>
            <w:noWrap w:val="0"/>
            <w:vAlign w:val="center"/>
          </w:tcPr>
          <w:p w14:paraId="53CD770D">
            <w:pPr>
              <w:keepNext w:val="0"/>
              <w:keepLines w:val="0"/>
              <w:pageBreakBefore w:val="0"/>
              <w:widowControl w:val="0"/>
              <w:kinsoku/>
              <w:wordWrap/>
              <w:overflowPunct/>
              <w:topLinePunct w:val="0"/>
              <w:autoSpaceDE/>
              <w:autoSpaceDN/>
              <w:bidi w:val="0"/>
              <w:adjustRightInd w:val="0"/>
              <w:snapToGrid/>
              <w:spacing w:line="44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采购需求</w:t>
            </w:r>
          </w:p>
        </w:tc>
        <w:tc>
          <w:tcPr>
            <w:tcW w:w="6940" w:type="dxa"/>
            <w:noWrap w:val="0"/>
            <w:vAlign w:val="center"/>
          </w:tcPr>
          <w:p w14:paraId="04A7B6CD">
            <w:pPr>
              <w:keepNext w:val="0"/>
              <w:keepLines w:val="0"/>
              <w:pageBreakBefore w:val="0"/>
              <w:widowControl w:val="0"/>
              <w:kinsoku/>
              <w:wordWrap/>
              <w:overflowPunct/>
              <w:topLinePunct w:val="0"/>
              <w:autoSpaceDE/>
              <w:autoSpaceDN/>
              <w:bidi w:val="0"/>
              <w:adjustRightInd w:val="0"/>
              <w:snapToGrid/>
              <w:spacing w:line="440" w:lineRule="exact"/>
              <w:textAlignment w:val="auto"/>
              <w:rPr>
                <w:rFonts w:hint="eastAsia" w:ascii="宋体" w:hAnsi="宋体" w:cs="宋体"/>
                <w:b w:val="0"/>
                <w:bCs w:val="0"/>
                <w:color w:val="auto"/>
                <w:sz w:val="24"/>
                <w:szCs w:val="24"/>
                <w:lang w:val="en-US" w:eastAsia="zh-CN"/>
              </w:rPr>
            </w:pPr>
            <w:r>
              <w:rPr>
                <w:rFonts w:hint="eastAsia" w:ascii="宋体" w:hAnsi="宋体" w:cs="宋体"/>
                <w:b w:val="0"/>
                <w:bCs w:val="0"/>
                <w:color w:val="auto"/>
                <w:sz w:val="24"/>
                <w:szCs w:val="24"/>
                <w:lang w:val="en-US" w:eastAsia="zh-CN"/>
              </w:rPr>
              <w:t>采购人工麝香一批</w:t>
            </w:r>
          </w:p>
        </w:tc>
      </w:tr>
      <w:tr w14:paraId="32984D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726" w:type="dxa"/>
            <w:noWrap w:val="0"/>
            <w:vAlign w:val="center"/>
          </w:tcPr>
          <w:p w14:paraId="2A03CD1C">
            <w:pPr>
              <w:keepNext w:val="0"/>
              <w:keepLines w:val="0"/>
              <w:pageBreakBefore w:val="0"/>
              <w:widowControl w:val="0"/>
              <w:kinsoku/>
              <w:wordWrap/>
              <w:overflowPunct/>
              <w:topLinePunct w:val="0"/>
              <w:autoSpaceDE/>
              <w:autoSpaceDN/>
              <w:bidi w:val="0"/>
              <w:snapToGrid/>
              <w:spacing w:line="440" w:lineRule="exact"/>
              <w:jc w:val="center"/>
              <w:textAlignment w:val="auto"/>
              <w:rPr>
                <w:rFonts w:hint="eastAsia" w:ascii="宋体" w:hAnsi="宋体" w:eastAsia="宋体" w:cs="宋体"/>
                <w:color w:val="auto"/>
                <w:sz w:val="24"/>
                <w:szCs w:val="24"/>
                <w:lang w:eastAsia="zh-CN"/>
              </w:rPr>
            </w:pPr>
            <w:r>
              <w:rPr>
                <w:rFonts w:hint="eastAsia" w:ascii="宋体" w:hAnsi="宋体" w:cs="宋体"/>
                <w:color w:val="auto"/>
                <w:sz w:val="24"/>
                <w:szCs w:val="24"/>
                <w:lang w:val="en-US" w:eastAsia="zh-CN"/>
              </w:rPr>
              <w:t>6</w:t>
            </w:r>
          </w:p>
        </w:tc>
        <w:tc>
          <w:tcPr>
            <w:tcW w:w="2614" w:type="dxa"/>
            <w:noWrap w:val="0"/>
            <w:vAlign w:val="center"/>
          </w:tcPr>
          <w:p w14:paraId="4E9BA9A7">
            <w:pPr>
              <w:keepNext w:val="0"/>
              <w:keepLines w:val="0"/>
              <w:pageBreakBefore w:val="0"/>
              <w:widowControl w:val="0"/>
              <w:kinsoku/>
              <w:wordWrap/>
              <w:overflowPunct/>
              <w:topLinePunct w:val="0"/>
              <w:autoSpaceDE/>
              <w:autoSpaceDN/>
              <w:bidi w:val="0"/>
              <w:adjustRightInd w:val="0"/>
              <w:snapToGrid/>
              <w:spacing w:line="440" w:lineRule="exact"/>
              <w:jc w:val="center"/>
              <w:textAlignment w:val="auto"/>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供货</w:t>
            </w:r>
            <w:r>
              <w:rPr>
                <w:rFonts w:hint="eastAsia" w:ascii="宋体" w:hAnsi="宋体" w:eastAsia="宋体" w:cs="宋体"/>
                <w:color w:val="auto"/>
                <w:sz w:val="24"/>
                <w:szCs w:val="24"/>
                <w:lang w:eastAsia="zh-CN"/>
              </w:rPr>
              <w:t>期</w:t>
            </w:r>
            <w:r>
              <w:rPr>
                <w:rFonts w:hint="eastAsia" w:ascii="宋体" w:hAnsi="宋体" w:cs="宋体"/>
                <w:color w:val="auto"/>
                <w:sz w:val="24"/>
                <w:szCs w:val="24"/>
                <w:lang w:val="en-US" w:eastAsia="zh-CN"/>
              </w:rPr>
              <w:t>限</w:t>
            </w:r>
          </w:p>
        </w:tc>
        <w:tc>
          <w:tcPr>
            <w:tcW w:w="6940" w:type="dxa"/>
            <w:noWrap w:val="0"/>
            <w:vAlign w:val="center"/>
          </w:tcPr>
          <w:p w14:paraId="52457908">
            <w:pPr>
              <w:keepNext w:val="0"/>
              <w:keepLines w:val="0"/>
              <w:pageBreakBefore w:val="0"/>
              <w:widowControl w:val="0"/>
              <w:kinsoku/>
              <w:wordWrap/>
              <w:overflowPunct/>
              <w:topLinePunct w:val="0"/>
              <w:autoSpaceDE/>
              <w:autoSpaceDN/>
              <w:bidi w:val="0"/>
              <w:adjustRightInd w:val="0"/>
              <w:snapToGrid/>
              <w:spacing w:line="44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1年（具体时间以签订合同为准）；</w:t>
            </w:r>
          </w:p>
        </w:tc>
      </w:tr>
      <w:tr w14:paraId="20D46E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26" w:type="dxa"/>
            <w:noWrap w:val="0"/>
            <w:vAlign w:val="center"/>
          </w:tcPr>
          <w:p w14:paraId="4ED59683">
            <w:pPr>
              <w:keepNext w:val="0"/>
              <w:keepLines w:val="0"/>
              <w:pageBreakBefore w:val="0"/>
              <w:widowControl w:val="0"/>
              <w:kinsoku/>
              <w:wordWrap/>
              <w:overflowPunct/>
              <w:topLinePunct w:val="0"/>
              <w:autoSpaceDE/>
              <w:autoSpaceDN/>
              <w:bidi w:val="0"/>
              <w:snapToGrid/>
              <w:spacing w:line="440" w:lineRule="exact"/>
              <w:jc w:val="center"/>
              <w:textAlignment w:val="auto"/>
              <w:rPr>
                <w:rFonts w:hint="eastAsia" w:ascii="宋体" w:hAnsi="宋体" w:eastAsia="宋体" w:cs="宋体"/>
                <w:color w:val="auto"/>
                <w:sz w:val="24"/>
                <w:szCs w:val="24"/>
                <w:lang w:eastAsia="zh-CN"/>
              </w:rPr>
            </w:pPr>
            <w:r>
              <w:rPr>
                <w:rFonts w:hint="eastAsia" w:ascii="宋体" w:hAnsi="宋体" w:cs="宋体"/>
                <w:color w:val="auto"/>
                <w:sz w:val="24"/>
                <w:szCs w:val="24"/>
                <w:lang w:val="en-US" w:eastAsia="zh-CN"/>
              </w:rPr>
              <w:t>7</w:t>
            </w:r>
          </w:p>
        </w:tc>
        <w:tc>
          <w:tcPr>
            <w:tcW w:w="2614" w:type="dxa"/>
            <w:noWrap w:val="0"/>
            <w:vAlign w:val="center"/>
          </w:tcPr>
          <w:p w14:paraId="078685FC">
            <w:pPr>
              <w:keepNext w:val="0"/>
              <w:keepLines w:val="0"/>
              <w:pageBreakBefore w:val="0"/>
              <w:widowControl w:val="0"/>
              <w:kinsoku/>
              <w:wordWrap/>
              <w:overflowPunct/>
              <w:topLinePunct w:val="0"/>
              <w:autoSpaceDE/>
              <w:autoSpaceDN/>
              <w:bidi w:val="0"/>
              <w:adjustRightInd w:val="0"/>
              <w:snapToGrid/>
              <w:spacing w:line="44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付款方式</w:t>
            </w:r>
          </w:p>
        </w:tc>
        <w:tc>
          <w:tcPr>
            <w:tcW w:w="6940" w:type="dxa"/>
            <w:noWrap w:val="0"/>
            <w:vAlign w:val="center"/>
          </w:tcPr>
          <w:p w14:paraId="189B9A5D">
            <w:pPr>
              <w:keepNext w:val="0"/>
              <w:keepLines w:val="0"/>
              <w:pageBreakBefore w:val="0"/>
              <w:widowControl w:val="0"/>
              <w:kinsoku/>
              <w:wordWrap/>
              <w:overflowPunct/>
              <w:topLinePunct w:val="0"/>
              <w:autoSpaceDE/>
              <w:autoSpaceDN/>
              <w:bidi w:val="0"/>
              <w:adjustRightInd w:val="0"/>
              <w:snapToGrid/>
              <w:spacing w:line="440" w:lineRule="exact"/>
              <w:jc w:val="left"/>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甲乙双方签订合同时另行约定</w:t>
            </w:r>
          </w:p>
        </w:tc>
      </w:tr>
      <w:tr w14:paraId="7D536D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726" w:type="dxa"/>
            <w:noWrap w:val="0"/>
            <w:vAlign w:val="center"/>
          </w:tcPr>
          <w:p w14:paraId="20883C7D">
            <w:pPr>
              <w:keepNext w:val="0"/>
              <w:keepLines w:val="0"/>
              <w:pageBreakBefore w:val="0"/>
              <w:widowControl w:val="0"/>
              <w:kinsoku/>
              <w:wordWrap/>
              <w:overflowPunct/>
              <w:topLinePunct w:val="0"/>
              <w:autoSpaceDE/>
              <w:autoSpaceDN/>
              <w:bidi w:val="0"/>
              <w:snapToGrid/>
              <w:spacing w:line="440" w:lineRule="exact"/>
              <w:jc w:val="center"/>
              <w:textAlignment w:val="auto"/>
              <w:rPr>
                <w:rFonts w:hint="eastAsia" w:ascii="宋体" w:hAnsi="宋体" w:eastAsia="宋体" w:cs="宋体"/>
                <w:color w:val="auto"/>
                <w:sz w:val="24"/>
                <w:szCs w:val="24"/>
                <w:lang w:eastAsia="zh-CN"/>
              </w:rPr>
            </w:pPr>
            <w:r>
              <w:rPr>
                <w:rFonts w:hint="eastAsia" w:ascii="宋体" w:hAnsi="宋体" w:cs="宋体"/>
                <w:color w:val="auto"/>
                <w:sz w:val="24"/>
                <w:szCs w:val="24"/>
                <w:lang w:val="en-US" w:eastAsia="zh-CN"/>
              </w:rPr>
              <w:t>8</w:t>
            </w:r>
          </w:p>
        </w:tc>
        <w:tc>
          <w:tcPr>
            <w:tcW w:w="2614" w:type="dxa"/>
            <w:noWrap w:val="0"/>
            <w:vAlign w:val="center"/>
          </w:tcPr>
          <w:p w14:paraId="1D26125D">
            <w:pPr>
              <w:keepNext w:val="0"/>
              <w:keepLines w:val="0"/>
              <w:pageBreakBefore w:val="0"/>
              <w:widowControl w:val="0"/>
              <w:kinsoku/>
              <w:wordWrap/>
              <w:overflowPunct/>
              <w:topLinePunct w:val="0"/>
              <w:autoSpaceDE/>
              <w:autoSpaceDN/>
              <w:bidi w:val="0"/>
              <w:adjustRightInd w:val="0"/>
              <w:snapToGrid/>
              <w:spacing w:line="440" w:lineRule="exact"/>
              <w:jc w:val="center"/>
              <w:textAlignment w:val="auto"/>
              <w:rPr>
                <w:rFonts w:hint="eastAsia" w:ascii="宋体" w:hAnsi="宋体" w:eastAsia="宋体" w:cs="宋体"/>
                <w:color w:val="auto"/>
                <w:sz w:val="24"/>
                <w:szCs w:val="24"/>
                <w:lang w:eastAsia="zh-CN"/>
              </w:rPr>
            </w:pPr>
            <w:r>
              <w:rPr>
                <w:rFonts w:hint="eastAsia" w:ascii="宋体" w:hAnsi="宋体" w:cs="宋体"/>
                <w:color w:val="auto"/>
                <w:sz w:val="24"/>
                <w:szCs w:val="24"/>
                <w:lang w:val="en-US" w:eastAsia="zh-CN"/>
              </w:rPr>
              <w:t>供货</w:t>
            </w:r>
            <w:r>
              <w:rPr>
                <w:rFonts w:hint="eastAsia" w:ascii="宋体" w:hAnsi="宋体" w:eastAsia="宋体" w:cs="宋体"/>
                <w:color w:val="auto"/>
                <w:sz w:val="24"/>
                <w:szCs w:val="24"/>
                <w:lang w:eastAsia="zh-CN"/>
              </w:rPr>
              <w:t>地点</w:t>
            </w:r>
          </w:p>
        </w:tc>
        <w:tc>
          <w:tcPr>
            <w:tcW w:w="6940" w:type="dxa"/>
            <w:noWrap w:val="0"/>
            <w:vAlign w:val="center"/>
          </w:tcPr>
          <w:p w14:paraId="557D7076">
            <w:pPr>
              <w:keepNext w:val="0"/>
              <w:keepLines w:val="0"/>
              <w:pageBreakBefore w:val="0"/>
              <w:widowControl w:val="0"/>
              <w:kinsoku/>
              <w:wordWrap/>
              <w:overflowPunct/>
              <w:topLinePunct w:val="0"/>
              <w:autoSpaceDE/>
              <w:autoSpaceDN/>
              <w:bidi w:val="0"/>
              <w:adjustRightInd w:val="0"/>
              <w:snapToGrid/>
              <w:spacing w:line="440" w:lineRule="exact"/>
              <w:jc w:val="left"/>
              <w:textAlignment w:val="auto"/>
              <w:rPr>
                <w:rFonts w:hint="eastAsia" w:ascii="宋体" w:hAnsi="宋体" w:eastAsia="宋体" w:cs="宋体"/>
                <w:color w:val="auto"/>
                <w:sz w:val="24"/>
                <w:szCs w:val="24"/>
                <w:lang w:eastAsia="zh-CN"/>
              </w:rPr>
            </w:pPr>
            <w:r>
              <w:rPr>
                <w:rFonts w:hint="eastAsia" w:ascii="宋体" w:hAnsi="宋体" w:cs="宋体"/>
                <w:color w:val="auto"/>
                <w:sz w:val="24"/>
                <w:szCs w:val="24"/>
                <w:lang w:eastAsia="zh-CN"/>
              </w:rPr>
              <w:t>皮山县维吾尔医医院</w:t>
            </w:r>
            <w:r>
              <w:rPr>
                <w:rFonts w:hint="eastAsia" w:ascii="宋体" w:hAnsi="宋体" w:eastAsia="宋体" w:cs="宋体"/>
                <w:color w:val="auto"/>
                <w:sz w:val="24"/>
                <w:szCs w:val="24"/>
                <w:lang w:eastAsia="zh-CN"/>
              </w:rPr>
              <w:t xml:space="preserve">（中标人必须将货物运输（含卸货）至招标人指定的地点）。  </w:t>
            </w:r>
          </w:p>
        </w:tc>
      </w:tr>
      <w:tr w14:paraId="76B285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726" w:type="dxa"/>
            <w:noWrap w:val="0"/>
            <w:vAlign w:val="center"/>
          </w:tcPr>
          <w:p w14:paraId="7E335C81">
            <w:pPr>
              <w:keepNext w:val="0"/>
              <w:keepLines w:val="0"/>
              <w:pageBreakBefore w:val="0"/>
              <w:widowControl w:val="0"/>
              <w:kinsoku/>
              <w:wordWrap/>
              <w:overflowPunct/>
              <w:topLinePunct w:val="0"/>
              <w:autoSpaceDE/>
              <w:autoSpaceDN/>
              <w:bidi w:val="0"/>
              <w:snapToGrid/>
              <w:spacing w:line="440" w:lineRule="exact"/>
              <w:jc w:val="center"/>
              <w:textAlignment w:val="auto"/>
              <w:rPr>
                <w:rFonts w:hint="default" w:ascii="宋体" w:hAnsi="宋体" w:cs="宋体"/>
                <w:color w:val="auto"/>
                <w:sz w:val="24"/>
                <w:szCs w:val="24"/>
                <w:lang w:val="en-US" w:eastAsia="zh-CN"/>
              </w:rPr>
            </w:pPr>
            <w:r>
              <w:rPr>
                <w:rFonts w:hint="eastAsia" w:ascii="宋体" w:hAnsi="宋体" w:cs="宋体"/>
                <w:color w:val="auto"/>
                <w:sz w:val="24"/>
                <w:szCs w:val="24"/>
                <w:lang w:val="en-US" w:eastAsia="zh-CN"/>
              </w:rPr>
              <w:t>9</w:t>
            </w:r>
          </w:p>
        </w:tc>
        <w:tc>
          <w:tcPr>
            <w:tcW w:w="2614" w:type="dxa"/>
            <w:shd w:val="clear" w:color="auto" w:fill="auto"/>
            <w:noWrap w:val="0"/>
            <w:vAlign w:val="center"/>
          </w:tcPr>
          <w:p w14:paraId="651F7850">
            <w:pPr>
              <w:keepNext w:val="0"/>
              <w:keepLines w:val="0"/>
              <w:pageBreakBefore w:val="0"/>
              <w:widowControl w:val="0"/>
              <w:kinsoku/>
              <w:wordWrap/>
              <w:overflowPunct/>
              <w:topLinePunct w:val="0"/>
              <w:autoSpaceDE/>
              <w:autoSpaceDN/>
              <w:bidi w:val="0"/>
              <w:adjustRightInd w:val="0"/>
              <w:snapToGrid/>
              <w:spacing w:line="440" w:lineRule="exact"/>
              <w:jc w:val="center"/>
              <w:textAlignment w:val="auto"/>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采购方式</w:t>
            </w:r>
          </w:p>
        </w:tc>
        <w:tc>
          <w:tcPr>
            <w:tcW w:w="6940" w:type="dxa"/>
            <w:shd w:val="clear" w:color="auto" w:fill="auto"/>
            <w:noWrap w:val="0"/>
            <w:vAlign w:val="center"/>
          </w:tcPr>
          <w:p w14:paraId="26C6BA7C">
            <w:pPr>
              <w:keepNext w:val="0"/>
              <w:keepLines w:val="0"/>
              <w:pageBreakBefore w:val="0"/>
              <w:widowControl w:val="0"/>
              <w:kinsoku/>
              <w:wordWrap/>
              <w:overflowPunct/>
              <w:topLinePunct w:val="0"/>
              <w:autoSpaceDE/>
              <w:autoSpaceDN/>
              <w:bidi w:val="0"/>
              <w:adjustRightInd w:val="0"/>
              <w:snapToGrid/>
              <w:spacing w:line="440" w:lineRule="exact"/>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单一来源</w:t>
            </w:r>
          </w:p>
        </w:tc>
      </w:tr>
      <w:tr w14:paraId="415345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726" w:type="dxa"/>
            <w:noWrap w:val="0"/>
            <w:vAlign w:val="center"/>
          </w:tcPr>
          <w:p w14:paraId="6A9D57C1">
            <w:pPr>
              <w:keepNext w:val="0"/>
              <w:keepLines w:val="0"/>
              <w:pageBreakBefore w:val="0"/>
              <w:widowControl w:val="0"/>
              <w:kinsoku/>
              <w:wordWrap/>
              <w:overflowPunct/>
              <w:topLinePunct w:val="0"/>
              <w:autoSpaceDE/>
              <w:autoSpaceDN/>
              <w:bidi w:val="0"/>
              <w:snapToGrid/>
              <w:spacing w:line="440" w:lineRule="exact"/>
              <w:jc w:val="center"/>
              <w:textAlignment w:val="auto"/>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10</w:t>
            </w:r>
          </w:p>
        </w:tc>
        <w:tc>
          <w:tcPr>
            <w:tcW w:w="2614" w:type="dxa"/>
            <w:noWrap w:val="0"/>
            <w:vAlign w:val="center"/>
          </w:tcPr>
          <w:p w14:paraId="67B6CEDC">
            <w:pPr>
              <w:keepNext w:val="0"/>
              <w:keepLines w:val="0"/>
              <w:pageBreakBefore w:val="0"/>
              <w:widowControl w:val="0"/>
              <w:kinsoku/>
              <w:wordWrap/>
              <w:overflowPunct/>
              <w:topLinePunct w:val="0"/>
              <w:autoSpaceDE/>
              <w:autoSpaceDN/>
              <w:bidi w:val="0"/>
              <w:adjustRightInd w:val="0"/>
              <w:snapToGrid/>
              <w:spacing w:line="440" w:lineRule="exact"/>
              <w:jc w:val="center"/>
              <w:textAlignment w:val="auto"/>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质量标准及要求</w:t>
            </w:r>
          </w:p>
        </w:tc>
        <w:tc>
          <w:tcPr>
            <w:tcW w:w="6940" w:type="dxa"/>
            <w:noWrap w:val="0"/>
            <w:vAlign w:val="center"/>
          </w:tcPr>
          <w:p w14:paraId="1E264ACC">
            <w:pPr>
              <w:keepNext w:val="0"/>
              <w:keepLines w:val="0"/>
              <w:pageBreakBefore w:val="0"/>
              <w:widowControl w:val="0"/>
              <w:kinsoku/>
              <w:wordWrap/>
              <w:overflowPunct/>
              <w:topLinePunct w:val="0"/>
              <w:autoSpaceDE/>
              <w:autoSpaceDN/>
              <w:bidi w:val="0"/>
              <w:adjustRightInd w:val="0"/>
              <w:snapToGrid/>
              <w:spacing w:line="440" w:lineRule="exact"/>
              <w:jc w:val="left"/>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质量标准：达到国家或地方各类标准</w:t>
            </w:r>
            <w:r>
              <w:rPr>
                <w:rFonts w:hint="eastAsia" w:ascii="宋体" w:hAnsi="宋体" w:cs="宋体"/>
                <w:color w:val="auto"/>
                <w:sz w:val="24"/>
                <w:szCs w:val="24"/>
                <w:lang w:eastAsia="zh-CN"/>
              </w:rPr>
              <w:t>。</w:t>
            </w:r>
          </w:p>
          <w:p w14:paraId="3602C3F3">
            <w:pPr>
              <w:keepNext w:val="0"/>
              <w:keepLines w:val="0"/>
              <w:pageBreakBefore w:val="0"/>
              <w:widowControl w:val="0"/>
              <w:kinsoku/>
              <w:wordWrap/>
              <w:overflowPunct/>
              <w:topLinePunct w:val="0"/>
              <w:autoSpaceDE/>
              <w:autoSpaceDN/>
              <w:bidi w:val="0"/>
              <w:adjustRightInd w:val="0"/>
              <w:snapToGrid/>
              <w:spacing w:line="440" w:lineRule="exact"/>
              <w:jc w:val="left"/>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质量要求：符合国家以及该产品的出厂标准和满足招标文件有关技术参数及质量标准</w:t>
            </w:r>
            <w:r>
              <w:rPr>
                <w:rFonts w:hint="eastAsia" w:ascii="宋体" w:hAnsi="宋体" w:cs="宋体"/>
                <w:color w:val="auto"/>
                <w:sz w:val="24"/>
                <w:szCs w:val="24"/>
                <w:lang w:eastAsia="zh-CN"/>
              </w:rPr>
              <w:t>。</w:t>
            </w:r>
          </w:p>
        </w:tc>
      </w:tr>
      <w:tr w14:paraId="4588C4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6" w:type="dxa"/>
            <w:noWrap w:val="0"/>
            <w:vAlign w:val="center"/>
          </w:tcPr>
          <w:p w14:paraId="1C5FA8AB">
            <w:pPr>
              <w:keepNext w:val="0"/>
              <w:keepLines w:val="0"/>
              <w:pageBreakBefore w:val="0"/>
              <w:widowControl w:val="0"/>
              <w:kinsoku/>
              <w:wordWrap/>
              <w:overflowPunct/>
              <w:topLinePunct w:val="0"/>
              <w:autoSpaceDE/>
              <w:autoSpaceDN/>
              <w:bidi w:val="0"/>
              <w:snapToGrid/>
              <w:spacing w:line="440" w:lineRule="exact"/>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1</w:t>
            </w:r>
            <w:r>
              <w:rPr>
                <w:rFonts w:hint="eastAsia" w:ascii="宋体" w:hAnsi="宋体" w:cs="宋体"/>
                <w:color w:val="auto"/>
                <w:sz w:val="24"/>
                <w:szCs w:val="24"/>
                <w:lang w:val="en-US" w:eastAsia="zh-CN"/>
              </w:rPr>
              <w:t>1</w:t>
            </w:r>
          </w:p>
        </w:tc>
        <w:tc>
          <w:tcPr>
            <w:tcW w:w="2614" w:type="dxa"/>
            <w:noWrap w:val="0"/>
            <w:vAlign w:val="center"/>
          </w:tcPr>
          <w:p w14:paraId="4AFB5E71">
            <w:pPr>
              <w:keepNext w:val="0"/>
              <w:keepLines w:val="0"/>
              <w:pageBreakBefore w:val="0"/>
              <w:widowControl w:val="0"/>
              <w:kinsoku/>
              <w:wordWrap/>
              <w:overflowPunct/>
              <w:topLinePunct w:val="0"/>
              <w:autoSpaceDE/>
              <w:autoSpaceDN/>
              <w:bidi w:val="0"/>
              <w:adjustRightInd w:val="0"/>
              <w:snapToGrid/>
              <w:spacing w:line="44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合格供应商资格要求</w:t>
            </w:r>
          </w:p>
        </w:tc>
        <w:tc>
          <w:tcPr>
            <w:tcW w:w="6940" w:type="dxa"/>
            <w:noWrap w:val="0"/>
            <w:vAlign w:val="center"/>
          </w:tcPr>
          <w:p w14:paraId="5E6A58F6">
            <w:pPr>
              <w:keepNext w:val="0"/>
              <w:keepLines w:val="0"/>
              <w:pageBreakBefore w:val="0"/>
              <w:widowControl w:val="0"/>
              <w:kinsoku/>
              <w:wordWrap/>
              <w:overflowPunct/>
              <w:topLinePunct w:val="0"/>
              <w:autoSpaceDE/>
              <w:autoSpaceDN/>
              <w:bidi w:val="0"/>
              <w:adjustRightInd w:val="0"/>
              <w:snapToGrid/>
              <w:spacing w:line="44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1、供应商必须符合《中华人民共和国政府采购法》第二十二条规定：</w:t>
            </w:r>
          </w:p>
          <w:p w14:paraId="65E03AC7">
            <w:pPr>
              <w:keepNext w:val="0"/>
              <w:keepLines w:val="0"/>
              <w:pageBreakBefore w:val="0"/>
              <w:widowControl w:val="0"/>
              <w:kinsoku/>
              <w:wordWrap/>
              <w:overflowPunct/>
              <w:topLinePunct w:val="0"/>
              <w:autoSpaceDE/>
              <w:autoSpaceDN/>
              <w:bidi w:val="0"/>
              <w:adjustRightInd w:val="0"/>
              <w:snapToGrid/>
              <w:spacing w:line="44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具有独立承担民事责任的能力：提供在中华人民共和国境内注册的法人或其他组织的营业执照或事业单位法人证书或社会团体法人登记证书复印件，如投标人为自然人的提供自然人身份证明复印件；如国家另有规定的，则从其规定。</w:t>
            </w:r>
          </w:p>
          <w:p w14:paraId="179A9D32">
            <w:pPr>
              <w:keepNext w:val="0"/>
              <w:keepLines w:val="0"/>
              <w:pageBreakBefore w:val="0"/>
              <w:widowControl w:val="0"/>
              <w:kinsoku/>
              <w:wordWrap/>
              <w:overflowPunct/>
              <w:topLinePunct w:val="0"/>
              <w:autoSpaceDE/>
              <w:autoSpaceDN/>
              <w:bidi w:val="0"/>
              <w:adjustRightInd w:val="0"/>
              <w:snapToGrid/>
              <w:spacing w:line="44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有依法缴纳税收和社会保障资金的良好记录：提供近段时间内（2026年7月-2026年9月、新成立的公司按实际发生提供）的缴纳税收的完税证明或税务部门出具的纳税证明；如当月无需缴税需提供税务机关出具的无欠税证明；提供近段时间内（2026年7月-2026年9月、新成立的公司按实际发生提供）的缴纳社保证明材料加盖公章。如依法不需要缴纳社会保障资金的，应提供相应文件证明；</w:t>
            </w:r>
          </w:p>
          <w:p w14:paraId="1E10959F">
            <w:pPr>
              <w:keepNext w:val="0"/>
              <w:keepLines w:val="0"/>
              <w:pageBreakBefore w:val="0"/>
              <w:widowControl w:val="0"/>
              <w:kinsoku/>
              <w:wordWrap/>
              <w:overflowPunct/>
              <w:topLinePunct w:val="0"/>
              <w:autoSpaceDE/>
              <w:autoSpaceDN/>
              <w:bidi w:val="0"/>
              <w:adjustRightInd w:val="0"/>
              <w:snapToGrid/>
              <w:spacing w:line="44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3）提供2025年度由第三方财务审计机构出具的在注册会计师行业统一监管平台备案赋码的财务审计报告（2026年新成立的公司按实际发生的情况提供银行出具的近一个月资信证明）；</w:t>
            </w:r>
          </w:p>
          <w:p w14:paraId="17FE68B0">
            <w:pPr>
              <w:keepNext w:val="0"/>
              <w:keepLines w:val="0"/>
              <w:pageBreakBefore w:val="0"/>
              <w:widowControl w:val="0"/>
              <w:kinsoku/>
              <w:wordWrap/>
              <w:overflowPunct/>
              <w:topLinePunct w:val="0"/>
              <w:autoSpaceDE/>
              <w:autoSpaceDN/>
              <w:bidi w:val="0"/>
              <w:adjustRightInd w:val="0"/>
              <w:snapToGrid/>
              <w:spacing w:line="44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4）履行合同所必需的设备和专业技术能力：提供《投标人资格声明函》；</w:t>
            </w:r>
          </w:p>
          <w:p w14:paraId="62122704">
            <w:pPr>
              <w:keepNext w:val="0"/>
              <w:keepLines w:val="0"/>
              <w:pageBreakBefore w:val="0"/>
              <w:widowControl w:val="0"/>
              <w:kinsoku/>
              <w:wordWrap/>
              <w:overflowPunct/>
              <w:topLinePunct w:val="0"/>
              <w:autoSpaceDE/>
              <w:autoSpaceDN/>
              <w:bidi w:val="0"/>
              <w:adjustRightInd w:val="0"/>
              <w:snapToGrid/>
              <w:spacing w:line="44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参加采购活动前3年内，在经营活动中没有重大违法记录：提供《投标人资格声明函》。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608B4A0E">
            <w:pPr>
              <w:keepNext w:val="0"/>
              <w:keepLines w:val="0"/>
              <w:pageBreakBefore w:val="0"/>
              <w:widowControl w:val="0"/>
              <w:kinsoku/>
              <w:wordWrap/>
              <w:overflowPunct/>
              <w:topLinePunct w:val="0"/>
              <w:autoSpaceDE/>
              <w:autoSpaceDN/>
              <w:bidi w:val="0"/>
              <w:adjustRightInd w:val="0"/>
              <w:snapToGrid/>
              <w:spacing w:line="44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近三年拟参加本次招标项目的投标人在“信用中国（www.creditchina.gov.cn）”被列入失信被执行人、企业经营异常名录、重大税收违法案件当事人名单、政府采购严重违法失信名单（尚在处罚期内的）；在“中国政府采购网（www.ccgp.gov.cn）”被列入政府采购严重违法失信行为记录名单的（尚在处罚期内的）；经营异常名录的取消投标资格。</w:t>
            </w:r>
          </w:p>
          <w:p w14:paraId="1F158AD8">
            <w:pPr>
              <w:keepNext w:val="0"/>
              <w:keepLines w:val="0"/>
              <w:pageBreakBefore w:val="0"/>
              <w:widowControl w:val="0"/>
              <w:kinsoku/>
              <w:wordWrap/>
              <w:overflowPunct/>
              <w:topLinePunct w:val="0"/>
              <w:autoSpaceDE/>
              <w:autoSpaceDN/>
              <w:bidi w:val="0"/>
              <w:adjustRightInd w:val="0"/>
              <w:snapToGrid/>
              <w:spacing w:line="44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（7）企业负责人为同一人或者存在直接控股、管理关系的不同投标人，不得参加同一合同项下的政府采购活动。否则，皆取消投标资格。</w:t>
            </w:r>
          </w:p>
          <w:p w14:paraId="3DA64908">
            <w:pPr>
              <w:keepNext w:val="0"/>
              <w:keepLines w:val="0"/>
              <w:pageBreakBefore w:val="0"/>
              <w:widowControl w:val="0"/>
              <w:kinsoku/>
              <w:wordWrap/>
              <w:overflowPunct/>
              <w:topLinePunct w:val="0"/>
              <w:autoSpaceDE/>
              <w:autoSpaceDN/>
              <w:bidi w:val="0"/>
              <w:adjustRightInd w:val="0"/>
              <w:snapToGrid/>
              <w:spacing w:line="44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（8）本项目不接受联合体投标。</w:t>
            </w:r>
          </w:p>
          <w:p w14:paraId="7309DACF">
            <w:pPr>
              <w:keepNext w:val="0"/>
              <w:keepLines w:val="0"/>
              <w:pageBreakBefore w:val="0"/>
              <w:widowControl w:val="0"/>
              <w:kinsoku/>
              <w:wordWrap/>
              <w:overflowPunct/>
              <w:topLinePunct w:val="0"/>
              <w:autoSpaceDE/>
              <w:autoSpaceDN/>
              <w:bidi w:val="0"/>
              <w:adjustRightInd w:val="0"/>
              <w:snapToGrid/>
              <w:spacing w:line="440" w:lineRule="exact"/>
              <w:jc w:val="left"/>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（9）</w:t>
            </w:r>
            <w:r>
              <w:rPr>
                <w:rFonts w:hint="eastAsia" w:ascii="宋体" w:hAnsi="宋体" w:cs="宋体"/>
                <w:color w:val="auto"/>
                <w:sz w:val="24"/>
                <w:szCs w:val="24"/>
                <w:lang w:eastAsia="zh-CN"/>
              </w:rPr>
              <w:t>提供投标保证金缴纳凭证或电子保函</w:t>
            </w:r>
          </w:p>
          <w:p w14:paraId="6D248948">
            <w:pPr>
              <w:keepNext w:val="0"/>
              <w:keepLines w:val="0"/>
              <w:pageBreakBefore w:val="0"/>
              <w:widowControl w:val="0"/>
              <w:kinsoku/>
              <w:wordWrap/>
              <w:overflowPunct/>
              <w:topLinePunct w:val="0"/>
              <w:autoSpaceDE/>
              <w:autoSpaceDN/>
              <w:bidi w:val="0"/>
              <w:adjustRightInd w:val="0"/>
              <w:snapToGrid/>
              <w:spacing w:line="44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2.落实政府采购政策需满足的资格要求：</w:t>
            </w:r>
          </w:p>
          <w:p w14:paraId="3F6CFFE8">
            <w:pPr>
              <w:keepNext w:val="0"/>
              <w:keepLines w:val="0"/>
              <w:pageBreakBefore w:val="0"/>
              <w:widowControl w:val="0"/>
              <w:kinsoku/>
              <w:wordWrap/>
              <w:overflowPunct/>
              <w:topLinePunct w:val="0"/>
              <w:autoSpaceDE/>
              <w:autoSpaceDN/>
              <w:bidi w:val="0"/>
              <w:adjustRightInd w:val="0"/>
              <w:snapToGrid/>
              <w:spacing w:line="44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2.1 中小企业政策</w:t>
            </w:r>
          </w:p>
          <w:p w14:paraId="5E34E2DD">
            <w:pPr>
              <w:keepNext w:val="0"/>
              <w:keepLines w:val="0"/>
              <w:pageBreakBefore w:val="0"/>
              <w:widowControl w:val="0"/>
              <w:kinsoku/>
              <w:wordWrap/>
              <w:overflowPunct/>
              <w:topLinePunct w:val="0"/>
              <w:autoSpaceDE/>
              <w:autoSpaceDN/>
              <w:bidi w:val="0"/>
              <w:adjustRightInd w:val="0"/>
              <w:snapToGrid/>
              <w:spacing w:line="44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☑本项目不专门面向中小企业预留采购份额。</w:t>
            </w:r>
          </w:p>
          <w:p w14:paraId="4F74EDF1">
            <w:pPr>
              <w:keepNext w:val="0"/>
              <w:keepLines w:val="0"/>
              <w:pageBreakBefore w:val="0"/>
              <w:widowControl w:val="0"/>
              <w:kinsoku/>
              <w:wordWrap/>
              <w:overflowPunct/>
              <w:topLinePunct w:val="0"/>
              <w:autoSpaceDE/>
              <w:autoSpaceDN/>
              <w:bidi w:val="0"/>
              <w:adjustRightInd w:val="0"/>
              <w:snapToGrid/>
              <w:spacing w:line="44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□本项目专门面向  □中小 □小微企业  采购。即：提供的货物或服务全部由符合政策要求的中小/小微企业制造、服务全部由符合政策要求的中小/小微企业承接。</w:t>
            </w:r>
          </w:p>
          <w:p w14:paraId="69497AAB">
            <w:pPr>
              <w:keepNext w:val="0"/>
              <w:keepLines w:val="0"/>
              <w:pageBreakBefore w:val="0"/>
              <w:widowControl w:val="0"/>
              <w:kinsoku/>
              <w:wordWrap/>
              <w:overflowPunct/>
              <w:topLinePunct w:val="0"/>
              <w:autoSpaceDE/>
              <w:autoSpaceDN/>
              <w:bidi w:val="0"/>
              <w:adjustRightInd w:val="0"/>
              <w:snapToGrid/>
              <w:spacing w:line="44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□本项目预留部分采购项目预算专门面向中小企业采购。对于预留份额，提供的货物由符合政策要求的中小企业制造、服务由符合政策要求的中小企业承接。预留份额通过以下措施进行：_______。</w:t>
            </w:r>
          </w:p>
          <w:p w14:paraId="50201C59">
            <w:pPr>
              <w:keepNext w:val="0"/>
              <w:keepLines w:val="0"/>
              <w:pageBreakBefore w:val="0"/>
              <w:widowControl w:val="0"/>
              <w:kinsoku/>
              <w:wordWrap/>
              <w:overflowPunct/>
              <w:topLinePunct w:val="0"/>
              <w:autoSpaceDE/>
              <w:autoSpaceDN/>
              <w:bidi w:val="0"/>
              <w:adjustRightInd w:val="0"/>
              <w:snapToGrid/>
              <w:spacing w:line="44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2.2 落实的政府采购政策</w:t>
            </w:r>
          </w:p>
          <w:p w14:paraId="1D09F3AB">
            <w:pPr>
              <w:keepNext w:val="0"/>
              <w:keepLines w:val="0"/>
              <w:pageBreakBefore w:val="0"/>
              <w:widowControl w:val="0"/>
              <w:kinsoku/>
              <w:wordWrap/>
              <w:overflowPunct/>
              <w:topLinePunct w:val="0"/>
              <w:autoSpaceDE/>
              <w:autoSpaceDN/>
              <w:bidi w:val="0"/>
              <w:adjustRightInd w:val="0"/>
              <w:snapToGrid/>
              <w:spacing w:line="44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（1）财政部、国家发展改革委、生态环境部、市场监管总局《关于调整优化节能产品、环境标志产品政府采购执行机制的通知》（财库[2019]9号文）；  </w:t>
            </w:r>
          </w:p>
          <w:p w14:paraId="4939477E">
            <w:pPr>
              <w:keepNext w:val="0"/>
              <w:keepLines w:val="0"/>
              <w:pageBreakBefore w:val="0"/>
              <w:widowControl w:val="0"/>
              <w:kinsoku/>
              <w:wordWrap/>
              <w:overflowPunct/>
              <w:topLinePunct w:val="0"/>
              <w:autoSpaceDE/>
              <w:autoSpaceDN/>
              <w:bidi w:val="0"/>
              <w:adjustRightInd w:val="0"/>
              <w:snapToGrid/>
              <w:spacing w:line="44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（2）财政部、生态环境部《关于印发环境标志产品政府采购品目清单的通知》（财库[2019]18号文）； </w:t>
            </w:r>
          </w:p>
          <w:p w14:paraId="1AFF6067">
            <w:pPr>
              <w:keepNext w:val="0"/>
              <w:keepLines w:val="0"/>
              <w:pageBreakBefore w:val="0"/>
              <w:widowControl w:val="0"/>
              <w:kinsoku/>
              <w:wordWrap/>
              <w:overflowPunct/>
              <w:topLinePunct w:val="0"/>
              <w:autoSpaceDE/>
              <w:autoSpaceDN/>
              <w:bidi w:val="0"/>
              <w:adjustRightInd w:val="0"/>
              <w:snapToGrid/>
              <w:spacing w:line="44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（3）财政部、发展改革委《关于印发节能产品政府采购品目清单的通知》（财库[2019]19号文）； </w:t>
            </w:r>
          </w:p>
          <w:p w14:paraId="76EC01C9">
            <w:pPr>
              <w:keepNext w:val="0"/>
              <w:keepLines w:val="0"/>
              <w:pageBreakBefore w:val="0"/>
              <w:widowControl w:val="0"/>
              <w:kinsoku/>
              <w:wordWrap/>
              <w:overflowPunct/>
              <w:topLinePunct w:val="0"/>
              <w:autoSpaceDE/>
              <w:autoSpaceDN/>
              <w:bidi w:val="0"/>
              <w:adjustRightInd w:val="0"/>
              <w:snapToGrid/>
              <w:spacing w:line="44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（4）市场监管总局《市场监管总局关于发布参与实施政府采购节能产品、环境标志产品认证机构名录的公告》（2019年第16号）；  </w:t>
            </w:r>
          </w:p>
          <w:p w14:paraId="6247D98C">
            <w:pPr>
              <w:keepNext w:val="0"/>
              <w:keepLines w:val="0"/>
              <w:pageBreakBefore w:val="0"/>
              <w:widowControl w:val="0"/>
              <w:kinsoku/>
              <w:wordWrap/>
              <w:overflowPunct/>
              <w:topLinePunct w:val="0"/>
              <w:autoSpaceDE/>
              <w:autoSpaceDN/>
              <w:bidi w:val="0"/>
              <w:adjustRightInd w:val="0"/>
              <w:snapToGrid/>
              <w:spacing w:line="44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（5）财政部、工业和信息化部《关于印发《政府采购促进中小企业发展管理办法》的通知》（财库[2020]46号文）《关于进一步加大政府采购支持中小企业力度的通知》（财库[2022]19号文）执行； </w:t>
            </w:r>
          </w:p>
          <w:p w14:paraId="60FB2AE7">
            <w:pPr>
              <w:keepNext w:val="0"/>
              <w:keepLines w:val="0"/>
              <w:pageBreakBefore w:val="0"/>
              <w:widowControl w:val="0"/>
              <w:kinsoku/>
              <w:wordWrap/>
              <w:overflowPunct/>
              <w:topLinePunct w:val="0"/>
              <w:autoSpaceDE/>
              <w:autoSpaceDN/>
              <w:bidi w:val="0"/>
              <w:adjustRightInd w:val="0"/>
              <w:snapToGrid/>
              <w:spacing w:line="44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（6）财政部、民政部、中国残疾人联合会《关于促进残疾人就业政府采购政策的通知》（财库[2017]141号）；  </w:t>
            </w:r>
          </w:p>
          <w:p w14:paraId="19DBB5BB">
            <w:pPr>
              <w:keepNext w:val="0"/>
              <w:keepLines w:val="0"/>
              <w:pageBreakBefore w:val="0"/>
              <w:widowControl w:val="0"/>
              <w:kinsoku/>
              <w:wordWrap/>
              <w:overflowPunct/>
              <w:topLinePunct w:val="0"/>
              <w:autoSpaceDE/>
              <w:autoSpaceDN/>
              <w:bidi w:val="0"/>
              <w:adjustRightInd w:val="0"/>
              <w:snapToGrid/>
              <w:spacing w:line="44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（7）财政部、司法部《关于政府采购支持监狱企业发展有关问题的通知》（财库[2014]68号文）； </w:t>
            </w:r>
          </w:p>
          <w:p w14:paraId="43851DC2">
            <w:pPr>
              <w:keepNext w:val="0"/>
              <w:keepLines w:val="0"/>
              <w:pageBreakBefore w:val="0"/>
              <w:widowControl w:val="0"/>
              <w:kinsoku/>
              <w:wordWrap/>
              <w:overflowPunct/>
              <w:topLinePunct w:val="0"/>
              <w:autoSpaceDE/>
              <w:autoSpaceDN/>
              <w:bidi w:val="0"/>
              <w:adjustRightInd w:val="0"/>
              <w:snapToGrid/>
              <w:spacing w:line="44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（8）财政部、生态环境部、国家邮政局《关于印发《商品包装政府采购需求标准（试行）》、 《快递包装政府采购需求标准（试行）》的通知》（财办库〔2020〕123号）。</w:t>
            </w:r>
          </w:p>
          <w:p w14:paraId="3231D30A">
            <w:pPr>
              <w:keepNext w:val="0"/>
              <w:keepLines w:val="0"/>
              <w:pageBreakBefore w:val="0"/>
              <w:widowControl w:val="0"/>
              <w:kinsoku/>
              <w:wordWrap/>
              <w:overflowPunct/>
              <w:topLinePunct w:val="0"/>
              <w:autoSpaceDE/>
              <w:autoSpaceDN/>
              <w:bidi w:val="0"/>
              <w:adjustRightInd w:val="0"/>
              <w:snapToGrid/>
              <w:spacing w:line="44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3.本项目的特定资格要求：</w:t>
            </w:r>
          </w:p>
          <w:p w14:paraId="3F22F21B">
            <w:pPr>
              <w:keepNext w:val="0"/>
              <w:keepLines w:val="0"/>
              <w:pageBreakBefore w:val="0"/>
              <w:widowControl w:val="0"/>
              <w:kinsoku/>
              <w:wordWrap/>
              <w:overflowPunct/>
              <w:topLinePunct w:val="0"/>
              <w:autoSpaceDE/>
              <w:autoSpaceDN/>
              <w:bidi w:val="0"/>
              <w:adjustRightInd w:val="0"/>
              <w:snapToGrid/>
              <w:spacing w:line="44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供应商为生产厂家，提供《药品生产许可证》；供应商为经销商，提供《药品经营许可证》。                                                                                        </w:t>
            </w:r>
          </w:p>
        </w:tc>
      </w:tr>
      <w:tr w14:paraId="3726CD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6" w:type="dxa"/>
            <w:noWrap w:val="0"/>
            <w:vAlign w:val="center"/>
          </w:tcPr>
          <w:p w14:paraId="29D5C6A0">
            <w:pPr>
              <w:keepNext w:val="0"/>
              <w:keepLines w:val="0"/>
              <w:pageBreakBefore w:val="0"/>
              <w:widowControl w:val="0"/>
              <w:kinsoku/>
              <w:wordWrap/>
              <w:overflowPunct/>
              <w:topLinePunct w:val="0"/>
              <w:autoSpaceDE/>
              <w:autoSpaceDN/>
              <w:bidi w:val="0"/>
              <w:adjustRightInd w:val="0"/>
              <w:snapToGrid/>
              <w:spacing w:line="44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w:t>
            </w:r>
          </w:p>
        </w:tc>
        <w:tc>
          <w:tcPr>
            <w:tcW w:w="2614" w:type="dxa"/>
            <w:noWrap w:val="0"/>
            <w:vAlign w:val="center"/>
          </w:tcPr>
          <w:p w14:paraId="4FDCB1EC">
            <w:pPr>
              <w:keepNext w:val="0"/>
              <w:keepLines w:val="0"/>
              <w:pageBreakBefore w:val="0"/>
              <w:widowControl w:val="0"/>
              <w:kinsoku/>
              <w:wordWrap/>
              <w:overflowPunct/>
              <w:topLinePunct w:val="0"/>
              <w:autoSpaceDE/>
              <w:autoSpaceDN/>
              <w:bidi w:val="0"/>
              <w:adjustRightInd w:val="0"/>
              <w:snapToGrid/>
              <w:spacing w:line="44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中小微型企业</w:t>
            </w:r>
          </w:p>
          <w:p w14:paraId="6786C079">
            <w:pPr>
              <w:keepNext w:val="0"/>
              <w:keepLines w:val="0"/>
              <w:pageBreakBefore w:val="0"/>
              <w:widowControl w:val="0"/>
              <w:kinsoku/>
              <w:wordWrap/>
              <w:overflowPunct/>
              <w:topLinePunct w:val="0"/>
              <w:autoSpaceDE/>
              <w:autoSpaceDN/>
              <w:bidi w:val="0"/>
              <w:adjustRightInd w:val="0"/>
              <w:snapToGrid/>
              <w:spacing w:line="44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有关政策</w:t>
            </w:r>
          </w:p>
        </w:tc>
        <w:tc>
          <w:tcPr>
            <w:tcW w:w="6940" w:type="dxa"/>
            <w:noWrap w:val="0"/>
            <w:vAlign w:val="center"/>
          </w:tcPr>
          <w:p w14:paraId="3F95F604">
            <w:pPr>
              <w:spacing w:line="360" w:lineRule="exact"/>
              <w:jc w:val="left"/>
              <w:rPr>
                <w:rFonts w:hint="eastAsia" w:ascii="宋体" w:hAnsi="宋体" w:eastAsia="宋体" w:cs="宋体"/>
                <w:color w:val="auto"/>
                <w:kern w:val="0"/>
                <w:sz w:val="24"/>
              </w:rPr>
            </w:pPr>
            <w:r>
              <w:rPr>
                <w:rFonts w:hint="eastAsia" w:ascii="宋体" w:hAnsi="宋体" w:eastAsia="宋体" w:cs="宋体"/>
                <w:color w:val="auto"/>
                <w:kern w:val="0"/>
                <w:sz w:val="24"/>
              </w:rPr>
              <w:t>(1)根据工信部等部委发布的《关于印发中小企业划型标准规定的通知》（工信部联企业[2011]300号）规定执行；</w:t>
            </w:r>
          </w:p>
          <w:p w14:paraId="6CD90B3C">
            <w:pPr>
              <w:spacing w:line="360" w:lineRule="exact"/>
              <w:jc w:val="left"/>
              <w:rPr>
                <w:rFonts w:hint="eastAsia" w:ascii="宋体" w:hAnsi="宋体" w:eastAsia="宋体" w:cs="宋体"/>
                <w:color w:val="auto"/>
                <w:kern w:val="0"/>
                <w:sz w:val="24"/>
              </w:rPr>
            </w:pPr>
            <w:r>
              <w:rPr>
                <w:rFonts w:hint="eastAsia" w:ascii="宋体" w:hAnsi="宋体" w:eastAsia="宋体" w:cs="宋体"/>
                <w:color w:val="auto"/>
                <w:kern w:val="0"/>
                <w:sz w:val="24"/>
              </w:rPr>
              <w:t>(2)价格扣除幅度：价格给予</w:t>
            </w:r>
            <w:r>
              <w:rPr>
                <w:rFonts w:hint="eastAsia" w:ascii="宋体" w:hAnsi="宋体" w:eastAsia="宋体" w:cs="宋体"/>
                <w:color w:val="auto"/>
                <w:kern w:val="0"/>
                <w:sz w:val="24"/>
                <w:u w:val="single"/>
              </w:rPr>
              <w:t xml:space="preserve"> </w:t>
            </w:r>
            <w:r>
              <w:rPr>
                <w:rFonts w:hint="eastAsia" w:ascii="宋体" w:hAnsi="宋体" w:eastAsia="宋体" w:cs="宋体"/>
                <w:color w:val="auto"/>
                <w:kern w:val="0"/>
                <w:sz w:val="24"/>
                <w:u w:val="single"/>
                <w:lang w:val="en-US" w:eastAsia="zh-CN"/>
              </w:rPr>
              <w:t>10</w:t>
            </w:r>
            <w:r>
              <w:rPr>
                <w:rFonts w:hint="eastAsia" w:ascii="宋体" w:hAnsi="宋体" w:eastAsia="宋体" w:cs="宋体"/>
                <w:color w:val="auto"/>
                <w:kern w:val="0"/>
                <w:sz w:val="24"/>
                <w:u w:val="single"/>
              </w:rPr>
              <w:t xml:space="preserve"> </w:t>
            </w:r>
            <w:r>
              <w:rPr>
                <w:rFonts w:hint="eastAsia" w:ascii="宋体" w:hAnsi="宋体" w:eastAsia="宋体" w:cs="宋体"/>
                <w:color w:val="auto"/>
                <w:kern w:val="0"/>
                <w:sz w:val="24"/>
              </w:rPr>
              <w:t>%的扣除。</w:t>
            </w:r>
          </w:p>
          <w:p w14:paraId="2FB9AF49">
            <w:pPr>
              <w:spacing w:line="360" w:lineRule="exact"/>
              <w:jc w:val="left"/>
              <w:rPr>
                <w:rFonts w:hint="eastAsia" w:ascii="宋体" w:hAnsi="宋体" w:eastAsia="宋体" w:cs="宋体"/>
                <w:color w:val="auto"/>
                <w:kern w:val="0"/>
                <w:sz w:val="24"/>
                <w:lang w:val="en-US" w:eastAsia="zh-CN"/>
              </w:rPr>
            </w:pPr>
            <w:r>
              <w:rPr>
                <w:rFonts w:hint="eastAsia" w:ascii="宋体" w:hAnsi="宋体" w:eastAsia="宋体" w:cs="宋体"/>
                <w:color w:val="auto"/>
                <w:kern w:val="0"/>
                <w:sz w:val="24"/>
                <w:lang w:eastAsia="zh-CN"/>
              </w:rPr>
              <w:t>（</w:t>
            </w:r>
            <w:r>
              <w:rPr>
                <w:rFonts w:hint="eastAsia" w:ascii="宋体" w:hAnsi="宋体" w:eastAsia="宋体" w:cs="宋体"/>
                <w:color w:val="auto"/>
                <w:kern w:val="0"/>
                <w:sz w:val="24"/>
                <w:lang w:val="en-US" w:eastAsia="zh-CN"/>
              </w:rPr>
              <w:t>3</w:t>
            </w:r>
            <w:r>
              <w:rPr>
                <w:rFonts w:hint="eastAsia" w:ascii="宋体" w:hAnsi="宋体" w:eastAsia="宋体" w:cs="宋体"/>
                <w:color w:val="auto"/>
                <w:kern w:val="0"/>
                <w:sz w:val="24"/>
                <w:lang w:eastAsia="zh-CN"/>
              </w:rPr>
              <w:t>）</w:t>
            </w:r>
            <w:r>
              <w:rPr>
                <w:rFonts w:hint="eastAsia" w:ascii="宋体" w:hAnsi="宋体" w:eastAsia="宋体" w:cs="宋体"/>
                <w:color w:val="auto"/>
                <w:kern w:val="0"/>
                <w:sz w:val="24"/>
                <w:lang w:val="en-US" w:eastAsia="zh-CN"/>
              </w:rPr>
              <w:t>本项目中小企业划分标准：工业（包括采矿业，制造业，电力、热力、燃气及水生产和供应业）。</w:t>
            </w:r>
          </w:p>
          <w:p w14:paraId="5B7E95B7">
            <w:pPr>
              <w:spacing w:line="360" w:lineRule="exact"/>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lang w:val="en-US" w:eastAsia="zh-CN"/>
              </w:rPr>
              <w:t>注：</w:t>
            </w:r>
            <w:r>
              <w:rPr>
                <w:rFonts w:hint="eastAsia" w:ascii="宋体" w:hAnsi="宋体" w:eastAsia="宋体" w:cs="宋体"/>
                <w:color w:val="auto"/>
                <w:sz w:val="24"/>
                <w:szCs w:val="24"/>
              </w:rPr>
              <w:t>应在</w:t>
            </w:r>
            <w:r>
              <w:rPr>
                <w:rFonts w:hint="eastAsia" w:ascii="宋体" w:hAnsi="宋体" w:eastAsia="宋体" w:cs="宋体"/>
                <w:color w:val="auto"/>
                <w:sz w:val="24"/>
                <w:szCs w:val="24"/>
                <w:lang w:val="en-US" w:eastAsia="zh-CN"/>
              </w:rPr>
              <w:t>投标</w:t>
            </w:r>
            <w:r>
              <w:rPr>
                <w:rFonts w:hint="eastAsia" w:ascii="宋体" w:hAnsi="宋体" w:eastAsia="宋体" w:cs="宋体"/>
                <w:color w:val="auto"/>
                <w:sz w:val="24"/>
                <w:szCs w:val="24"/>
              </w:rPr>
              <w:t>文件中提供</w:t>
            </w:r>
            <w:r>
              <w:rPr>
                <w:rFonts w:hint="eastAsia" w:ascii="宋体" w:hAnsi="宋体" w:eastAsia="宋体" w:cs="宋体"/>
                <w:color w:val="auto"/>
                <w:sz w:val="24"/>
                <w:szCs w:val="24"/>
                <w:lang w:val="en-US" w:eastAsia="zh-CN"/>
              </w:rPr>
              <w:t>声明函</w:t>
            </w:r>
            <w:r>
              <w:rPr>
                <w:rFonts w:hint="eastAsia" w:ascii="宋体" w:hAnsi="宋体" w:eastAsia="宋体" w:cs="宋体"/>
                <w:color w:val="auto"/>
                <w:sz w:val="24"/>
                <w:szCs w:val="24"/>
              </w:rPr>
              <w:t>证明材料，否则不予认可</w:t>
            </w:r>
            <w:r>
              <w:rPr>
                <w:rFonts w:hint="eastAsia" w:ascii="宋体" w:hAnsi="宋体" w:eastAsia="宋体" w:cs="宋体"/>
                <w:color w:val="auto"/>
                <w:sz w:val="24"/>
                <w:szCs w:val="24"/>
                <w:lang w:val="en-US" w:eastAsia="zh-CN"/>
              </w:rPr>
              <w:t>的同时不予给分</w:t>
            </w:r>
            <w:r>
              <w:rPr>
                <w:rFonts w:hint="eastAsia" w:ascii="宋体" w:hAnsi="宋体" w:eastAsia="宋体" w:cs="宋体"/>
                <w:color w:val="auto"/>
                <w:sz w:val="24"/>
                <w:szCs w:val="24"/>
              </w:rPr>
              <w:t>。</w:t>
            </w:r>
          </w:p>
        </w:tc>
      </w:tr>
      <w:tr w14:paraId="553ED8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6" w:type="dxa"/>
            <w:noWrap w:val="0"/>
            <w:vAlign w:val="center"/>
          </w:tcPr>
          <w:p w14:paraId="65950308">
            <w:pPr>
              <w:keepNext w:val="0"/>
              <w:keepLines w:val="0"/>
              <w:pageBreakBefore w:val="0"/>
              <w:widowControl w:val="0"/>
              <w:kinsoku/>
              <w:wordWrap/>
              <w:overflowPunct/>
              <w:topLinePunct w:val="0"/>
              <w:autoSpaceDE/>
              <w:autoSpaceDN/>
              <w:bidi w:val="0"/>
              <w:snapToGrid/>
              <w:spacing w:line="44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w:t>
            </w:r>
          </w:p>
        </w:tc>
        <w:tc>
          <w:tcPr>
            <w:tcW w:w="2614" w:type="dxa"/>
            <w:noWrap w:val="0"/>
            <w:vAlign w:val="center"/>
          </w:tcPr>
          <w:p w14:paraId="49045C30">
            <w:pPr>
              <w:keepNext w:val="0"/>
              <w:keepLines w:val="0"/>
              <w:pageBreakBefore w:val="0"/>
              <w:widowControl w:val="0"/>
              <w:kinsoku/>
              <w:wordWrap/>
              <w:overflowPunct/>
              <w:topLinePunct w:val="0"/>
              <w:autoSpaceDE/>
              <w:autoSpaceDN/>
              <w:bidi w:val="0"/>
              <w:adjustRightInd w:val="0"/>
              <w:snapToGrid/>
              <w:spacing w:line="44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政府采购政策支持</w:t>
            </w:r>
          </w:p>
        </w:tc>
        <w:tc>
          <w:tcPr>
            <w:tcW w:w="6940" w:type="dxa"/>
            <w:noWrap w:val="0"/>
            <w:vAlign w:val="top"/>
          </w:tcPr>
          <w:p w14:paraId="181EA9E0">
            <w:pPr>
              <w:spacing w:line="440" w:lineRule="exact"/>
              <w:rPr>
                <w:rFonts w:hint="eastAsia" w:ascii="宋体" w:hAnsi="宋体" w:eastAsia="宋体" w:cs="宋体"/>
                <w:color w:val="auto"/>
                <w:sz w:val="24"/>
                <w:szCs w:val="24"/>
                <w:highlight w:val="none"/>
              </w:rPr>
            </w:pPr>
            <w:r>
              <w:rPr>
                <w:rFonts w:hint="eastAsia" w:ascii="宋体" w:hAnsi="宋体" w:eastAsia="宋体" w:cs="宋体"/>
                <w:bCs/>
                <w:color w:val="auto"/>
                <w:sz w:val="24"/>
                <w:szCs w:val="24"/>
              </w:rPr>
              <w:t>根据财政部、工业和信息化部关于印发《政府采购促进中小企业发展</w:t>
            </w:r>
            <w:r>
              <w:rPr>
                <w:rFonts w:hint="eastAsia" w:ascii="宋体" w:hAnsi="宋体" w:eastAsia="宋体" w:cs="宋体"/>
                <w:bCs/>
                <w:color w:val="auto"/>
                <w:sz w:val="24"/>
                <w:szCs w:val="24"/>
                <w:lang w:val="en-US" w:eastAsia="zh-CN"/>
              </w:rPr>
              <w:t>管理</w:t>
            </w:r>
            <w:r>
              <w:rPr>
                <w:rFonts w:hint="eastAsia" w:ascii="宋体" w:hAnsi="宋体" w:eastAsia="宋体" w:cs="宋体"/>
                <w:bCs/>
                <w:color w:val="auto"/>
                <w:sz w:val="24"/>
                <w:szCs w:val="24"/>
              </w:rPr>
              <w:t>办法》的通知(财库[</w:t>
            </w:r>
            <w:r>
              <w:rPr>
                <w:rFonts w:hint="eastAsia" w:ascii="宋体" w:hAnsi="宋体" w:eastAsia="宋体" w:cs="宋体"/>
                <w:bCs/>
                <w:color w:val="auto"/>
                <w:sz w:val="24"/>
                <w:szCs w:val="24"/>
                <w:lang w:val="en-US" w:eastAsia="zh-CN"/>
              </w:rPr>
              <w:t>2020</w:t>
            </w:r>
            <w:r>
              <w:rPr>
                <w:rFonts w:hint="eastAsia" w:ascii="宋体" w:hAnsi="宋体" w:eastAsia="宋体" w:cs="宋体"/>
                <w:bCs/>
                <w:color w:val="auto"/>
                <w:sz w:val="24"/>
                <w:szCs w:val="24"/>
              </w:rPr>
              <w:t>]</w:t>
            </w:r>
            <w:r>
              <w:rPr>
                <w:rFonts w:hint="eastAsia" w:ascii="宋体" w:hAnsi="宋体" w:eastAsia="宋体" w:cs="宋体"/>
                <w:bCs/>
                <w:color w:val="auto"/>
                <w:sz w:val="24"/>
                <w:szCs w:val="24"/>
                <w:lang w:val="en-US" w:eastAsia="zh-CN"/>
              </w:rPr>
              <w:t>46</w:t>
            </w:r>
            <w:r>
              <w:rPr>
                <w:rFonts w:hint="eastAsia" w:ascii="宋体" w:hAnsi="宋体" w:eastAsia="宋体" w:cs="宋体"/>
                <w:bCs/>
                <w:color w:val="auto"/>
                <w:sz w:val="24"/>
                <w:szCs w:val="24"/>
              </w:rPr>
              <w:t>号)，投标人及其所投产品的制造商均属于《工业和信息化部、国家统计局、国家发展和改革委员会、财政部关于印发中小企业划型标准规定的通知》(工信部联企业[2011]300号)中规定的小型、微型企业标准的，按招标文件格式提供《中小企业声明函》等政府采购政策。《财政部发展改革委生态环境部市场监管总局 关于调整优化节能产品、环境标志产品政府采购执行机制的通知》（财库〔2019〕9号）。《关于信息安全产品实施政府采购的通知》（财库〔2010〕48号）</w:t>
            </w:r>
            <w:r>
              <w:rPr>
                <w:rFonts w:hint="eastAsia" w:ascii="宋体" w:hAnsi="宋体" w:eastAsia="宋体" w:cs="宋体"/>
                <w:bCs/>
                <w:color w:val="auto"/>
                <w:sz w:val="24"/>
                <w:szCs w:val="24"/>
                <w:lang w:eastAsia="zh-CN"/>
              </w:rPr>
              <w:t>。</w:t>
            </w:r>
          </w:p>
        </w:tc>
      </w:tr>
      <w:tr w14:paraId="59B074C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6" w:type="dxa"/>
            <w:noWrap w:val="0"/>
            <w:vAlign w:val="center"/>
          </w:tcPr>
          <w:p w14:paraId="60ED4C74">
            <w:pPr>
              <w:keepNext w:val="0"/>
              <w:keepLines w:val="0"/>
              <w:pageBreakBefore w:val="0"/>
              <w:widowControl w:val="0"/>
              <w:kinsoku/>
              <w:wordWrap/>
              <w:overflowPunct/>
              <w:topLinePunct w:val="0"/>
              <w:autoSpaceDE/>
              <w:autoSpaceDN/>
              <w:bidi w:val="0"/>
              <w:snapToGrid/>
              <w:spacing w:line="44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14</w:t>
            </w:r>
          </w:p>
        </w:tc>
        <w:tc>
          <w:tcPr>
            <w:tcW w:w="2614" w:type="dxa"/>
            <w:noWrap w:val="0"/>
            <w:vAlign w:val="center"/>
          </w:tcPr>
          <w:p w14:paraId="2532904F">
            <w:pPr>
              <w:keepNext w:val="0"/>
              <w:keepLines w:val="0"/>
              <w:pageBreakBefore w:val="0"/>
              <w:widowControl w:val="0"/>
              <w:kinsoku/>
              <w:wordWrap/>
              <w:overflowPunct/>
              <w:topLinePunct w:val="0"/>
              <w:autoSpaceDE/>
              <w:autoSpaceDN/>
              <w:bidi w:val="0"/>
              <w:adjustRightInd w:val="0"/>
              <w:snapToGrid/>
              <w:spacing w:line="44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是否接受联合体投标</w:t>
            </w:r>
          </w:p>
        </w:tc>
        <w:tc>
          <w:tcPr>
            <w:tcW w:w="6940" w:type="dxa"/>
            <w:noWrap w:val="0"/>
            <w:vAlign w:val="center"/>
          </w:tcPr>
          <w:p w14:paraId="2E9807BB">
            <w:pPr>
              <w:keepNext w:val="0"/>
              <w:keepLines w:val="0"/>
              <w:pageBreakBefore w:val="0"/>
              <w:widowControl w:val="0"/>
              <w:kinsoku/>
              <w:wordWrap/>
              <w:overflowPunct/>
              <w:topLinePunct w:val="0"/>
              <w:autoSpaceDE/>
              <w:autoSpaceDN/>
              <w:bidi w:val="0"/>
              <w:adjustRightInd w:val="0"/>
              <w:snapToGrid/>
              <w:spacing w:line="44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u w:val="single"/>
              </w:rPr>
              <w:t xml:space="preserve">   不接受               </w:t>
            </w:r>
          </w:p>
        </w:tc>
      </w:tr>
      <w:tr w14:paraId="50B7D2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726" w:type="dxa"/>
            <w:noWrap w:val="0"/>
            <w:vAlign w:val="center"/>
          </w:tcPr>
          <w:p w14:paraId="78CD00FB">
            <w:pPr>
              <w:keepNext w:val="0"/>
              <w:keepLines w:val="0"/>
              <w:pageBreakBefore w:val="0"/>
              <w:widowControl w:val="0"/>
              <w:kinsoku/>
              <w:wordWrap/>
              <w:overflowPunct/>
              <w:topLinePunct w:val="0"/>
              <w:autoSpaceDE/>
              <w:autoSpaceDN/>
              <w:bidi w:val="0"/>
              <w:snapToGrid/>
              <w:spacing w:line="44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w:t>
            </w:r>
          </w:p>
        </w:tc>
        <w:tc>
          <w:tcPr>
            <w:tcW w:w="2614" w:type="dxa"/>
            <w:noWrap w:val="0"/>
            <w:vAlign w:val="center"/>
          </w:tcPr>
          <w:p w14:paraId="6A546AE1">
            <w:pPr>
              <w:keepNext w:val="0"/>
              <w:keepLines w:val="0"/>
              <w:pageBreakBefore w:val="0"/>
              <w:widowControl w:val="0"/>
              <w:kinsoku/>
              <w:wordWrap/>
              <w:overflowPunct/>
              <w:topLinePunct w:val="0"/>
              <w:autoSpaceDE/>
              <w:autoSpaceDN/>
              <w:bidi w:val="0"/>
              <w:adjustRightInd w:val="0"/>
              <w:snapToGrid/>
              <w:spacing w:line="44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偏差</w:t>
            </w:r>
          </w:p>
        </w:tc>
        <w:tc>
          <w:tcPr>
            <w:tcW w:w="6940" w:type="dxa"/>
            <w:noWrap w:val="0"/>
            <w:vAlign w:val="center"/>
          </w:tcPr>
          <w:p w14:paraId="045AC8EE">
            <w:pPr>
              <w:keepNext w:val="0"/>
              <w:keepLines w:val="0"/>
              <w:pageBreakBefore w:val="0"/>
              <w:widowControl w:val="0"/>
              <w:kinsoku/>
              <w:wordWrap/>
              <w:overflowPunct/>
              <w:topLinePunct w:val="0"/>
              <w:autoSpaceDE/>
              <w:autoSpaceDN/>
              <w:bidi w:val="0"/>
              <w:adjustRightInd w:val="0"/>
              <w:snapToGrid/>
              <w:spacing w:line="44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highlight w:val="none"/>
                <w:u w:val="single"/>
              </w:rPr>
              <w:t xml:space="preserve">无偏差   </w:t>
            </w:r>
            <w:r>
              <w:rPr>
                <w:rFonts w:hint="eastAsia" w:ascii="宋体" w:hAnsi="宋体" w:eastAsia="宋体" w:cs="宋体"/>
                <w:color w:val="auto"/>
                <w:sz w:val="24"/>
                <w:szCs w:val="24"/>
                <w:u w:val="single"/>
              </w:rPr>
              <w:t xml:space="preserve">          </w:t>
            </w:r>
          </w:p>
        </w:tc>
      </w:tr>
      <w:tr w14:paraId="32ED60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726" w:type="dxa"/>
            <w:noWrap w:val="0"/>
            <w:vAlign w:val="center"/>
          </w:tcPr>
          <w:p w14:paraId="3D28A5D1">
            <w:pPr>
              <w:keepNext w:val="0"/>
              <w:keepLines w:val="0"/>
              <w:pageBreakBefore w:val="0"/>
              <w:widowControl w:val="0"/>
              <w:kinsoku/>
              <w:wordWrap/>
              <w:overflowPunct/>
              <w:topLinePunct w:val="0"/>
              <w:autoSpaceDE/>
              <w:autoSpaceDN/>
              <w:bidi w:val="0"/>
              <w:snapToGrid/>
              <w:spacing w:line="44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16</w:t>
            </w:r>
          </w:p>
        </w:tc>
        <w:tc>
          <w:tcPr>
            <w:tcW w:w="2614" w:type="dxa"/>
            <w:noWrap w:val="0"/>
            <w:vAlign w:val="center"/>
          </w:tcPr>
          <w:p w14:paraId="6222247F">
            <w:pPr>
              <w:keepNext w:val="0"/>
              <w:keepLines w:val="0"/>
              <w:pageBreakBefore w:val="0"/>
              <w:widowControl w:val="0"/>
              <w:kinsoku/>
              <w:wordWrap/>
              <w:overflowPunct/>
              <w:topLinePunct w:val="0"/>
              <w:autoSpaceDE/>
              <w:autoSpaceDN/>
              <w:bidi w:val="0"/>
              <w:adjustRightInd w:val="0"/>
              <w:snapToGrid/>
              <w:spacing w:line="44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构成采购文件的其他资料</w:t>
            </w:r>
          </w:p>
        </w:tc>
        <w:tc>
          <w:tcPr>
            <w:tcW w:w="6940" w:type="dxa"/>
            <w:noWrap w:val="0"/>
            <w:vAlign w:val="center"/>
          </w:tcPr>
          <w:p w14:paraId="4E973177">
            <w:pPr>
              <w:keepNext w:val="0"/>
              <w:keepLines w:val="0"/>
              <w:pageBreakBefore w:val="0"/>
              <w:widowControl w:val="0"/>
              <w:kinsoku/>
              <w:wordWrap/>
              <w:overflowPunct/>
              <w:topLinePunct w:val="0"/>
              <w:autoSpaceDE/>
              <w:autoSpaceDN/>
              <w:bidi w:val="0"/>
              <w:adjustRightInd w:val="0"/>
              <w:snapToGrid/>
              <w:spacing w:line="44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采购人发出的答疑、补充通知、澄清及修改通知</w:t>
            </w:r>
          </w:p>
        </w:tc>
      </w:tr>
      <w:tr w14:paraId="2D876E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26" w:type="dxa"/>
            <w:noWrap w:val="0"/>
            <w:vAlign w:val="center"/>
          </w:tcPr>
          <w:p w14:paraId="6B5C324F">
            <w:pPr>
              <w:keepNext w:val="0"/>
              <w:keepLines w:val="0"/>
              <w:pageBreakBefore w:val="0"/>
              <w:widowControl w:val="0"/>
              <w:kinsoku/>
              <w:wordWrap/>
              <w:overflowPunct/>
              <w:topLinePunct w:val="0"/>
              <w:autoSpaceDE/>
              <w:autoSpaceDN/>
              <w:bidi w:val="0"/>
              <w:snapToGrid/>
              <w:spacing w:line="44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17</w:t>
            </w:r>
          </w:p>
        </w:tc>
        <w:tc>
          <w:tcPr>
            <w:tcW w:w="2614" w:type="dxa"/>
            <w:noWrap w:val="0"/>
            <w:vAlign w:val="center"/>
          </w:tcPr>
          <w:p w14:paraId="3B6346AA">
            <w:pPr>
              <w:keepNext w:val="0"/>
              <w:keepLines w:val="0"/>
              <w:pageBreakBefore w:val="0"/>
              <w:widowControl w:val="0"/>
              <w:kinsoku/>
              <w:wordWrap/>
              <w:overflowPunct/>
              <w:topLinePunct w:val="0"/>
              <w:autoSpaceDE/>
              <w:autoSpaceDN/>
              <w:bidi w:val="0"/>
              <w:adjustRightInd w:val="0"/>
              <w:snapToGrid/>
              <w:spacing w:line="44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投标有效期</w:t>
            </w:r>
          </w:p>
        </w:tc>
        <w:tc>
          <w:tcPr>
            <w:tcW w:w="6940" w:type="dxa"/>
            <w:noWrap w:val="0"/>
            <w:vAlign w:val="center"/>
          </w:tcPr>
          <w:p w14:paraId="7692561D">
            <w:pPr>
              <w:keepNext w:val="0"/>
              <w:keepLines w:val="0"/>
              <w:pageBreakBefore w:val="0"/>
              <w:widowControl w:val="0"/>
              <w:kinsoku/>
              <w:wordWrap/>
              <w:overflowPunct/>
              <w:topLinePunct w:val="0"/>
              <w:autoSpaceDE/>
              <w:autoSpaceDN/>
              <w:bidi w:val="0"/>
              <w:adjustRightInd w:val="0"/>
              <w:snapToGrid/>
              <w:spacing w:line="44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响应文件的有效期为自投标截止时间起</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9</w:t>
            </w:r>
            <w:r>
              <w:rPr>
                <w:rFonts w:hint="eastAsia" w:ascii="宋体" w:hAnsi="宋体" w:eastAsia="宋体" w:cs="宋体"/>
                <w:color w:val="auto"/>
                <w:sz w:val="24"/>
                <w:szCs w:val="24"/>
                <w:u w:val="single"/>
              </w:rPr>
              <w:t xml:space="preserve">0   </w:t>
            </w:r>
            <w:r>
              <w:rPr>
                <w:rFonts w:hint="eastAsia" w:ascii="宋体" w:hAnsi="宋体" w:eastAsia="宋体" w:cs="宋体"/>
                <w:color w:val="auto"/>
                <w:sz w:val="24"/>
                <w:szCs w:val="24"/>
              </w:rPr>
              <w:t>天</w:t>
            </w:r>
          </w:p>
        </w:tc>
      </w:tr>
      <w:tr w14:paraId="3C053F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26" w:type="dxa"/>
            <w:noWrap w:val="0"/>
            <w:vAlign w:val="center"/>
          </w:tcPr>
          <w:p w14:paraId="688D0843">
            <w:pPr>
              <w:keepNext w:val="0"/>
              <w:keepLines w:val="0"/>
              <w:pageBreakBefore w:val="0"/>
              <w:widowControl w:val="0"/>
              <w:kinsoku/>
              <w:wordWrap/>
              <w:overflowPunct/>
              <w:topLinePunct w:val="0"/>
              <w:autoSpaceDE/>
              <w:autoSpaceDN/>
              <w:bidi w:val="0"/>
              <w:snapToGrid/>
              <w:spacing w:line="440" w:lineRule="exact"/>
              <w:jc w:val="center"/>
              <w:textAlignment w:val="auto"/>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18</w:t>
            </w:r>
          </w:p>
        </w:tc>
        <w:tc>
          <w:tcPr>
            <w:tcW w:w="2614" w:type="dxa"/>
            <w:shd w:val="clear" w:color="auto" w:fill="auto"/>
            <w:noWrap w:val="0"/>
            <w:vAlign w:val="center"/>
          </w:tcPr>
          <w:p w14:paraId="26E8C9A5">
            <w:pPr>
              <w:keepNext w:val="0"/>
              <w:keepLines w:val="0"/>
              <w:pageBreakBefore w:val="0"/>
              <w:widowControl w:val="0"/>
              <w:kinsoku/>
              <w:wordWrap/>
              <w:overflowPunct/>
              <w:topLinePunct w:val="0"/>
              <w:autoSpaceDE/>
              <w:autoSpaceDN/>
              <w:bidi w:val="0"/>
              <w:adjustRightInd w:val="0"/>
              <w:snapToGrid/>
              <w:spacing w:line="440" w:lineRule="exact"/>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评标委员会组建及评审专家的确定方式</w:t>
            </w:r>
          </w:p>
        </w:tc>
        <w:tc>
          <w:tcPr>
            <w:tcW w:w="6940" w:type="dxa"/>
            <w:shd w:val="clear" w:color="auto" w:fill="auto"/>
            <w:noWrap w:val="0"/>
            <w:vAlign w:val="center"/>
          </w:tcPr>
          <w:p w14:paraId="5DC6A7F9">
            <w:pPr>
              <w:adjustRightInd w:val="0"/>
              <w:snapToGrid w:val="0"/>
              <w:spacing w:before="120" w:beforeLines="50" w:line="240" w:lineRule="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000000"/>
                <w:sz w:val="24"/>
                <w:szCs w:val="24"/>
                <w:highlight w:val="none"/>
              </w:rPr>
              <w:t>招标采购单位依法组建</w:t>
            </w:r>
            <w:r>
              <w:rPr>
                <w:rFonts w:hint="eastAsia" w:asciiTheme="minorEastAsia" w:hAnsiTheme="minorEastAsia" w:eastAsiaTheme="minorEastAsia" w:cstheme="minorEastAsia"/>
                <w:color w:val="auto"/>
                <w:sz w:val="24"/>
                <w:szCs w:val="24"/>
                <w:highlight w:val="none"/>
                <w:lang w:val="en-US" w:eastAsia="zh-CN"/>
              </w:rPr>
              <w:t>评审</w:t>
            </w:r>
            <w:r>
              <w:rPr>
                <w:rFonts w:hint="eastAsia" w:asciiTheme="minorEastAsia" w:hAnsiTheme="minorEastAsia" w:eastAsiaTheme="minorEastAsia" w:cstheme="minorEastAsia"/>
                <w:color w:val="auto"/>
                <w:sz w:val="24"/>
                <w:szCs w:val="24"/>
                <w:highlight w:val="none"/>
              </w:rPr>
              <w:t>小组共</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color w:val="auto"/>
                <w:kern w:val="0"/>
                <w:sz w:val="24"/>
                <w:szCs w:val="24"/>
                <w:highlight w:val="none"/>
                <w:u w:val="single"/>
                <w:lang w:val="en-US" w:eastAsia="zh-CN"/>
              </w:rPr>
              <w:t>3</w:t>
            </w:r>
            <w:r>
              <w:rPr>
                <w:rFonts w:hint="eastAsia" w:asciiTheme="minorEastAsia" w:hAnsiTheme="minorEastAsia" w:eastAsiaTheme="minorEastAsia" w:cstheme="minorEastAsia"/>
                <w:color w:val="auto"/>
                <w:sz w:val="24"/>
                <w:szCs w:val="24"/>
                <w:highlight w:val="none"/>
              </w:rPr>
              <w:t>人组成，其中采购人代表</w:t>
            </w:r>
            <w:r>
              <w:rPr>
                <w:rFonts w:hint="eastAsia" w:asciiTheme="minorEastAsia" w:hAnsiTheme="minorEastAsia" w:eastAsiaTheme="minorEastAsia" w:cstheme="minorEastAsia"/>
                <w:color w:val="auto"/>
                <w:kern w:val="0"/>
                <w:sz w:val="24"/>
                <w:szCs w:val="24"/>
                <w:highlight w:val="none"/>
                <w:u w:val="single"/>
                <w:lang w:val="en-US" w:eastAsia="zh-CN"/>
              </w:rPr>
              <w:t>1</w:t>
            </w:r>
            <w:r>
              <w:rPr>
                <w:rFonts w:hint="eastAsia" w:asciiTheme="minorEastAsia" w:hAnsiTheme="minorEastAsia" w:eastAsiaTheme="minorEastAsia" w:cstheme="minorEastAsia"/>
                <w:color w:val="auto"/>
                <w:sz w:val="24"/>
                <w:szCs w:val="24"/>
                <w:highlight w:val="none"/>
              </w:rPr>
              <w:t>人和专家评委</w:t>
            </w:r>
            <w:r>
              <w:rPr>
                <w:rFonts w:hint="eastAsia" w:asciiTheme="minorEastAsia" w:hAnsiTheme="minorEastAsia" w:eastAsiaTheme="minorEastAsia" w:cstheme="minorEastAsia"/>
                <w:color w:val="auto"/>
                <w:kern w:val="0"/>
                <w:sz w:val="24"/>
                <w:szCs w:val="24"/>
                <w:highlight w:val="none"/>
                <w:u w:val="single"/>
                <w:lang w:val="en-US" w:eastAsia="zh-CN"/>
              </w:rPr>
              <w:t>2</w:t>
            </w:r>
            <w:r>
              <w:rPr>
                <w:rFonts w:hint="eastAsia" w:asciiTheme="minorEastAsia" w:hAnsiTheme="minorEastAsia" w:eastAsiaTheme="minorEastAsia" w:cstheme="minorEastAsia"/>
                <w:color w:val="auto"/>
                <w:sz w:val="24"/>
                <w:szCs w:val="24"/>
                <w:highlight w:val="none"/>
              </w:rPr>
              <w:t>人。</w:t>
            </w:r>
          </w:p>
          <w:p w14:paraId="7B10F8B5">
            <w:pPr>
              <w:adjustRightInd w:val="0"/>
              <w:snapToGrid w:val="0"/>
              <w:spacing w:before="120" w:beforeLines="50" w:line="240" w:lineRule="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小组确定方式：</w:t>
            </w:r>
          </w:p>
          <w:p w14:paraId="3A18EFAE">
            <w:pPr>
              <w:pStyle w:val="75"/>
              <w:keepNext w:val="0"/>
              <w:keepLines w:val="0"/>
              <w:pageBreakBefore w:val="0"/>
              <w:widowControl/>
              <w:kinsoku/>
              <w:wordWrap/>
              <w:overflowPunct/>
              <w:topLinePunct w:val="0"/>
              <w:autoSpaceDE/>
              <w:autoSpaceDN/>
              <w:bidi w:val="0"/>
              <w:adjustRightInd w:val="0"/>
              <w:snapToGrid w:val="0"/>
              <w:spacing w:line="240" w:lineRule="auto"/>
              <w:textAlignment w:val="auto"/>
              <w:rPr>
                <w:rFonts w:hint="eastAsia" w:asciiTheme="minorEastAsia" w:hAnsiTheme="minorEastAsia" w:eastAsiaTheme="minorEastAsia" w:cstheme="minorEastAsia"/>
                <w:color w:val="000000"/>
                <w:sz w:val="24"/>
                <w:szCs w:val="24"/>
                <w:highlight w:val="none"/>
                <w:lang w:eastAsia="zh-CN"/>
              </w:rPr>
            </w:pPr>
            <w:r>
              <w:rPr>
                <w:rFonts w:hint="eastAsia" w:asciiTheme="minorEastAsia" w:hAnsiTheme="minorEastAsia" w:eastAsiaTheme="minorEastAsia" w:cstheme="minorEastAsia"/>
                <w:color w:val="000000"/>
                <w:sz w:val="24"/>
                <w:szCs w:val="24"/>
                <w:highlight w:val="none"/>
              </w:rPr>
              <w:t>√计算机随机抽取语音通知方式</w:t>
            </w:r>
            <w:r>
              <w:rPr>
                <w:rFonts w:hint="eastAsia" w:asciiTheme="minorEastAsia" w:hAnsiTheme="minorEastAsia" w:eastAsiaTheme="minorEastAsia" w:cstheme="minorEastAsia"/>
                <w:color w:val="000000"/>
                <w:sz w:val="24"/>
                <w:szCs w:val="24"/>
                <w:highlight w:val="none"/>
                <w:lang w:eastAsia="zh-CN"/>
              </w:rPr>
              <w:t>小组确定方式：</w:t>
            </w:r>
          </w:p>
          <w:p w14:paraId="250929EC">
            <w:pPr>
              <w:pStyle w:val="75"/>
              <w:keepNext w:val="0"/>
              <w:keepLines w:val="0"/>
              <w:pageBreakBefore w:val="0"/>
              <w:widowControl/>
              <w:kinsoku/>
              <w:wordWrap/>
              <w:overflowPunct/>
              <w:topLinePunct w:val="0"/>
              <w:autoSpaceDE/>
              <w:autoSpaceDN/>
              <w:bidi w:val="0"/>
              <w:adjustRightInd w:val="0"/>
              <w:snapToGrid w:val="0"/>
              <w:spacing w:line="240" w:lineRule="auto"/>
              <w:textAlignment w:val="auto"/>
              <w:rPr>
                <w:rFonts w:hint="eastAsia" w:asciiTheme="minorEastAsia" w:hAnsiTheme="minorEastAsia" w:eastAsiaTheme="minorEastAsia" w:cstheme="minorEastAsia"/>
                <w:color w:val="000000"/>
                <w:sz w:val="24"/>
                <w:szCs w:val="24"/>
                <w:highlight w:val="none"/>
                <w:lang w:eastAsia="zh-CN"/>
              </w:rPr>
            </w:pPr>
            <w:r>
              <w:rPr>
                <w:rFonts w:hint="eastAsia" w:asciiTheme="minorEastAsia" w:hAnsiTheme="minorEastAsia" w:eastAsiaTheme="minorEastAsia" w:cstheme="minorEastAsia"/>
                <w:color w:val="000000"/>
                <w:sz w:val="24"/>
                <w:szCs w:val="24"/>
                <w:highlight w:val="none"/>
                <w:lang w:eastAsia="zh-CN"/>
              </w:rPr>
              <w:t xml:space="preserve">☑根据政采云专家库随机语音通知方式 </w:t>
            </w:r>
          </w:p>
          <w:p w14:paraId="528C8ABB">
            <w:pPr>
              <w:pStyle w:val="75"/>
              <w:keepNext w:val="0"/>
              <w:keepLines w:val="0"/>
              <w:pageBreakBefore w:val="0"/>
              <w:widowControl/>
              <w:kinsoku/>
              <w:wordWrap/>
              <w:overflowPunct/>
              <w:topLinePunct w:val="0"/>
              <w:autoSpaceDE/>
              <w:autoSpaceDN/>
              <w:bidi w:val="0"/>
              <w:adjustRightInd w:val="0"/>
              <w:snapToGrid w:val="0"/>
              <w:spacing w:line="240" w:lineRule="auto"/>
              <w:textAlignment w:val="auto"/>
              <w:rPr>
                <w:rFonts w:hint="eastAsia" w:ascii="仿宋" w:hAnsi="仿宋" w:eastAsia="仿宋" w:cs="仿宋"/>
                <w:color w:val="000000"/>
                <w:kern w:val="2"/>
                <w:sz w:val="28"/>
                <w:szCs w:val="28"/>
                <w:highlight w:val="none"/>
                <w:lang w:val="en-US" w:eastAsia="zh-CN"/>
              </w:rPr>
            </w:pPr>
            <w:r>
              <w:rPr>
                <w:rFonts w:hint="eastAsia" w:asciiTheme="minorEastAsia" w:hAnsiTheme="minorEastAsia" w:eastAsiaTheme="minorEastAsia" w:cstheme="minorEastAsia"/>
                <w:color w:val="000000"/>
                <w:sz w:val="24"/>
                <w:szCs w:val="24"/>
                <w:highlight w:val="none"/>
                <w:lang w:eastAsia="zh-CN"/>
              </w:rPr>
              <w:t>□其他方式：</w:t>
            </w:r>
          </w:p>
        </w:tc>
      </w:tr>
      <w:tr w14:paraId="3D5D3A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726" w:type="dxa"/>
            <w:noWrap w:val="0"/>
            <w:vAlign w:val="center"/>
          </w:tcPr>
          <w:p w14:paraId="2D37FF64">
            <w:pPr>
              <w:keepNext w:val="0"/>
              <w:keepLines w:val="0"/>
              <w:pageBreakBefore w:val="0"/>
              <w:widowControl w:val="0"/>
              <w:kinsoku/>
              <w:wordWrap/>
              <w:overflowPunct/>
              <w:topLinePunct w:val="0"/>
              <w:autoSpaceDE/>
              <w:autoSpaceDN/>
              <w:bidi w:val="0"/>
              <w:snapToGrid/>
              <w:spacing w:line="44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19</w:t>
            </w:r>
          </w:p>
        </w:tc>
        <w:tc>
          <w:tcPr>
            <w:tcW w:w="2614" w:type="dxa"/>
            <w:noWrap w:val="0"/>
            <w:vAlign w:val="center"/>
          </w:tcPr>
          <w:p w14:paraId="0E9D997E">
            <w:pPr>
              <w:keepNext w:val="0"/>
              <w:keepLines w:val="0"/>
              <w:pageBreakBefore w:val="0"/>
              <w:widowControl w:val="0"/>
              <w:kinsoku/>
              <w:wordWrap/>
              <w:overflowPunct/>
              <w:topLinePunct w:val="0"/>
              <w:autoSpaceDE/>
              <w:autoSpaceDN/>
              <w:bidi w:val="0"/>
              <w:adjustRightInd w:val="0"/>
              <w:snapToGrid/>
              <w:spacing w:line="44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投标保证金</w:t>
            </w:r>
          </w:p>
        </w:tc>
        <w:tc>
          <w:tcPr>
            <w:tcW w:w="6940" w:type="dxa"/>
            <w:noWrap w:val="0"/>
            <w:vAlign w:val="center"/>
          </w:tcPr>
          <w:p w14:paraId="5219EF84">
            <w:pPr>
              <w:keepNext w:val="0"/>
              <w:keepLines w:val="0"/>
              <w:pageBreakBefore w:val="0"/>
              <w:kinsoku/>
              <w:wordWrap/>
              <w:overflowPunct/>
              <w:topLinePunct w:val="0"/>
              <w:autoSpaceDE/>
              <w:autoSpaceDN/>
              <w:bidi w:val="0"/>
              <w:adjustRightInd/>
              <w:snapToGrid/>
              <w:spacing w:line="300" w:lineRule="exact"/>
              <w:ind w:left="0" w:right="0" w:firstLine="0" w:firstLineChars="0"/>
              <w:jc w:val="both"/>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rPr>
              <w:t>投标保证金的形式：转账、</w:t>
            </w:r>
            <w:r>
              <w:rPr>
                <w:rFonts w:hint="eastAsia" w:ascii="宋体" w:hAnsi="宋体" w:eastAsia="宋体" w:cs="宋体"/>
                <w:b/>
                <w:bCs/>
                <w:color w:val="auto"/>
                <w:sz w:val="24"/>
                <w:szCs w:val="24"/>
                <w:highlight w:val="none"/>
                <w:lang w:val="en-US" w:eastAsia="zh-CN"/>
              </w:rPr>
              <w:t>电汇、电子保函</w:t>
            </w:r>
          </w:p>
          <w:p w14:paraId="41847317">
            <w:pPr>
              <w:keepNext w:val="0"/>
              <w:keepLines w:val="0"/>
              <w:pageBreakBefore w:val="0"/>
              <w:kinsoku/>
              <w:wordWrap/>
              <w:overflowPunct/>
              <w:topLinePunct w:val="0"/>
              <w:autoSpaceDE/>
              <w:autoSpaceDN/>
              <w:bidi w:val="0"/>
              <w:adjustRightInd/>
              <w:snapToGrid/>
              <w:spacing w:line="300" w:lineRule="exact"/>
              <w:ind w:left="0" w:right="0" w:firstLine="0" w:firstLineChars="0"/>
              <w:jc w:val="both"/>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投标保证金的金额：</w:t>
            </w:r>
          </w:p>
          <w:p w14:paraId="182F0516">
            <w:pPr>
              <w:keepNext w:val="0"/>
              <w:keepLines w:val="0"/>
              <w:pageBreakBefore w:val="0"/>
              <w:shd w:val="clear"/>
              <w:kinsoku/>
              <w:wordWrap/>
              <w:overflowPunct/>
              <w:topLinePunct w:val="0"/>
              <w:autoSpaceDE/>
              <w:autoSpaceDN/>
              <w:bidi w:val="0"/>
              <w:adjustRightInd/>
              <w:snapToGrid/>
              <w:spacing w:line="240" w:lineRule="auto"/>
              <w:ind w:left="0" w:right="0" w:firstLine="0" w:firstLineChars="0"/>
              <w:jc w:val="both"/>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4000.00元（大写：肆仟元整）</w:t>
            </w:r>
          </w:p>
          <w:p w14:paraId="4747BBC2">
            <w:pPr>
              <w:keepNext w:val="0"/>
              <w:keepLines w:val="0"/>
              <w:pageBreakBefore w:val="0"/>
              <w:shd w:val="clear"/>
              <w:kinsoku/>
              <w:wordWrap/>
              <w:overflowPunct/>
              <w:topLinePunct w:val="0"/>
              <w:autoSpaceDE/>
              <w:autoSpaceDN/>
              <w:bidi w:val="0"/>
              <w:adjustRightInd/>
              <w:snapToGrid/>
              <w:spacing w:line="240" w:lineRule="auto"/>
              <w:ind w:left="0" w:right="0" w:firstLine="0" w:firstLineChars="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投标保证金缴纳账户：</w:t>
            </w:r>
          </w:p>
          <w:p w14:paraId="4FE0B7E1">
            <w:pPr>
              <w:keepNext w:val="0"/>
              <w:keepLines w:val="0"/>
              <w:pageBreakBefore w:val="0"/>
              <w:shd w:val="clear"/>
              <w:kinsoku/>
              <w:wordWrap/>
              <w:overflowPunct/>
              <w:topLinePunct w:val="0"/>
              <w:autoSpaceDE/>
              <w:autoSpaceDN/>
              <w:bidi w:val="0"/>
              <w:adjustRightInd/>
              <w:snapToGrid/>
              <w:spacing w:line="240" w:lineRule="auto"/>
              <w:ind w:left="0" w:right="0" w:firstLine="0" w:firstLineChars="0"/>
              <w:jc w:val="both"/>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开户名称：</w:t>
            </w:r>
            <w:r>
              <w:rPr>
                <w:rFonts w:hint="eastAsia" w:ascii="宋体" w:hAnsi="宋体" w:cs="宋体"/>
                <w:color w:val="auto"/>
                <w:sz w:val="24"/>
                <w:szCs w:val="24"/>
                <w:highlight w:val="none"/>
                <w:lang w:val="en-US" w:eastAsia="zh-CN"/>
              </w:rPr>
              <w:t>新疆晓君招标有限公司</w:t>
            </w:r>
          </w:p>
          <w:p w14:paraId="187C0CB5">
            <w:pPr>
              <w:keepNext w:val="0"/>
              <w:keepLines w:val="0"/>
              <w:pageBreakBefore w:val="0"/>
              <w:shd w:val="clear"/>
              <w:kinsoku/>
              <w:wordWrap/>
              <w:overflowPunct/>
              <w:topLinePunct w:val="0"/>
              <w:autoSpaceDE/>
              <w:autoSpaceDN/>
              <w:bidi w:val="0"/>
              <w:adjustRightInd/>
              <w:snapToGrid/>
              <w:spacing w:line="240" w:lineRule="auto"/>
              <w:ind w:left="0" w:right="0" w:firstLine="0" w:firstLineChars="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开户银行：中国工商银行股份有限公司乌鲁木齐河北东路支行</w:t>
            </w:r>
          </w:p>
          <w:p w14:paraId="68FB2D5B">
            <w:pPr>
              <w:keepNext w:val="0"/>
              <w:keepLines w:val="0"/>
              <w:pageBreakBefore w:val="0"/>
              <w:shd w:val="clear"/>
              <w:kinsoku/>
              <w:wordWrap/>
              <w:overflowPunct/>
              <w:topLinePunct w:val="0"/>
              <w:autoSpaceDE/>
              <w:autoSpaceDN/>
              <w:bidi w:val="0"/>
              <w:adjustRightInd/>
              <w:snapToGrid/>
              <w:spacing w:line="240" w:lineRule="auto"/>
              <w:ind w:left="0" w:right="0" w:firstLine="0" w:firstLineChars="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账号：3002030509100082771</w:t>
            </w:r>
          </w:p>
          <w:p w14:paraId="12616446">
            <w:pPr>
              <w:keepNext w:val="0"/>
              <w:keepLines w:val="0"/>
              <w:pageBreakBefore w:val="0"/>
              <w:shd w:val="clear"/>
              <w:kinsoku/>
              <w:wordWrap/>
              <w:overflowPunct/>
              <w:topLinePunct w:val="0"/>
              <w:autoSpaceDE/>
              <w:autoSpaceDN/>
              <w:bidi w:val="0"/>
              <w:adjustRightInd/>
              <w:snapToGrid/>
              <w:spacing w:line="240" w:lineRule="auto"/>
              <w:ind w:left="0" w:right="0" w:firstLine="0" w:firstLineChars="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注：1.采用银行转账或电汇的方式的，由报名单位基本账户于</w:t>
            </w:r>
            <w:r>
              <w:rPr>
                <w:rFonts w:hint="eastAsia" w:ascii="宋体" w:hAnsi="宋体" w:cs="宋体"/>
                <w:color w:val="auto"/>
                <w:sz w:val="24"/>
                <w:szCs w:val="24"/>
                <w:highlight w:val="none"/>
                <w:lang w:val="en-US" w:eastAsia="zh-CN"/>
              </w:rPr>
              <w:t>2026年10月23日11：00</w:t>
            </w:r>
            <w:r>
              <w:rPr>
                <w:rFonts w:hint="eastAsia" w:ascii="宋体" w:hAnsi="宋体" w:eastAsia="宋体" w:cs="宋体"/>
                <w:color w:val="auto"/>
                <w:sz w:val="24"/>
                <w:szCs w:val="24"/>
                <w:highlight w:val="none"/>
                <w:lang w:val="en-US" w:eastAsia="zh-CN"/>
              </w:rPr>
              <w:t>（北京时间）前汇至和田县公共资源交易中心专用账户，不得以现金和其他形式缴纳，不得以分公司、办事处或其他机构的名义缴纳，报名单位在缴纳保证金时，需在进账凭证上明确资金用途、项目名称，以便查对核实。投标保证金缴纳截止时间为递交投标文件截止时间，无须换取收据。</w:t>
            </w:r>
          </w:p>
          <w:p w14:paraId="0D3BD23E">
            <w:pPr>
              <w:keepNext w:val="0"/>
              <w:keepLines w:val="0"/>
              <w:pageBreakBefore w:val="0"/>
              <w:shd w:val="clear"/>
              <w:kinsoku/>
              <w:wordWrap/>
              <w:overflowPunct/>
              <w:topLinePunct w:val="0"/>
              <w:autoSpaceDE/>
              <w:autoSpaceDN/>
              <w:bidi w:val="0"/>
              <w:adjustRightInd/>
              <w:snapToGrid/>
              <w:spacing w:line="240" w:lineRule="auto"/>
              <w:ind w:left="0" w:right="0" w:firstLine="0" w:firstLineChars="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电子保函使用方法：1、登录新疆维吾尔自治区政府采购网，首页点击“电子保函”直接进入新疆政府采购电子保函申请页，点击【立即申请】2、依次完善页面显示的投保人信息（供应商信息），确认您要投保的项目信息，在投标项目选择页面选择您需要投保的项目（可根据项目名称或项目保函进行搜索），选择投保项目后填写被保险人信息及投保内容。服务热线</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400-9039583。</w:t>
            </w:r>
          </w:p>
          <w:p w14:paraId="3C889929">
            <w:pPr>
              <w:keepNext w:val="0"/>
              <w:keepLines w:val="0"/>
              <w:pageBreakBefore w:val="0"/>
              <w:shd w:val="clear"/>
              <w:kinsoku/>
              <w:wordWrap/>
              <w:overflowPunct/>
              <w:topLinePunct w:val="0"/>
              <w:autoSpaceDE/>
              <w:autoSpaceDN/>
              <w:bidi w:val="0"/>
              <w:adjustRightInd/>
              <w:snapToGrid/>
              <w:spacing w:line="240" w:lineRule="auto"/>
              <w:ind w:left="0" w:right="0" w:firstLine="0" w:firstLineChars="0"/>
              <w:jc w:val="both"/>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保函投保金额</w:t>
            </w:r>
            <w:r>
              <w:rPr>
                <w:rFonts w:hint="eastAsia" w:ascii="宋体" w:hAnsi="宋体" w:cs="宋体"/>
                <w:b/>
                <w:bCs/>
                <w:color w:val="auto"/>
                <w:sz w:val="24"/>
                <w:szCs w:val="24"/>
                <w:highlight w:val="none"/>
                <w:lang w:val="en-US" w:eastAsia="zh-CN"/>
              </w:rPr>
              <w:t>（</w:t>
            </w:r>
            <w:r>
              <w:rPr>
                <w:rFonts w:hint="eastAsia" w:ascii="宋体" w:hAnsi="宋体" w:eastAsia="宋体" w:cs="宋体"/>
                <w:b/>
                <w:bCs/>
                <w:color w:val="auto"/>
                <w:sz w:val="24"/>
                <w:szCs w:val="24"/>
                <w:highlight w:val="none"/>
                <w:lang w:val="en-US" w:eastAsia="zh-CN"/>
              </w:rPr>
              <w:t>元</w:t>
            </w:r>
            <w:r>
              <w:rPr>
                <w:rFonts w:hint="eastAsia" w:ascii="宋体" w:hAnsi="宋体" w:cs="宋体"/>
                <w:b/>
                <w:bCs/>
                <w:color w:val="auto"/>
                <w:sz w:val="24"/>
                <w:szCs w:val="24"/>
                <w:highlight w:val="none"/>
                <w:lang w:val="en-US" w:eastAsia="zh-CN"/>
              </w:rPr>
              <w:t>）</w:t>
            </w:r>
            <w:r>
              <w:rPr>
                <w:rFonts w:hint="eastAsia" w:ascii="宋体" w:hAnsi="宋体" w:eastAsia="宋体" w:cs="宋体"/>
                <w:b/>
                <w:bCs/>
                <w:color w:val="auto"/>
                <w:sz w:val="24"/>
                <w:szCs w:val="24"/>
                <w:highlight w:val="none"/>
                <w:lang w:val="en-US" w:eastAsia="zh-CN"/>
              </w:rPr>
              <w:t>：</w:t>
            </w:r>
            <w:r>
              <w:rPr>
                <w:rFonts w:hint="eastAsia" w:ascii="宋体" w:hAnsi="宋体" w:cs="宋体"/>
                <w:b/>
                <w:bCs/>
                <w:color w:val="auto"/>
                <w:sz w:val="24"/>
                <w:szCs w:val="24"/>
                <w:highlight w:val="none"/>
                <w:lang w:val="en-US" w:eastAsia="zh-CN"/>
              </w:rPr>
              <w:t>4000.00元（大写：肆仟元整）</w:t>
            </w:r>
          </w:p>
          <w:p w14:paraId="2E079218">
            <w:pPr>
              <w:keepNext w:val="0"/>
              <w:keepLines w:val="0"/>
              <w:pageBreakBefore w:val="0"/>
              <w:widowControl w:val="0"/>
              <w:kinsoku/>
              <w:wordWrap/>
              <w:overflowPunct/>
              <w:topLinePunct w:val="0"/>
              <w:autoSpaceDE/>
              <w:autoSpaceDN/>
              <w:bidi w:val="0"/>
              <w:adjustRightInd w:val="0"/>
              <w:snapToGrid/>
              <w:spacing w:line="440" w:lineRule="exact"/>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highlight w:val="none"/>
                <w:lang w:val="en-US" w:eastAsia="zh-CN"/>
              </w:rPr>
              <w:t>保函承保期限：</w:t>
            </w:r>
            <w:r>
              <w:rPr>
                <w:rFonts w:hint="eastAsia" w:ascii="宋体" w:hAnsi="宋体" w:cs="宋体"/>
                <w:b/>
                <w:bCs/>
                <w:color w:val="auto"/>
                <w:sz w:val="24"/>
                <w:szCs w:val="24"/>
                <w:highlight w:val="none"/>
                <w:lang w:val="en-US" w:eastAsia="zh-CN"/>
              </w:rPr>
              <w:t>2026年10月23日</w:t>
            </w:r>
            <w:r>
              <w:rPr>
                <w:rFonts w:hint="eastAsia" w:ascii="宋体" w:hAnsi="宋体" w:eastAsia="宋体" w:cs="宋体"/>
                <w:b/>
                <w:bCs/>
                <w:color w:val="auto"/>
                <w:sz w:val="24"/>
                <w:szCs w:val="24"/>
                <w:highlight w:val="none"/>
                <w:lang w:val="en-US" w:eastAsia="zh-CN"/>
              </w:rPr>
              <w:t>----</w:t>
            </w:r>
            <w:r>
              <w:rPr>
                <w:rFonts w:hint="eastAsia" w:ascii="宋体" w:hAnsi="宋体" w:cs="宋体"/>
                <w:b/>
                <w:bCs/>
                <w:color w:val="auto"/>
                <w:sz w:val="24"/>
                <w:szCs w:val="24"/>
                <w:highlight w:val="none"/>
                <w:lang w:val="en-US" w:eastAsia="zh-CN"/>
              </w:rPr>
              <w:t>2027年1月21日</w:t>
            </w:r>
            <w:r>
              <w:rPr>
                <w:rFonts w:hint="eastAsia" w:ascii="宋体" w:hAnsi="宋体" w:eastAsia="宋体" w:cs="宋体"/>
                <w:b/>
                <w:bCs/>
                <w:color w:val="auto"/>
                <w:sz w:val="24"/>
                <w:szCs w:val="24"/>
                <w:highlight w:val="none"/>
                <w:lang w:val="en-US" w:eastAsia="zh-CN"/>
              </w:rPr>
              <w:t>（90日历天）</w:t>
            </w:r>
          </w:p>
        </w:tc>
      </w:tr>
      <w:tr w14:paraId="77B0E8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26" w:type="dxa"/>
            <w:noWrap w:val="0"/>
            <w:vAlign w:val="center"/>
          </w:tcPr>
          <w:p w14:paraId="38CBBBBD">
            <w:pPr>
              <w:keepNext w:val="0"/>
              <w:keepLines w:val="0"/>
              <w:pageBreakBefore w:val="0"/>
              <w:widowControl w:val="0"/>
              <w:kinsoku/>
              <w:wordWrap/>
              <w:overflowPunct/>
              <w:topLinePunct w:val="0"/>
              <w:autoSpaceDE/>
              <w:autoSpaceDN/>
              <w:bidi w:val="0"/>
              <w:snapToGrid/>
              <w:spacing w:line="44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20</w:t>
            </w:r>
          </w:p>
        </w:tc>
        <w:tc>
          <w:tcPr>
            <w:tcW w:w="2614" w:type="dxa"/>
            <w:noWrap w:val="0"/>
            <w:vAlign w:val="center"/>
          </w:tcPr>
          <w:p w14:paraId="6D1036E2">
            <w:pPr>
              <w:keepNext w:val="0"/>
              <w:keepLines w:val="0"/>
              <w:pageBreakBefore w:val="0"/>
              <w:widowControl w:val="0"/>
              <w:kinsoku/>
              <w:wordWrap/>
              <w:overflowPunct/>
              <w:topLinePunct w:val="0"/>
              <w:autoSpaceDE/>
              <w:autoSpaceDN/>
              <w:bidi w:val="0"/>
              <w:adjustRightInd w:val="0"/>
              <w:snapToGrid/>
              <w:spacing w:line="44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询问和质疑</w:t>
            </w:r>
          </w:p>
        </w:tc>
        <w:tc>
          <w:tcPr>
            <w:tcW w:w="6940" w:type="dxa"/>
            <w:noWrap w:val="0"/>
            <w:vAlign w:val="center"/>
          </w:tcPr>
          <w:p w14:paraId="3B8A6F0A">
            <w:pPr>
              <w:keepNext w:val="0"/>
              <w:keepLines w:val="0"/>
              <w:pageBreakBefore w:val="0"/>
              <w:widowControl w:val="0"/>
              <w:kinsoku/>
              <w:wordWrap/>
              <w:overflowPunct/>
              <w:topLinePunct w:val="0"/>
              <w:autoSpaceDE/>
              <w:autoSpaceDN/>
              <w:bidi w:val="0"/>
              <w:adjustRightInd w:val="0"/>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联系人：</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杨强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1347E24B">
            <w:pPr>
              <w:keepNext w:val="0"/>
              <w:keepLines w:val="0"/>
              <w:pageBreakBefore w:val="0"/>
              <w:widowControl w:val="0"/>
              <w:kinsoku/>
              <w:wordWrap/>
              <w:overflowPunct/>
              <w:topLinePunct w:val="0"/>
              <w:autoSpaceDE/>
              <w:autoSpaceDN/>
              <w:bidi w:val="0"/>
              <w:adjustRightInd w:val="0"/>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w:t>
            </w:r>
            <w:r>
              <w:rPr>
                <w:rFonts w:hint="eastAsia" w:ascii="宋体" w:hAnsi="宋体" w:cs="宋体"/>
                <w:color w:val="auto"/>
                <w:sz w:val="24"/>
                <w:szCs w:val="24"/>
                <w:highlight w:val="none"/>
                <w:u w:val="single"/>
                <w:lang w:val="en-US" w:eastAsia="zh-CN"/>
              </w:rPr>
              <w:t>17799150765</w:t>
            </w:r>
            <w:r>
              <w:rPr>
                <w:rFonts w:hint="eastAsia" w:ascii="宋体" w:hAnsi="宋体" w:eastAsia="宋体" w:cs="宋体"/>
                <w:color w:val="auto"/>
                <w:sz w:val="24"/>
                <w:szCs w:val="24"/>
                <w:highlight w:val="none"/>
              </w:rPr>
              <w:t xml:space="preserve">       </w:t>
            </w:r>
          </w:p>
          <w:p w14:paraId="2459C6CB">
            <w:pPr>
              <w:keepNext w:val="0"/>
              <w:keepLines w:val="0"/>
              <w:pageBreakBefore w:val="0"/>
              <w:widowControl w:val="0"/>
              <w:kinsoku/>
              <w:wordWrap/>
              <w:overflowPunct/>
              <w:topLinePunct w:val="0"/>
              <w:autoSpaceDE/>
              <w:autoSpaceDN/>
              <w:bidi w:val="0"/>
              <w:adjustRightInd w:val="0"/>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认为招标文件、采购过程或中标结果使自己的合法权益受到损害的，应当在知道或者应知其权益受到损害之日起在规定的期限内，以书面或邮件形式一次性向采购人（采购代理机构）提出质疑或供应商对采购人（采购代理机构）的质疑答复不满意或者采购人（采购代理机构）未在七个工作日内做出答复的，可以在答复期满后十五个工作日内向有关监管部门投诉。</w:t>
            </w:r>
          </w:p>
          <w:p w14:paraId="7A4B3559">
            <w:pPr>
              <w:keepNext w:val="0"/>
              <w:keepLines w:val="0"/>
              <w:pageBreakBefore w:val="0"/>
              <w:widowControl w:val="0"/>
              <w:kinsoku/>
              <w:wordWrap/>
              <w:overflowPunct/>
              <w:topLinePunct w:val="0"/>
              <w:autoSpaceDE/>
              <w:autoSpaceDN/>
              <w:bidi w:val="0"/>
              <w:adjustRightInd w:val="0"/>
              <w:snapToGrid/>
              <w:spacing w:line="44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highlight w:val="none"/>
              </w:rPr>
              <w:t>注：根据《中华人民共和国政府采购法》的规定，供应商质疑不得超出</w:t>
            </w:r>
            <w:r>
              <w:rPr>
                <w:rFonts w:hint="eastAsia" w:ascii="宋体" w:hAnsi="宋体" w:eastAsia="宋体" w:cs="宋体"/>
                <w:color w:val="auto"/>
                <w:sz w:val="24"/>
                <w:szCs w:val="24"/>
                <w:highlight w:val="none"/>
                <w:lang w:eastAsia="zh-CN"/>
              </w:rPr>
              <w:t>采购文件</w:t>
            </w:r>
            <w:r>
              <w:rPr>
                <w:rFonts w:hint="eastAsia" w:ascii="宋体" w:hAnsi="宋体" w:eastAsia="宋体" w:cs="宋体"/>
                <w:color w:val="auto"/>
                <w:sz w:val="24"/>
                <w:szCs w:val="24"/>
                <w:highlight w:val="none"/>
              </w:rPr>
              <w:t>、开评标过程及结果的范围及时效限制。</w:t>
            </w:r>
          </w:p>
        </w:tc>
      </w:tr>
      <w:tr w14:paraId="705051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26" w:type="dxa"/>
            <w:noWrap w:val="0"/>
            <w:vAlign w:val="center"/>
          </w:tcPr>
          <w:p w14:paraId="3572C753">
            <w:pPr>
              <w:keepNext w:val="0"/>
              <w:keepLines w:val="0"/>
              <w:pageBreakBefore w:val="0"/>
              <w:widowControl w:val="0"/>
              <w:kinsoku/>
              <w:wordWrap/>
              <w:overflowPunct/>
              <w:topLinePunct w:val="0"/>
              <w:autoSpaceDE/>
              <w:autoSpaceDN/>
              <w:bidi w:val="0"/>
              <w:snapToGrid/>
              <w:spacing w:line="44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21</w:t>
            </w:r>
          </w:p>
        </w:tc>
        <w:tc>
          <w:tcPr>
            <w:tcW w:w="2614" w:type="dxa"/>
            <w:noWrap w:val="0"/>
            <w:vAlign w:val="center"/>
          </w:tcPr>
          <w:p w14:paraId="1AFC26A4">
            <w:pPr>
              <w:keepNext w:val="0"/>
              <w:keepLines w:val="0"/>
              <w:pageBreakBefore w:val="0"/>
              <w:widowControl w:val="0"/>
              <w:kinsoku/>
              <w:wordWrap/>
              <w:overflowPunct/>
              <w:topLinePunct w:val="0"/>
              <w:autoSpaceDE/>
              <w:autoSpaceDN/>
              <w:bidi w:val="0"/>
              <w:adjustRightInd w:val="0"/>
              <w:snapToGrid/>
              <w:spacing w:line="44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供应商投诉   </w:t>
            </w:r>
          </w:p>
        </w:tc>
        <w:tc>
          <w:tcPr>
            <w:tcW w:w="6940" w:type="dxa"/>
            <w:noWrap w:val="0"/>
            <w:vAlign w:val="center"/>
          </w:tcPr>
          <w:p w14:paraId="2FB84EDC">
            <w:pPr>
              <w:keepNext w:val="0"/>
              <w:keepLines w:val="0"/>
              <w:pageBreakBefore w:val="0"/>
              <w:widowControl w:val="0"/>
              <w:kinsoku/>
              <w:wordWrap/>
              <w:overflowPunct/>
              <w:topLinePunct w:val="0"/>
              <w:autoSpaceDE/>
              <w:autoSpaceDN/>
              <w:bidi w:val="0"/>
              <w:adjustRightInd w:val="0"/>
              <w:snapToGrid/>
              <w:spacing w:line="440" w:lineRule="exact"/>
              <w:textAlignment w:val="auto"/>
              <w:rPr>
                <w:rFonts w:hint="eastAsia" w:ascii="宋体" w:hAnsi="宋体" w:eastAsia="宋体" w:cs="宋体"/>
                <w:color w:val="auto"/>
                <w:sz w:val="24"/>
                <w:szCs w:val="24"/>
                <w:u w:val="none"/>
              </w:rPr>
            </w:pPr>
            <w:r>
              <w:rPr>
                <w:rFonts w:hint="eastAsia" w:ascii="宋体" w:hAnsi="宋体" w:eastAsia="宋体" w:cs="宋体"/>
                <w:color w:val="auto"/>
                <w:sz w:val="24"/>
                <w:szCs w:val="24"/>
                <w:u w:val="none"/>
              </w:rPr>
              <w:t>（1）质疑供应商对采购人、采购代理机构的答复不满意或者采购人、采购代理机构未在规定的时间内作出答复的，可以在答复期满后十五个工作日内向同级政府采购监督管理部门投诉。</w:t>
            </w:r>
          </w:p>
          <w:p w14:paraId="31A763E6">
            <w:pPr>
              <w:keepNext w:val="0"/>
              <w:keepLines w:val="0"/>
              <w:pageBreakBefore w:val="0"/>
              <w:widowControl w:val="0"/>
              <w:kinsoku/>
              <w:wordWrap/>
              <w:overflowPunct/>
              <w:topLinePunct w:val="0"/>
              <w:autoSpaceDE/>
              <w:autoSpaceDN/>
              <w:bidi w:val="0"/>
              <w:adjustRightInd w:val="0"/>
              <w:snapToGrid/>
              <w:spacing w:line="440" w:lineRule="exact"/>
              <w:textAlignment w:val="auto"/>
              <w:rPr>
                <w:rFonts w:hint="eastAsia" w:ascii="宋体" w:hAnsi="宋体" w:eastAsia="宋体" w:cs="宋体"/>
                <w:color w:val="auto"/>
                <w:sz w:val="24"/>
                <w:szCs w:val="24"/>
                <w:u w:val="none"/>
              </w:rPr>
            </w:pPr>
            <w:r>
              <w:rPr>
                <w:rFonts w:hint="eastAsia" w:ascii="宋体" w:hAnsi="宋体" w:eastAsia="宋体" w:cs="宋体"/>
                <w:color w:val="auto"/>
                <w:sz w:val="24"/>
                <w:szCs w:val="24"/>
                <w:u w:val="none"/>
              </w:rPr>
              <w:t>（2）质疑、投诉应当采用书面或邮件形式，质疑书、投诉书均应明确阐述招标文件 、采购过程或中标结果中使自己合法权益受到损害的实质性内容，提供相关事实、依据和证据及其来源或线索，便于有关单位调查、答复和处理。</w:t>
            </w:r>
          </w:p>
          <w:p w14:paraId="2ACF9E8C">
            <w:pPr>
              <w:keepNext w:val="0"/>
              <w:keepLines w:val="0"/>
              <w:pageBreakBefore w:val="0"/>
              <w:widowControl w:val="0"/>
              <w:kinsoku/>
              <w:wordWrap/>
              <w:overflowPunct/>
              <w:topLinePunct w:val="0"/>
              <w:autoSpaceDE/>
              <w:autoSpaceDN/>
              <w:bidi w:val="0"/>
              <w:adjustRightInd w:val="0"/>
              <w:snapToGrid/>
              <w:spacing w:line="440" w:lineRule="exact"/>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u w:val="none"/>
              </w:rPr>
              <w:t>注：根据《中华人民共和国政府采购法实施条例》的规定，供应商投诉事项不得超出已质疑事项的范围。</w:t>
            </w:r>
          </w:p>
        </w:tc>
      </w:tr>
      <w:tr w14:paraId="724974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05" w:hRule="atLeast"/>
          <w:jc w:val="center"/>
        </w:trPr>
        <w:tc>
          <w:tcPr>
            <w:tcW w:w="726" w:type="dxa"/>
            <w:noWrap w:val="0"/>
            <w:vAlign w:val="center"/>
          </w:tcPr>
          <w:p w14:paraId="0D19DDC7">
            <w:pPr>
              <w:keepNext w:val="0"/>
              <w:keepLines w:val="0"/>
              <w:pageBreakBefore w:val="0"/>
              <w:widowControl w:val="0"/>
              <w:kinsoku/>
              <w:wordWrap/>
              <w:overflowPunct/>
              <w:topLinePunct w:val="0"/>
              <w:autoSpaceDE/>
              <w:autoSpaceDN/>
              <w:bidi w:val="0"/>
              <w:snapToGrid/>
              <w:spacing w:line="440" w:lineRule="exact"/>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2</w:t>
            </w:r>
          </w:p>
        </w:tc>
        <w:tc>
          <w:tcPr>
            <w:tcW w:w="2614" w:type="dxa"/>
            <w:noWrap w:val="0"/>
            <w:vAlign w:val="center"/>
          </w:tcPr>
          <w:p w14:paraId="06E7C982">
            <w:pPr>
              <w:keepNext w:val="0"/>
              <w:keepLines w:val="0"/>
              <w:pageBreakBefore w:val="0"/>
              <w:widowControl w:val="0"/>
              <w:kinsoku/>
              <w:wordWrap/>
              <w:overflowPunct/>
              <w:topLinePunct w:val="0"/>
              <w:autoSpaceDE/>
              <w:autoSpaceDN/>
              <w:bidi w:val="0"/>
              <w:adjustRightInd w:val="0"/>
              <w:snapToGrid/>
              <w:spacing w:line="44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rPr>
              <w:t>递交投标文件的地点及方式</w:t>
            </w:r>
          </w:p>
        </w:tc>
        <w:tc>
          <w:tcPr>
            <w:tcW w:w="6940" w:type="dxa"/>
            <w:noWrap w:val="0"/>
            <w:vAlign w:val="center"/>
          </w:tcPr>
          <w:p w14:paraId="02652AA9">
            <w:pPr>
              <w:keepNext w:val="0"/>
              <w:keepLines w:val="0"/>
              <w:pageBreakBefore w:val="0"/>
              <w:widowControl w:val="0"/>
              <w:kinsoku/>
              <w:wordWrap/>
              <w:overflowPunct/>
              <w:topLinePunct w:val="0"/>
              <w:autoSpaceDE/>
              <w:autoSpaceDN/>
              <w:bidi w:val="0"/>
              <w:adjustRightInd w:val="0"/>
              <w:snapToGrid/>
              <w:spacing w:line="44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投标人应于</w:t>
            </w:r>
            <w:r>
              <w:rPr>
                <w:rFonts w:hint="eastAsia" w:ascii="宋体" w:hAnsi="宋体" w:cs="宋体"/>
                <w:color w:val="auto"/>
                <w:sz w:val="24"/>
                <w:szCs w:val="24"/>
                <w:lang w:eastAsia="zh-CN"/>
              </w:rPr>
              <w:t>2026年10月23日</w:t>
            </w:r>
            <w:r>
              <w:rPr>
                <w:rFonts w:hint="eastAsia" w:ascii="宋体" w:hAnsi="宋体" w:eastAsia="宋体" w:cs="宋体"/>
                <w:color w:val="auto"/>
                <w:sz w:val="24"/>
                <w:szCs w:val="24"/>
                <w:lang w:eastAsia="zh-CN"/>
              </w:rPr>
              <w:t xml:space="preserve"> 11：00</w:t>
            </w:r>
            <w:r>
              <w:rPr>
                <w:rFonts w:hint="eastAsia" w:ascii="宋体" w:hAnsi="宋体" w:eastAsia="宋体" w:cs="宋体"/>
                <w:color w:val="auto"/>
                <w:sz w:val="24"/>
                <w:szCs w:val="24"/>
              </w:rPr>
              <w:t>时整之前将电子投标文件上传到“政采云”平台。应按照本项目谈判文件和政采云平台的要求编制、加密传输投标文件。供应商在使用系统进行投标的过程中遇到涉及平台使用的任何问题，可致电政采云平台技术支持热线咨询，联系方式：</w:t>
            </w:r>
            <w:r>
              <w:rPr>
                <w:rFonts w:hint="eastAsia" w:ascii="宋体" w:hAnsi="宋体" w:cs="宋体"/>
                <w:color w:val="auto"/>
                <w:sz w:val="24"/>
                <w:szCs w:val="24"/>
                <w:lang w:eastAsia="zh-CN"/>
              </w:rPr>
              <w:t>95763</w:t>
            </w:r>
            <w:r>
              <w:rPr>
                <w:rFonts w:hint="eastAsia" w:ascii="宋体" w:hAnsi="宋体" w:eastAsia="宋体" w:cs="宋体"/>
                <w:color w:val="auto"/>
                <w:sz w:val="24"/>
                <w:szCs w:val="24"/>
              </w:rPr>
              <w:t>。</w:t>
            </w:r>
          </w:p>
          <w:p w14:paraId="6BB70D91">
            <w:pPr>
              <w:keepNext w:val="0"/>
              <w:keepLines w:val="0"/>
              <w:pageBreakBefore w:val="0"/>
              <w:widowControl w:val="0"/>
              <w:kinsoku/>
              <w:wordWrap/>
              <w:overflowPunct/>
              <w:topLinePunct w:val="0"/>
              <w:autoSpaceDE/>
              <w:autoSpaceDN/>
              <w:bidi w:val="0"/>
              <w:adjustRightInd w:val="0"/>
              <w:snapToGrid/>
              <w:spacing w:line="440" w:lineRule="exact"/>
              <w:textAlignment w:val="auto"/>
              <w:rPr>
                <w:rFonts w:hint="eastAsia" w:ascii="宋体" w:hAnsi="宋体" w:eastAsia="宋体" w:cs="宋体"/>
                <w:color w:val="auto"/>
                <w:sz w:val="24"/>
                <w:szCs w:val="24"/>
              </w:rPr>
            </w:pPr>
          </w:p>
        </w:tc>
      </w:tr>
      <w:tr w14:paraId="08B01A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6" w:type="dxa"/>
            <w:noWrap w:val="0"/>
            <w:vAlign w:val="center"/>
          </w:tcPr>
          <w:p w14:paraId="12F8CB14">
            <w:pPr>
              <w:keepNext w:val="0"/>
              <w:keepLines w:val="0"/>
              <w:pageBreakBefore w:val="0"/>
              <w:widowControl w:val="0"/>
              <w:kinsoku/>
              <w:wordWrap/>
              <w:overflowPunct/>
              <w:topLinePunct w:val="0"/>
              <w:autoSpaceDE/>
              <w:autoSpaceDN/>
              <w:bidi w:val="0"/>
              <w:snapToGrid/>
              <w:spacing w:line="44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23</w:t>
            </w:r>
          </w:p>
        </w:tc>
        <w:tc>
          <w:tcPr>
            <w:tcW w:w="2614" w:type="dxa"/>
            <w:noWrap w:val="0"/>
            <w:vAlign w:val="center"/>
          </w:tcPr>
          <w:p w14:paraId="24CEB283">
            <w:pPr>
              <w:keepNext w:val="0"/>
              <w:keepLines w:val="0"/>
              <w:pageBreakBefore w:val="0"/>
              <w:widowControl w:val="0"/>
              <w:kinsoku/>
              <w:wordWrap/>
              <w:overflowPunct/>
              <w:topLinePunct w:val="0"/>
              <w:autoSpaceDE/>
              <w:autoSpaceDN/>
              <w:bidi w:val="0"/>
              <w:adjustRightInd w:val="0"/>
              <w:snapToGrid/>
              <w:spacing w:line="44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开标时间和地点</w:t>
            </w:r>
          </w:p>
        </w:tc>
        <w:tc>
          <w:tcPr>
            <w:tcW w:w="6940" w:type="dxa"/>
            <w:noWrap w:val="0"/>
            <w:vAlign w:val="center"/>
          </w:tcPr>
          <w:p w14:paraId="12E1653B">
            <w:pPr>
              <w:keepNext w:val="0"/>
              <w:keepLines w:val="0"/>
              <w:pageBreakBefore w:val="0"/>
              <w:widowControl w:val="0"/>
              <w:kinsoku/>
              <w:wordWrap/>
              <w:overflowPunct/>
              <w:topLinePunct w:val="0"/>
              <w:autoSpaceDE/>
              <w:autoSpaceDN/>
              <w:bidi w:val="0"/>
              <w:adjustRightInd w:val="0"/>
              <w:snapToGrid/>
              <w:spacing w:line="44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时间：</w:t>
            </w:r>
            <w:r>
              <w:rPr>
                <w:rFonts w:hint="eastAsia" w:ascii="宋体" w:hAnsi="宋体" w:cs="宋体"/>
                <w:color w:val="auto"/>
                <w:sz w:val="24"/>
                <w:szCs w:val="24"/>
                <w:lang w:eastAsia="zh-CN"/>
              </w:rPr>
              <w:t>2026年10月23日</w:t>
            </w:r>
            <w:r>
              <w:rPr>
                <w:rFonts w:hint="eastAsia" w:ascii="宋体" w:hAnsi="宋体" w:eastAsia="宋体" w:cs="宋体"/>
                <w:color w:val="auto"/>
                <w:sz w:val="24"/>
                <w:szCs w:val="24"/>
                <w:lang w:eastAsia="zh-CN"/>
              </w:rPr>
              <w:t xml:space="preserve"> 11：00</w:t>
            </w:r>
          </w:p>
          <w:p w14:paraId="5D68FED8">
            <w:pPr>
              <w:keepNext w:val="0"/>
              <w:keepLines w:val="0"/>
              <w:pageBreakBefore w:val="0"/>
              <w:widowControl w:val="0"/>
              <w:kinsoku/>
              <w:wordWrap/>
              <w:overflowPunct/>
              <w:topLinePunct w:val="0"/>
              <w:autoSpaceDE/>
              <w:autoSpaceDN/>
              <w:bidi w:val="0"/>
              <w:adjustRightInd w:val="0"/>
              <w:snapToGrid/>
              <w:spacing w:line="44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地点：政采云平台https://www.zcygov.cn/</w:t>
            </w:r>
          </w:p>
        </w:tc>
      </w:tr>
      <w:tr w14:paraId="431035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26" w:type="dxa"/>
            <w:noWrap w:val="0"/>
            <w:vAlign w:val="center"/>
          </w:tcPr>
          <w:p w14:paraId="7D96598A">
            <w:pPr>
              <w:keepNext w:val="0"/>
              <w:keepLines w:val="0"/>
              <w:pageBreakBefore w:val="0"/>
              <w:widowControl w:val="0"/>
              <w:kinsoku/>
              <w:wordWrap/>
              <w:overflowPunct/>
              <w:topLinePunct w:val="0"/>
              <w:autoSpaceDE/>
              <w:autoSpaceDN/>
              <w:bidi w:val="0"/>
              <w:snapToGrid/>
              <w:spacing w:line="440" w:lineRule="exact"/>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4</w:t>
            </w:r>
          </w:p>
        </w:tc>
        <w:tc>
          <w:tcPr>
            <w:tcW w:w="2614" w:type="dxa"/>
            <w:noWrap w:val="0"/>
            <w:vAlign w:val="center"/>
          </w:tcPr>
          <w:p w14:paraId="34A3A4AE">
            <w:pPr>
              <w:spacing w:line="360" w:lineRule="exact"/>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rPr>
              <w:t>标前准备</w:t>
            </w:r>
          </w:p>
        </w:tc>
        <w:tc>
          <w:tcPr>
            <w:tcW w:w="6940" w:type="dxa"/>
            <w:noWrap w:val="0"/>
            <w:vAlign w:val="center"/>
          </w:tcPr>
          <w:p w14:paraId="5BAA6E26">
            <w:pPr>
              <w:widowControl/>
              <w:spacing w:line="340" w:lineRule="exact"/>
              <w:jc w:val="left"/>
              <w:rPr>
                <w:rStyle w:val="35"/>
                <w:rFonts w:hint="eastAsia" w:ascii="宋体" w:hAnsi="宋体" w:eastAsia="宋体" w:cs="宋体"/>
                <w:i w:val="0"/>
                <w:iCs w:val="0"/>
                <w:color w:val="auto"/>
                <w:sz w:val="24"/>
                <w:szCs w:val="24"/>
              </w:rPr>
            </w:pPr>
            <w:r>
              <w:rPr>
                <w:rStyle w:val="35"/>
                <w:rFonts w:hint="eastAsia" w:ascii="宋体" w:hAnsi="宋体" w:eastAsia="宋体" w:cs="宋体"/>
                <w:i w:val="0"/>
                <w:iCs w:val="0"/>
                <w:color w:val="auto"/>
                <w:sz w:val="24"/>
                <w:szCs w:val="24"/>
              </w:rPr>
              <w:t>1、本项目实行网上投标，采用电子投标文件。若供应商参与投标，自行承担投标一切费用。</w:t>
            </w:r>
          </w:p>
          <w:p w14:paraId="7605037B">
            <w:pPr>
              <w:widowControl/>
              <w:spacing w:line="340" w:lineRule="exact"/>
              <w:jc w:val="left"/>
              <w:rPr>
                <w:rStyle w:val="35"/>
                <w:rFonts w:hint="eastAsia" w:ascii="宋体" w:hAnsi="宋体" w:eastAsia="宋体" w:cs="宋体"/>
                <w:i w:val="0"/>
                <w:iCs w:val="0"/>
                <w:color w:val="auto"/>
                <w:sz w:val="24"/>
                <w:szCs w:val="24"/>
              </w:rPr>
            </w:pPr>
            <w:r>
              <w:rPr>
                <w:rStyle w:val="35"/>
                <w:rFonts w:hint="eastAsia" w:ascii="宋体" w:hAnsi="宋体" w:eastAsia="宋体" w:cs="宋体"/>
                <w:i w:val="0"/>
                <w:iCs w:val="0"/>
                <w:color w:val="auto"/>
                <w:sz w:val="24"/>
                <w:szCs w:val="24"/>
              </w:rPr>
              <w:t>2、各供应商应在开标前应确保成为新疆维吾尔自治区政府采购网正式注册入库供应商，并完成CA数字证书申领。因未注册入库、未办理CA数字证书等原因造成无法投标或投标失败等后果由供应商自行承担。</w:t>
            </w:r>
          </w:p>
          <w:p w14:paraId="1B63AC9F">
            <w:pPr>
              <w:spacing w:line="460" w:lineRule="exact"/>
              <w:jc w:val="left"/>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3，本项目为电子招投标，投标人需要使用CA加密设备，有意向参与新疆区域电子开评标的供应商，请访问新疆数字证书认证中心官方网站（https://www.xjca.com.cn/）或下载“新疆政务通”APP自行进行申领。如需咨询，请联系新疆CA服务热线0991-2819290</w:t>
            </w:r>
          </w:p>
          <w:p w14:paraId="5211C7CF">
            <w:pPr>
              <w:spacing w:line="360" w:lineRule="auto"/>
              <w:rPr>
                <w:rFonts w:hint="eastAsia" w:ascii="宋体" w:hAnsi="宋体" w:eastAsia="宋体" w:cs="宋体"/>
                <w:i w:val="0"/>
                <w:iCs w:val="0"/>
                <w:color w:val="auto"/>
                <w:sz w:val="24"/>
                <w:szCs w:val="24"/>
              </w:rPr>
            </w:pPr>
            <w:r>
              <w:rPr>
                <w:rStyle w:val="35"/>
                <w:rFonts w:hint="eastAsia" w:ascii="宋体" w:hAnsi="宋体" w:eastAsia="宋体" w:cs="宋体"/>
                <w:i w:val="0"/>
                <w:iCs w:val="0"/>
                <w:color w:val="auto"/>
                <w:sz w:val="24"/>
                <w:szCs w:val="24"/>
              </w:rPr>
              <w:t>4、供应商将政采云电子交易客户端下载、安装完成后，可通过账号密码或CA登录客户端进行投标文件制作。在使用政采云投标客户端时，建议使用WIN7及以上操作系统。客户端请至新疆政府采购网（</w:t>
            </w:r>
            <w:r>
              <w:rPr>
                <w:rFonts w:hint="eastAsia" w:ascii="宋体" w:hAnsi="宋体" w:eastAsia="宋体" w:cs="宋体"/>
                <w:i w:val="0"/>
                <w:iCs w:val="0"/>
                <w:color w:val="auto"/>
                <w:sz w:val="24"/>
                <w:szCs w:val="24"/>
              </w:rPr>
              <w:fldChar w:fldCharType="begin"/>
            </w:r>
            <w:r>
              <w:rPr>
                <w:rStyle w:val="35"/>
                <w:rFonts w:hint="eastAsia" w:ascii="宋体" w:hAnsi="宋体" w:eastAsia="宋体" w:cs="宋体"/>
                <w:i w:val="0"/>
                <w:iCs w:val="0"/>
                <w:color w:val="auto"/>
                <w:sz w:val="24"/>
                <w:szCs w:val="24"/>
              </w:rPr>
              <w:instrText xml:space="preserve"> HYPERLINK "http://www.ccgp-xinjiang.gov.cn/" </w:instrText>
            </w:r>
            <w:r>
              <w:rPr>
                <w:rFonts w:hint="eastAsia" w:ascii="宋体" w:hAnsi="宋体" w:eastAsia="宋体" w:cs="宋体"/>
                <w:i w:val="0"/>
                <w:iCs w:val="0"/>
                <w:color w:val="auto"/>
                <w:sz w:val="24"/>
                <w:szCs w:val="24"/>
              </w:rPr>
              <w:fldChar w:fldCharType="separate"/>
            </w:r>
            <w:r>
              <w:rPr>
                <w:rStyle w:val="35"/>
                <w:rFonts w:hint="eastAsia" w:ascii="宋体" w:hAnsi="宋体" w:eastAsia="宋体" w:cs="宋体"/>
                <w:i w:val="0"/>
                <w:iCs w:val="0"/>
                <w:color w:val="auto"/>
                <w:sz w:val="24"/>
                <w:szCs w:val="24"/>
              </w:rPr>
              <w:t>http://www.ccgp-xinjiang.gov.cn/</w:t>
            </w:r>
            <w:r>
              <w:rPr>
                <w:rFonts w:hint="eastAsia" w:ascii="宋体" w:hAnsi="宋体" w:eastAsia="宋体" w:cs="宋体"/>
                <w:i w:val="0"/>
                <w:iCs w:val="0"/>
                <w:color w:val="auto"/>
                <w:sz w:val="24"/>
                <w:szCs w:val="24"/>
              </w:rPr>
              <w:fldChar w:fldCharType="end"/>
            </w:r>
            <w:r>
              <w:rPr>
                <w:rStyle w:val="35"/>
                <w:rFonts w:hint="eastAsia" w:ascii="宋体" w:hAnsi="宋体" w:eastAsia="宋体" w:cs="宋体"/>
                <w:i w:val="0"/>
                <w:iCs w:val="0"/>
                <w:color w:val="auto"/>
                <w:sz w:val="24"/>
                <w:szCs w:val="24"/>
              </w:rPr>
              <w:t>）下载专区查看，如有问题可拨打政采云客户服务热线</w:t>
            </w:r>
            <w:r>
              <w:rPr>
                <w:rStyle w:val="35"/>
                <w:rFonts w:hint="eastAsia" w:ascii="宋体" w:hAnsi="宋体" w:cs="宋体"/>
                <w:i w:val="0"/>
                <w:iCs w:val="0"/>
                <w:color w:val="auto"/>
                <w:sz w:val="24"/>
                <w:szCs w:val="24"/>
              </w:rPr>
              <w:t>95763</w:t>
            </w:r>
            <w:r>
              <w:rPr>
                <w:rStyle w:val="35"/>
                <w:rFonts w:hint="eastAsia" w:ascii="宋体" w:hAnsi="宋体" w:eastAsia="宋体" w:cs="宋体"/>
                <w:i w:val="0"/>
                <w:iCs w:val="0"/>
                <w:color w:val="auto"/>
                <w:sz w:val="24"/>
                <w:szCs w:val="24"/>
              </w:rPr>
              <w:t>进行咨询。</w:t>
            </w:r>
          </w:p>
        </w:tc>
      </w:tr>
      <w:tr w14:paraId="79B2EC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26" w:type="dxa"/>
            <w:noWrap w:val="0"/>
            <w:vAlign w:val="center"/>
          </w:tcPr>
          <w:p w14:paraId="6220BAE5">
            <w:pPr>
              <w:keepNext w:val="0"/>
              <w:keepLines w:val="0"/>
              <w:pageBreakBefore w:val="0"/>
              <w:widowControl w:val="0"/>
              <w:kinsoku/>
              <w:wordWrap/>
              <w:overflowPunct/>
              <w:topLinePunct w:val="0"/>
              <w:autoSpaceDE/>
              <w:autoSpaceDN/>
              <w:bidi w:val="0"/>
              <w:snapToGrid/>
              <w:spacing w:line="44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25</w:t>
            </w:r>
          </w:p>
        </w:tc>
        <w:tc>
          <w:tcPr>
            <w:tcW w:w="2614" w:type="dxa"/>
            <w:noWrap w:val="0"/>
            <w:vAlign w:val="center"/>
          </w:tcPr>
          <w:p w14:paraId="3CE907C8">
            <w:pPr>
              <w:overflowPunct w:val="0"/>
              <w:spacing w:line="440" w:lineRule="exact"/>
              <w:jc w:val="center"/>
              <w:rPr>
                <w:rFonts w:hint="eastAsia" w:ascii="宋体" w:hAnsi="宋体" w:eastAsia="宋体" w:cs="宋体"/>
                <w:b/>
                <w:color w:val="auto"/>
                <w:kern w:val="2"/>
                <w:sz w:val="24"/>
                <w:szCs w:val="24"/>
                <w:lang w:val="en-US" w:eastAsia="zh-CN" w:bidi="ar-SA"/>
              </w:rPr>
            </w:pPr>
            <w:r>
              <w:rPr>
                <w:rFonts w:hint="eastAsia" w:ascii="宋体" w:hAnsi="宋体" w:eastAsia="宋体" w:cs="宋体"/>
                <w:color w:val="auto"/>
                <w:sz w:val="24"/>
              </w:rPr>
              <w:t>招标文件解密时间</w:t>
            </w:r>
          </w:p>
        </w:tc>
        <w:tc>
          <w:tcPr>
            <w:tcW w:w="6940" w:type="dxa"/>
            <w:noWrap w:val="0"/>
            <w:vAlign w:val="center"/>
          </w:tcPr>
          <w:p w14:paraId="1990CEE8">
            <w:pPr>
              <w:overflowPunct w:val="0"/>
              <w:spacing w:line="440" w:lineRule="exact"/>
              <w:jc w:val="left"/>
              <w:rPr>
                <w:rFonts w:hint="eastAsia" w:ascii="宋体" w:hAnsi="宋体" w:eastAsia="宋体" w:cs="宋体"/>
                <w:b/>
                <w:color w:val="auto"/>
                <w:kern w:val="2"/>
                <w:sz w:val="24"/>
                <w:szCs w:val="24"/>
                <w:lang w:val="en-US" w:eastAsia="zh-CN" w:bidi="ar-SA"/>
              </w:rPr>
            </w:pPr>
            <w:r>
              <w:rPr>
                <w:rFonts w:hint="eastAsia" w:ascii="宋体" w:hAnsi="宋体" w:eastAsia="宋体" w:cs="宋体"/>
                <w:b/>
                <w:bCs/>
                <w:color w:val="auto"/>
                <w:sz w:val="24"/>
                <w:szCs w:val="24"/>
              </w:rPr>
              <w:t>开标时间后</w:t>
            </w:r>
            <w:r>
              <w:rPr>
                <w:rFonts w:hint="eastAsia" w:ascii="宋体" w:hAnsi="宋体" w:eastAsia="宋体" w:cs="宋体"/>
                <w:b/>
                <w:bCs/>
                <w:color w:val="auto"/>
                <w:sz w:val="24"/>
                <w:szCs w:val="24"/>
                <w:lang w:val="en-US" w:eastAsia="zh-CN"/>
              </w:rPr>
              <w:t>30</w:t>
            </w:r>
            <w:r>
              <w:rPr>
                <w:rFonts w:hint="eastAsia" w:ascii="宋体" w:hAnsi="宋体" w:eastAsia="宋体" w:cs="宋体"/>
                <w:b/>
                <w:bCs/>
                <w:color w:val="auto"/>
                <w:sz w:val="24"/>
                <w:szCs w:val="24"/>
              </w:rPr>
              <w:t>分钟内（</w:t>
            </w:r>
            <w:r>
              <w:rPr>
                <w:rFonts w:hint="eastAsia" w:ascii="宋体" w:hAnsi="宋体" w:cs="宋体"/>
                <w:b/>
                <w:bCs/>
                <w:color w:val="auto"/>
                <w:sz w:val="24"/>
                <w:szCs w:val="24"/>
                <w:lang w:eastAsia="zh-CN"/>
              </w:rPr>
              <w:t>2026年10月23日</w:t>
            </w:r>
            <w:r>
              <w:rPr>
                <w:rFonts w:hint="eastAsia" w:ascii="宋体" w:hAnsi="宋体" w:eastAsia="宋体" w:cs="宋体"/>
                <w:b/>
                <w:bCs/>
                <w:color w:val="auto"/>
                <w:sz w:val="24"/>
                <w:szCs w:val="24"/>
                <w:lang w:val="en-US" w:eastAsia="zh-CN"/>
              </w:rPr>
              <w:t>上午11：00</w:t>
            </w:r>
            <w:r>
              <w:rPr>
                <w:rFonts w:hint="eastAsia" w:ascii="宋体" w:hAnsi="宋体" w:eastAsia="宋体" w:cs="宋体"/>
                <w:b/>
                <w:bCs/>
                <w:color w:val="auto"/>
                <w:sz w:val="24"/>
                <w:szCs w:val="24"/>
              </w:rPr>
              <w:t>-</w:t>
            </w:r>
            <w:r>
              <w:rPr>
                <w:rFonts w:hint="eastAsia" w:ascii="宋体" w:hAnsi="宋体" w:eastAsia="宋体" w:cs="宋体"/>
                <w:b/>
                <w:bCs/>
                <w:color w:val="auto"/>
                <w:sz w:val="24"/>
                <w:szCs w:val="24"/>
                <w:lang w:val="en-US" w:eastAsia="zh-CN"/>
              </w:rPr>
              <w:t>11</w:t>
            </w:r>
            <w:r>
              <w:rPr>
                <w:rFonts w:hint="eastAsia" w:ascii="宋体" w:hAnsi="宋体" w:eastAsia="宋体" w:cs="宋体"/>
                <w:b/>
                <w:bCs/>
                <w:color w:val="auto"/>
                <w:sz w:val="24"/>
                <w:szCs w:val="24"/>
              </w:rPr>
              <w:t>：</w:t>
            </w:r>
            <w:r>
              <w:rPr>
                <w:rFonts w:hint="eastAsia" w:ascii="宋体" w:hAnsi="宋体" w:eastAsia="宋体" w:cs="宋体"/>
                <w:b/>
                <w:bCs/>
                <w:color w:val="auto"/>
                <w:sz w:val="24"/>
                <w:szCs w:val="24"/>
                <w:lang w:val="en-US" w:eastAsia="zh-CN"/>
              </w:rPr>
              <w:t>30</w:t>
            </w:r>
            <w:r>
              <w:rPr>
                <w:rFonts w:hint="eastAsia" w:ascii="宋体" w:hAnsi="宋体" w:eastAsia="宋体" w:cs="宋体"/>
                <w:b/>
                <w:bCs/>
                <w:color w:val="auto"/>
                <w:sz w:val="24"/>
                <w:szCs w:val="24"/>
              </w:rPr>
              <w:t>前）供应商可以登录“政采云”平台，用“项目采购-开标评标”功能进行解密投标文件。若供应商在规定时间内（</w:t>
            </w:r>
            <w:r>
              <w:rPr>
                <w:rFonts w:hint="eastAsia" w:ascii="宋体" w:hAnsi="宋体" w:cs="宋体"/>
                <w:b/>
                <w:bCs/>
                <w:color w:val="auto"/>
                <w:sz w:val="24"/>
                <w:szCs w:val="24"/>
                <w:lang w:eastAsia="zh-CN"/>
              </w:rPr>
              <w:t>2026年10月23日</w:t>
            </w:r>
            <w:r>
              <w:rPr>
                <w:rFonts w:hint="eastAsia" w:ascii="宋体" w:hAnsi="宋体" w:eastAsia="宋体" w:cs="宋体"/>
                <w:b/>
                <w:bCs/>
                <w:color w:val="auto"/>
                <w:sz w:val="24"/>
                <w:szCs w:val="24"/>
                <w:lang w:val="en-US" w:eastAsia="zh-CN"/>
              </w:rPr>
              <w:t>上午11：00</w:t>
            </w:r>
            <w:r>
              <w:rPr>
                <w:rFonts w:hint="eastAsia" w:ascii="宋体" w:hAnsi="宋体" w:eastAsia="宋体" w:cs="宋体"/>
                <w:b/>
                <w:bCs/>
                <w:color w:val="auto"/>
                <w:sz w:val="24"/>
                <w:szCs w:val="24"/>
              </w:rPr>
              <w:t>-</w:t>
            </w:r>
            <w:r>
              <w:rPr>
                <w:rFonts w:hint="eastAsia" w:ascii="宋体" w:hAnsi="宋体" w:eastAsia="宋体" w:cs="宋体"/>
                <w:b/>
                <w:bCs/>
                <w:color w:val="auto"/>
                <w:sz w:val="24"/>
                <w:szCs w:val="24"/>
                <w:lang w:val="en-US" w:eastAsia="zh-CN"/>
              </w:rPr>
              <w:t>11</w:t>
            </w:r>
            <w:r>
              <w:rPr>
                <w:rFonts w:hint="eastAsia" w:ascii="宋体" w:hAnsi="宋体" w:eastAsia="宋体" w:cs="宋体"/>
                <w:b/>
                <w:bCs/>
                <w:color w:val="auto"/>
                <w:sz w:val="24"/>
                <w:szCs w:val="24"/>
              </w:rPr>
              <w:t>：</w:t>
            </w:r>
            <w:r>
              <w:rPr>
                <w:rFonts w:hint="eastAsia" w:ascii="宋体" w:hAnsi="宋体" w:eastAsia="宋体" w:cs="宋体"/>
                <w:b/>
                <w:bCs/>
                <w:color w:val="auto"/>
                <w:sz w:val="24"/>
                <w:szCs w:val="24"/>
                <w:lang w:val="en-US" w:eastAsia="zh-CN"/>
              </w:rPr>
              <w:t>30</w:t>
            </w:r>
            <w:r>
              <w:rPr>
                <w:rFonts w:hint="eastAsia" w:ascii="宋体" w:hAnsi="宋体" w:eastAsia="宋体" w:cs="宋体"/>
                <w:b/>
                <w:bCs/>
                <w:color w:val="auto"/>
                <w:sz w:val="24"/>
                <w:szCs w:val="24"/>
              </w:rPr>
              <w:t>前）未按时解密的，视为投标文件撤回。</w:t>
            </w:r>
          </w:p>
        </w:tc>
      </w:tr>
      <w:tr w14:paraId="0CBECB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726" w:type="dxa"/>
            <w:noWrap w:val="0"/>
            <w:vAlign w:val="center"/>
          </w:tcPr>
          <w:p w14:paraId="71517013">
            <w:pPr>
              <w:keepNext w:val="0"/>
              <w:keepLines w:val="0"/>
              <w:pageBreakBefore w:val="0"/>
              <w:widowControl w:val="0"/>
              <w:kinsoku/>
              <w:wordWrap/>
              <w:overflowPunct/>
              <w:topLinePunct w:val="0"/>
              <w:autoSpaceDE/>
              <w:autoSpaceDN/>
              <w:bidi w:val="0"/>
              <w:snapToGrid/>
              <w:spacing w:line="440" w:lineRule="exact"/>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6</w:t>
            </w:r>
          </w:p>
        </w:tc>
        <w:tc>
          <w:tcPr>
            <w:tcW w:w="2614" w:type="dxa"/>
            <w:noWrap w:val="0"/>
            <w:vAlign w:val="center"/>
          </w:tcPr>
          <w:p w14:paraId="0AE2E4AB">
            <w:pPr>
              <w:keepNext w:val="0"/>
              <w:keepLines w:val="0"/>
              <w:pageBreakBefore w:val="0"/>
              <w:widowControl w:val="0"/>
              <w:kinsoku/>
              <w:wordWrap/>
              <w:overflowPunct/>
              <w:topLinePunct w:val="0"/>
              <w:autoSpaceDE/>
              <w:autoSpaceDN/>
              <w:bidi w:val="0"/>
              <w:adjustRightInd w:val="0"/>
              <w:snapToGrid/>
              <w:spacing w:line="44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履约保证金</w:t>
            </w:r>
          </w:p>
        </w:tc>
        <w:tc>
          <w:tcPr>
            <w:tcW w:w="6940" w:type="dxa"/>
            <w:noWrap w:val="0"/>
            <w:vAlign w:val="center"/>
          </w:tcPr>
          <w:p w14:paraId="619C52EA">
            <w:pPr>
              <w:keepNext w:val="0"/>
              <w:keepLines w:val="0"/>
              <w:pageBreakBefore w:val="0"/>
              <w:widowControl w:val="0"/>
              <w:kinsoku/>
              <w:wordWrap/>
              <w:overflowPunct/>
              <w:topLinePunct w:val="0"/>
              <w:autoSpaceDE/>
              <w:autoSpaceDN/>
              <w:bidi w:val="0"/>
              <w:adjustRightInd w:val="0"/>
              <w:snapToGrid/>
              <w:spacing w:line="44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不超过采购合同金额的10%，交纳形式：转账、电汇或保函，中标人与招标人签订合同的同时提交履约保证金，如中标人未按</w:t>
            </w:r>
            <w:r>
              <w:rPr>
                <w:rFonts w:hint="eastAsia" w:ascii="宋体" w:hAnsi="宋体" w:eastAsia="宋体" w:cs="宋体"/>
                <w:color w:val="auto"/>
                <w:sz w:val="24"/>
                <w:szCs w:val="24"/>
                <w:lang w:eastAsia="zh-CN"/>
              </w:rPr>
              <w:t>采购文件</w:t>
            </w:r>
            <w:r>
              <w:rPr>
                <w:rFonts w:hint="eastAsia" w:ascii="宋体" w:hAnsi="宋体" w:eastAsia="宋体" w:cs="宋体"/>
                <w:color w:val="auto"/>
                <w:sz w:val="24"/>
                <w:szCs w:val="24"/>
              </w:rPr>
              <w:t>规定的</w:t>
            </w:r>
            <w:r>
              <w:rPr>
                <w:rFonts w:hint="eastAsia" w:ascii="宋体" w:hAnsi="宋体" w:cs="宋体"/>
                <w:color w:val="auto"/>
                <w:sz w:val="24"/>
                <w:szCs w:val="24"/>
                <w:lang w:val="en-US" w:eastAsia="zh-CN"/>
              </w:rPr>
              <w:t>供货</w:t>
            </w:r>
            <w:r>
              <w:rPr>
                <w:rFonts w:hint="eastAsia" w:ascii="宋体" w:hAnsi="宋体" w:eastAsia="宋体" w:cs="宋体"/>
                <w:color w:val="auto"/>
                <w:sz w:val="24"/>
                <w:szCs w:val="24"/>
              </w:rPr>
              <w:t>期完成项目内容，则扣除履约保证金，且三年内不得参加</w:t>
            </w:r>
            <w:r>
              <w:rPr>
                <w:rFonts w:hint="eastAsia" w:ascii="宋体" w:hAnsi="宋体" w:cs="宋体"/>
                <w:color w:val="auto"/>
                <w:sz w:val="24"/>
                <w:szCs w:val="24"/>
                <w:lang w:val="en-US" w:eastAsia="zh-CN"/>
              </w:rPr>
              <w:t>皮山</w:t>
            </w:r>
            <w:r>
              <w:rPr>
                <w:rFonts w:hint="eastAsia" w:ascii="宋体" w:hAnsi="宋体" w:eastAsia="宋体" w:cs="宋体"/>
                <w:color w:val="auto"/>
                <w:sz w:val="24"/>
                <w:szCs w:val="24"/>
                <w:lang w:val="en-US" w:eastAsia="zh-CN"/>
              </w:rPr>
              <w:t>县</w:t>
            </w:r>
            <w:r>
              <w:rPr>
                <w:rFonts w:hint="eastAsia" w:ascii="宋体" w:hAnsi="宋体" w:eastAsia="宋体" w:cs="宋体"/>
                <w:color w:val="auto"/>
                <w:sz w:val="24"/>
                <w:szCs w:val="24"/>
              </w:rPr>
              <w:t>所有政府采购招投标活动。</w:t>
            </w:r>
          </w:p>
        </w:tc>
      </w:tr>
      <w:tr w14:paraId="3FBACF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726" w:type="dxa"/>
            <w:noWrap w:val="0"/>
            <w:vAlign w:val="center"/>
          </w:tcPr>
          <w:p w14:paraId="1499F814">
            <w:pPr>
              <w:keepNext w:val="0"/>
              <w:keepLines w:val="0"/>
              <w:pageBreakBefore w:val="0"/>
              <w:widowControl w:val="0"/>
              <w:kinsoku/>
              <w:wordWrap/>
              <w:overflowPunct/>
              <w:topLinePunct w:val="0"/>
              <w:autoSpaceDE/>
              <w:autoSpaceDN/>
              <w:bidi w:val="0"/>
              <w:snapToGrid/>
              <w:spacing w:line="44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27</w:t>
            </w:r>
          </w:p>
        </w:tc>
        <w:tc>
          <w:tcPr>
            <w:tcW w:w="2614" w:type="dxa"/>
            <w:noWrap w:val="0"/>
            <w:vAlign w:val="center"/>
          </w:tcPr>
          <w:p w14:paraId="568869BD">
            <w:pPr>
              <w:keepNext w:val="0"/>
              <w:keepLines w:val="0"/>
              <w:pageBreakBefore w:val="0"/>
              <w:widowControl w:val="0"/>
              <w:kinsoku/>
              <w:wordWrap/>
              <w:overflowPunct/>
              <w:topLinePunct w:val="0"/>
              <w:autoSpaceDE/>
              <w:autoSpaceDN/>
              <w:bidi w:val="0"/>
              <w:adjustRightInd w:val="0"/>
              <w:snapToGrid/>
              <w:spacing w:line="44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最高投标限价</w:t>
            </w:r>
          </w:p>
        </w:tc>
        <w:tc>
          <w:tcPr>
            <w:tcW w:w="6940" w:type="dxa"/>
            <w:noWrap w:val="0"/>
            <w:vAlign w:val="center"/>
          </w:tcPr>
          <w:p w14:paraId="3D36601C">
            <w:pPr>
              <w:keepNext w:val="0"/>
              <w:keepLines w:val="0"/>
              <w:pageBreakBefore w:val="0"/>
              <w:widowControl w:val="0"/>
              <w:kinsoku/>
              <w:wordWrap/>
              <w:overflowPunct/>
              <w:topLinePunct w:val="0"/>
              <w:autoSpaceDE/>
              <w:autoSpaceDN/>
              <w:bidi w:val="0"/>
              <w:adjustRightInd w:val="0"/>
              <w:snapToGrid/>
              <w:spacing w:line="440" w:lineRule="exact"/>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490000.00</w:t>
            </w:r>
            <w:r>
              <w:rPr>
                <w:rFonts w:hint="eastAsia" w:ascii="宋体" w:hAnsi="宋体" w:eastAsia="宋体" w:cs="宋体"/>
                <w:color w:val="auto"/>
                <w:sz w:val="24"/>
                <w:szCs w:val="24"/>
                <w:lang w:val="en-US" w:eastAsia="zh-CN"/>
              </w:rPr>
              <w:t>元</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超过限价的报价，投标无效</w:t>
            </w:r>
            <w:r>
              <w:rPr>
                <w:rFonts w:hint="eastAsia" w:ascii="宋体" w:hAnsi="宋体" w:eastAsia="宋体" w:cs="宋体"/>
                <w:color w:val="auto"/>
                <w:sz w:val="24"/>
                <w:szCs w:val="24"/>
                <w:lang w:eastAsia="zh-CN"/>
              </w:rPr>
              <w:t>）</w:t>
            </w:r>
          </w:p>
        </w:tc>
      </w:tr>
      <w:tr w14:paraId="566D24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26" w:type="dxa"/>
            <w:noWrap w:val="0"/>
            <w:vAlign w:val="center"/>
          </w:tcPr>
          <w:p w14:paraId="008616FA">
            <w:pPr>
              <w:keepNext w:val="0"/>
              <w:keepLines w:val="0"/>
              <w:pageBreakBefore w:val="0"/>
              <w:widowControl w:val="0"/>
              <w:kinsoku/>
              <w:wordWrap/>
              <w:overflowPunct/>
              <w:topLinePunct w:val="0"/>
              <w:autoSpaceDE/>
              <w:autoSpaceDN/>
              <w:bidi w:val="0"/>
              <w:snapToGrid/>
              <w:spacing w:line="44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28</w:t>
            </w:r>
          </w:p>
        </w:tc>
        <w:tc>
          <w:tcPr>
            <w:tcW w:w="2614" w:type="dxa"/>
            <w:noWrap w:val="0"/>
            <w:vAlign w:val="center"/>
          </w:tcPr>
          <w:p w14:paraId="66C5CAFD">
            <w:pPr>
              <w:keepNext w:val="0"/>
              <w:keepLines w:val="0"/>
              <w:pageBreakBefore w:val="0"/>
              <w:widowControl w:val="0"/>
              <w:kinsoku/>
              <w:wordWrap/>
              <w:overflowPunct/>
              <w:topLinePunct w:val="0"/>
              <w:autoSpaceDE/>
              <w:autoSpaceDN/>
              <w:bidi w:val="0"/>
              <w:adjustRightInd w:val="0"/>
              <w:snapToGrid/>
              <w:spacing w:line="44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合同签订</w:t>
            </w:r>
          </w:p>
        </w:tc>
        <w:tc>
          <w:tcPr>
            <w:tcW w:w="6940" w:type="dxa"/>
            <w:noWrap w:val="0"/>
            <w:vAlign w:val="center"/>
          </w:tcPr>
          <w:p w14:paraId="4FDE7412">
            <w:pPr>
              <w:keepNext w:val="0"/>
              <w:keepLines w:val="0"/>
              <w:pageBreakBefore w:val="0"/>
              <w:widowControl w:val="0"/>
              <w:kinsoku/>
              <w:wordWrap/>
              <w:overflowPunct/>
              <w:topLinePunct w:val="0"/>
              <w:autoSpaceDE/>
              <w:autoSpaceDN/>
              <w:bidi w:val="0"/>
              <w:adjustRightInd w:val="0"/>
              <w:snapToGrid/>
              <w:spacing w:line="44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按照采购文件的规定、成交供应商的投标响应、成交通知书确定的内容和金额签订合同。</w:t>
            </w:r>
          </w:p>
        </w:tc>
      </w:tr>
      <w:tr w14:paraId="16AD09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726" w:type="dxa"/>
            <w:noWrap w:val="0"/>
            <w:vAlign w:val="center"/>
          </w:tcPr>
          <w:p w14:paraId="5E5B21B2">
            <w:pPr>
              <w:keepNext w:val="0"/>
              <w:keepLines w:val="0"/>
              <w:pageBreakBefore w:val="0"/>
              <w:widowControl w:val="0"/>
              <w:kinsoku/>
              <w:wordWrap/>
              <w:overflowPunct/>
              <w:topLinePunct w:val="0"/>
              <w:autoSpaceDE/>
              <w:autoSpaceDN/>
              <w:bidi w:val="0"/>
              <w:snapToGrid/>
              <w:spacing w:line="44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29</w:t>
            </w:r>
          </w:p>
        </w:tc>
        <w:tc>
          <w:tcPr>
            <w:tcW w:w="2614" w:type="dxa"/>
            <w:noWrap w:val="0"/>
            <w:vAlign w:val="center"/>
          </w:tcPr>
          <w:p w14:paraId="05EC90A2">
            <w:pPr>
              <w:keepNext w:val="0"/>
              <w:keepLines w:val="0"/>
              <w:pageBreakBefore w:val="0"/>
              <w:widowControl w:val="0"/>
              <w:kinsoku/>
              <w:wordWrap/>
              <w:overflowPunct/>
              <w:topLinePunct w:val="0"/>
              <w:autoSpaceDE/>
              <w:autoSpaceDN/>
              <w:bidi w:val="0"/>
              <w:adjustRightInd w:val="0"/>
              <w:snapToGrid/>
              <w:spacing w:line="44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合同签订时间</w:t>
            </w:r>
          </w:p>
        </w:tc>
        <w:tc>
          <w:tcPr>
            <w:tcW w:w="6940" w:type="dxa"/>
            <w:noWrap w:val="0"/>
            <w:vAlign w:val="center"/>
          </w:tcPr>
          <w:p w14:paraId="4091174C">
            <w:pPr>
              <w:keepNext w:val="0"/>
              <w:keepLines w:val="0"/>
              <w:pageBreakBefore w:val="0"/>
              <w:widowControl w:val="0"/>
              <w:kinsoku/>
              <w:wordWrap/>
              <w:overflowPunct/>
              <w:topLinePunct w:val="0"/>
              <w:autoSpaceDE/>
              <w:autoSpaceDN/>
              <w:bidi w:val="0"/>
              <w:adjustRightInd w:val="0"/>
              <w:snapToGrid/>
              <w:spacing w:line="44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成交通知书发出</w:t>
            </w:r>
            <w:r>
              <w:rPr>
                <w:rFonts w:hint="eastAsia" w:ascii="宋体" w:hAnsi="宋体" w:eastAsia="宋体" w:cs="宋体"/>
                <w:color w:val="auto"/>
                <w:sz w:val="24"/>
                <w:szCs w:val="24"/>
                <w:u w:val="single"/>
              </w:rPr>
              <w:t xml:space="preserve">    7    </w:t>
            </w:r>
            <w:r>
              <w:rPr>
                <w:rFonts w:hint="eastAsia" w:ascii="宋体" w:hAnsi="宋体" w:eastAsia="宋体" w:cs="宋体"/>
                <w:color w:val="auto"/>
                <w:sz w:val="24"/>
                <w:szCs w:val="24"/>
              </w:rPr>
              <w:t>日内。</w:t>
            </w:r>
          </w:p>
        </w:tc>
      </w:tr>
      <w:tr w14:paraId="56432D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26" w:type="dxa"/>
            <w:noWrap w:val="0"/>
            <w:vAlign w:val="center"/>
          </w:tcPr>
          <w:p w14:paraId="659DA180">
            <w:pPr>
              <w:keepNext w:val="0"/>
              <w:keepLines w:val="0"/>
              <w:pageBreakBefore w:val="0"/>
              <w:widowControl w:val="0"/>
              <w:kinsoku/>
              <w:wordWrap/>
              <w:overflowPunct/>
              <w:topLinePunct w:val="0"/>
              <w:autoSpaceDE/>
              <w:autoSpaceDN/>
              <w:bidi w:val="0"/>
              <w:snapToGrid/>
              <w:spacing w:line="44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30</w:t>
            </w:r>
          </w:p>
        </w:tc>
        <w:tc>
          <w:tcPr>
            <w:tcW w:w="2614" w:type="dxa"/>
            <w:noWrap w:val="0"/>
            <w:vAlign w:val="center"/>
          </w:tcPr>
          <w:p w14:paraId="74A977D6">
            <w:pPr>
              <w:spacing w:line="360" w:lineRule="exact"/>
              <w:jc w:val="center"/>
              <w:rPr>
                <w:rFonts w:hint="eastAsia" w:ascii="宋体" w:hAnsi="宋体" w:eastAsia="宋体" w:cs="宋体"/>
                <w:color w:val="auto"/>
                <w:sz w:val="24"/>
                <w:szCs w:val="24"/>
              </w:rPr>
            </w:pPr>
            <w:r>
              <w:rPr>
                <w:rFonts w:hint="eastAsia" w:ascii="宋体" w:hAnsi="宋体" w:eastAsia="宋体" w:cs="宋体"/>
                <w:color w:val="auto"/>
                <w:kern w:val="0"/>
                <w:sz w:val="24"/>
              </w:rPr>
              <w:t>招标代理服务费</w:t>
            </w:r>
          </w:p>
        </w:tc>
        <w:tc>
          <w:tcPr>
            <w:tcW w:w="6940" w:type="dxa"/>
            <w:noWrap w:val="0"/>
            <w:vAlign w:val="center"/>
          </w:tcPr>
          <w:p w14:paraId="4C1DD710">
            <w:pPr>
              <w:spacing w:line="360" w:lineRule="auto"/>
              <w:ind w:left="2" w:leftChars="1"/>
              <w:rPr>
                <w:rFonts w:hint="eastAsia" w:ascii="宋体" w:hAnsi="宋体" w:eastAsia="宋体" w:cs="宋体"/>
                <w:color w:val="auto"/>
                <w:sz w:val="24"/>
                <w:szCs w:val="24"/>
                <w:lang w:val="en-US" w:eastAsia="zh-CN"/>
              </w:rPr>
            </w:pPr>
            <w:r>
              <w:rPr>
                <w:rFonts w:hint="eastAsia" w:ascii="宋体" w:hAnsi="宋体" w:eastAsia="宋体" w:cs="宋体"/>
                <w:color w:val="auto"/>
                <w:kern w:val="0"/>
                <w:sz w:val="24"/>
                <w:lang w:val="en-US" w:eastAsia="zh-CN"/>
              </w:rPr>
              <w:t>本</w:t>
            </w:r>
            <w:r>
              <w:rPr>
                <w:rFonts w:hint="eastAsia" w:ascii="宋体" w:hAnsi="宋体" w:eastAsia="宋体" w:cs="宋体"/>
                <w:color w:val="auto"/>
                <w:kern w:val="0"/>
                <w:sz w:val="24"/>
              </w:rPr>
              <w:t>次招标代理服务费由中标单位支付，本项目代理服务费按差额定率累进法计取。（100万以下按1.5%计取、100-500万按1.1%计取、500-1000万按0.8%计取、1000-5000万按0.5%计取）</w:t>
            </w:r>
          </w:p>
        </w:tc>
      </w:tr>
      <w:tr w14:paraId="308436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26" w:type="dxa"/>
            <w:noWrap w:val="0"/>
            <w:vAlign w:val="center"/>
          </w:tcPr>
          <w:p w14:paraId="0B7A6A5C">
            <w:pPr>
              <w:keepNext w:val="0"/>
              <w:keepLines w:val="0"/>
              <w:pageBreakBefore w:val="0"/>
              <w:widowControl w:val="0"/>
              <w:kinsoku/>
              <w:wordWrap/>
              <w:overflowPunct/>
              <w:topLinePunct w:val="0"/>
              <w:autoSpaceDE/>
              <w:autoSpaceDN/>
              <w:bidi w:val="0"/>
              <w:snapToGrid/>
              <w:spacing w:line="44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31</w:t>
            </w:r>
          </w:p>
        </w:tc>
        <w:tc>
          <w:tcPr>
            <w:tcW w:w="2614" w:type="dxa"/>
            <w:noWrap w:val="0"/>
            <w:vAlign w:val="center"/>
          </w:tcPr>
          <w:p w14:paraId="4C9630C2">
            <w:pPr>
              <w:spacing w:line="360" w:lineRule="exact"/>
              <w:jc w:val="center"/>
              <w:rPr>
                <w:rFonts w:hint="eastAsia" w:ascii="宋体" w:hAnsi="宋体" w:eastAsia="宋体" w:cs="宋体"/>
                <w:color w:val="auto"/>
                <w:kern w:val="2"/>
                <w:sz w:val="24"/>
                <w:szCs w:val="22"/>
                <w:lang w:val="en-US" w:eastAsia="zh-CN" w:bidi="ar-SA"/>
              </w:rPr>
            </w:pPr>
            <w:r>
              <w:rPr>
                <w:rFonts w:hint="eastAsia" w:ascii="宋体" w:hAnsi="宋体" w:eastAsia="宋体" w:cs="宋体"/>
                <w:color w:val="auto"/>
                <w:sz w:val="24"/>
              </w:rPr>
              <w:t>其他说明</w:t>
            </w:r>
          </w:p>
        </w:tc>
        <w:tc>
          <w:tcPr>
            <w:tcW w:w="6940" w:type="dxa"/>
            <w:noWrap w:val="0"/>
            <w:vAlign w:val="center"/>
          </w:tcPr>
          <w:p w14:paraId="72D700B7">
            <w:pPr>
              <w:rPr>
                <w:rFonts w:hint="eastAsia" w:ascii="宋体" w:hAnsi="宋体" w:eastAsia="宋体" w:cs="宋体"/>
                <w:color w:val="auto"/>
                <w:sz w:val="24"/>
                <w:szCs w:val="24"/>
              </w:rPr>
            </w:pPr>
            <w:r>
              <w:rPr>
                <w:rFonts w:hint="eastAsia" w:ascii="宋体" w:hAnsi="宋体" w:eastAsia="宋体" w:cs="宋体"/>
                <w:color w:val="auto"/>
                <w:sz w:val="24"/>
                <w:szCs w:val="24"/>
              </w:rPr>
              <w:t>特别提醒：</w:t>
            </w:r>
          </w:p>
          <w:p w14:paraId="0BCC341A">
            <w:pPr>
              <w:rPr>
                <w:rFonts w:hint="eastAsia" w:ascii="宋体" w:hAnsi="宋体" w:eastAsia="宋体" w:cs="宋体"/>
                <w:color w:val="auto"/>
                <w:sz w:val="24"/>
                <w:szCs w:val="24"/>
              </w:rPr>
            </w:pPr>
            <w:r>
              <w:rPr>
                <w:rFonts w:hint="eastAsia" w:ascii="宋体" w:hAnsi="宋体" w:eastAsia="宋体" w:cs="宋体"/>
                <w:color w:val="auto"/>
                <w:sz w:val="24"/>
                <w:szCs w:val="24"/>
              </w:rPr>
              <w:t>1、所有投标人的报价</w:t>
            </w:r>
            <w:r>
              <w:rPr>
                <w:rFonts w:hint="eastAsia" w:ascii="宋体" w:hAnsi="宋体" w:eastAsia="宋体" w:cs="宋体"/>
                <w:color w:val="auto"/>
                <w:sz w:val="24"/>
                <w:szCs w:val="24"/>
                <w:lang w:val="en-US" w:eastAsia="zh-CN"/>
              </w:rPr>
              <w:t>低于</w:t>
            </w:r>
            <w:r>
              <w:rPr>
                <w:rFonts w:hint="eastAsia" w:ascii="宋体" w:hAnsi="宋体" w:eastAsia="宋体" w:cs="宋体"/>
                <w:color w:val="auto"/>
                <w:sz w:val="24"/>
                <w:szCs w:val="24"/>
              </w:rPr>
              <w:t>采购预算额度视为无效报价（即作否决投</w:t>
            </w:r>
          </w:p>
          <w:p w14:paraId="167DAFE1">
            <w:pPr>
              <w:rPr>
                <w:rFonts w:hint="eastAsia" w:ascii="宋体" w:hAnsi="宋体" w:eastAsia="宋体" w:cs="宋体"/>
                <w:color w:val="auto"/>
                <w:sz w:val="24"/>
                <w:szCs w:val="24"/>
              </w:rPr>
            </w:pPr>
            <w:r>
              <w:rPr>
                <w:rFonts w:hint="eastAsia" w:ascii="宋体" w:hAnsi="宋体" w:eastAsia="宋体" w:cs="宋体"/>
                <w:color w:val="auto"/>
                <w:sz w:val="24"/>
                <w:szCs w:val="24"/>
              </w:rPr>
              <w:t>标处理）。</w:t>
            </w:r>
          </w:p>
          <w:p w14:paraId="1DE277B2">
            <w:pPr>
              <w:rPr>
                <w:rFonts w:hint="eastAsia" w:ascii="宋体" w:hAnsi="宋体" w:eastAsia="宋体" w:cs="宋体"/>
                <w:color w:val="auto"/>
                <w:sz w:val="24"/>
                <w:szCs w:val="24"/>
              </w:rPr>
            </w:pPr>
            <w:r>
              <w:rPr>
                <w:rFonts w:hint="eastAsia" w:ascii="宋体" w:hAnsi="宋体" w:eastAsia="宋体" w:cs="宋体"/>
                <w:color w:val="auto"/>
                <w:sz w:val="24"/>
                <w:szCs w:val="24"/>
              </w:rPr>
              <w:t>2、相同品牌产品且通过资格审查、符合性审查的不同投标人参加同一合同项下投标的，按一家投标人计算，评审后报价最低的同品牌投标人获得中标人推荐资格；评审得分相同的，按照随机抽取方式确定一个投标人获得中标人推荐资格，其他同品牌投标人不作为中标候选人。</w:t>
            </w:r>
          </w:p>
          <w:p w14:paraId="7A3CC67E">
            <w:pPr>
              <w:rPr>
                <w:rFonts w:hint="eastAsia" w:ascii="宋体" w:hAnsi="宋体" w:eastAsia="宋体" w:cs="宋体"/>
                <w:color w:val="auto"/>
                <w:sz w:val="24"/>
                <w:szCs w:val="24"/>
              </w:rPr>
            </w:pPr>
            <w:r>
              <w:rPr>
                <w:rFonts w:hint="eastAsia" w:ascii="宋体" w:hAnsi="宋体" w:eastAsia="宋体" w:cs="宋体"/>
                <w:color w:val="auto"/>
                <w:sz w:val="24"/>
                <w:szCs w:val="24"/>
              </w:rPr>
              <w:t>3、所有投标人的报价明显低于其他投标报价或者在设有标底时明显低于标底，使得其投标报价可能低于其个别成本的，应当要求该投标人作出书面说明并提供相应证明材料。投标人不能合理或者不能提供相应证明材料的，由评标委员会认定该投标人以低于成本报价竞标，其投标视为无效标处理。</w:t>
            </w:r>
          </w:p>
          <w:p w14:paraId="08AFFC68">
            <w:pP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4、更正补充公告请自行登录新疆政府采购网查看下载。</w:t>
            </w:r>
          </w:p>
        </w:tc>
      </w:tr>
    </w:tbl>
    <w:p w14:paraId="4B651BC3">
      <w:pPr>
        <w:rPr>
          <w:rFonts w:hint="eastAsia" w:ascii="宋体" w:hAnsi="宋体" w:eastAsia="宋体" w:cs="宋体"/>
          <w:color w:val="auto"/>
          <w:sz w:val="20"/>
          <w:highlight w:val="white"/>
        </w:rPr>
      </w:pPr>
      <w:r>
        <w:rPr>
          <w:rFonts w:hint="eastAsia" w:ascii="宋体" w:hAnsi="宋体" w:eastAsia="宋体" w:cs="宋体"/>
          <w:color w:val="auto"/>
          <w:sz w:val="20"/>
          <w:highlight w:val="white"/>
        </w:rPr>
        <w:t xml:space="preserve"> </w:t>
      </w:r>
      <w:bookmarkEnd w:id="13"/>
    </w:p>
    <w:p w14:paraId="385AF9E7">
      <w:pPr>
        <w:pStyle w:val="25"/>
        <w:rPr>
          <w:rFonts w:hint="eastAsia" w:ascii="宋体" w:hAnsi="宋体" w:eastAsia="宋体" w:cs="宋体"/>
          <w:color w:val="auto"/>
        </w:rPr>
      </w:pPr>
      <w:r>
        <w:rPr>
          <w:rFonts w:hint="eastAsia" w:ascii="宋体" w:hAnsi="宋体" w:eastAsia="宋体" w:cs="宋体"/>
          <w:color w:val="auto"/>
          <w:highlight w:val="white"/>
        </w:rPr>
        <w:br w:type="page"/>
      </w:r>
      <w:bookmarkStart w:id="14" w:name="_Toc256000002"/>
      <w:r>
        <w:rPr>
          <w:rFonts w:hint="eastAsia" w:ascii="宋体" w:hAnsi="宋体" w:eastAsia="宋体" w:cs="宋体"/>
          <w:color w:val="auto"/>
          <w:highlight w:val="white"/>
        </w:rPr>
        <w:t>第三章 供应商须知</w:t>
      </w:r>
      <w:bookmarkEnd w:id="14"/>
    </w:p>
    <w:p w14:paraId="34208CE4">
      <w:pPr>
        <w:rPr>
          <w:rFonts w:hint="eastAsia" w:ascii="宋体" w:hAnsi="宋体" w:eastAsia="宋体" w:cs="宋体"/>
          <w:color w:val="auto"/>
          <w:highlight w:val="red"/>
        </w:rPr>
      </w:pPr>
      <w:bookmarkStart w:id="15" w:name="EB5b3309e5e2c24ebbbb095c2e717734be"/>
    </w:p>
    <w:p w14:paraId="4F82B92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一、说明</w:t>
      </w:r>
    </w:p>
    <w:p w14:paraId="535B338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1. 合格的供应商</w:t>
      </w:r>
    </w:p>
    <w:p w14:paraId="47640DE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1.1合格的供应商应该是：符合前附表“11.供应商资格要求”条款的法人；</w:t>
      </w:r>
    </w:p>
    <w:p w14:paraId="5B4B809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1.2“供应商”均指参加本次采购活动的供应商。</w:t>
      </w:r>
    </w:p>
    <w:p w14:paraId="20C3B38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2. 供应商代表</w:t>
      </w:r>
    </w:p>
    <w:p w14:paraId="760BB6C0">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2.1若供应商代表不是法定代表人，须持有《法定代表人授权委托书》；</w:t>
      </w:r>
    </w:p>
    <w:p w14:paraId="72B75354">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2.2若供应商代表是法定代表人，则须持有《法定代表人身份证明书》。</w:t>
      </w:r>
    </w:p>
    <w:p w14:paraId="0D4F15A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3.</w:t>
      </w:r>
      <w:r>
        <w:rPr>
          <w:rFonts w:hint="eastAsia" w:ascii="宋体" w:hAnsi="宋体" w:eastAsia="宋体" w:cs="宋体"/>
          <w:b/>
          <w:bCs/>
          <w:color w:val="auto"/>
          <w:sz w:val="24"/>
          <w:szCs w:val="24"/>
        </w:rPr>
        <w:t>投标费用</w:t>
      </w:r>
    </w:p>
    <w:p w14:paraId="71ACD903">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3.1 不论招标的结果如何，供应商自行承担其参加本次投标有关的全部费用。</w:t>
      </w:r>
    </w:p>
    <w:p w14:paraId="5B7E2FE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二、采购文件</w:t>
      </w:r>
    </w:p>
    <w:p w14:paraId="2D74955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4.</w:t>
      </w:r>
      <w:r>
        <w:rPr>
          <w:rFonts w:hint="eastAsia" w:ascii="宋体" w:hAnsi="宋体" w:eastAsia="宋体" w:cs="宋体"/>
          <w:b/>
          <w:bCs/>
          <w:color w:val="auto"/>
          <w:sz w:val="24"/>
          <w:szCs w:val="24"/>
        </w:rPr>
        <w:t>采购文件的组成</w:t>
      </w:r>
    </w:p>
    <w:p w14:paraId="666BD123">
      <w:pPr>
        <w:keepNext w:val="0"/>
        <w:keepLines w:val="0"/>
        <w:pageBreakBefore w:val="0"/>
        <w:widowControl w:val="0"/>
        <w:kinsoku/>
        <w:wordWrap/>
        <w:overflowPunct/>
        <w:topLinePunct w:val="0"/>
        <w:autoSpaceDE/>
        <w:autoSpaceDN/>
        <w:bidi w:val="0"/>
        <w:adjustRightInd/>
        <w:snapToGrid/>
        <w:spacing w:line="440" w:lineRule="exact"/>
        <w:ind w:firstLine="240" w:firstLineChars="1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4.1 采购文件共一册有七章。内容如下：</w:t>
      </w:r>
    </w:p>
    <w:p w14:paraId="68996C89">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第一章单一来源采购</w:t>
      </w:r>
      <w:r>
        <w:rPr>
          <w:rFonts w:hint="eastAsia" w:ascii="宋体" w:hAnsi="宋体" w:eastAsia="宋体" w:cs="宋体"/>
          <w:color w:val="auto"/>
          <w:sz w:val="24"/>
          <w:szCs w:val="24"/>
          <w:lang w:val="en-US" w:eastAsia="zh-CN"/>
        </w:rPr>
        <w:t>邀请书</w:t>
      </w:r>
    </w:p>
    <w:p w14:paraId="1937E54E">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第二章供应商须知前附表</w:t>
      </w:r>
    </w:p>
    <w:p w14:paraId="03EEC5B8">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第三章供应商须知</w:t>
      </w:r>
    </w:p>
    <w:p w14:paraId="4B33F879">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第四章审议与协商</w:t>
      </w:r>
    </w:p>
    <w:p w14:paraId="668E929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第五章采购内容及要求</w:t>
      </w:r>
    </w:p>
    <w:p w14:paraId="7D8ACF8A">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第六章合同条款及合同格式</w:t>
      </w:r>
    </w:p>
    <w:p w14:paraId="031C2F8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第七章采购响应文件格式</w:t>
      </w:r>
    </w:p>
    <w:p w14:paraId="737689D0">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4.2</w:t>
      </w:r>
      <w:r>
        <w:rPr>
          <w:rFonts w:hint="eastAsia" w:ascii="宋体" w:hAnsi="宋体" w:eastAsia="宋体" w:cs="宋体"/>
          <w:color w:val="auto"/>
          <w:sz w:val="24"/>
          <w:szCs w:val="24"/>
        </w:rPr>
        <w:t>供应商应详细阅读采购文件的全部内容和要求，不按采购文件的要求提供采购响应文件和资料导致的风险由供应商承担。</w:t>
      </w:r>
    </w:p>
    <w:p w14:paraId="1145F98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5.</w:t>
      </w:r>
      <w:r>
        <w:rPr>
          <w:rFonts w:hint="eastAsia" w:ascii="宋体" w:hAnsi="宋体" w:eastAsia="宋体" w:cs="宋体"/>
          <w:b/>
          <w:bCs/>
          <w:color w:val="auto"/>
          <w:sz w:val="24"/>
          <w:szCs w:val="24"/>
        </w:rPr>
        <w:t>采购文件的发放</w:t>
      </w:r>
    </w:p>
    <w:p w14:paraId="5FADDA70">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5.1 文件的发放起止时间见“第一章 单一来源</w:t>
      </w:r>
      <w:r>
        <w:rPr>
          <w:rFonts w:hint="eastAsia" w:ascii="宋体" w:hAnsi="宋体" w:eastAsia="宋体" w:cs="宋体"/>
          <w:color w:val="auto"/>
          <w:sz w:val="24"/>
          <w:szCs w:val="24"/>
          <w:lang w:eastAsia="zh-CN"/>
        </w:rPr>
        <w:t>采购</w:t>
      </w:r>
      <w:r>
        <w:rPr>
          <w:rFonts w:hint="eastAsia" w:ascii="宋体" w:hAnsi="宋体" w:eastAsia="宋体" w:cs="宋体"/>
          <w:color w:val="auto"/>
          <w:sz w:val="24"/>
          <w:szCs w:val="24"/>
          <w:lang w:val="en-US" w:eastAsia="zh-CN"/>
        </w:rPr>
        <w:t>邀请书</w:t>
      </w:r>
      <w:r>
        <w:rPr>
          <w:rFonts w:hint="eastAsia" w:ascii="宋体" w:hAnsi="宋体" w:eastAsia="宋体" w:cs="宋体"/>
          <w:color w:val="auto"/>
          <w:sz w:val="24"/>
          <w:szCs w:val="24"/>
        </w:rPr>
        <w:t>”。</w:t>
      </w:r>
    </w:p>
    <w:p w14:paraId="3F7D23F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6.</w:t>
      </w:r>
      <w:r>
        <w:rPr>
          <w:rFonts w:hint="eastAsia" w:ascii="宋体" w:hAnsi="宋体" w:eastAsia="宋体" w:cs="宋体"/>
          <w:b/>
          <w:bCs/>
          <w:color w:val="auto"/>
          <w:sz w:val="24"/>
          <w:szCs w:val="24"/>
        </w:rPr>
        <w:t>采购文件的澄清和修改、供应商对采购文件的疑问和异议</w:t>
      </w:r>
    </w:p>
    <w:p w14:paraId="05A5593C">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6.1 在接受响应截止时间前，招标人都可能以《</w:t>
      </w:r>
      <w:r>
        <w:rPr>
          <w:rFonts w:hint="eastAsia" w:ascii="宋体" w:hAnsi="宋体" w:eastAsia="宋体" w:cs="宋体"/>
          <w:color w:val="auto"/>
          <w:sz w:val="24"/>
          <w:szCs w:val="24"/>
          <w:lang w:eastAsia="zh-CN"/>
        </w:rPr>
        <w:t>采购文件</w:t>
      </w:r>
      <w:r>
        <w:rPr>
          <w:rFonts w:hint="eastAsia" w:ascii="宋体" w:hAnsi="宋体" w:eastAsia="宋体" w:cs="宋体"/>
          <w:color w:val="auto"/>
          <w:sz w:val="24"/>
          <w:szCs w:val="24"/>
        </w:rPr>
        <w:t>补充》的方式修改</w:t>
      </w:r>
      <w:r>
        <w:rPr>
          <w:rFonts w:hint="eastAsia" w:ascii="宋体" w:hAnsi="宋体" w:eastAsia="宋体" w:cs="宋体"/>
          <w:color w:val="auto"/>
          <w:sz w:val="24"/>
          <w:szCs w:val="24"/>
          <w:lang w:eastAsia="zh-CN"/>
        </w:rPr>
        <w:t>采购文件</w:t>
      </w:r>
      <w:r>
        <w:rPr>
          <w:rFonts w:hint="eastAsia" w:ascii="宋体" w:hAnsi="宋体" w:eastAsia="宋体" w:cs="宋体"/>
          <w:color w:val="auto"/>
          <w:sz w:val="24"/>
          <w:szCs w:val="24"/>
        </w:rPr>
        <w:t>。并在新疆政府采购网（http://www.ccgp-xinjiang.gov.cn/）招标（采购）公告附件中的</w:t>
      </w:r>
      <w:r>
        <w:rPr>
          <w:rFonts w:hint="eastAsia" w:ascii="宋体" w:hAnsi="宋体" w:eastAsia="宋体" w:cs="宋体"/>
          <w:color w:val="auto"/>
          <w:sz w:val="24"/>
          <w:szCs w:val="24"/>
          <w:lang w:eastAsia="zh-CN"/>
        </w:rPr>
        <w:t>采购文件</w:t>
      </w:r>
      <w:r>
        <w:rPr>
          <w:rFonts w:hint="eastAsia" w:ascii="宋体" w:hAnsi="宋体" w:eastAsia="宋体" w:cs="宋体"/>
          <w:color w:val="auto"/>
          <w:sz w:val="24"/>
          <w:szCs w:val="24"/>
        </w:rPr>
        <w:t>(采购）中发布。这些补充文件或通知是采购文件的组成部分，对供应商有约束力。</w:t>
      </w:r>
    </w:p>
    <w:p w14:paraId="764FD908">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.2 《</w:t>
      </w:r>
      <w:r>
        <w:rPr>
          <w:rFonts w:hint="eastAsia" w:ascii="宋体" w:hAnsi="宋体" w:eastAsia="宋体" w:cs="宋体"/>
          <w:color w:val="auto"/>
          <w:sz w:val="24"/>
          <w:szCs w:val="24"/>
          <w:lang w:eastAsia="zh-CN"/>
        </w:rPr>
        <w:t>采购文件</w:t>
      </w:r>
      <w:r>
        <w:rPr>
          <w:rFonts w:hint="eastAsia" w:ascii="宋体" w:hAnsi="宋体" w:eastAsia="宋体" w:cs="宋体"/>
          <w:color w:val="auto"/>
          <w:sz w:val="24"/>
          <w:szCs w:val="24"/>
        </w:rPr>
        <w:t>补充》作为</w:t>
      </w:r>
      <w:r>
        <w:rPr>
          <w:rFonts w:hint="eastAsia" w:ascii="宋体" w:hAnsi="宋体" w:eastAsia="宋体" w:cs="宋体"/>
          <w:color w:val="auto"/>
          <w:sz w:val="24"/>
          <w:szCs w:val="24"/>
          <w:lang w:eastAsia="zh-CN"/>
        </w:rPr>
        <w:t>采购文件</w:t>
      </w:r>
      <w:r>
        <w:rPr>
          <w:rFonts w:hint="eastAsia" w:ascii="宋体" w:hAnsi="宋体" w:eastAsia="宋体" w:cs="宋体"/>
          <w:color w:val="auto"/>
          <w:sz w:val="24"/>
          <w:szCs w:val="24"/>
        </w:rPr>
        <w:t>的组成部分，对投标人具有同等约束力。如果</w:t>
      </w:r>
      <w:r>
        <w:rPr>
          <w:rFonts w:hint="eastAsia" w:ascii="宋体" w:hAnsi="宋体" w:eastAsia="宋体" w:cs="宋体"/>
          <w:color w:val="auto"/>
          <w:sz w:val="24"/>
          <w:szCs w:val="24"/>
          <w:lang w:eastAsia="zh-CN"/>
        </w:rPr>
        <w:t>采购文件</w:t>
      </w:r>
      <w:r>
        <w:rPr>
          <w:rFonts w:hint="eastAsia" w:ascii="宋体" w:hAnsi="宋体" w:eastAsia="宋体" w:cs="宋体"/>
          <w:color w:val="auto"/>
          <w:sz w:val="24"/>
          <w:szCs w:val="24"/>
        </w:rPr>
        <w:t>补充内容与在此</w:t>
      </w:r>
      <w:r>
        <w:rPr>
          <w:rFonts w:hint="eastAsia" w:ascii="宋体" w:hAnsi="宋体" w:eastAsia="宋体" w:cs="宋体"/>
          <w:color w:val="auto"/>
          <w:sz w:val="24"/>
          <w:szCs w:val="24"/>
          <w:lang w:eastAsia="zh-CN"/>
        </w:rPr>
        <w:t>采购文件</w:t>
      </w:r>
      <w:r>
        <w:rPr>
          <w:rFonts w:hint="eastAsia" w:ascii="宋体" w:hAnsi="宋体" w:eastAsia="宋体" w:cs="宋体"/>
          <w:color w:val="auto"/>
          <w:sz w:val="24"/>
          <w:szCs w:val="24"/>
        </w:rPr>
        <w:t>补充发出之前的</w:t>
      </w:r>
      <w:r>
        <w:rPr>
          <w:rFonts w:hint="eastAsia" w:ascii="宋体" w:hAnsi="宋体" w:eastAsia="宋体" w:cs="宋体"/>
          <w:color w:val="auto"/>
          <w:sz w:val="24"/>
          <w:szCs w:val="24"/>
          <w:lang w:eastAsia="zh-CN"/>
        </w:rPr>
        <w:t>采购文件</w:t>
      </w:r>
      <w:r>
        <w:rPr>
          <w:rFonts w:hint="eastAsia" w:ascii="宋体" w:hAnsi="宋体" w:eastAsia="宋体" w:cs="宋体"/>
          <w:color w:val="auto"/>
          <w:sz w:val="24"/>
          <w:szCs w:val="24"/>
        </w:rPr>
        <w:t>等书面材料中相关内容相冲突，请投标人执行</w:t>
      </w:r>
      <w:r>
        <w:rPr>
          <w:rFonts w:hint="eastAsia" w:ascii="宋体" w:hAnsi="宋体" w:eastAsia="宋体" w:cs="宋体"/>
          <w:color w:val="auto"/>
          <w:sz w:val="24"/>
          <w:szCs w:val="24"/>
          <w:lang w:eastAsia="zh-CN"/>
        </w:rPr>
        <w:t>采购文件</w:t>
      </w:r>
      <w:r>
        <w:rPr>
          <w:rFonts w:hint="eastAsia" w:ascii="宋体" w:hAnsi="宋体" w:eastAsia="宋体" w:cs="宋体"/>
          <w:color w:val="auto"/>
          <w:sz w:val="24"/>
          <w:szCs w:val="24"/>
        </w:rPr>
        <w:t>补充的相关内容，先前发出的</w:t>
      </w:r>
      <w:r>
        <w:rPr>
          <w:rFonts w:hint="eastAsia" w:ascii="宋体" w:hAnsi="宋体" w:eastAsia="宋体" w:cs="宋体"/>
          <w:color w:val="auto"/>
          <w:sz w:val="24"/>
          <w:szCs w:val="24"/>
          <w:lang w:eastAsia="zh-CN"/>
        </w:rPr>
        <w:t>采购文件</w:t>
      </w:r>
      <w:r>
        <w:rPr>
          <w:rFonts w:hint="eastAsia" w:ascii="宋体" w:hAnsi="宋体" w:eastAsia="宋体" w:cs="宋体"/>
          <w:color w:val="auto"/>
          <w:sz w:val="24"/>
          <w:szCs w:val="24"/>
        </w:rPr>
        <w:t>等书面材料中相关内容自动废止。</w:t>
      </w:r>
    </w:p>
    <w:p w14:paraId="2C255F9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.3 为使投标人在编制投标文件时把《</w:t>
      </w:r>
      <w:r>
        <w:rPr>
          <w:rFonts w:hint="eastAsia" w:ascii="宋体" w:hAnsi="宋体" w:eastAsia="宋体" w:cs="宋体"/>
          <w:color w:val="auto"/>
          <w:sz w:val="24"/>
          <w:szCs w:val="24"/>
          <w:lang w:eastAsia="zh-CN"/>
        </w:rPr>
        <w:t>采购文件</w:t>
      </w:r>
      <w:r>
        <w:rPr>
          <w:rFonts w:hint="eastAsia" w:ascii="宋体" w:hAnsi="宋体" w:eastAsia="宋体" w:cs="宋体"/>
          <w:color w:val="auto"/>
          <w:sz w:val="24"/>
          <w:szCs w:val="24"/>
        </w:rPr>
        <w:t>补充》内容考虑进去，招标人可以相应延长投标截止日期，具体时间将在《</w:t>
      </w:r>
      <w:r>
        <w:rPr>
          <w:rFonts w:hint="eastAsia" w:ascii="宋体" w:hAnsi="宋体" w:eastAsia="宋体" w:cs="宋体"/>
          <w:color w:val="auto"/>
          <w:sz w:val="24"/>
          <w:szCs w:val="24"/>
          <w:lang w:eastAsia="zh-CN"/>
        </w:rPr>
        <w:t>采购文件</w:t>
      </w:r>
      <w:r>
        <w:rPr>
          <w:rFonts w:hint="eastAsia" w:ascii="宋体" w:hAnsi="宋体" w:eastAsia="宋体" w:cs="宋体"/>
          <w:color w:val="auto"/>
          <w:sz w:val="24"/>
          <w:szCs w:val="24"/>
        </w:rPr>
        <w:t>补充》中写明。</w:t>
      </w:r>
    </w:p>
    <w:p w14:paraId="0CF8F95D">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rPr>
        <w:t>6.</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 xml:space="preserve"> 若供应商对采购文件有疑问，可以向采购人或采购机构提出询问，询问可以是</w:t>
      </w:r>
      <w:r>
        <w:rPr>
          <w:rFonts w:hint="eastAsia" w:ascii="宋体" w:hAnsi="宋体" w:eastAsia="宋体" w:cs="宋体"/>
          <w:color w:val="auto"/>
          <w:sz w:val="24"/>
          <w:szCs w:val="24"/>
          <w:highlight w:val="none"/>
        </w:rPr>
        <w:t>口头</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书面形式或邮件方式（1554323048@qq.com)通知采购人或采购机构，书面形式注明“疑问函”标题，采购人或采购机构应当及时作出答复，答复可以口头或书面形式或邮件方式。若采购人和采购机构的答复有矛盾，以采购人的解释为准。</w:t>
      </w:r>
    </w:p>
    <w:p w14:paraId="12A4B118">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若供应商对</w:t>
      </w:r>
      <w:r>
        <w:rPr>
          <w:rFonts w:hint="eastAsia" w:ascii="宋体" w:hAnsi="宋体" w:eastAsia="宋体" w:cs="宋体"/>
          <w:color w:val="auto"/>
          <w:sz w:val="24"/>
          <w:szCs w:val="24"/>
          <w:highlight w:val="none"/>
        </w:rPr>
        <w:t>采购文件有异议，认为采购文件使自己的权益受到损害的，可以以书面形式向采购人或采购机构提出质疑，书</w:t>
      </w:r>
      <w:r>
        <w:rPr>
          <w:rFonts w:hint="eastAsia" w:ascii="宋体" w:hAnsi="宋体" w:eastAsia="宋体" w:cs="宋体"/>
          <w:color w:val="auto"/>
          <w:sz w:val="24"/>
          <w:szCs w:val="24"/>
        </w:rPr>
        <w:t>面形式注明“质疑书”标题。采购人或采购机构在收到供应商的书面质</w:t>
      </w:r>
      <w:r>
        <w:rPr>
          <w:rFonts w:hint="eastAsia" w:ascii="宋体" w:hAnsi="宋体" w:eastAsia="宋体" w:cs="宋体"/>
          <w:color w:val="auto"/>
          <w:sz w:val="24"/>
          <w:szCs w:val="24"/>
          <w:highlight w:val="none"/>
        </w:rPr>
        <w:t>疑后七个工作日</w:t>
      </w:r>
      <w:r>
        <w:rPr>
          <w:rFonts w:hint="eastAsia" w:ascii="宋体" w:hAnsi="宋体" w:eastAsia="宋体" w:cs="宋体"/>
          <w:color w:val="auto"/>
          <w:sz w:val="24"/>
          <w:szCs w:val="24"/>
        </w:rPr>
        <w:t>内将作出答复，并以书面形式通知供应商。若采购人和采购机构的答复有矛盾，以采购人的解释为准。</w:t>
      </w:r>
    </w:p>
    <w:p w14:paraId="5738A2F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三、采购响应文件</w:t>
      </w:r>
    </w:p>
    <w:p w14:paraId="6EBFC49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7.</w:t>
      </w:r>
      <w:r>
        <w:rPr>
          <w:rFonts w:hint="eastAsia" w:ascii="宋体" w:hAnsi="宋体" w:eastAsia="宋体" w:cs="宋体"/>
          <w:b/>
          <w:bCs/>
          <w:color w:val="auto"/>
          <w:sz w:val="24"/>
          <w:szCs w:val="24"/>
        </w:rPr>
        <w:t>采购响应文件的组成</w:t>
      </w:r>
    </w:p>
    <w:p w14:paraId="72B1BF32">
      <w:pPr>
        <w:keepNext w:val="0"/>
        <w:keepLines w:val="0"/>
        <w:pageBreakBefore w:val="0"/>
        <w:widowControl w:val="0"/>
        <w:kinsoku/>
        <w:wordWrap/>
        <w:overflowPunct/>
        <w:topLinePunct w:val="0"/>
        <w:autoSpaceDE/>
        <w:autoSpaceDN/>
        <w:bidi w:val="0"/>
        <w:adjustRightInd/>
        <w:snapToGrid/>
        <w:spacing w:line="440" w:lineRule="exact"/>
        <w:ind w:firstLine="240" w:firstLineChars="1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7.1 资格证明文件</w:t>
      </w:r>
    </w:p>
    <w:p w14:paraId="194998EC">
      <w:pPr>
        <w:keepNext w:val="0"/>
        <w:keepLines w:val="0"/>
        <w:pageBreakBefore w:val="0"/>
        <w:widowControl w:val="0"/>
        <w:kinsoku/>
        <w:wordWrap/>
        <w:overflowPunct/>
        <w:topLinePunct w:val="0"/>
        <w:autoSpaceDE/>
        <w:autoSpaceDN/>
        <w:bidi w:val="0"/>
        <w:adjustRightInd/>
        <w:snapToGrid/>
        <w:spacing w:line="440" w:lineRule="exact"/>
        <w:ind w:firstLine="240" w:firstLineChars="1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（1）法定代表人身份证明书；</w:t>
      </w:r>
    </w:p>
    <w:p w14:paraId="3A2299AE">
      <w:pPr>
        <w:keepNext w:val="0"/>
        <w:keepLines w:val="0"/>
        <w:pageBreakBefore w:val="0"/>
        <w:widowControl w:val="0"/>
        <w:kinsoku/>
        <w:wordWrap/>
        <w:overflowPunct/>
        <w:topLinePunct w:val="0"/>
        <w:autoSpaceDE/>
        <w:autoSpaceDN/>
        <w:bidi w:val="0"/>
        <w:adjustRightInd/>
        <w:snapToGrid/>
        <w:spacing w:line="440" w:lineRule="exact"/>
        <w:ind w:firstLine="240" w:firstLineChars="1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（2）法定代表人授权委托书；</w:t>
      </w:r>
    </w:p>
    <w:p w14:paraId="02E04485">
      <w:pPr>
        <w:keepNext w:val="0"/>
        <w:keepLines w:val="0"/>
        <w:pageBreakBefore w:val="0"/>
        <w:widowControl w:val="0"/>
        <w:kinsoku/>
        <w:wordWrap/>
        <w:overflowPunct/>
        <w:topLinePunct w:val="0"/>
        <w:autoSpaceDE/>
        <w:autoSpaceDN/>
        <w:bidi w:val="0"/>
        <w:adjustRightInd/>
        <w:snapToGrid/>
        <w:spacing w:line="440" w:lineRule="exact"/>
        <w:ind w:firstLine="240" w:firstLineChars="1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（3）法定代表人及授权代表的身份证和法定代表人或授权代表近三个月社保缴费证明</w:t>
      </w:r>
      <w:r>
        <w:rPr>
          <w:rFonts w:hint="eastAsia" w:ascii="宋体" w:hAnsi="宋体" w:eastAsia="宋体" w:cs="宋体"/>
          <w:color w:val="auto"/>
          <w:sz w:val="24"/>
          <w:szCs w:val="24"/>
          <w:lang w:val="en-US" w:eastAsia="zh-CN"/>
        </w:rPr>
        <w:t>文件</w:t>
      </w:r>
      <w:r>
        <w:rPr>
          <w:rFonts w:hint="eastAsia" w:ascii="宋体" w:hAnsi="宋体" w:eastAsia="宋体" w:cs="宋体"/>
          <w:color w:val="auto"/>
          <w:sz w:val="24"/>
          <w:szCs w:val="24"/>
        </w:rPr>
        <w:t>；</w:t>
      </w:r>
    </w:p>
    <w:p w14:paraId="499C9C50">
      <w:pPr>
        <w:keepNext w:val="0"/>
        <w:keepLines w:val="0"/>
        <w:pageBreakBefore w:val="0"/>
        <w:widowControl w:val="0"/>
        <w:kinsoku/>
        <w:wordWrap/>
        <w:overflowPunct/>
        <w:topLinePunct w:val="0"/>
        <w:autoSpaceDE/>
        <w:autoSpaceDN/>
        <w:bidi w:val="0"/>
        <w:adjustRightInd/>
        <w:snapToGrid/>
        <w:spacing w:line="440" w:lineRule="exact"/>
        <w:ind w:firstLine="240" w:firstLineChars="1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（4）供应商基本情况表；</w:t>
      </w:r>
    </w:p>
    <w:p w14:paraId="36D4BFD0">
      <w:pPr>
        <w:keepNext w:val="0"/>
        <w:keepLines w:val="0"/>
        <w:pageBreakBefore w:val="0"/>
        <w:widowControl w:val="0"/>
        <w:kinsoku/>
        <w:wordWrap/>
        <w:overflowPunct/>
        <w:topLinePunct w:val="0"/>
        <w:autoSpaceDE/>
        <w:autoSpaceDN/>
        <w:bidi w:val="0"/>
        <w:adjustRightInd/>
        <w:snapToGrid/>
        <w:spacing w:line="440" w:lineRule="exact"/>
        <w:ind w:firstLine="240" w:firstLineChars="1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（5）营业执照；</w:t>
      </w:r>
    </w:p>
    <w:p w14:paraId="6F860BBE">
      <w:pPr>
        <w:keepNext w:val="0"/>
        <w:keepLines w:val="0"/>
        <w:pageBreakBefore w:val="0"/>
        <w:widowControl w:val="0"/>
        <w:kinsoku/>
        <w:wordWrap/>
        <w:overflowPunct/>
        <w:topLinePunct w:val="0"/>
        <w:autoSpaceDE/>
        <w:autoSpaceDN/>
        <w:bidi w:val="0"/>
        <w:adjustRightInd/>
        <w:snapToGrid/>
        <w:spacing w:line="440" w:lineRule="exact"/>
        <w:ind w:firstLine="240" w:firstLineChars="1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（6）具有健全的财务会计制度</w:t>
      </w:r>
      <w:r>
        <w:rPr>
          <w:rFonts w:hint="eastAsia" w:ascii="宋体" w:hAnsi="宋体" w:eastAsia="宋体" w:cs="宋体"/>
          <w:color w:val="auto"/>
          <w:sz w:val="24"/>
          <w:szCs w:val="24"/>
          <w:lang w:eastAsia="zh-CN"/>
        </w:rPr>
        <w:t>及财务审计报告</w:t>
      </w:r>
      <w:r>
        <w:rPr>
          <w:rFonts w:hint="eastAsia" w:ascii="宋体" w:hAnsi="宋体" w:eastAsia="宋体" w:cs="宋体"/>
          <w:color w:val="auto"/>
          <w:sz w:val="24"/>
          <w:szCs w:val="24"/>
        </w:rPr>
        <w:t>；</w:t>
      </w:r>
    </w:p>
    <w:p w14:paraId="0016FB4F">
      <w:pPr>
        <w:keepNext w:val="0"/>
        <w:keepLines w:val="0"/>
        <w:pageBreakBefore w:val="0"/>
        <w:widowControl w:val="0"/>
        <w:kinsoku/>
        <w:wordWrap/>
        <w:overflowPunct/>
        <w:topLinePunct w:val="0"/>
        <w:autoSpaceDE/>
        <w:autoSpaceDN/>
        <w:bidi w:val="0"/>
        <w:adjustRightInd/>
        <w:snapToGrid/>
        <w:spacing w:line="440" w:lineRule="exact"/>
        <w:ind w:firstLine="240" w:firstLineChars="100"/>
        <w:textAlignment w:val="auto"/>
        <w:rPr>
          <w:rFonts w:hint="eastAsia" w:ascii="宋体" w:hAnsi="宋体" w:eastAsia="宋体" w:cs="宋体"/>
          <w:color w:val="auto"/>
          <w:sz w:val="24"/>
          <w:szCs w:val="24"/>
          <w:highlight w:val="yellow"/>
        </w:rPr>
      </w:pPr>
      <w:r>
        <w:rPr>
          <w:rFonts w:hint="eastAsia" w:ascii="宋体" w:hAnsi="宋体" w:eastAsia="宋体" w:cs="宋体"/>
          <w:color w:val="auto"/>
          <w:sz w:val="24"/>
          <w:szCs w:val="24"/>
        </w:rPr>
        <w:t>（7）近三个月的完税证明；</w:t>
      </w:r>
    </w:p>
    <w:p w14:paraId="49810FEF">
      <w:pPr>
        <w:keepNext w:val="0"/>
        <w:keepLines w:val="0"/>
        <w:pageBreakBefore w:val="0"/>
        <w:widowControl w:val="0"/>
        <w:kinsoku/>
        <w:wordWrap/>
        <w:overflowPunct/>
        <w:topLinePunct w:val="0"/>
        <w:autoSpaceDE/>
        <w:autoSpaceDN/>
        <w:bidi w:val="0"/>
        <w:adjustRightInd/>
        <w:snapToGrid/>
        <w:spacing w:line="440" w:lineRule="exact"/>
        <w:ind w:firstLine="240" w:firstLineChars="1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（8）参加采购活动前三年内在经营活动中没有重大违法记录的声明；</w:t>
      </w:r>
    </w:p>
    <w:p w14:paraId="18EDA0B2">
      <w:pPr>
        <w:keepNext w:val="0"/>
        <w:keepLines w:val="0"/>
        <w:pageBreakBefore w:val="0"/>
        <w:widowControl w:val="0"/>
        <w:kinsoku/>
        <w:wordWrap/>
        <w:overflowPunct/>
        <w:topLinePunct w:val="0"/>
        <w:autoSpaceDE/>
        <w:autoSpaceDN/>
        <w:bidi w:val="0"/>
        <w:adjustRightInd/>
        <w:snapToGrid/>
        <w:spacing w:line="440" w:lineRule="exact"/>
        <w:ind w:firstLine="240" w:firstLineChars="1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（9）具有履行合同所必需的</w:t>
      </w:r>
      <w:r>
        <w:rPr>
          <w:rFonts w:hint="eastAsia" w:ascii="宋体" w:hAnsi="宋体" w:eastAsia="宋体" w:cs="宋体"/>
          <w:color w:val="auto"/>
          <w:sz w:val="24"/>
          <w:szCs w:val="24"/>
          <w:lang w:eastAsia="zh-CN"/>
        </w:rPr>
        <w:t>货物</w:t>
      </w:r>
      <w:r>
        <w:rPr>
          <w:rFonts w:hint="eastAsia" w:ascii="宋体" w:hAnsi="宋体" w:eastAsia="宋体" w:cs="宋体"/>
          <w:color w:val="auto"/>
          <w:sz w:val="24"/>
          <w:szCs w:val="24"/>
        </w:rPr>
        <w:t>和专业技术能力的声明；</w:t>
      </w:r>
    </w:p>
    <w:p w14:paraId="41AFD3A5">
      <w:pPr>
        <w:keepNext w:val="0"/>
        <w:keepLines w:val="0"/>
        <w:pageBreakBefore w:val="0"/>
        <w:widowControl w:val="0"/>
        <w:kinsoku/>
        <w:wordWrap/>
        <w:overflowPunct/>
        <w:topLinePunct w:val="0"/>
        <w:autoSpaceDE/>
        <w:autoSpaceDN/>
        <w:bidi w:val="0"/>
        <w:adjustRightInd/>
        <w:snapToGrid/>
        <w:spacing w:line="440" w:lineRule="exact"/>
        <w:ind w:firstLine="240" w:firstLineChars="1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10）凡拟参加本次招标项目的供应商，在“信用中国”网站（www.creditchina.gov.cn）、中国政府采购网（www.ccgp.gov.cn）、国家企业信用信息公示系（http://www.gsxt.gov.cn）三个网站的查询结果，如供应商被列入失信被执行人、重大税收违法案件当事人名单、政府采购严重违法失信行为记录名单的（尚在处罚期内的）、经营异常名录的、列入严重违法失信企业名单（黑名单）信息的，将拒绝其</w:t>
      </w:r>
      <w:r>
        <w:rPr>
          <w:rFonts w:hint="eastAsia" w:ascii="宋体" w:hAnsi="宋体" w:eastAsia="宋体" w:cs="宋体"/>
          <w:color w:val="auto"/>
          <w:sz w:val="24"/>
          <w:szCs w:val="24"/>
          <w:lang w:eastAsia="zh-CN"/>
        </w:rPr>
        <w:t>参加本次</w:t>
      </w:r>
      <w:r>
        <w:rPr>
          <w:rFonts w:hint="eastAsia" w:ascii="宋体" w:hAnsi="宋体" w:eastAsia="宋体" w:cs="宋体"/>
          <w:color w:val="auto"/>
          <w:sz w:val="24"/>
          <w:szCs w:val="24"/>
        </w:rPr>
        <w:t>政府采购活动</w:t>
      </w:r>
      <w:r>
        <w:rPr>
          <w:rFonts w:hint="eastAsia" w:ascii="宋体" w:hAnsi="宋体" w:eastAsia="宋体" w:cs="宋体"/>
          <w:color w:val="auto"/>
          <w:sz w:val="24"/>
          <w:szCs w:val="24"/>
          <w:lang w:eastAsia="zh-CN"/>
        </w:rPr>
        <w:t>。</w:t>
      </w:r>
    </w:p>
    <w:p w14:paraId="01845D95">
      <w:pPr>
        <w:keepNext w:val="0"/>
        <w:keepLines w:val="0"/>
        <w:pageBreakBefore w:val="0"/>
        <w:widowControl w:val="0"/>
        <w:kinsoku/>
        <w:wordWrap/>
        <w:overflowPunct/>
        <w:topLinePunct w:val="0"/>
        <w:autoSpaceDE/>
        <w:autoSpaceDN/>
        <w:bidi w:val="0"/>
        <w:adjustRightInd/>
        <w:snapToGrid/>
        <w:spacing w:line="440" w:lineRule="exact"/>
        <w:ind w:firstLine="240" w:firstLineChars="1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（11）供应商认为需要的其它资格文件或说明。</w:t>
      </w:r>
    </w:p>
    <w:p w14:paraId="5FADDB13">
      <w:pPr>
        <w:keepNext w:val="0"/>
        <w:keepLines w:val="0"/>
        <w:pageBreakBefore w:val="0"/>
        <w:widowControl w:val="0"/>
        <w:kinsoku/>
        <w:wordWrap/>
        <w:overflowPunct/>
        <w:topLinePunct w:val="0"/>
        <w:autoSpaceDE/>
        <w:autoSpaceDN/>
        <w:bidi w:val="0"/>
        <w:adjustRightInd/>
        <w:snapToGrid/>
        <w:spacing w:line="440" w:lineRule="exact"/>
        <w:ind w:firstLine="240" w:firstLineChars="1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7.2 商务文件</w:t>
      </w:r>
    </w:p>
    <w:p w14:paraId="399D3907">
      <w:pPr>
        <w:keepNext w:val="0"/>
        <w:keepLines w:val="0"/>
        <w:pageBreakBefore w:val="0"/>
        <w:widowControl w:val="0"/>
        <w:kinsoku/>
        <w:wordWrap/>
        <w:overflowPunct/>
        <w:topLinePunct w:val="0"/>
        <w:autoSpaceDE/>
        <w:autoSpaceDN/>
        <w:bidi w:val="0"/>
        <w:adjustRightInd/>
        <w:snapToGrid/>
        <w:spacing w:line="440" w:lineRule="exact"/>
        <w:ind w:firstLine="240" w:firstLineChars="1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（1）报价函；</w:t>
      </w:r>
    </w:p>
    <w:p w14:paraId="469F6B8D">
      <w:pPr>
        <w:keepNext w:val="0"/>
        <w:keepLines w:val="0"/>
        <w:pageBreakBefore w:val="0"/>
        <w:widowControl w:val="0"/>
        <w:kinsoku/>
        <w:wordWrap/>
        <w:overflowPunct/>
        <w:topLinePunct w:val="0"/>
        <w:autoSpaceDE/>
        <w:autoSpaceDN/>
        <w:bidi w:val="0"/>
        <w:adjustRightInd/>
        <w:snapToGrid/>
        <w:spacing w:line="440" w:lineRule="exact"/>
        <w:ind w:firstLine="240" w:firstLineChars="1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（2）报价表；</w:t>
      </w:r>
    </w:p>
    <w:p w14:paraId="0BE0934F">
      <w:pPr>
        <w:keepNext w:val="0"/>
        <w:keepLines w:val="0"/>
        <w:pageBreakBefore w:val="0"/>
        <w:widowControl w:val="0"/>
        <w:kinsoku/>
        <w:wordWrap/>
        <w:overflowPunct/>
        <w:topLinePunct w:val="0"/>
        <w:autoSpaceDE/>
        <w:autoSpaceDN/>
        <w:bidi w:val="0"/>
        <w:adjustRightInd/>
        <w:snapToGrid/>
        <w:spacing w:line="440" w:lineRule="exact"/>
        <w:ind w:firstLine="240" w:firstLineChars="1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（3）分项报价及说明表；</w:t>
      </w:r>
    </w:p>
    <w:p w14:paraId="73EC76E9">
      <w:pPr>
        <w:keepNext w:val="0"/>
        <w:keepLines w:val="0"/>
        <w:pageBreakBefore w:val="0"/>
        <w:widowControl w:val="0"/>
        <w:kinsoku/>
        <w:wordWrap/>
        <w:overflowPunct/>
        <w:topLinePunct w:val="0"/>
        <w:autoSpaceDE/>
        <w:autoSpaceDN/>
        <w:bidi w:val="0"/>
        <w:adjustRightInd/>
        <w:snapToGrid/>
        <w:spacing w:line="440" w:lineRule="exact"/>
        <w:ind w:firstLine="240" w:firstLineChars="1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（4）技术</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商务响应表；</w:t>
      </w:r>
    </w:p>
    <w:p w14:paraId="0A9E6739">
      <w:pPr>
        <w:keepNext w:val="0"/>
        <w:keepLines w:val="0"/>
        <w:pageBreakBefore w:val="0"/>
        <w:widowControl w:val="0"/>
        <w:kinsoku/>
        <w:wordWrap/>
        <w:overflowPunct/>
        <w:topLinePunct w:val="0"/>
        <w:autoSpaceDE/>
        <w:autoSpaceDN/>
        <w:bidi w:val="0"/>
        <w:adjustRightInd/>
        <w:snapToGrid/>
        <w:spacing w:line="440" w:lineRule="exact"/>
        <w:ind w:firstLine="240" w:firstLineChars="1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）供应商业绩一览表。</w:t>
      </w:r>
    </w:p>
    <w:p w14:paraId="04BA4552">
      <w:pPr>
        <w:keepNext w:val="0"/>
        <w:keepLines w:val="0"/>
        <w:pageBreakBefore w:val="0"/>
        <w:widowControl w:val="0"/>
        <w:kinsoku/>
        <w:wordWrap/>
        <w:overflowPunct/>
        <w:topLinePunct w:val="0"/>
        <w:autoSpaceDE/>
        <w:autoSpaceDN/>
        <w:bidi w:val="0"/>
        <w:adjustRightInd/>
        <w:snapToGrid/>
        <w:spacing w:line="440" w:lineRule="exact"/>
        <w:ind w:firstLine="240" w:firstLineChars="1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7.3 技术文件</w:t>
      </w:r>
    </w:p>
    <w:p w14:paraId="0F6631A3">
      <w:pPr>
        <w:keepNext w:val="0"/>
        <w:keepLines w:val="0"/>
        <w:pageBreakBefore w:val="0"/>
        <w:widowControl w:val="0"/>
        <w:kinsoku/>
        <w:wordWrap/>
        <w:overflowPunct/>
        <w:topLinePunct w:val="0"/>
        <w:autoSpaceDE/>
        <w:autoSpaceDN/>
        <w:bidi w:val="0"/>
        <w:adjustRightInd/>
        <w:snapToGrid/>
        <w:spacing w:line="440" w:lineRule="exact"/>
        <w:ind w:firstLine="240" w:firstLineChars="1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服务</w:t>
      </w:r>
      <w:r>
        <w:rPr>
          <w:rFonts w:hint="eastAsia" w:ascii="宋体" w:hAnsi="宋体" w:eastAsia="宋体" w:cs="宋体"/>
          <w:color w:val="auto"/>
          <w:sz w:val="24"/>
          <w:szCs w:val="24"/>
        </w:rPr>
        <w:t>方案及保障措施；</w:t>
      </w:r>
    </w:p>
    <w:p w14:paraId="75857783">
      <w:pPr>
        <w:keepNext w:val="0"/>
        <w:keepLines w:val="0"/>
        <w:pageBreakBefore w:val="0"/>
        <w:widowControl w:val="0"/>
        <w:kinsoku/>
        <w:wordWrap/>
        <w:overflowPunct/>
        <w:topLinePunct w:val="0"/>
        <w:autoSpaceDE/>
        <w:autoSpaceDN/>
        <w:bidi w:val="0"/>
        <w:adjustRightInd/>
        <w:snapToGrid/>
        <w:spacing w:line="440" w:lineRule="exact"/>
        <w:ind w:firstLine="240" w:firstLineChars="1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）质量保障措施；</w:t>
      </w:r>
    </w:p>
    <w:p w14:paraId="445DEB0A">
      <w:pPr>
        <w:keepNext w:val="0"/>
        <w:keepLines w:val="0"/>
        <w:pageBreakBefore w:val="0"/>
        <w:widowControl w:val="0"/>
        <w:kinsoku/>
        <w:wordWrap/>
        <w:overflowPunct/>
        <w:topLinePunct w:val="0"/>
        <w:autoSpaceDE/>
        <w:autoSpaceDN/>
        <w:bidi w:val="0"/>
        <w:adjustRightInd/>
        <w:snapToGrid/>
        <w:spacing w:line="440" w:lineRule="exact"/>
        <w:ind w:firstLine="240" w:firstLineChars="1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）售后服务承诺；</w:t>
      </w:r>
    </w:p>
    <w:p w14:paraId="2A480CCA">
      <w:pPr>
        <w:keepNext w:val="0"/>
        <w:keepLines w:val="0"/>
        <w:pageBreakBefore w:val="0"/>
        <w:widowControl w:val="0"/>
        <w:kinsoku/>
        <w:wordWrap/>
        <w:overflowPunct/>
        <w:topLinePunct w:val="0"/>
        <w:autoSpaceDE/>
        <w:autoSpaceDN/>
        <w:bidi w:val="0"/>
        <w:adjustRightInd/>
        <w:snapToGrid/>
        <w:spacing w:line="440" w:lineRule="exact"/>
        <w:ind w:firstLine="240" w:firstLineChars="1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）供应商认为需要提供的其他技术文件；</w:t>
      </w:r>
    </w:p>
    <w:p w14:paraId="5D893FC8">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7.4</w:t>
      </w:r>
      <w:r>
        <w:rPr>
          <w:rFonts w:hint="eastAsia" w:ascii="宋体" w:hAnsi="宋体" w:eastAsia="宋体" w:cs="宋体"/>
          <w:color w:val="auto"/>
          <w:sz w:val="24"/>
          <w:szCs w:val="24"/>
        </w:rPr>
        <w:t>投标资格证明文件、商务文件、技术文件须按第七章“采购响应文件格式”的要求提供，若第七章没有规定格式要求的，供应商可自行编制。</w:t>
      </w:r>
    </w:p>
    <w:p w14:paraId="1FF3319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8.</w:t>
      </w:r>
      <w:r>
        <w:rPr>
          <w:rFonts w:hint="eastAsia" w:ascii="宋体" w:hAnsi="宋体" w:eastAsia="宋体" w:cs="宋体"/>
          <w:b/>
          <w:bCs/>
          <w:color w:val="auto"/>
          <w:sz w:val="24"/>
          <w:szCs w:val="24"/>
        </w:rPr>
        <w:t>采购响应文件要求</w:t>
      </w:r>
    </w:p>
    <w:p w14:paraId="2FE208FB">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8.1 供应商应仔细阅读采购文件的所有内容，按采购文件要求格式编写采购响应文件，以使其投标对采购文件作出实质性响应。采购响应文件的组成、数量不符合采购文件要求的或没有对采购文件的要求做出实质性响应，投标将被作为无效响应处理；</w:t>
      </w:r>
    </w:p>
    <w:p w14:paraId="2837129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8.2 采购响应文件所提供的全部数据必须真实可靠。若采购响应文件填报的内容数据不详，或提供了虚假数据，或提供虚假材料，其采购响应文件为无效采购响应文件，并按相关规定处理。</w:t>
      </w:r>
    </w:p>
    <w:p w14:paraId="7553EA1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9.</w:t>
      </w:r>
      <w:r>
        <w:rPr>
          <w:rFonts w:hint="eastAsia" w:ascii="宋体" w:hAnsi="宋体" w:eastAsia="宋体" w:cs="宋体"/>
          <w:b/>
          <w:bCs/>
          <w:color w:val="auto"/>
          <w:sz w:val="24"/>
          <w:szCs w:val="24"/>
        </w:rPr>
        <w:t>采购响应文件格式和编写</w:t>
      </w:r>
    </w:p>
    <w:p w14:paraId="79645BB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9.1 采购响应文件按“第七章 采购响应文件格式”的要求编写；</w:t>
      </w:r>
    </w:p>
    <w:p w14:paraId="430C30D2">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9.2 投标语言：中文，当不同文字文本采购响应文件的解释发生异议的，以中文文本为准；</w:t>
      </w:r>
    </w:p>
    <w:p w14:paraId="59809DE6">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9.3 采购响应文件中所使用的计量单位，除采购文件有特殊要求外，应采用国家法定计量单位。</w:t>
      </w:r>
    </w:p>
    <w:p w14:paraId="4BE9201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9.4采购响应文件的有效期</w:t>
      </w:r>
    </w:p>
    <w:p w14:paraId="527BE82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10.采购相应文件有效期</w:t>
      </w:r>
    </w:p>
    <w:p w14:paraId="4A41FCB2">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10.1 采购响应文件的有效期在本采购文件“供应商须知前附表”中作出规定，有效期自开标日起计算，不能小于采购文件的要求。</w:t>
      </w:r>
    </w:p>
    <w:p w14:paraId="608BDFE4">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10.2 在特殊情况下，在原响应文件有效期截止之前，应采购人的要求，采购机构可要求供应商延长采购响应文件的有效期，这种要求的提出和供应商的答复都应以书面（含传真）的形式进行。</w:t>
      </w:r>
    </w:p>
    <w:p w14:paraId="4631C23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四、采购响应文件的</w:t>
      </w:r>
      <w:r>
        <w:rPr>
          <w:rFonts w:hint="eastAsia" w:ascii="宋体" w:hAnsi="宋体" w:eastAsia="宋体" w:cs="宋体"/>
          <w:b/>
          <w:color w:val="auto"/>
          <w:sz w:val="24"/>
          <w:szCs w:val="24"/>
        </w:rPr>
        <w:t>递交</w:t>
      </w:r>
    </w:p>
    <w:p w14:paraId="1D510A0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11.响应</w:t>
      </w:r>
      <w:r>
        <w:rPr>
          <w:rFonts w:hint="eastAsia" w:ascii="宋体" w:hAnsi="宋体" w:eastAsia="宋体" w:cs="宋体"/>
          <w:b/>
          <w:bCs/>
          <w:color w:val="auto"/>
          <w:sz w:val="24"/>
          <w:szCs w:val="24"/>
        </w:rPr>
        <w:t>文件的签署、递交、准备和解密时间要求</w:t>
      </w:r>
    </w:p>
    <w:p w14:paraId="56BD8157">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.1投标人应按本招标文件规定的格式和顺序编制、装订投标文件并标注页码，投标文件内容不完整、编排混乱导致投标文件被误读、漏读或者查找不到相关内容的，是投标人的责任。</w:t>
      </w:r>
    </w:p>
    <w:p w14:paraId="17A30782">
      <w:pPr>
        <w:spacing w:line="460" w:lineRule="exact"/>
        <w:ind w:firstLine="482" w:firstLineChars="200"/>
        <w:rPr>
          <w:rFonts w:hint="eastAsia" w:ascii="宋体" w:hAnsi="宋体" w:eastAsia="宋体" w:cs="宋体"/>
          <w:color w:val="auto"/>
          <w:sz w:val="24"/>
          <w:szCs w:val="24"/>
        </w:rPr>
      </w:pPr>
      <w:r>
        <w:rPr>
          <w:rFonts w:hint="eastAsia" w:ascii="宋体" w:hAnsi="宋体" w:eastAsia="宋体" w:cs="宋体"/>
          <w:b/>
          <w:bCs/>
          <w:color w:val="auto"/>
          <w:sz w:val="24"/>
          <w:szCs w:val="24"/>
        </w:rPr>
        <w:t>1</w:t>
      </w:r>
      <w:r>
        <w:rPr>
          <w:rFonts w:hint="eastAsia" w:ascii="宋体" w:hAnsi="宋体" w:eastAsia="宋体" w:cs="宋体"/>
          <w:b/>
          <w:bCs/>
          <w:color w:val="auto"/>
          <w:sz w:val="24"/>
          <w:szCs w:val="24"/>
          <w:lang w:val="en-US" w:eastAsia="zh-CN"/>
        </w:rPr>
        <w:t>1</w:t>
      </w:r>
      <w:r>
        <w:rPr>
          <w:rFonts w:hint="eastAsia" w:ascii="宋体" w:hAnsi="宋体" w:eastAsia="宋体" w:cs="宋体"/>
          <w:b/>
          <w:bCs/>
          <w:color w:val="auto"/>
          <w:sz w:val="24"/>
          <w:szCs w:val="24"/>
        </w:rPr>
        <w:t>.2投标人应于</w:t>
      </w:r>
      <w:r>
        <w:rPr>
          <w:rFonts w:hint="eastAsia" w:ascii="宋体" w:hAnsi="宋体" w:cs="宋体"/>
          <w:b/>
          <w:bCs/>
          <w:color w:val="auto"/>
          <w:sz w:val="24"/>
          <w:szCs w:val="24"/>
          <w:lang w:eastAsia="zh-CN"/>
        </w:rPr>
        <w:t>2026年10月23日</w:t>
      </w:r>
      <w:r>
        <w:rPr>
          <w:rFonts w:hint="eastAsia" w:ascii="宋体" w:hAnsi="宋体" w:eastAsia="宋体" w:cs="宋体"/>
          <w:b/>
          <w:bCs/>
          <w:color w:val="auto"/>
          <w:sz w:val="24"/>
          <w:szCs w:val="24"/>
          <w:lang w:val="en-US" w:eastAsia="zh-CN"/>
        </w:rPr>
        <w:t>上午11：00</w:t>
      </w:r>
      <w:r>
        <w:rPr>
          <w:rFonts w:hint="eastAsia" w:ascii="宋体" w:hAnsi="宋体" w:eastAsia="宋体" w:cs="宋体"/>
          <w:b/>
          <w:bCs/>
          <w:color w:val="auto"/>
          <w:sz w:val="24"/>
          <w:szCs w:val="24"/>
        </w:rPr>
        <w:t>时整之前将电子投标文件上传到“政采云”平台。应按照本项目招标文件和政采云平台的要求编制、加密传输投标文件。供应商在使用系统进行投标的过程中遇到涉及平台使用的任何问题，可致电政采云平台技术支持热线咨询，联系方式：</w:t>
      </w:r>
      <w:r>
        <w:rPr>
          <w:rFonts w:hint="eastAsia" w:ascii="宋体" w:hAnsi="宋体" w:cs="宋体"/>
          <w:b/>
          <w:bCs/>
          <w:color w:val="auto"/>
          <w:sz w:val="24"/>
          <w:szCs w:val="24"/>
          <w:lang w:eastAsia="zh-CN"/>
        </w:rPr>
        <w:t>95763</w:t>
      </w:r>
      <w:r>
        <w:rPr>
          <w:rFonts w:hint="eastAsia" w:ascii="宋体" w:hAnsi="宋体" w:eastAsia="宋体" w:cs="宋体"/>
          <w:b/>
          <w:bCs/>
          <w:color w:val="auto"/>
          <w:sz w:val="24"/>
          <w:szCs w:val="24"/>
        </w:rPr>
        <w:t>。</w:t>
      </w:r>
    </w:p>
    <w:p w14:paraId="3816A89D">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.3投标文件须由投标人在规定位置盖章并由法定代表人或法定代表人的授权委托人签署，投标人应写全称。</w:t>
      </w:r>
    </w:p>
    <w:p w14:paraId="2E1E5A24">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11</w:t>
      </w:r>
      <w:r>
        <w:rPr>
          <w:rFonts w:hint="eastAsia" w:ascii="宋体" w:hAnsi="宋体" w:eastAsia="宋体" w:cs="宋体"/>
          <w:color w:val="auto"/>
          <w:sz w:val="24"/>
          <w:szCs w:val="24"/>
        </w:rPr>
        <w:t>.4投标文件不得涂改，若有修改错漏处，须加盖单位公章或者法定代表人或授权委托人签字或盖章。投标文件因字迹潦草或表达不清所引起的后果由投标人负责。</w:t>
      </w:r>
    </w:p>
    <w:p w14:paraId="18D70240">
      <w:pPr>
        <w:spacing w:line="460" w:lineRule="exact"/>
        <w:ind w:firstLine="482" w:firstLineChars="200"/>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11.5</w:t>
      </w:r>
      <w:r>
        <w:rPr>
          <w:rFonts w:hint="eastAsia" w:ascii="宋体" w:hAnsi="宋体" w:eastAsia="宋体" w:cs="宋体"/>
          <w:b/>
          <w:bCs/>
          <w:color w:val="auto"/>
          <w:sz w:val="24"/>
          <w:szCs w:val="24"/>
        </w:rPr>
        <w:t xml:space="preserve">、本项目实行网上投标，采用电子投标文件。若供应商参与投标，自行承担投标一切费用。 </w:t>
      </w:r>
    </w:p>
    <w:p w14:paraId="2D0A384C">
      <w:pPr>
        <w:spacing w:line="460" w:lineRule="exact"/>
        <w:ind w:firstLine="482" w:firstLineChars="200"/>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11.6</w:t>
      </w:r>
      <w:r>
        <w:rPr>
          <w:rFonts w:hint="eastAsia" w:ascii="宋体" w:hAnsi="宋体" w:eastAsia="宋体" w:cs="宋体"/>
          <w:b/>
          <w:bCs/>
          <w:color w:val="auto"/>
          <w:sz w:val="24"/>
          <w:szCs w:val="24"/>
        </w:rPr>
        <w:t xml:space="preserve">、各供应商应在开标前应确保成为新疆维吾尔自治区政府采购网正式注册入库供应商，并完成CA数字证书申领。因未注册入库、未办理CA数字证书等原因造成无法投标或投标失败等后果由供应商自行承担。 </w:t>
      </w:r>
    </w:p>
    <w:p w14:paraId="5251FCD0">
      <w:pPr>
        <w:spacing w:line="460" w:lineRule="exact"/>
        <w:ind w:firstLine="482" w:firstLineChars="200"/>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11.7</w:t>
      </w:r>
      <w:r>
        <w:rPr>
          <w:rFonts w:hint="eastAsia" w:ascii="宋体" w:hAnsi="宋体" w:eastAsia="宋体" w:cs="宋体"/>
          <w:b/>
          <w:bCs/>
          <w:color w:val="auto"/>
          <w:sz w:val="24"/>
          <w:szCs w:val="24"/>
        </w:rPr>
        <w:t>、</w:t>
      </w:r>
      <w:r>
        <w:rPr>
          <w:rFonts w:hint="eastAsia" w:ascii="宋体" w:hAnsi="宋体" w:eastAsia="宋体" w:cs="宋体"/>
          <w:b/>
          <w:bCs/>
          <w:color w:val="auto"/>
          <w:sz w:val="24"/>
          <w:szCs w:val="24"/>
          <w:lang w:val="en-US" w:eastAsia="zh-CN"/>
        </w:rPr>
        <w:t>本项目为电子招投标，投标人需要使用CA加密设备，有意向参与新疆区域电子开评标的供应商，请访问新疆数字证书认证中心官方网站（https://www.xjca.com.cn/）或下载“新疆政务通”APP自行进行申领。如需咨询，请联系新疆CA服务热线0991-2819290</w:t>
      </w:r>
    </w:p>
    <w:p w14:paraId="584DCDA7">
      <w:pPr>
        <w:spacing w:line="460" w:lineRule="exact"/>
        <w:ind w:firstLine="482" w:firstLineChars="200"/>
        <w:rPr>
          <w:rFonts w:hint="eastAsia" w:ascii="宋体" w:hAnsi="宋体" w:eastAsia="宋体" w:cs="宋体"/>
          <w:b/>
          <w:bCs/>
          <w:color w:val="auto"/>
          <w:sz w:val="24"/>
          <w:szCs w:val="24"/>
        </w:rPr>
      </w:pPr>
      <w:r>
        <w:rPr>
          <w:rFonts w:hint="eastAsia" w:ascii="宋体" w:hAnsi="宋体" w:eastAsia="宋体" w:cs="宋体"/>
          <w:b/>
          <w:bCs/>
          <w:color w:val="auto"/>
          <w:sz w:val="24"/>
          <w:szCs w:val="24"/>
        </w:rPr>
        <w:t xml:space="preserve"> </w:t>
      </w:r>
      <w:r>
        <w:rPr>
          <w:rFonts w:hint="eastAsia" w:ascii="宋体" w:hAnsi="宋体" w:eastAsia="宋体" w:cs="宋体"/>
          <w:b/>
          <w:bCs/>
          <w:color w:val="auto"/>
          <w:sz w:val="24"/>
          <w:szCs w:val="24"/>
          <w:lang w:val="en-US" w:eastAsia="zh-CN"/>
        </w:rPr>
        <w:t>11.8</w:t>
      </w:r>
      <w:r>
        <w:rPr>
          <w:rFonts w:hint="eastAsia" w:ascii="宋体" w:hAnsi="宋体" w:eastAsia="宋体" w:cs="宋体"/>
          <w:b/>
          <w:bCs/>
          <w:color w:val="auto"/>
          <w:sz w:val="24"/>
          <w:szCs w:val="24"/>
        </w:rPr>
        <w:t>、供应商将政采云电子交易客户端下载、安装完成后，可通过账号密码或CA登录客户端进行投标文件制作。在使用政采云投标客户端时，建议使用WIN7及以上操作系统。客户端请至新疆政府采购网（http://www.ccgp-xinjiang.gov.cn/）下载专区查看，如有问题可拨打政采云客户服务热线</w:t>
      </w:r>
      <w:r>
        <w:rPr>
          <w:rFonts w:hint="eastAsia" w:ascii="宋体" w:hAnsi="宋体" w:cs="宋体"/>
          <w:b/>
          <w:bCs/>
          <w:color w:val="auto"/>
          <w:sz w:val="24"/>
          <w:szCs w:val="24"/>
          <w:lang w:eastAsia="zh-CN"/>
        </w:rPr>
        <w:t>95763</w:t>
      </w:r>
      <w:r>
        <w:rPr>
          <w:rFonts w:hint="eastAsia" w:ascii="宋体" w:hAnsi="宋体" w:eastAsia="宋体" w:cs="宋体"/>
          <w:b/>
          <w:bCs/>
          <w:color w:val="auto"/>
          <w:sz w:val="24"/>
          <w:szCs w:val="24"/>
        </w:rPr>
        <w:t>进行咨询。</w:t>
      </w:r>
    </w:p>
    <w:p w14:paraId="58537A15">
      <w:pPr>
        <w:spacing w:line="460" w:lineRule="exact"/>
        <w:ind w:firstLine="482" w:firstLineChars="200"/>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color w:val="auto"/>
          <w:sz w:val="24"/>
          <w:szCs w:val="24"/>
        </w:rPr>
        <w:t>1</w:t>
      </w:r>
      <w:r>
        <w:rPr>
          <w:rFonts w:hint="eastAsia" w:ascii="宋体" w:hAnsi="宋体" w:eastAsia="宋体" w:cs="宋体"/>
          <w:b/>
          <w:bCs/>
          <w:color w:val="auto"/>
          <w:sz w:val="24"/>
          <w:szCs w:val="24"/>
          <w:lang w:val="en-US" w:eastAsia="zh-CN"/>
        </w:rPr>
        <w:t>1</w:t>
      </w:r>
      <w:r>
        <w:rPr>
          <w:rFonts w:hint="eastAsia" w:ascii="宋体" w:hAnsi="宋体" w:eastAsia="宋体" w:cs="宋体"/>
          <w:b/>
          <w:bCs/>
          <w:color w:val="auto"/>
          <w:sz w:val="24"/>
          <w:szCs w:val="24"/>
        </w:rPr>
        <w:t>.9</w:t>
      </w:r>
      <w:r>
        <w:rPr>
          <w:rFonts w:hint="eastAsia" w:ascii="宋体" w:hAnsi="宋体" w:eastAsia="宋体" w:cs="宋体"/>
          <w:b/>
          <w:bCs/>
          <w:color w:val="auto"/>
          <w:sz w:val="24"/>
          <w:szCs w:val="24"/>
          <w:lang w:eastAsia="zh-CN"/>
        </w:rPr>
        <w:t>、</w:t>
      </w:r>
      <w:r>
        <w:rPr>
          <w:rFonts w:hint="eastAsia" w:ascii="宋体" w:hAnsi="宋体" w:eastAsia="宋体" w:cs="宋体"/>
          <w:b/>
          <w:bCs/>
          <w:color w:val="auto"/>
          <w:sz w:val="24"/>
          <w:szCs w:val="24"/>
        </w:rPr>
        <w:t>开标时间后</w:t>
      </w:r>
      <w:r>
        <w:rPr>
          <w:rFonts w:hint="eastAsia" w:ascii="宋体" w:hAnsi="宋体" w:eastAsia="宋体" w:cs="宋体"/>
          <w:b/>
          <w:bCs/>
          <w:color w:val="auto"/>
          <w:sz w:val="24"/>
          <w:szCs w:val="24"/>
          <w:lang w:val="en-US" w:eastAsia="zh-CN"/>
        </w:rPr>
        <w:t>30</w:t>
      </w:r>
      <w:r>
        <w:rPr>
          <w:rFonts w:hint="eastAsia" w:ascii="宋体" w:hAnsi="宋体" w:eastAsia="宋体" w:cs="宋体"/>
          <w:b/>
          <w:bCs/>
          <w:color w:val="auto"/>
          <w:sz w:val="24"/>
          <w:szCs w:val="24"/>
        </w:rPr>
        <w:t>分钟内（</w:t>
      </w:r>
      <w:r>
        <w:rPr>
          <w:rFonts w:hint="eastAsia" w:ascii="宋体" w:hAnsi="宋体" w:cs="宋体"/>
          <w:b/>
          <w:bCs/>
          <w:color w:val="auto"/>
          <w:sz w:val="24"/>
          <w:szCs w:val="24"/>
          <w:lang w:eastAsia="zh-CN"/>
        </w:rPr>
        <w:t>2026年10月23日</w:t>
      </w:r>
      <w:r>
        <w:rPr>
          <w:rFonts w:hint="eastAsia" w:ascii="宋体" w:hAnsi="宋体" w:eastAsia="宋体" w:cs="宋体"/>
          <w:b/>
          <w:bCs/>
          <w:color w:val="auto"/>
          <w:sz w:val="24"/>
          <w:szCs w:val="24"/>
          <w:lang w:val="en-US" w:eastAsia="zh-CN"/>
        </w:rPr>
        <w:t>上午11：00</w:t>
      </w:r>
      <w:r>
        <w:rPr>
          <w:rFonts w:hint="eastAsia" w:ascii="宋体" w:hAnsi="宋体" w:eastAsia="宋体" w:cs="宋体"/>
          <w:b/>
          <w:bCs/>
          <w:color w:val="auto"/>
          <w:sz w:val="24"/>
          <w:szCs w:val="24"/>
        </w:rPr>
        <w:t>-</w:t>
      </w:r>
      <w:r>
        <w:rPr>
          <w:rFonts w:hint="eastAsia" w:ascii="宋体" w:hAnsi="宋体" w:eastAsia="宋体" w:cs="宋体"/>
          <w:b/>
          <w:bCs/>
          <w:color w:val="auto"/>
          <w:sz w:val="24"/>
          <w:szCs w:val="24"/>
          <w:lang w:val="en-US" w:eastAsia="zh-CN"/>
        </w:rPr>
        <w:t>11</w:t>
      </w:r>
      <w:r>
        <w:rPr>
          <w:rFonts w:hint="eastAsia" w:ascii="宋体" w:hAnsi="宋体" w:eastAsia="宋体" w:cs="宋体"/>
          <w:b/>
          <w:bCs/>
          <w:color w:val="auto"/>
          <w:sz w:val="24"/>
          <w:szCs w:val="24"/>
        </w:rPr>
        <w:t>：</w:t>
      </w:r>
      <w:r>
        <w:rPr>
          <w:rFonts w:hint="eastAsia" w:ascii="宋体" w:hAnsi="宋体" w:eastAsia="宋体" w:cs="宋体"/>
          <w:b/>
          <w:bCs/>
          <w:color w:val="auto"/>
          <w:sz w:val="24"/>
          <w:szCs w:val="24"/>
          <w:lang w:val="en-US" w:eastAsia="zh-CN"/>
        </w:rPr>
        <w:t>30</w:t>
      </w:r>
      <w:r>
        <w:rPr>
          <w:rFonts w:hint="eastAsia" w:ascii="宋体" w:hAnsi="宋体" w:eastAsia="宋体" w:cs="宋体"/>
          <w:b/>
          <w:bCs/>
          <w:color w:val="auto"/>
          <w:sz w:val="24"/>
          <w:szCs w:val="24"/>
        </w:rPr>
        <w:t>前）供应商可以登录“政采云”平台，用“项目采购-开标评标”功能进行解密投标文件。若供应商在规定时间内（</w:t>
      </w:r>
      <w:r>
        <w:rPr>
          <w:rFonts w:hint="eastAsia" w:ascii="宋体" w:hAnsi="宋体" w:cs="宋体"/>
          <w:b/>
          <w:bCs/>
          <w:color w:val="auto"/>
          <w:sz w:val="24"/>
          <w:szCs w:val="24"/>
          <w:lang w:eastAsia="zh-CN"/>
        </w:rPr>
        <w:t>2026年10月23日</w:t>
      </w:r>
      <w:r>
        <w:rPr>
          <w:rFonts w:hint="eastAsia" w:ascii="宋体" w:hAnsi="宋体" w:eastAsia="宋体" w:cs="宋体"/>
          <w:b/>
          <w:bCs/>
          <w:color w:val="auto"/>
          <w:sz w:val="24"/>
          <w:szCs w:val="24"/>
          <w:lang w:val="en-US" w:eastAsia="zh-CN"/>
        </w:rPr>
        <w:t>上午11：00</w:t>
      </w:r>
      <w:r>
        <w:rPr>
          <w:rFonts w:hint="eastAsia" w:ascii="宋体" w:hAnsi="宋体" w:eastAsia="宋体" w:cs="宋体"/>
          <w:b/>
          <w:bCs/>
          <w:color w:val="auto"/>
          <w:sz w:val="24"/>
          <w:szCs w:val="24"/>
        </w:rPr>
        <w:t>-</w:t>
      </w:r>
      <w:r>
        <w:rPr>
          <w:rFonts w:hint="eastAsia" w:ascii="宋体" w:hAnsi="宋体" w:eastAsia="宋体" w:cs="宋体"/>
          <w:b/>
          <w:bCs/>
          <w:color w:val="auto"/>
          <w:sz w:val="24"/>
          <w:szCs w:val="24"/>
          <w:lang w:val="en-US" w:eastAsia="zh-CN"/>
        </w:rPr>
        <w:t>11</w:t>
      </w:r>
      <w:r>
        <w:rPr>
          <w:rFonts w:hint="eastAsia" w:ascii="宋体" w:hAnsi="宋体" w:eastAsia="宋体" w:cs="宋体"/>
          <w:b/>
          <w:bCs/>
          <w:color w:val="auto"/>
          <w:sz w:val="24"/>
          <w:szCs w:val="24"/>
        </w:rPr>
        <w:t>：</w:t>
      </w:r>
      <w:r>
        <w:rPr>
          <w:rFonts w:hint="eastAsia" w:ascii="宋体" w:hAnsi="宋体" w:eastAsia="宋体" w:cs="宋体"/>
          <w:b/>
          <w:bCs/>
          <w:color w:val="auto"/>
          <w:sz w:val="24"/>
          <w:szCs w:val="24"/>
          <w:lang w:val="en-US" w:eastAsia="zh-CN"/>
        </w:rPr>
        <w:t>30</w:t>
      </w:r>
      <w:r>
        <w:rPr>
          <w:rFonts w:hint="eastAsia" w:ascii="宋体" w:hAnsi="宋体" w:eastAsia="宋体" w:cs="宋体"/>
          <w:b/>
          <w:bCs/>
          <w:color w:val="auto"/>
          <w:sz w:val="24"/>
          <w:szCs w:val="24"/>
        </w:rPr>
        <w:t>前）未按时解密的，视为投标文件撤回。</w:t>
      </w:r>
    </w:p>
    <w:p w14:paraId="00937750">
      <w:pPr>
        <w:widowControl/>
        <w:spacing w:line="340" w:lineRule="exact"/>
        <w:ind w:firstLine="482" w:firstLineChars="200"/>
        <w:jc w:val="left"/>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1</w:t>
      </w:r>
      <w:r>
        <w:rPr>
          <w:rFonts w:hint="eastAsia" w:ascii="宋体" w:hAnsi="宋体" w:eastAsia="宋体" w:cs="宋体"/>
          <w:b/>
          <w:bCs/>
          <w:color w:val="auto"/>
          <w:kern w:val="0"/>
          <w:sz w:val="24"/>
          <w:szCs w:val="24"/>
          <w:lang w:val="en-US" w:eastAsia="zh-CN"/>
        </w:rPr>
        <w:t>2</w:t>
      </w:r>
      <w:r>
        <w:rPr>
          <w:rFonts w:hint="eastAsia" w:ascii="宋体" w:hAnsi="宋体" w:eastAsia="宋体" w:cs="宋体"/>
          <w:b/>
          <w:bCs/>
          <w:color w:val="auto"/>
          <w:kern w:val="0"/>
          <w:sz w:val="24"/>
          <w:szCs w:val="24"/>
        </w:rPr>
        <w:t>.1.投标文件的准备和解密</w:t>
      </w:r>
    </w:p>
    <w:p w14:paraId="0924BC12">
      <w:pPr>
        <w:widowControl/>
        <w:autoSpaceDE w:val="0"/>
        <w:autoSpaceDN w:val="0"/>
        <w:adjustRightInd w:val="0"/>
        <w:snapToGrid w:val="0"/>
        <w:spacing w:line="340" w:lineRule="exact"/>
        <w:ind w:firstLine="482" w:firstLineChars="200"/>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lang w:val="en-US" w:eastAsia="zh-CN"/>
        </w:rPr>
        <w:t>12.</w:t>
      </w:r>
      <w:r>
        <w:rPr>
          <w:rFonts w:hint="eastAsia" w:ascii="宋体" w:hAnsi="宋体" w:eastAsia="宋体" w:cs="宋体"/>
          <w:b/>
          <w:bCs/>
          <w:color w:val="auto"/>
          <w:kern w:val="0"/>
          <w:sz w:val="24"/>
          <w:szCs w:val="24"/>
        </w:rPr>
        <w:t xml:space="preserve">1、本项目实行网上投标，采用电子投标文件。若供应商参与投标，自行承担投标一切费用。 </w:t>
      </w:r>
    </w:p>
    <w:p w14:paraId="74418AC2">
      <w:pPr>
        <w:widowControl/>
        <w:autoSpaceDE w:val="0"/>
        <w:autoSpaceDN w:val="0"/>
        <w:adjustRightInd w:val="0"/>
        <w:snapToGrid w:val="0"/>
        <w:spacing w:line="340" w:lineRule="exact"/>
        <w:ind w:firstLine="482" w:firstLineChars="200"/>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lang w:val="en-US" w:eastAsia="zh-CN"/>
        </w:rPr>
        <w:t>12.</w:t>
      </w:r>
      <w:r>
        <w:rPr>
          <w:rFonts w:hint="eastAsia" w:ascii="宋体" w:hAnsi="宋体" w:eastAsia="宋体" w:cs="宋体"/>
          <w:b/>
          <w:bCs/>
          <w:color w:val="auto"/>
          <w:kern w:val="0"/>
          <w:sz w:val="24"/>
          <w:szCs w:val="24"/>
        </w:rPr>
        <w:t xml:space="preserve">2、各供应商应在开标前应确保成为新疆维吾尔自治区政府采购网正式注册入库供应商，并完成CA数字证书申领。因未注册入库、未办理CA数字证书等原因造成无法投标或投标失败等后果由供应商自行承担。 </w:t>
      </w:r>
    </w:p>
    <w:p w14:paraId="7D358B93">
      <w:pPr>
        <w:widowControl/>
        <w:autoSpaceDE w:val="0"/>
        <w:autoSpaceDN w:val="0"/>
        <w:adjustRightInd w:val="0"/>
        <w:snapToGrid w:val="0"/>
        <w:spacing w:line="340" w:lineRule="exact"/>
        <w:ind w:firstLine="482" w:firstLineChars="200"/>
        <w:rPr>
          <w:rFonts w:hint="eastAsia" w:ascii="宋体" w:hAnsi="宋体" w:eastAsia="宋体" w:cs="宋体"/>
          <w:b/>
          <w:bCs/>
          <w:color w:val="auto"/>
          <w:kern w:val="0"/>
          <w:sz w:val="24"/>
          <w:szCs w:val="24"/>
          <w:lang w:val="en-US" w:eastAsia="zh-CN"/>
        </w:rPr>
      </w:pPr>
      <w:r>
        <w:rPr>
          <w:rFonts w:hint="eastAsia" w:ascii="宋体" w:hAnsi="宋体" w:eastAsia="宋体" w:cs="宋体"/>
          <w:b/>
          <w:bCs/>
          <w:color w:val="auto"/>
          <w:kern w:val="0"/>
          <w:sz w:val="24"/>
          <w:szCs w:val="24"/>
          <w:lang w:val="en-US" w:eastAsia="zh-CN"/>
        </w:rPr>
        <w:t>12.</w:t>
      </w:r>
      <w:r>
        <w:rPr>
          <w:rFonts w:hint="eastAsia" w:ascii="宋体" w:hAnsi="宋体" w:eastAsia="宋体" w:cs="宋体"/>
          <w:b/>
          <w:bCs/>
          <w:color w:val="auto"/>
          <w:kern w:val="0"/>
          <w:sz w:val="24"/>
          <w:szCs w:val="24"/>
        </w:rPr>
        <w:t>3、</w:t>
      </w:r>
      <w:r>
        <w:rPr>
          <w:rFonts w:hint="eastAsia" w:ascii="宋体" w:hAnsi="宋体" w:eastAsia="宋体" w:cs="宋体"/>
          <w:b/>
          <w:bCs/>
          <w:color w:val="auto"/>
          <w:kern w:val="0"/>
          <w:sz w:val="24"/>
          <w:szCs w:val="24"/>
          <w:lang w:val="en-US" w:eastAsia="zh-CN"/>
        </w:rPr>
        <w:t>本项目为电子招投标，投标人需要使用CA加密设备，有意向参与新疆区域电子开评标的供应商，请访问新疆数字证书认证中心官方网站（https://www.xjca.com.cn/）或下载“新疆政务通”APP自行进行申领。如需咨询，请联系新疆CA服务热线0991-2819290</w:t>
      </w:r>
    </w:p>
    <w:p w14:paraId="39774168">
      <w:pPr>
        <w:widowControl/>
        <w:autoSpaceDE w:val="0"/>
        <w:autoSpaceDN w:val="0"/>
        <w:adjustRightInd w:val="0"/>
        <w:snapToGrid w:val="0"/>
        <w:spacing w:line="340" w:lineRule="exact"/>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 xml:space="preserve"> </w:t>
      </w:r>
      <w:r>
        <w:rPr>
          <w:rFonts w:hint="eastAsia" w:ascii="宋体" w:hAnsi="宋体" w:eastAsia="宋体" w:cs="宋体"/>
          <w:b/>
          <w:bCs/>
          <w:color w:val="auto"/>
          <w:kern w:val="0"/>
          <w:sz w:val="24"/>
          <w:szCs w:val="24"/>
          <w:lang w:val="en-US" w:eastAsia="zh-CN"/>
        </w:rPr>
        <w:t xml:space="preserve">  12.</w:t>
      </w:r>
      <w:r>
        <w:rPr>
          <w:rFonts w:hint="eastAsia" w:ascii="宋体" w:hAnsi="宋体" w:eastAsia="宋体" w:cs="宋体"/>
          <w:b/>
          <w:bCs/>
          <w:color w:val="auto"/>
          <w:kern w:val="0"/>
          <w:sz w:val="24"/>
          <w:szCs w:val="24"/>
        </w:rPr>
        <w:t>4、供应商将政采云电子交易客户端下载、安装完成后，可通过账号密码或CA登录客户端进行投标文件制作。在使用政采云投标客户端时，建议使用WIN7及以上操作系统。客户端请至新疆政府采购网（http://www.ccgp-xinjiang.gov.cn/）下载专区查看，如有问题可拨打政采云客户服务热线</w:t>
      </w:r>
      <w:r>
        <w:rPr>
          <w:rFonts w:hint="eastAsia" w:ascii="宋体" w:hAnsi="宋体" w:cs="宋体"/>
          <w:b/>
          <w:bCs/>
          <w:color w:val="auto"/>
          <w:kern w:val="0"/>
          <w:sz w:val="24"/>
          <w:szCs w:val="24"/>
          <w:lang w:eastAsia="zh-CN"/>
        </w:rPr>
        <w:t>95763</w:t>
      </w:r>
      <w:r>
        <w:rPr>
          <w:rFonts w:hint="eastAsia" w:ascii="宋体" w:hAnsi="宋体" w:eastAsia="宋体" w:cs="宋体"/>
          <w:b/>
          <w:bCs/>
          <w:color w:val="auto"/>
          <w:kern w:val="0"/>
          <w:sz w:val="24"/>
          <w:szCs w:val="24"/>
        </w:rPr>
        <w:t>进行咨询。</w:t>
      </w:r>
    </w:p>
    <w:p w14:paraId="1A142B34">
      <w:pPr>
        <w:widowControl/>
        <w:spacing w:line="340" w:lineRule="exact"/>
        <w:ind w:firstLine="482" w:firstLineChars="200"/>
        <w:jc w:val="left"/>
        <w:rPr>
          <w:rFonts w:hint="eastAsia" w:ascii="宋体" w:hAnsi="宋体" w:eastAsia="宋体" w:cs="宋体"/>
          <w:b/>
          <w:bCs/>
          <w:color w:val="auto"/>
          <w:kern w:val="0"/>
          <w:sz w:val="24"/>
          <w:szCs w:val="24"/>
          <w:lang w:val="en-US" w:eastAsia="zh-CN"/>
        </w:rPr>
      </w:pPr>
      <w:r>
        <w:rPr>
          <w:rFonts w:hint="eastAsia" w:ascii="宋体" w:hAnsi="宋体" w:eastAsia="宋体" w:cs="宋体"/>
          <w:b/>
          <w:bCs/>
          <w:color w:val="auto"/>
          <w:kern w:val="0"/>
          <w:sz w:val="24"/>
          <w:szCs w:val="24"/>
          <w:lang w:val="en-US" w:eastAsia="zh-CN"/>
        </w:rPr>
        <w:t>12</w:t>
      </w:r>
      <w:r>
        <w:rPr>
          <w:rFonts w:hint="eastAsia" w:ascii="宋体" w:hAnsi="宋体" w:eastAsia="宋体" w:cs="宋体"/>
          <w:b/>
          <w:bCs/>
          <w:color w:val="auto"/>
          <w:kern w:val="0"/>
          <w:sz w:val="24"/>
          <w:szCs w:val="24"/>
        </w:rPr>
        <w:t>.1.</w:t>
      </w:r>
      <w:r>
        <w:rPr>
          <w:rFonts w:hint="eastAsia" w:ascii="宋体" w:hAnsi="宋体" w:eastAsia="宋体" w:cs="宋体"/>
          <w:b/>
          <w:bCs/>
          <w:color w:val="auto"/>
          <w:kern w:val="0"/>
          <w:sz w:val="24"/>
          <w:szCs w:val="24"/>
          <w:lang w:val="en-US" w:eastAsia="zh-CN"/>
        </w:rPr>
        <w:t>5开标时间后30分钟内（</w:t>
      </w:r>
      <w:r>
        <w:rPr>
          <w:rFonts w:hint="eastAsia" w:ascii="宋体" w:hAnsi="宋体" w:cs="宋体"/>
          <w:b/>
          <w:bCs/>
          <w:color w:val="auto"/>
          <w:sz w:val="24"/>
          <w:szCs w:val="24"/>
          <w:lang w:eastAsia="zh-CN"/>
        </w:rPr>
        <w:t>2026年10月23日</w:t>
      </w:r>
      <w:r>
        <w:rPr>
          <w:rFonts w:hint="eastAsia" w:ascii="宋体" w:hAnsi="宋体" w:eastAsia="宋体" w:cs="宋体"/>
          <w:b/>
          <w:bCs/>
          <w:color w:val="auto"/>
          <w:sz w:val="24"/>
          <w:szCs w:val="24"/>
          <w:lang w:val="en-US" w:eastAsia="zh-CN"/>
        </w:rPr>
        <w:t>上午11：00</w:t>
      </w:r>
      <w:r>
        <w:rPr>
          <w:rFonts w:hint="eastAsia" w:ascii="宋体" w:hAnsi="宋体" w:eastAsia="宋体" w:cs="宋体"/>
          <w:b/>
          <w:bCs/>
          <w:color w:val="auto"/>
          <w:sz w:val="24"/>
          <w:szCs w:val="24"/>
        </w:rPr>
        <w:t>-</w:t>
      </w:r>
      <w:r>
        <w:rPr>
          <w:rFonts w:hint="eastAsia" w:ascii="宋体" w:hAnsi="宋体" w:eastAsia="宋体" w:cs="宋体"/>
          <w:b/>
          <w:bCs/>
          <w:color w:val="auto"/>
          <w:sz w:val="24"/>
          <w:szCs w:val="24"/>
          <w:lang w:val="en-US" w:eastAsia="zh-CN"/>
        </w:rPr>
        <w:t>11</w:t>
      </w:r>
      <w:r>
        <w:rPr>
          <w:rFonts w:hint="eastAsia" w:ascii="宋体" w:hAnsi="宋体" w:eastAsia="宋体" w:cs="宋体"/>
          <w:b/>
          <w:bCs/>
          <w:color w:val="auto"/>
          <w:sz w:val="24"/>
          <w:szCs w:val="24"/>
        </w:rPr>
        <w:t>：</w:t>
      </w:r>
      <w:r>
        <w:rPr>
          <w:rFonts w:hint="eastAsia" w:ascii="宋体" w:hAnsi="宋体" w:eastAsia="宋体" w:cs="宋体"/>
          <w:b/>
          <w:bCs/>
          <w:color w:val="auto"/>
          <w:sz w:val="24"/>
          <w:szCs w:val="24"/>
          <w:lang w:val="en-US" w:eastAsia="zh-CN"/>
        </w:rPr>
        <w:t>30</w:t>
      </w:r>
      <w:r>
        <w:rPr>
          <w:rFonts w:hint="eastAsia" w:ascii="宋体" w:hAnsi="宋体" w:eastAsia="宋体" w:cs="宋体"/>
          <w:b/>
          <w:bCs/>
          <w:color w:val="auto"/>
          <w:kern w:val="0"/>
          <w:sz w:val="24"/>
          <w:szCs w:val="24"/>
          <w:lang w:val="en-US" w:eastAsia="zh-CN"/>
        </w:rPr>
        <w:t>前）供应商可以登录“政采云”平台，用“项目采购-开标评标”功能进行解密投标文件。若供应商在规定时间内（</w:t>
      </w:r>
      <w:r>
        <w:rPr>
          <w:rFonts w:hint="eastAsia" w:ascii="宋体" w:hAnsi="宋体" w:cs="宋体"/>
          <w:b/>
          <w:bCs/>
          <w:color w:val="auto"/>
          <w:sz w:val="24"/>
          <w:szCs w:val="24"/>
          <w:lang w:eastAsia="zh-CN"/>
        </w:rPr>
        <w:t>2026年10月23日</w:t>
      </w:r>
      <w:r>
        <w:rPr>
          <w:rFonts w:hint="eastAsia" w:ascii="宋体" w:hAnsi="宋体" w:eastAsia="宋体" w:cs="宋体"/>
          <w:b/>
          <w:bCs/>
          <w:color w:val="auto"/>
          <w:sz w:val="24"/>
          <w:szCs w:val="24"/>
          <w:lang w:val="en-US" w:eastAsia="zh-CN"/>
        </w:rPr>
        <w:t>上午11：00</w:t>
      </w:r>
      <w:r>
        <w:rPr>
          <w:rFonts w:hint="eastAsia" w:ascii="宋体" w:hAnsi="宋体" w:eastAsia="宋体" w:cs="宋体"/>
          <w:b/>
          <w:bCs/>
          <w:color w:val="auto"/>
          <w:sz w:val="24"/>
          <w:szCs w:val="24"/>
        </w:rPr>
        <w:t>-</w:t>
      </w:r>
      <w:r>
        <w:rPr>
          <w:rFonts w:hint="eastAsia" w:ascii="宋体" w:hAnsi="宋体" w:eastAsia="宋体" w:cs="宋体"/>
          <w:b/>
          <w:bCs/>
          <w:color w:val="auto"/>
          <w:sz w:val="24"/>
          <w:szCs w:val="24"/>
          <w:lang w:val="en-US" w:eastAsia="zh-CN"/>
        </w:rPr>
        <w:t>11</w:t>
      </w:r>
      <w:r>
        <w:rPr>
          <w:rFonts w:hint="eastAsia" w:ascii="宋体" w:hAnsi="宋体" w:eastAsia="宋体" w:cs="宋体"/>
          <w:b/>
          <w:bCs/>
          <w:color w:val="auto"/>
          <w:sz w:val="24"/>
          <w:szCs w:val="24"/>
        </w:rPr>
        <w:t>：</w:t>
      </w:r>
      <w:r>
        <w:rPr>
          <w:rFonts w:hint="eastAsia" w:ascii="宋体" w:hAnsi="宋体" w:eastAsia="宋体" w:cs="宋体"/>
          <w:b/>
          <w:bCs/>
          <w:color w:val="auto"/>
          <w:sz w:val="24"/>
          <w:szCs w:val="24"/>
          <w:lang w:val="en-US" w:eastAsia="zh-CN"/>
        </w:rPr>
        <w:t>30</w:t>
      </w:r>
      <w:r>
        <w:rPr>
          <w:rFonts w:hint="eastAsia" w:ascii="宋体" w:hAnsi="宋体" w:eastAsia="宋体" w:cs="宋体"/>
          <w:b/>
          <w:bCs/>
          <w:color w:val="auto"/>
          <w:kern w:val="0"/>
          <w:sz w:val="24"/>
          <w:szCs w:val="24"/>
          <w:lang w:val="en-US" w:eastAsia="zh-CN"/>
        </w:rPr>
        <w:t>前）未按时解密的，视为投标文件撤回。</w:t>
      </w:r>
    </w:p>
    <w:p w14:paraId="26BB843A">
      <w:pPr>
        <w:widowControl/>
        <w:spacing w:line="340" w:lineRule="exact"/>
        <w:ind w:firstLine="482" w:firstLineChars="200"/>
        <w:jc w:val="left"/>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1</w:t>
      </w:r>
      <w:r>
        <w:rPr>
          <w:rFonts w:hint="eastAsia" w:ascii="宋体" w:hAnsi="宋体" w:eastAsia="宋体" w:cs="宋体"/>
          <w:b/>
          <w:bCs/>
          <w:color w:val="auto"/>
          <w:kern w:val="0"/>
          <w:sz w:val="24"/>
          <w:szCs w:val="24"/>
          <w:lang w:val="en-US" w:eastAsia="zh-CN"/>
        </w:rPr>
        <w:t>2</w:t>
      </w:r>
      <w:r>
        <w:rPr>
          <w:rFonts w:hint="eastAsia" w:ascii="宋体" w:hAnsi="宋体" w:eastAsia="宋体" w:cs="宋体"/>
          <w:b/>
          <w:bCs/>
          <w:color w:val="auto"/>
          <w:kern w:val="0"/>
          <w:sz w:val="24"/>
          <w:szCs w:val="24"/>
        </w:rPr>
        <w:t>.1.</w:t>
      </w:r>
      <w:r>
        <w:rPr>
          <w:rFonts w:hint="eastAsia" w:ascii="宋体" w:hAnsi="宋体" w:eastAsia="宋体" w:cs="宋体"/>
          <w:b/>
          <w:bCs/>
          <w:color w:val="auto"/>
          <w:kern w:val="0"/>
          <w:sz w:val="24"/>
          <w:szCs w:val="24"/>
          <w:lang w:val="en-US" w:eastAsia="zh-CN"/>
        </w:rPr>
        <w:t>6</w:t>
      </w:r>
      <w:r>
        <w:rPr>
          <w:rFonts w:hint="eastAsia" w:ascii="宋体" w:hAnsi="宋体" w:eastAsia="宋体" w:cs="宋体"/>
          <w:b/>
          <w:bCs/>
          <w:color w:val="auto"/>
          <w:kern w:val="0"/>
          <w:sz w:val="24"/>
          <w:szCs w:val="24"/>
        </w:rPr>
        <w:t>因系统（非投标供应商行为）的原因，造成投标供应商未能在规定的解密时限内解密的，请及时与招标代理机构或新疆政府采购网投标客户端进行联系。</w:t>
      </w:r>
    </w:p>
    <w:p w14:paraId="2B89A5F1">
      <w:pPr>
        <w:widowControl/>
        <w:autoSpaceDE w:val="0"/>
        <w:autoSpaceDN w:val="0"/>
        <w:adjustRightInd w:val="0"/>
        <w:snapToGrid w:val="0"/>
        <w:spacing w:line="340" w:lineRule="exact"/>
        <w:ind w:firstLine="482" w:firstLineChars="200"/>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1</w:t>
      </w:r>
      <w:r>
        <w:rPr>
          <w:rFonts w:hint="eastAsia" w:ascii="宋体" w:hAnsi="宋体" w:eastAsia="宋体" w:cs="宋体"/>
          <w:b/>
          <w:bCs/>
          <w:color w:val="auto"/>
          <w:kern w:val="0"/>
          <w:sz w:val="24"/>
          <w:szCs w:val="24"/>
          <w:lang w:val="en-US" w:eastAsia="zh-CN"/>
        </w:rPr>
        <w:t>2</w:t>
      </w:r>
      <w:r>
        <w:rPr>
          <w:rFonts w:hint="eastAsia" w:ascii="宋体" w:hAnsi="宋体" w:eastAsia="宋体" w:cs="宋体"/>
          <w:b/>
          <w:bCs/>
          <w:color w:val="auto"/>
          <w:kern w:val="0"/>
          <w:sz w:val="24"/>
          <w:szCs w:val="24"/>
        </w:rPr>
        <w:t>.1.</w:t>
      </w:r>
      <w:r>
        <w:rPr>
          <w:rFonts w:hint="eastAsia" w:ascii="宋体" w:hAnsi="宋体" w:eastAsia="宋体" w:cs="宋体"/>
          <w:b/>
          <w:bCs/>
          <w:color w:val="auto"/>
          <w:kern w:val="0"/>
          <w:sz w:val="24"/>
          <w:szCs w:val="24"/>
          <w:lang w:val="en-US" w:eastAsia="zh-CN"/>
        </w:rPr>
        <w:t>7</w:t>
      </w:r>
      <w:r>
        <w:rPr>
          <w:rFonts w:hint="eastAsia" w:ascii="宋体" w:hAnsi="宋体" w:eastAsia="宋体" w:cs="宋体"/>
          <w:b/>
          <w:bCs/>
          <w:color w:val="auto"/>
          <w:kern w:val="0"/>
          <w:sz w:val="24"/>
          <w:szCs w:val="24"/>
        </w:rPr>
        <w:t>投标文件未按规定上传的，视为其自动放弃投标。</w:t>
      </w:r>
    </w:p>
    <w:p w14:paraId="3B102E46">
      <w:pPr>
        <w:widowControl/>
        <w:shd w:val="clear" w:color="auto" w:fill="FFFFFF"/>
        <w:snapToGrid w:val="0"/>
        <w:spacing w:line="340" w:lineRule="exact"/>
        <w:ind w:firstLine="482" w:firstLineChars="200"/>
        <w:jc w:val="left"/>
        <w:rPr>
          <w:rFonts w:hint="eastAsia" w:ascii="宋体" w:hAnsi="宋体" w:eastAsia="宋体" w:cs="宋体"/>
          <w:b/>
          <w:color w:val="auto"/>
          <w:kern w:val="0"/>
          <w:sz w:val="24"/>
          <w:szCs w:val="24"/>
        </w:rPr>
      </w:pPr>
      <w:r>
        <w:rPr>
          <w:rFonts w:hint="eastAsia" w:ascii="宋体" w:hAnsi="宋体" w:eastAsia="宋体" w:cs="宋体"/>
          <w:b/>
          <w:color w:val="auto"/>
          <w:kern w:val="0"/>
          <w:sz w:val="24"/>
          <w:szCs w:val="24"/>
        </w:rPr>
        <w:t>1</w:t>
      </w:r>
      <w:r>
        <w:rPr>
          <w:rFonts w:hint="eastAsia" w:ascii="宋体" w:hAnsi="宋体" w:eastAsia="宋体" w:cs="宋体"/>
          <w:b/>
          <w:color w:val="auto"/>
          <w:kern w:val="0"/>
          <w:sz w:val="24"/>
          <w:szCs w:val="24"/>
          <w:lang w:val="en-US" w:eastAsia="zh-CN"/>
        </w:rPr>
        <w:t>2</w:t>
      </w:r>
      <w:r>
        <w:rPr>
          <w:rFonts w:hint="eastAsia" w:ascii="宋体" w:hAnsi="宋体" w:eastAsia="宋体" w:cs="宋体"/>
          <w:b/>
          <w:color w:val="auto"/>
          <w:kern w:val="0"/>
          <w:sz w:val="24"/>
          <w:szCs w:val="24"/>
        </w:rPr>
        <w:t>.2</w:t>
      </w:r>
      <w:r>
        <w:rPr>
          <w:rFonts w:hint="eastAsia" w:ascii="宋体" w:hAnsi="宋体" w:eastAsia="宋体" w:cs="宋体"/>
          <w:b/>
          <w:bCs/>
          <w:color w:val="auto"/>
          <w:kern w:val="0"/>
          <w:sz w:val="24"/>
          <w:szCs w:val="24"/>
        </w:rPr>
        <w:t xml:space="preserve">. </w:t>
      </w:r>
      <w:r>
        <w:rPr>
          <w:rFonts w:hint="eastAsia" w:ascii="宋体" w:hAnsi="宋体" w:eastAsia="宋体" w:cs="宋体"/>
          <w:b/>
          <w:color w:val="auto"/>
          <w:kern w:val="0"/>
          <w:sz w:val="24"/>
          <w:szCs w:val="24"/>
        </w:rPr>
        <w:t>投标文件的修改与撤回</w:t>
      </w:r>
    </w:p>
    <w:p w14:paraId="46D90A2F">
      <w:pPr>
        <w:widowControl/>
        <w:spacing w:line="340" w:lineRule="exact"/>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r>
        <w:rPr>
          <w:rFonts w:hint="eastAsia" w:ascii="宋体" w:hAnsi="宋体" w:eastAsia="宋体" w:cs="宋体"/>
          <w:color w:val="auto"/>
          <w:kern w:val="0"/>
          <w:sz w:val="24"/>
          <w:szCs w:val="24"/>
          <w:lang w:val="en-US" w:eastAsia="zh-CN"/>
        </w:rPr>
        <w:t>2</w:t>
      </w:r>
      <w:r>
        <w:rPr>
          <w:rFonts w:hint="eastAsia" w:ascii="宋体" w:hAnsi="宋体" w:eastAsia="宋体" w:cs="宋体"/>
          <w:color w:val="auto"/>
          <w:kern w:val="0"/>
          <w:sz w:val="24"/>
          <w:szCs w:val="24"/>
        </w:rPr>
        <w:t>.2.1投标人在投标截止时间前，可以对所递交的投标文件进行补充、修改或者撤回，并书面通知采购人或者采购代理机构。补充、修改的内容应当按照招标文件要求签署、盖章</w:t>
      </w:r>
      <w:r>
        <w:rPr>
          <w:rFonts w:hint="eastAsia" w:ascii="宋体" w:hAnsi="宋体" w:eastAsia="宋体" w:cs="宋体"/>
          <w:color w:val="auto"/>
          <w:kern w:val="0"/>
          <w:sz w:val="24"/>
          <w:szCs w:val="24"/>
          <w:lang w:val="en-US" w:eastAsia="zh-CN"/>
        </w:rPr>
        <w:t>后</w:t>
      </w:r>
      <w:r>
        <w:rPr>
          <w:rFonts w:hint="eastAsia" w:ascii="宋体" w:hAnsi="宋体" w:eastAsia="宋体" w:cs="宋体"/>
          <w:color w:val="auto"/>
          <w:kern w:val="0"/>
          <w:sz w:val="24"/>
          <w:szCs w:val="24"/>
        </w:rPr>
        <w:t>，作为投标文件的组成部分。</w:t>
      </w:r>
    </w:p>
    <w:p w14:paraId="7E2DDFA4">
      <w:pPr>
        <w:widowControl/>
        <w:spacing w:line="340" w:lineRule="exact"/>
        <w:ind w:firstLine="480" w:firstLineChars="200"/>
        <w:jc w:val="left"/>
        <w:rPr>
          <w:rFonts w:hint="eastAsia" w:ascii="宋体" w:hAnsi="宋体" w:eastAsia="宋体" w:cs="宋体"/>
          <w:b/>
          <w:color w:val="auto"/>
          <w:kern w:val="0"/>
          <w:sz w:val="24"/>
          <w:szCs w:val="24"/>
        </w:rPr>
      </w:pPr>
      <w:r>
        <w:rPr>
          <w:rFonts w:hint="eastAsia" w:ascii="宋体" w:hAnsi="宋体" w:eastAsia="宋体" w:cs="宋体"/>
          <w:color w:val="auto"/>
          <w:kern w:val="0"/>
          <w:sz w:val="24"/>
          <w:szCs w:val="24"/>
        </w:rPr>
        <w:t>1</w:t>
      </w:r>
      <w:r>
        <w:rPr>
          <w:rFonts w:hint="eastAsia" w:ascii="宋体" w:hAnsi="宋体" w:eastAsia="宋体" w:cs="宋体"/>
          <w:color w:val="auto"/>
          <w:kern w:val="0"/>
          <w:sz w:val="24"/>
          <w:szCs w:val="24"/>
          <w:lang w:val="en-US" w:eastAsia="zh-CN"/>
        </w:rPr>
        <w:t>2</w:t>
      </w:r>
      <w:r>
        <w:rPr>
          <w:rFonts w:hint="eastAsia" w:ascii="宋体" w:hAnsi="宋体" w:eastAsia="宋体" w:cs="宋体"/>
          <w:color w:val="auto"/>
          <w:kern w:val="0"/>
          <w:sz w:val="24"/>
          <w:szCs w:val="24"/>
        </w:rPr>
        <w:t>.2.2投标人在投标截止期后不得修改、撤回投标文件。</w:t>
      </w:r>
      <w:r>
        <w:rPr>
          <w:rFonts w:hint="eastAsia" w:ascii="宋体" w:hAnsi="宋体" w:eastAsia="宋体" w:cs="宋体"/>
          <w:b/>
          <w:color w:val="auto"/>
          <w:kern w:val="0"/>
          <w:sz w:val="24"/>
          <w:szCs w:val="24"/>
        </w:rPr>
        <w:t>投标人在投标截止期后修改投标文件的，其投标无效。</w:t>
      </w:r>
    </w:p>
    <w:p w14:paraId="56CE0227">
      <w:pPr>
        <w:widowControl/>
        <w:autoSpaceDE w:val="0"/>
        <w:autoSpaceDN w:val="0"/>
        <w:adjustRightInd w:val="0"/>
        <w:snapToGrid w:val="0"/>
        <w:spacing w:line="340" w:lineRule="exact"/>
        <w:ind w:firstLine="482" w:firstLineChars="200"/>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1</w:t>
      </w:r>
      <w:r>
        <w:rPr>
          <w:rFonts w:hint="eastAsia" w:ascii="宋体" w:hAnsi="宋体" w:eastAsia="宋体" w:cs="宋体"/>
          <w:b/>
          <w:bCs/>
          <w:color w:val="auto"/>
          <w:kern w:val="0"/>
          <w:sz w:val="24"/>
          <w:szCs w:val="24"/>
          <w:lang w:val="en-US" w:eastAsia="zh-CN"/>
        </w:rPr>
        <w:t>2</w:t>
      </w:r>
      <w:r>
        <w:rPr>
          <w:rFonts w:hint="eastAsia" w:ascii="宋体" w:hAnsi="宋体" w:eastAsia="宋体" w:cs="宋体"/>
          <w:b/>
          <w:bCs/>
          <w:color w:val="auto"/>
          <w:kern w:val="0"/>
          <w:sz w:val="24"/>
          <w:szCs w:val="24"/>
        </w:rPr>
        <w:t>.2.3若供应商在规定的时间内（“投标人须知前附表”的中规定）未能解密的，也将被视为供应商对其投标文件的撤回。</w:t>
      </w:r>
    </w:p>
    <w:p w14:paraId="32EE1B6B">
      <w:pPr>
        <w:numPr>
          <w:ilvl w:val="0"/>
          <w:numId w:val="0"/>
        </w:numPr>
        <w:spacing w:line="460" w:lineRule="exact"/>
        <w:jc w:val="center"/>
        <w:outlineLvl w:val="2"/>
        <w:rPr>
          <w:rFonts w:hint="eastAsia" w:ascii="宋体" w:hAnsi="宋体" w:eastAsia="宋体" w:cs="宋体"/>
          <w:b/>
          <w:color w:val="auto"/>
          <w:sz w:val="28"/>
          <w:szCs w:val="28"/>
        </w:rPr>
      </w:pPr>
      <w:bookmarkStart w:id="16" w:name="_Toc18548"/>
      <w:bookmarkStart w:id="17" w:name="_Toc17234"/>
      <w:r>
        <w:rPr>
          <w:rFonts w:hint="eastAsia" w:ascii="宋体" w:hAnsi="宋体" w:eastAsia="宋体" w:cs="宋体"/>
          <w:b/>
          <w:color w:val="auto"/>
          <w:sz w:val="28"/>
          <w:szCs w:val="28"/>
          <w:lang w:val="en-US" w:eastAsia="zh-CN"/>
        </w:rPr>
        <w:t>五、</w:t>
      </w:r>
      <w:r>
        <w:rPr>
          <w:rFonts w:hint="eastAsia" w:ascii="宋体" w:hAnsi="宋体" w:eastAsia="宋体" w:cs="宋体"/>
          <w:b/>
          <w:color w:val="auto"/>
          <w:sz w:val="28"/>
          <w:szCs w:val="28"/>
        </w:rPr>
        <w:t>开    标</w:t>
      </w:r>
      <w:bookmarkEnd w:id="16"/>
      <w:bookmarkEnd w:id="17"/>
    </w:p>
    <w:p w14:paraId="4D47DB8F">
      <w:pPr>
        <w:spacing w:line="460" w:lineRule="exact"/>
        <w:rPr>
          <w:rFonts w:hint="eastAsia" w:ascii="宋体" w:hAnsi="宋体" w:eastAsia="宋体" w:cs="宋体"/>
          <w:b/>
          <w:bCs/>
          <w:color w:val="auto"/>
          <w:kern w:val="0"/>
          <w:sz w:val="24"/>
          <w:szCs w:val="24"/>
        </w:rPr>
      </w:pPr>
      <w:r>
        <w:rPr>
          <w:rFonts w:hint="eastAsia" w:ascii="宋体" w:hAnsi="宋体" w:eastAsia="宋体" w:cs="宋体"/>
          <w:b/>
          <w:bCs/>
          <w:color w:val="auto"/>
          <w:sz w:val="24"/>
          <w:szCs w:val="24"/>
        </w:rPr>
        <w:t>1</w:t>
      </w:r>
      <w:r>
        <w:rPr>
          <w:rFonts w:hint="eastAsia" w:ascii="宋体" w:hAnsi="宋体" w:eastAsia="宋体" w:cs="宋体"/>
          <w:b/>
          <w:bCs/>
          <w:color w:val="auto"/>
          <w:kern w:val="0"/>
          <w:sz w:val="24"/>
          <w:szCs w:val="24"/>
          <w:lang w:val="en-US" w:eastAsia="zh-CN"/>
        </w:rPr>
        <w:t>3</w:t>
      </w:r>
      <w:r>
        <w:rPr>
          <w:rFonts w:hint="eastAsia" w:ascii="宋体" w:hAnsi="宋体" w:eastAsia="宋体" w:cs="宋体"/>
          <w:b/>
          <w:bCs/>
          <w:color w:val="auto"/>
          <w:kern w:val="0"/>
          <w:sz w:val="24"/>
          <w:szCs w:val="24"/>
        </w:rPr>
        <w:t>开标</w:t>
      </w:r>
    </w:p>
    <w:p w14:paraId="743FFD7B">
      <w:pPr>
        <w:spacing w:line="340" w:lineRule="exact"/>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1</w:t>
      </w:r>
      <w:r>
        <w:rPr>
          <w:rFonts w:hint="eastAsia" w:ascii="宋体" w:hAnsi="宋体" w:eastAsia="宋体" w:cs="宋体"/>
          <w:b/>
          <w:bCs/>
          <w:color w:val="auto"/>
          <w:kern w:val="0"/>
          <w:sz w:val="24"/>
          <w:szCs w:val="24"/>
          <w:lang w:val="en-US" w:eastAsia="zh-CN"/>
        </w:rPr>
        <w:t>3</w:t>
      </w:r>
      <w:r>
        <w:rPr>
          <w:rFonts w:hint="eastAsia" w:ascii="宋体" w:hAnsi="宋体" w:eastAsia="宋体" w:cs="宋体"/>
          <w:b/>
          <w:bCs/>
          <w:color w:val="auto"/>
          <w:kern w:val="0"/>
          <w:sz w:val="24"/>
          <w:szCs w:val="24"/>
        </w:rPr>
        <w:t>.1. 开标</w:t>
      </w:r>
    </w:p>
    <w:p w14:paraId="70874105">
      <w:pPr>
        <w:spacing w:line="340" w:lineRule="exact"/>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1</w:t>
      </w:r>
      <w:r>
        <w:rPr>
          <w:rFonts w:hint="eastAsia" w:ascii="宋体" w:hAnsi="宋体" w:eastAsia="宋体" w:cs="宋体"/>
          <w:b/>
          <w:bCs/>
          <w:color w:val="auto"/>
          <w:kern w:val="0"/>
          <w:sz w:val="24"/>
          <w:szCs w:val="24"/>
          <w:lang w:val="en-US" w:eastAsia="zh-CN"/>
        </w:rPr>
        <w:t>3</w:t>
      </w:r>
      <w:r>
        <w:rPr>
          <w:rFonts w:hint="eastAsia" w:ascii="宋体" w:hAnsi="宋体" w:eastAsia="宋体" w:cs="宋体"/>
          <w:b/>
          <w:bCs/>
          <w:color w:val="auto"/>
          <w:kern w:val="0"/>
          <w:sz w:val="24"/>
          <w:szCs w:val="24"/>
        </w:rPr>
        <w:t>.1.1 本次采用不见面方式网上开标。</w:t>
      </w:r>
    </w:p>
    <w:p w14:paraId="61BA1E4F">
      <w:pPr>
        <w:spacing w:line="340" w:lineRule="exact"/>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1</w:t>
      </w:r>
      <w:r>
        <w:rPr>
          <w:rFonts w:hint="eastAsia" w:ascii="宋体" w:hAnsi="宋体" w:eastAsia="宋体" w:cs="宋体"/>
          <w:b/>
          <w:bCs/>
          <w:color w:val="auto"/>
          <w:kern w:val="0"/>
          <w:sz w:val="24"/>
          <w:szCs w:val="24"/>
          <w:lang w:val="en-US" w:eastAsia="zh-CN"/>
        </w:rPr>
        <w:t>3</w:t>
      </w:r>
      <w:r>
        <w:rPr>
          <w:rFonts w:hint="eastAsia" w:ascii="宋体" w:hAnsi="宋体" w:eastAsia="宋体" w:cs="宋体"/>
          <w:b/>
          <w:bCs/>
          <w:color w:val="auto"/>
          <w:kern w:val="0"/>
          <w:sz w:val="24"/>
          <w:szCs w:val="24"/>
        </w:rPr>
        <w:t>.1.2开标由招标代理机构主持，招标人、投标人和有关方面代表参加。</w:t>
      </w:r>
    </w:p>
    <w:p w14:paraId="59ADBBEE">
      <w:pPr>
        <w:spacing w:line="340" w:lineRule="exact"/>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1</w:t>
      </w:r>
      <w:r>
        <w:rPr>
          <w:rFonts w:hint="eastAsia" w:ascii="宋体" w:hAnsi="宋体" w:eastAsia="宋体" w:cs="宋体"/>
          <w:b/>
          <w:bCs/>
          <w:color w:val="auto"/>
          <w:kern w:val="0"/>
          <w:sz w:val="24"/>
          <w:szCs w:val="24"/>
          <w:lang w:val="en-US" w:eastAsia="zh-CN"/>
        </w:rPr>
        <w:t>3</w:t>
      </w:r>
      <w:r>
        <w:rPr>
          <w:rFonts w:hint="eastAsia" w:ascii="宋体" w:hAnsi="宋体" w:eastAsia="宋体" w:cs="宋体"/>
          <w:b/>
          <w:bCs/>
          <w:color w:val="auto"/>
          <w:kern w:val="0"/>
          <w:sz w:val="24"/>
          <w:szCs w:val="24"/>
        </w:rPr>
        <w:t>.1.3开标时，由采购代理机构工作人员当众在不见面开标大厅解密，宣布投标人名称、投标价格和招标文件规定的需要宣布的其他内容。</w:t>
      </w:r>
    </w:p>
    <w:p w14:paraId="5D48B2BA">
      <w:pPr>
        <w:spacing w:line="340" w:lineRule="exact"/>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1</w:t>
      </w:r>
      <w:r>
        <w:rPr>
          <w:rFonts w:hint="eastAsia" w:ascii="宋体" w:hAnsi="宋体" w:eastAsia="宋体" w:cs="宋体"/>
          <w:b/>
          <w:bCs/>
          <w:color w:val="auto"/>
          <w:kern w:val="0"/>
          <w:sz w:val="24"/>
          <w:szCs w:val="24"/>
          <w:lang w:val="en-US" w:eastAsia="zh-CN"/>
        </w:rPr>
        <w:t>3</w:t>
      </w:r>
      <w:r>
        <w:rPr>
          <w:rFonts w:hint="eastAsia" w:ascii="宋体" w:hAnsi="宋体" w:eastAsia="宋体" w:cs="宋体"/>
          <w:b/>
          <w:bCs/>
          <w:color w:val="auto"/>
          <w:kern w:val="0"/>
          <w:sz w:val="24"/>
          <w:szCs w:val="24"/>
        </w:rPr>
        <w:t xml:space="preserve">.1.4开标时，投标报价以系统显示投标报价为准。 </w:t>
      </w:r>
    </w:p>
    <w:p w14:paraId="2047F154">
      <w:pPr>
        <w:spacing w:line="340" w:lineRule="exact"/>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1</w:t>
      </w:r>
      <w:r>
        <w:rPr>
          <w:rFonts w:hint="eastAsia" w:ascii="宋体" w:hAnsi="宋体" w:eastAsia="宋体" w:cs="宋体"/>
          <w:b/>
          <w:bCs/>
          <w:color w:val="auto"/>
          <w:kern w:val="0"/>
          <w:sz w:val="24"/>
          <w:szCs w:val="24"/>
          <w:lang w:val="en-US" w:eastAsia="zh-CN"/>
        </w:rPr>
        <w:t>3</w:t>
      </w:r>
      <w:r>
        <w:rPr>
          <w:rFonts w:hint="eastAsia" w:ascii="宋体" w:hAnsi="宋体" w:eastAsia="宋体" w:cs="宋体"/>
          <w:b/>
          <w:bCs/>
          <w:color w:val="auto"/>
          <w:kern w:val="0"/>
          <w:sz w:val="24"/>
          <w:szCs w:val="24"/>
        </w:rPr>
        <w:t>.1.5投标人代表对开标过程和开标记录有疑义，以及认为采购人、采购代理机构相关工作人员有需要回避的情形的，应当场提出询问或者回避申请。采购人、采购代理机构对投标人代表提出的询问或者回避申请应当及时处理。</w:t>
      </w:r>
    </w:p>
    <w:p w14:paraId="00CEAE71">
      <w:pPr>
        <w:spacing w:line="340" w:lineRule="exact"/>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1</w:t>
      </w:r>
      <w:r>
        <w:rPr>
          <w:rFonts w:hint="eastAsia" w:ascii="宋体" w:hAnsi="宋体" w:eastAsia="宋体" w:cs="宋体"/>
          <w:b/>
          <w:bCs/>
          <w:color w:val="auto"/>
          <w:kern w:val="0"/>
          <w:sz w:val="24"/>
          <w:szCs w:val="24"/>
          <w:lang w:val="en-US" w:eastAsia="zh-CN"/>
        </w:rPr>
        <w:t>3</w:t>
      </w:r>
      <w:r>
        <w:rPr>
          <w:rFonts w:hint="eastAsia" w:ascii="宋体" w:hAnsi="宋体" w:eastAsia="宋体" w:cs="宋体"/>
          <w:b/>
          <w:bCs/>
          <w:color w:val="auto"/>
          <w:kern w:val="0"/>
          <w:sz w:val="24"/>
          <w:szCs w:val="24"/>
        </w:rPr>
        <w:t>.1.6投标人代表在开标过程中未提出异议的，视为认可本次开标及开标过程的全部事宜。</w:t>
      </w:r>
    </w:p>
    <w:p w14:paraId="7757FFA1">
      <w:pPr>
        <w:pStyle w:val="46"/>
        <w:rPr>
          <w:rFonts w:hint="eastAsia" w:ascii="宋体" w:hAnsi="宋体" w:eastAsia="宋体" w:cs="宋体"/>
          <w:color w:val="auto"/>
        </w:rPr>
      </w:pPr>
    </w:p>
    <w:p w14:paraId="55129D4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六</w:t>
      </w:r>
      <w:r>
        <w:rPr>
          <w:rFonts w:hint="eastAsia" w:ascii="宋体" w:hAnsi="宋体" w:eastAsia="宋体" w:cs="宋体"/>
          <w:b/>
          <w:bCs/>
          <w:color w:val="auto"/>
          <w:sz w:val="24"/>
          <w:szCs w:val="24"/>
        </w:rPr>
        <w:t>、协商和定标</w:t>
      </w:r>
    </w:p>
    <w:p w14:paraId="53ED3C3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1</w:t>
      </w:r>
      <w:r>
        <w:rPr>
          <w:rFonts w:hint="eastAsia" w:ascii="宋体" w:hAnsi="宋体" w:eastAsia="宋体" w:cs="宋体"/>
          <w:b/>
          <w:bCs/>
          <w:color w:val="auto"/>
          <w:sz w:val="24"/>
          <w:szCs w:val="24"/>
          <w:lang w:val="en-US" w:eastAsia="zh-CN"/>
        </w:rPr>
        <w:t>4</w:t>
      </w:r>
      <w:r>
        <w:rPr>
          <w:rFonts w:hint="eastAsia" w:ascii="宋体" w:hAnsi="宋体" w:eastAsia="宋体" w:cs="宋体"/>
          <w:b/>
          <w:bCs/>
          <w:color w:val="auto"/>
          <w:sz w:val="24"/>
          <w:szCs w:val="24"/>
        </w:rPr>
        <w:t>.单一来源专家组</w:t>
      </w:r>
    </w:p>
    <w:p w14:paraId="6E7D509C">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.1 受采购人的委托，采购机构将依法组建专家组，具体负责文件评审及单一来源协商工作。专家组由采购人代表和专家组成；</w:t>
      </w:r>
    </w:p>
    <w:p w14:paraId="327161FB">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.2 专家组会将遵循公平、公正、科学、廉洁的原则和规定的程序进行文件评审和协商；</w:t>
      </w:r>
    </w:p>
    <w:p w14:paraId="603D4E94">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.3 在评审中若发现采购响应文件的正本与副本不一致，则以正本为准；若发现电子文本与书面文本不一致，则以书面文本为准。</w:t>
      </w:r>
    </w:p>
    <w:p w14:paraId="5D23F41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1</w:t>
      </w:r>
      <w:r>
        <w:rPr>
          <w:rFonts w:hint="eastAsia" w:ascii="宋体" w:hAnsi="宋体" w:eastAsia="宋体" w:cs="宋体"/>
          <w:b/>
          <w:bCs/>
          <w:color w:val="auto"/>
          <w:sz w:val="24"/>
          <w:szCs w:val="24"/>
          <w:lang w:val="en-US" w:eastAsia="zh-CN"/>
        </w:rPr>
        <w:t>5</w:t>
      </w:r>
      <w:r>
        <w:rPr>
          <w:rFonts w:hint="eastAsia" w:ascii="宋体" w:hAnsi="宋体" w:eastAsia="宋体" w:cs="宋体"/>
          <w:b/>
          <w:bCs/>
          <w:color w:val="auto"/>
          <w:sz w:val="24"/>
          <w:szCs w:val="24"/>
        </w:rPr>
        <w:t>.确定成交供应商</w:t>
      </w:r>
    </w:p>
    <w:p w14:paraId="2C7ACEE0">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经协商确定提交接受响应文件的供应商为成交供应商的，采购机构应向成交供应商发出成交通知书，成交通知书对采购人和成交供应商具有同等法律效力。</w:t>
      </w:r>
    </w:p>
    <w:p w14:paraId="6B37F76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bCs/>
          <w:color w:val="auto"/>
          <w:sz w:val="24"/>
          <w:szCs w:val="24"/>
        </w:rPr>
        <w:t>、授予合同</w:t>
      </w:r>
    </w:p>
    <w:p w14:paraId="4548E2A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1</w:t>
      </w:r>
      <w:r>
        <w:rPr>
          <w:rFonts w:hint="eastAsia" w:ascii="宋体" w:hAnsi="宋体" w:eastAsia="宋体" w:cs="宋体"/>
          <w:b/>
          <w:bCs/>
          <w:color w:val="auto"/>
          <w:sz w:val="24"/>
          <w:szCs w:val="24"/>
          <w:lang w:val="en-US" w:eastAsia="zh-CN"/>
        </w:rPr>
        <w:t>6</w:t>
      </w:r>
      <w:r>
        <w:rPr>
          <w:rFonts w:hint="eastAsia" w:ascii="宋体" w:hAnsi="宋体" w:eastAsia="宋体" w:cs="宋体"/>
          <w:b/>
          <w:bCs/>
          <w:color w:val="auto"/>
          <w:sz w:val="24"/>
          <w:szCs w:val="24"/>
        </w:rPr>
        <w:t>.合同签署</w:t>
      </w:r>
    </w:p>
    <w:p w14:paraId="105C2C82">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按照供应商须知前附表的要求签署合同。</w:t>
      </w:r>
    </w:p>
    <w:p w14:paraId="0803CDE1">
      <w:pPr>
        <w:rPr>
          <w:rFonts w:hint="eastAsia" w:ascii="宋体" w:hAnsi="宋体" w:eastAsia="宋体" w:cs="宋体"/>
          <w:color w:val="auto"/>
          <w:sz w:val="20"/>
          <w:highlight w:val="white"/>
        </w:rPr>
      </w:pPr>
      <w:r>
        <w:rPr>
          <w:rFonts w:hint="eastAsia" w:ascii="宋体" w:hAnsi="宋体" w:eastAsia="宋体" w:cs="宋体"/>
          <w:color w:val="auto"/>
          <w:sz w:val="20"/>
          <w:highlight w:val="white"/>
        </w:rPr>
        <w:t xml:space="preserve"> </w:t>
      </w:r>
      <w:bookmarkEnd w:id="15"/>
    </w:p>
    <w:p w14:paraId="4725A93F">
      <w:pPr>
        <w:jc w:val="center"/>
        <w:rPr>
          <w:rFonts w:hint="eastAsia" w:ascii="宋体" w:hAnsi="宋体" w:eastAsia="宋体" w:cs="宋体"/>
          <w:color w:val="auto"/>
        </w:rPr>
      </w:pPr>
      <w:r>
        <w:rPr>
          <w:rFonts w:hint="eastAsia" w:ascii="宋体" w:hAnsi="宋体" w:eastAsia="宋体" w:cs="宋体"/>
          <w:color w:val="auto"/>
          <w:sz w:val="28"/>
          <w:szCs w:val="28"/>
          <w:highlight w:val="white"/>
        </w:rPr>
        <w:br w:type="page"/>
      </w:r>
      <w:bookmarkStart w:id="18" w:name="_Toc256000003"/>
      <w:r>
        <w:rPr>
          <w:rFonts w:hint="eastAsia" w:ascii="宋体" w:hAnsi="宋体" w:eastAsia="宋体" w:cs="宋体"/>
          <w:b/>
          <w:bCs/>
          <w:color w:val="auto"/>
          <w:sz w:val="32"/>
          <w:szCs w:val="32"/>
          <w:highlight w:val="white"/>
        </w:rPr>
        <w:t>第四章 审议与协商</w:t>
      </w:r>
      <w:bookmarkEnd w:id="18"/>
    </w:p>
    <w:p w14:paraId="06BBEE2F">
      <w:pPr>
        <w:rPr>
          <w:rFonts w:hint="eastAsia" w:ascii="宋体" w:hAnsi="宋体" w:eastAsia="宋体" w:cs="宋体"/>
          <w:color w:val="auto"/>
          <w:highlight w:val="red"/>
        </w:rPr>
      </w:pPr>
      <w:bookmarkStart w:id="19" w:name="EBe18d8c659f9741c8a2e1827b0cb0d87a"/>
    </w:p>
    <w:p w14:paraId="1FC162D4">
      <w:pPr>
        <w:keepNext w:val="0"/>
        <w:keepLines w:val="0"/>
        <w:pageBreakBefore w:val="0"/>
        <w:widowControl w:val="0"/>
        <w:kinsoku/>
        <w:wordWrap/>
        <w:overflowPunct/>
        <w:topLinePunct w:val="0"/>
        <w:autoSpaceDE/>
        <w:autoSpaceDN/>
        <w:bidi w:val="0"/>
        <w:adjustRightInd/>
        <w:spacing w:line="440" w:lineRule="exact"/>
        <w:ind w:firstLine="482" w:firstLineChars="200"/>
        <w:jc w:val="center"/>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一、接受响应文件审议</w:t>
      </w:r>
    </w:p>
    <w:p w14:paraId="31141BE8">
      <w:pPr>
        <w:keepNext w:val="0"/>
        <w:keepLines w:val="0"/>
        <w:pageBreakBefore w:val="0"/>
        <w:widowControl w:val="0"/>
        <w:kinsoku/>
        <w:wordWrap/>
        <w:overflowPunct/>
        <w:topLinePunct w:val="0"/>
        <w:autoSpaceDE/>
        <w:autoSpaceDN/>
        <w:bidi w:val="0"/>
        <w:adjustRightInd/>
        <w:spacing w:line="440" w:lineRule="exact"/>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1</w:t>
      </w:r>
      <w:r>
        <w:rPr>
          <w:rFonts w:hint="eastAsia" w:ascii="宋体" w:hAnsi="宋体" w:eastAsia="宋体" w:cs="宋体"/>
          <w:b/>
          <w:bCs/>
          <w:color w:val="auto"/>
          <w:sz w:val="24"/>
          <w:szCs w:val="24"/>
          <w:lang w:val="en-US" w:eastAsia="zh-CN"/>
        </w:rPr>
        <w:t>7</w:t>
      </w:r>
      <w:r>
        <w:rPr>
          <w:rFonts w:hint="eastAsia" w:ascii="宋体" w:hAnsi="宋体" w:eastAsia="宋体" w:cs="宋体"/>
          <w:b/>
          <w:bCs/>
          <w:color w:val="auto"/>
          <w:sz w:val="24"/>
          <w:szCs w:val="24"/>
        </w:rPr>
        <w:t>.对接受响应文件的审议</w:t>
      </w:r>
    </w:p>
    <w:p w14:paraId="28F2B03E">
      <w:pPr>
        <w:keepNext w:val="0"/>
        <w:keepLines w:val="0"/>
        <w:pageBreakBefore w:val="0"/>
        <w:widowControl w:val="0"/>
        <w:kinsoku/>
        <w:wordWrap/>
        <w:overflowPunct/>
        <w:topLinePunct w:val="0"/>
        <w:autoSpaceDE/>
        <w:autoSpaceDN/>
        <w:bidi w:val="0"/>
        <w:adjustRightInd/>
        <w:spacing w:line="4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由专家组对单一来源采购响应文件的完整性、有效性、资格文件的齐全性和有效性等方面进行审查。对采购响应文件的商务文件和技术文件进行审议。</w:t>
      </w:r>
    </w:p>
    <w:p w14:paraId="5E65D67D">
      <w:pPr>
        <w:keepNext w:val="0"/>
        <w:keepLines w:val="0"/>
        <w:pageBreakBefore w:val="0"/>
        <w:widowControl w:val="0"/>
        <w:kinsoku/>
        <w:wordWrap/>
        <w:overflowPunct/>
        <w:topLinePunct w:val="0"/>
        <w:autoSpaceDE/>
        <w:autoSpaceDN/>
        <w:bidi w:val="0"/>
        <w:adjustRightInd/>
        <w:spacing w:line="440" w:lineRule="exact"/>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1</w:t>
      </w:r>
      <w:r>
        <w:rPr>
          <w:rFonts w:hint="eastAsia" w:ascii="宋体" w:hAnsi="宋体" w:eastAsia="宋体" w:cs="宋体"/>
          <w:b/>
          <w:bCs/>
          <w:color w:val="auto"/>
          <w:sz w:val="24"/>
          <w:szCs w:val="24"/>
          <w:lang w:val="en-US" w:eastAsia="zh-CN"/>
        </w:rPr>
        <w:t>8</w:t>
      </w:r>
      <w:r>
        <w:rPr>
          <w:rFonts w:hint="eastAsia" w:ascii="宋体" w:hAnsi="宋体" w:eastAsia="宋体" w:cs="宋体"/>
          <w:b/>
          <w:bCs/>
          <w:color w:val="auto"/>
          <w:sz w:val="24"/>
          <w:szCs w:val="24"/>
        </w:rPr>
        <w:t>.出具审议意见</w:t>
      </w:r>
    </w:p>
    <w:p w14:paraId="2BFF8DDC">
      <w:pPr>
        <w:keepNext w:val="0"/>
        <w:keepLines w:val="0"/>
        <w:pageBreakBefore w:val="0"/>
        <w:widowControl w:val="0"/>
        <w:kinsoku/>
        <w:wordWrap/>
        <w:overflowPunct/>
        <w:topLinePunct w:val="0"/>
        <w:autoSpaceDE/>
        <w:autoSpaceDN/>
        <w:bidi w:val="0"/>
        <w:adjustRightInd/>
        <w:spacing w:line="4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18.1</w:t>
      </w:r>
      <w:r>
        <w:rPr>
          <w:rFonts w:hint="eastAsia" w:ascii="宋体" w:hAnsi="宋体" w:eastAsia="宋体" w:cs="宋体"/>
          <w:color w:val="auto"/>
          <w:sz w:val="24"/>
          <w:szCs w:val="24"/>
        </w:rPr>
        <w:t>专家组对是否推荐成交供应商作出审议意见。评审意见分为资格性检查和符合性检查。</w:t>
      </w:r>
    </w:p>
    <w:p w14:paraId="12DCBD86">
      <w:pPr>
        <w:keepNext w:val="0"/>
        <w:keepLines w:val="0"/>
        <w:pageBreakBefore w:val="0"/>
        <w:widowControl w:val="0"/>
        <w:kinsoku/>
        <w:wordWrap/>
        <w:overflowPunct/>
        <w:topLinePunct w:val="0"/>
        <w:autoSpaceDE/>
        <w:autoSpaceDN/>
        <w:bidi w:val="0"/>
        <w:adjustRightInd/>
        <w:spacing w:line="4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b w:val="0"/>
          <w:bCs w:val="0"/>
          <w:color w:val="auto"/>
          <w:sz w:val="24"/>
          <w:szCs w:val="24"/>
        </w:rPr>
        <w:t>1</w:t>
      </w:r>
      <w:r>
        <w:rPr>
          <w:rFonts w:hint="eastAsia" w:ascii="宋体" w:hAnsi="宋体" w:eastAsia="宋体" w:cs="宋体"/>
          <w:b w:val="0"/>
          <w:bCs w:val="0"/>
          <w:color w:val="auto"/>
          <w:sz w:val="24"/>
          <w:szCs w:val="24"/>
          <w:lang w:val="en-US" w:eastAsia="zh-CN"/>
        </w:rPr>
        <w:t>8</w:t>
      </w:r>
      <w:r>
        <w:rPr>
          <w:rFonts w:hint="eastAsia" w:ascii="宋体" w:hAnsi="宋体" w:eastAsia="宋体" w:cs="宋体"/>
          <w:b w:val="0"/>
          <w:bCs w:val="0"/>
          <w:color w:val="auto"/>
          <w:sz w:val="24"/>
          <w:szCs w:val="24"/>
        </w:rPr>
        <w:t>.1</w:t>
      </w:r>
      <w:r>
        <w:rPr>
          <w:rFonts w:hint="eastAsia" w:ascii="宋体" w:hAnsi="宋体" w:eastAsia="宋体" w:cs="宋体"/>
          <w:b w:val="0"/>
          <w:bCs w:val="0"/>
          <w:color w:val="auto"/>
          <w:sz w:val="24"/>
          <w:szCs w:val="24"/>
          <w:lang w:val="en-US" w:eastAsia="zh-CN"/>
        </w:rPr>
        <w:t>.1</w:t>
      </w:r>
      <w:r>
        <w:rPr>
          <w:rFonts w:hint="eastAsia" w:ascii="宋体" w:hAnsi="宋体" w:eastAsia="宋体" w:cs="宋体"/>
          <w:b w:val="0"/>
          <w:bCs w:val="0"/>
          <w:color w:val="auto"/>
          <w:sz w:val="24"/>
          <w:szCs w:val="24"/>
        </w:rPr>
        <w:t>资格性检查：</w:t>
      </w:r>
      <w:r>
        <w:rPr>
          <w:rFonts w:hint="eastAsia" w:ascii="宋体" w:hAnsi="宋体" w:eastAsia="宋体" w:cs="宋体"/>
          <w:color w:val="auto"/>
          <w:sz w:val="24"/>
          <w:szCs w:val="24"/>
        </w:rPr>
        <w:t>专家组将依据法律法规和采购文件的规定，对响应文件中的资格证明进行审查，以确定响应供应商是否具备响应资格。资格性检查表如下：</w:t>
      </w:r>
    </w:p>
    <w:tbl>
      <w:tblPr>
        <w:tblStyle w:val="29"/>
        <w:tblW w:w="8839"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07"/>
        <w:gridCol w:w="6441"/>
        <w:gridCol w:w="1491"/>
      </w:tblGrid>
      <w:tr w14:paraId="0B3BA5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8" w:hRule="atLeast"/>
          <w:jc w:val="center"/>
        </w:trPr>
        <w:tc>
          <w:tcPr>
            <w:tcW w:w="7348" w:type="dxa"/>
            <w:gridSpan w:val="2"/>
            <w:tcBorders>
              <w:top w:val="single" w:color="auto" w:sz="4" w:space="0"/>
              <w:left w:val="single" w:color="auto" w:sz="4" w:space="0"/>
              <w:bottom w:val="single" w:color="auto" w:sz="4" w:space="0"/>
              <w:right w:val="single" w:color="auto" w:sz="4" w:space="0"/>
            </w:tcBorders>
            <w:noWrap w:val="0"/>
            <w:vAlign w:val="center"/>
          </w:tcPr>
          <w:p w14:paraId="1AA243ED">
            <w:pPr>
              <w:keepNext w:val="0"/>
              <w:keepLines w:val="0"/>
              <w:pageBreakBefore w:val="0"/>
              <w:widowControl w:val="0"/>
              <w:kinsoku/>
              <w:wordWrap/>
              <w:overflowPunct/>
              <w:topLinePunct w:val="0"/>
              <w:autoSpaceDE/>
              <w:autoSpaceDN/>
              <w:bidi w:val="0"/>
              <w:adjustRightInd/>
              <w:spacing w:line="440" w:lineRule="exact"/>
              <w:ind w:firstLine="480" w:firstLineChars="20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评审内容</w:t>
            </w:r>
          </w:p>
        </w:tc>
        <w:tc>
          <w:tcPr>
            <w:tcW w:w="1491" w:type="dxa"/>
            <w:tcBorders>
              <w:top w:val="single" w:color="auto" w:sz="4" w:space="0"/>
              <w:left w:val="single" w:color="auto" w:sz="4" w:space="0"/>
              <w:bottom w:val="single" w:color="auto" w:sz="4" w:space="0"/>
              <w:right w:val="single" w:color="auto" w:sz="4" w:space="0"/>
            </w:tcBorders>
            <w:noWrap w:val="0"/>
            <w:vAlign w:val="center"/>
          </w:tcPr>
          <w:p w14:paraId="240AEDE4">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投标人名称</w:t>
            </w:r>
          </w:p>
        </w:tc>
      </w:tr>
      <w:tr w14:paraId="7976C9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24" w:hRule="atLeast"/>
          <w:jc w:val="center"/>
        </w:trPr>
        <w:tc>
          <w:tcPr>
            <w:tcW w:w="907" w:type="dxa"/>
            <w:tcBorders>
              <w:top w:val="single" w:color="auto" w:sz="4" w:space="0"/>
              <w:left w:val="single" w:color="auto" w:sz="4" w:space="0"/>
              <w:bottom w:val="single" w:color="auto" w:sz="4" w:space="0"/>
              <w:right w:val="single" w:color="auto" w:sz="4" w:space="0"/>
            </w:tcBorders>
            <w:noWrap w:val="0"/>
            <w:vAlign w:val="center"/>
          </w:tcPr>
          <w:p w14:paraId="4C931881">
            <w:pPr>
              <w:keepNext w:val="0"/>
              <w:keepLines w:val="0"/>
              <w:pageBreakBefore w:val="0"/>
              <w:widowControl w:val="0"/>
              <w:numPr>
                <w:ilvl w:val="0"/>
                <w:numId w:val="0"/>
              </w:numPr>
              <w:kinsoku/>
              <w:wordWrap/>
              <w:overflowPunct/>
              <w:topLinePunct w:val="0"/>
              <w:autoSpaceDE/>
              <w:autoSpaceDN/>
              <w:bidi w:val="0"/>
              <w:adjustRightInd/>
              <w:spacing w:line="440" w:lineRule="exact"/>
              <w:ind w:left="425" w:leftChars="0" w:hanging="425" w:firstLineChars="0"/>
              <w:jc w:val="center"/>
              <w:textAlignment w:val="auto"/>
              <w:rPr>
                <w:rFonts w:hint="eastAsia" w:ascii="宋体" w:hAnsi="宋体" w:eastAsia="宋体" w:cs="宋体"/>
                <w:color w:val="auto"/>
                <w:sz w:val="24"/>
                <w:szCs w:val="24"/>
              </w:rPr>
            </w:pPr>
            <w:r>
              <w:rPr>
                <w:rFonts w:hint="default" w:ascii="宋体" w:hAnsi="宋体" w:eastAsia="宋体" w:cs="宋体"/>
                <w:color w:val="auto"/>
                <w:kern w:val="2"/>
                <w:sz w:val="24"/>
                <w:szCs w:val="24"/>
                <w:lang w:val="en-US" w:eastAsia="zh-CN" w:bidi="ar-SA"/>
              </w:rPr>
              <w:t>1.</w:t>
            </w:r>
          </w:p>
        </w:tc>
        <w:tc>
          <w:tcPr>
            <w:tcW w:w="6441" w:type="dxa"/>
            <w:tcBorders>
              <w:top w:val="single" w:color="auto" w:sz="4" w:space="0"/>
              <w:left w:val="single" w:color="auto" w:sz="4" w:space="0"/>
              <w:bottom w:val="single" w:color="auto" w:sz="4" w:space="0"/>
              <w:right w:val="single" w:color="auto" w:sz="4" w:space="0"/>
            </w:tcBorders>
            <w:noWrap w:val="0"/>
            <w:vAlign w:val="center"/>
          </w:tcPr>
          <w:p w14:paraId="5DC91266">
            <w:pPr>
              <w:pStyle w:val="2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right="0"/>
              <w:jc w:val="left"/>
              <w:textAlignment w:val="auto"/>
              <w:rPr>
                <w:rFonts w:hint="eastAsia" w:ascii="宋体" w:hAnsi="宋体" w:eastAsia="宋体" w:cs="宋体"/>
                <w:color w:val="auto"/>
                <w:sz w:val="24"/>
                <w:szCs w:val="24"/>
                <w:u w:val="none"/>
              </w:rPr>
            </w:pPr>
            <w:r>
              <w:rPr>
                <w:rFonts w:hint="eastAsia" w:ascii="宋体" w:hAnsi="宋体" w:eastAsia="宋体" w:cs="宋体"/>
                <w:i w:val="0"/>
                <w:iCs w:val="0"/>
                <w:caps w:val="0"/>
                <w:color w:val="auto"/>
                <w:spacing w:val="0"/>
                <w:sz w:val="24"/>
                <w:szCs w:val="24"/>
                <w:highlight w:val="none"/>
                <w:lang w:val="en-US" w:eastAsia="zh-CN"/>
              </w:rPr>
              <w:t>具有独立承担民事责任的能力：提供在中华人民共和国境内注册的法人或其他组织的营业执照或事业单位法人证书或社会团体法人登记证书复印件，如投标人为自然人的提供自然人身份证明复印件；如国家另有规定的，则从其规定。</w:t>
            </w:r>
          </w:p>
        </w:tc>
        <w:tc>
          <w:tcPr>
            <w:tcW w:w="1491" w:type="dxa"/>
            <w:tcBorders>
              <w:top w:val="single" w:color="auto" w:sz="4" w:space="0"/>
              <w:left w:val="single" w:color="auto" w:sz="4" w:space="0"/>
              <w:bottom w:val="single" w:color="auto" w:sz="4" w:space="0"/>
              <w:right w:val="single" w:color="auto" w:sz="4" w:space="0"/>
            </w:tcBorders>
            <w:noWrap w:val="0"/>
            <w:vAlign w:val="center"/>
          </w:tcPr>
          <w:p w14:paraId="7A191511">
            <w:pPr>
              <w:keepNext w:val="0"/>
              <w:keepLines w:val="0"/>
              <w:pageBreakBefore w:val="0"/>
              <w:widowControl w:val="0"/>
              <w:kinsoku/>
              <w:wordWrap/>
              <w:overflowPunct/>
              <w:topLinePunct w:val="0"/>
              <w:autoSpaceDE/>
              <w:autoSpaceDN/>
              <w:bidi w:val="0"/>
              <w:adjustRightInd/>
              <w:spacing w:line="440" w:lineRule="exact"/>
              <w:ind w:firstLine="480" w:firstLineChars="200"/>
              <w:jc w:val="center"/>
              <w:textAlignment w:val="auto"/>
              <w:rPr>
                <w:rFonts w:hint="eastAsia" w:ascii="宋体" w:hAnsi="宋体" w:eastAsia="宋体" w:cs="宋体"/>
                <w:color w:val="auto"/>
                <w:sz w:val="24"/>
                <w:szCs w:val="24"/>
              </w:rPr>
            </w:pPr>
          </w:p>
        </w:tc>
      </w:tr>
      <w:tr w14:paraId="3AB5229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1" w:hRule="atLeast"/>
          <w:jc w:val="center"/>
        </w:trPr>
        <w:tc>
          <w:tcPr>
            <w:tcW w:w="907" w:type="dxa"/>
            <w:tcBorders>
              <w:top w:val="single" w:color="auto" w:sz="4" w:space="0"/>
              <w:left w:val="single" w:color="auto" w:sz="4" w:space="0"/>
              <w:bottom w:val="single" w:color="auto" w:sz="4" w:space="0"/>
              <w:right w:val="single" w:color="auto" w:sz="4" w:space="0"/>
            </w:tcBorders>
            <w:noWrap w:val="0"/>
            <w:vAlign w:val="center"/>
          </w:tcPr>
          <w:p w14:paraId="4F89E4C2">
            <w:pPr>
              <w:keepNext w:val="0"/>
              <w:keepLines w:val="0"/>
              <w:pageBreakBefore w:val="0"/>
              <w:widowControl w:val="0"/>
              <w:numPr>
                <w:ilvl w:val="0"/>
                <w:numId w:val="0"/>
              </w:numPr>
              <w:kinsoku/>
              <w:wordWrap/>
              <w:overflowPunct/>
              <w:topLinePunct w:val="0"/>
              <w:autoSpaceDE/>
              <w:autoSpaceDN/>
              <w:bidi w:val="0"/>
              <w:adjustRightInd/>
              <w:spacing w:line="440" w:lineRule="exact"/>
              <w:ind w:left="425" w:leftChars="0" w:hanging="425" w:firstLineChars="0"/>
              <w:jc w:val="center"/>
              <w:textAlignment w:val="auto"/>
              <w:rPr>
                <w:rFonts w:hint="eastAsia" w:ascii="宋体" w:hAnsi="宋体" w:eastAsia="宋体" w:cs="宋体"/>
                <w:color w:val="auto"/>
                <w:sz w:val="24"/>
                <w:szCs w:val="24"/>
              </w:rPr>
            </w:pPr>
            <w:r>
              <w:rPr>
                <w:rFonts w:hint="default" w:ascii="宋体" w:hAnsi="宋体" w:eastAsia="宋体" w:cs="宋体"/>
                <w:color w:val="auto"/>
                <w:kern w:val="2"/>
                <w:sz w:val="24"/>
                <w:szCs w:val="24"/>
                <w:lang w:val="en-US" w:eastAsia="zh-CN" w:bidi="ar-SA"/>
              </w:rPr>
              <w:t>2.</w:t>
            </w:r>
          </w:p>
        </w:tc>
        <w:tc>
          <w:tcPr>
            <w:tcW w:w="6441" w:type="dxa"/>
            <w:tcBorders>
              <w:top w:val="single" w:color="auto" w:sz="4" w:space="0"/>
              <w:left w:val="single" w:color="auto" w:sz="4" w:space="0"/>
              <w:bottom w:val="single" w:color="auto" w:sz="4" w:space="0"/>
              <w:right w:val="single" w:color="auto" w:sz="4" w:space="0"/>
            </w:tcBorders>
            <w:noWrap w:val="0"/>
            <w:vAlign w:val="center"/>
          </w:tcPr>
          <w:p w14:paraId="7A11195A">
            <w:pPr>
              <w:pStyle w:val="2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right="0"/>
              <w:jc w:val="left"/>
              <w:textAlignment w:val="auto"/>
              <w:rPr>
                <w:rFonts w:hint="eastAsia" w:ascii="宋体" w:hAnsi="宋体" w:eastAsia="宋体" w:cs="宋体"/>
                <w:color w:val="auto"/>
                <w:sz w:val="24"/>
                <w:szCs w:val="24"/>
                <w:u w:val="none"/>
              </w:rPr>
            </w:pPr>
            <w:r>
              <w:rPr>
                <w:rFonts w:hint="eastAsia" w:ascii="宋体" w:hAnsi="宋体" w:eastAsia="宋体" w:cs="宋体"/>
                <w:i w:val="0"/>
                <w:iCs w:val="0"/>
                <w:caps w:val="0"/>
                <w:color w:val="auto"/>
                <w:spacing w:val="0"/>
                <w:sz w:val="24"/>
                <w:szCs w:val="24"/>
                <w:highlight w:val="none"/>
                <w:lang w:val="en-US" w:eastAsia="zh-CN"/>
              </w:rPr>
              <w:t>有依法缴纳税收和社会保障资金的良好记录：提供近段时间内（</w:t>
            </w:r>
            <w:r>
              <w:rPr>
                <w:rFonts w:hint="eastAsia" w:ascii="宋体" w:hAnsi="宋体" w:cs="宋体"/>
                <w:i w:val="0"/>
                <w:iCs w:val="0"/>
                <w:caps w:val="0"/>
                <w:color w:val="auto"/>
                <w:spacing w:val="0"/>
                <w:sz w:val="24"/>
                <w:szCs w:val="24"/>
                <w:highlight w:val="none"/>
                <w:lang w:val="en-US" w:eastAsia="zh-CN"/>
              </w:rPr>
              <w:t>2026年7月-2026年9月</w:t>
            </w:r>
            <w:r>
              <w:rPr>
                <w:rFonts w:hint="eastAsia" w:ascii="宋体" w:hAnsi="宋体" w:eastAsia="宋体" w:cs="宋体"/>
                <w:i w:val="0"/>
                <w:iCs w:val="0"/>
                <w:caps w:val="0"/>
                <w:color w:val="auto"/>
                <w:spacing w:val="0"/>
                <w:sz w:val="24"/>
                <w:szCs w:val="24"/>
                <w:highlight w:val="none"/>
                <w:lang w:val="en-US" w:eastAsia="zh-CN"/>
              </w:rPr>
              <w:t>、新成立的公司按实际发生提供）的缴纳税收的完税证明或税务部门出具的纳税证明；</w:t>
            </w:r>
            <w:r>
              <w:rPr>
                <w:rFonts w:hint="eastAsia" w:ascii="宋体" w:hAnsi="宋体" w:cs="宋体"/>
                <w:i w:val="0"/>
                <w:iCs w:val="0"/>
                <w:caps w:val="0"/>
                <w:color w:val="auto"/>
                <w:spacing w:val="0"/>
                <w:sz w:val="24"/>
                <w:szCs w:val="24"/>
                <w:highlight w:val="none"/>
                <w:lang w:val="en-US" w:eastAsia="zh-CN"/>
              </w:rPr>
              <w:t>如当月无需缴税需提供税务机关出具的无欠税证明</w:t>
            </w:r>
            <w:r>
              <w:rPr>
                <w:rFonts w:hint="eastAsia" w:ascii="宋体" w:hAnsi="宋体" w:eastAsia="宋体" w:cs="宋体"/>
                <w:i w:val="0"/>
                <w:iCs w:val="0"/>
                <w:caps w:val="0"/>
                <w:color w:val="auto"/>
                <w:spacing w:val="0"/>
                <w:sz w:val="24"/>
                <w:szCs w:val="24"/>
                <w:highlight w:val="none"/>
                <w:lang w:val="en-US" w:eastAsia="zh-CN"/>
              </w:rPr>
              <w:t>；提供近段时间内（</w:t>
            </w:r>
            <w:r>
              <w:rPr>
                <w:rFonts w:hint="eastAsia" w:ascii="宋体" w:hAnsi="宋体" w:cs="宋体"/>
                <w:i w:val="0"/>
                <w:iCs w:val="0"/>
                <w:caps w:val="0"/>
                <w:color w:val="auto"/>
                <w:spacing w:val="0"/>
                <w:sz w:val="24"/>
                <w:szCs w:val="24"/>
                <w:highlight w:val="none"/>
                <w:lang w:val="en-US" w:eastAsia="zh-CN"/>
              </w:rPr>
              <w:t>2026年7月-2026年9月</w:t>
            </w:r>
            <w:r>
              <w:rPr>
                <w:rFonts w:hint="eastAsia" w:ascii="宋体" w:hAnsi="宋体" w:eastAsia="宋体" w:cs="宋体"/>
                <w:i w:val="0"/>
                <w:iCs w:val="0"/>
                <w:caps w:val="0"/>
                <w:color w:val="auto"/>
                <w:spacing w:val="0"/>
                <w:sz w:val="24"/>
                <w:szCs w:val="24"/>
                <w:highlight w:val="none"/>
                <w:lang w:val="en-US" w:eastAsia="zh-CN"/>
              </w:rPr>
              <w:t>、新成立的公司按实际发生提供）的缴纳社保证明材料加盖公章。如依法不需要缴纳社会保障资金的，应提供相应文件证明；</w:t>
            </w:r>
          </w:p>
        </w:tc>
        <w:tc>
          <w:tcPr>
            <w:tcW w:w="1491" w:type="dxa"/>
            <w:tcBorders>
              <w:top w:val="single" w:color="auto" w:sz="4" w:space="0"/>
              <w:left w:val="single" w:color="auto" w:sz="4" w:space="0"/>
              <w:bottom w:val="single" w:color="auto" w:sz="4" w:space="0"/>
              <w:right w:val="single" w:color="auto" w:sz="4" w:space="0"/>
            </w:tcBorders>
            <w:noWrap w:val="0"/>
            <w:vAlign w:val="center"/>
          </w:tcPr>
          <w:p w14:paraId="4D9AAF13">
            <w:pPr>
              <w:keepNext w:val="0"/>
              <w:keepLines w:val="0"/>
              <w:pageBreakBefore w:val="0"/>
              <w:widowControl w:val="0"/>
              <w:kinsoku/>
              <w:wordWrap/>
              <w:overflowPunct/>
              <w:topLinePunct w:val="0"/>
              <w:autoSpaceDE/>
              <w:autoSpaceDN/>
              <w:bidi w:val="0"/>
              <w:adjustRightInd/>
              <w:spacing w:line="440" w:lineRule="exact"/>
              <w:ind w:firstLine="480" w:firstLineChars="200"/>
              <w:jc w:val="center"/>
              <w:textAlignment w:val="auto"/>
              <w:rPr>
                <w:rFonts w:hint="eastAsia" w:ascii="宋体" w:hAnsi="宋体" w:eastAsia="宋体" w:cs="宋体"/>
                <w:color w:val="auto"/>
                <w:sz w:val="24"/>
                <w:szCs w:val="24"/>
              </w:rPr>
            </w:pPr>
          </w:p>
        </w:tc>
      </w:tr>
      <w:tr w14:paraId="61F9EE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0" w:hRule="atLeast"/>
          <w:jc w:val="center"/>
        </w:trPr>
        <w:tc>
          <w:tcPr>
            <w:tcW w:w="907" w:type="dxa"/>
            <w:tcBorders>
              <w:top w:val="single" w:color="auto" w:sz="4" w:space="0"/>
              <w:left w:val="single" w:color="auto" w:sz="4" w:space="0"/>
              <w:bottom w:val="single" w:color="auto" w:sz="4" w:space="0"/>
              <w:right w:val="single" w:color="auto" w:sz="4" w:space="0"/>
            </w:tcBorders>
            <w:noWrap w:val="0"/>
            <w:vAlign w:val="center"/>
          </w:tcPr>
          <w:p w14:paraId="7ACCC7CD">
            <w:pPr>
              <w:keepNext w:val="0"/>
              <w:keepLines w:val="0"/>
              <w:pageBreakBefore w:val="0"/>
              <w:widowControl w:val="0"/>
              <w:numPr>
                <w:ilvl w:val="0"/>
                <w:numId w:val="0"/>
              </w:numPr>
              <w:kinsoku/>
              <w:wordWrap/>
              <w:overflowPunct/>
              <w:topLinePunct w:val="0"/>
              <w:autoSpaceDE/>
              <w:autoSpaceDN/>
              <w:bidi w:val="0"/>
              <w:adjustRightInd/>
              <w:spacing w:line="440" w:lineRule="exact"/>
              <w:ind w:left="425" w:leftChars="0" w:hanging="425" w:firstLineChars="0"/>
              <w:jc w:val="center"/>
              <w:textAlignment w:val="auto"/>
              <w:rPr>
                <w:rFonts w:hint="eastAsia" w:ascii="宋体" w:hAnsi="宋体" w:eastAsia="宋体" w:cs="宋体"/>
                <w:color w:val="auto"/>
                <w:sz w:val="24"/>
                <w:szCs w:val="24"/>
              </w:rPr>
            </w:pPr>
            <w:r>
              <w:rPr>
                <w:rFonts w:hint="default" w:ascii="宋体" w:hAnsi="宋体" w:eastAsia="宋体" w:cs="宋体"/>
                <w:color w:val="auto"/>
                <w:kern w:val="2"/>
                <w:sz w:val="24"/>
                <w:szCs w:val="24"/>
                <w:lang w:val="en-US" w:eastAsia="zh-CN" w:bidi="ar-SA"/>
              </w:rPr>
              <w:t>3.</w:t>
            </w:r>
          </w:p>
        </w:tc>
        <w:tc>
          <w:tcPr>
            <w:tcW w:w="6441" w:type="dxa"/>
            <w:tcBorders>
              <w:top w:val="single" w:color="auto" w:sz="4" w:space="0"/>
              <w:left w:val="single" w:color="auto" w:sz="4" w:space="0"/>
              <w:bottom w:val="single" w:color="auto" w:sz="4" w:space="0"/>
              <w:right w:val="single" w:color="auto" w:sz="4" w:space="0"/>
            </w:tcBorders>
            <w:noWrap w:val="0"/>
            <w:vAlign w:val="center"/>
          </w:tcPr>
          <w:p w14:paraId="19A339CD">
            <w:pPr>
              <w:pStyle w:val="2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right="0"/>
              <w:jc w:val="left"/>
              <w:textAlignment w:val="auto"/>
              <w:rPr>
                <w:rFonts w:hint="eastAsia" w:ascii="宋体" w:hAnsi="宋体" w:eastAsia="宋体" w:cs="宋体"/>
                <w:color w:val="auto"/>
                <w:sz w:val="24"/>
                <w:szCs w:val="24"/>
                <w:u w:val="none"/>
              </w:rPr>
            </w:pPr>
            <w:r>
              <w:rPr>
                <w:rFonts w:hint="eastAsia" w:ascii="宋体" w:hAnsi="宋体" w:cs="宋体"/>
                <w:i w:val="0"/>
                <w:iCs w:val="0"/>
                <w:caps w:val="0"/>
                <w:color w:val="auto"/>
                <w:spacing w:val="0"/>
                <w:sz w:val="24"/>
                <w:szCs w:val="24"/>
                <w:highlight w:val="none"/>
                <w:lang w:val="en-US" w:eastAsia="zh-CN"/>
              </w:rPr>
              <w:t>提供2025年度由第三方财务审计机构出具的在注册会计师行业统一监管平台备案赋码的财务审计报告（2026年新成立的公司按实际发生的情况提供银行出具的近一个月资信证明）；</w:t>
            </w:r>
          </w:p>
        </w:tc>
        <w:tc>
          <w:tcPr>
            <w:tcW w:w="1491" w:type="dxa"/>
            <w:tcBorders>
              <w:top w:val="single" w:color="auto" w:sz="4" w:space="0"/>
              <w:left w:val="single" w:color="auto" w:sz="4" w:space="0"/>
              <w:bottom w:val="single" w:color="auto" w:sz="4" w:space="0"/>
              <w:right w:val="single" w:color="auto" w:sz="4" w:space="0"/>
            </w:tcBorders>
            <w:noWrap w:val="0"/>
            <w:vAlign w:val="center"/>
          </w:tcPr>
          <w:p w14:paraId="643A22EE">
            <w:pPr>
              <w:keepNext w:val="0"/>
              <w:keepLines w:val="0"/>
              <w:pageBreakBefore w:val="0"/>
              <w:widowControl w:val="0"/>
              <w:kinsoku/>
              <w:wordWrap/>
              <w:overflowPunct/>
              <w:topLinePunct w:val="0"/>
              <w:autoSpaceDE/>
              <w:autoSpaceDN/>
              <w:bidi w:val="0"/>
              <w:adjustRightInd/>
              <w:spacing w:line="440" w:lineRule="exact"/>
              <w:ind w:firstLine="480" w:firstLineChars="200"/>
              <w:jc w:val="center"/>
              <w:textAlignment w:val="auto"/>
              <w:rPr>
                <w:rFonts w:hint="eastAsia" w:ascii="宋体" w:hAnsi="宋体" w:eastAsia="宋体" w:cs="宋体"/>
                <w:color w:val="auto"/>
                <w:sz w:val="24"/>
                <w:szCs w:val="24"/>
              </w:rPr>
            </w:pPr>
          </w:p>
        </w:tc>
      </w:tr>
      <w:tr w14:paraId="47894B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0" w:hRule="atLeast"/>
          <w:jc w:val="center"/>
        </w:trPr>
        <w:tc>
          <w:tcPr>
            <w:tcW w:w="907" w:type="dxa"/>
            <w:tcBorders>
              <w:top w:val="single" w:color="auto" w:sz="4" w:space="0"/>
              <w:left w:val="single" w:color="auto" w:sz="4" w:space="0"/>
              <w:bottom w:val="single" w:color="auto" w:sz="4" w:space="0"/>
              <w:right w:val="single" w:color="auto" w:sz="4" w:space="0"/>
            </w:tcBorders>
            <w:noWrap w:val="0"/>
            <w:vAlign w:val="center"/>
          </w:tcPr>
          <w:p w14:paraId="03C4BC3A">
            <w:pPr>
              <w:keepNext w:val="0"/>
              <w:keepLines w:val="0"/>
              <w:pageBreakBefore w:val="0"/>
              <w:widowControl w:val="0"/>
              <w:numPr>
                <w:ilvl w:val="0"/>
                <w:numId w:val="0"/>
              </w:numPr>
              <w:kinsoku/>
              <w:wordWrap/>
              <w:overflowPunct/>
              <w:topLinePunct w:val="0"/>
              <w:autoSpaceDE/>
              <w:autoSpaceDN/>
              <w:bidi w:val="0"/>
              <w:adjustRightInd/>
              <w:spacing w:line="440" w:lineRule="exact"/>
              <w:ind w:left="425" w:leftChars="0" w:hanging="425" w:firstLineChars="0"/>
              <w:jc w:val="center"/>
              <w:textAlignment w:val="auto"/>
              <w:rPr>
                <w:rFonts w:hint="eastAsia" w:ascii="宋体" w:hAnsi="宋体" w:eastAsia="宋体" w:cs="宋体"/>
                <w:color w:val="auto"/>
                <w:sz w:val="24"/>
                <w:szCs w:val="24"/>
              </w:rPr>
            </w:pPr>
            <w:r>
              <w:rPr>
                <w:rFonts w:hint="default" w:ascii="宋体" w:hAnsi="宋体" w:eastAsia="宋体" w:cs="宋体"/>
                <w:color w:val="auto"/>
                <w:kern w:val="2"/>
                <w:sz w:val="24"/>
                <w:szCs w:val="24"/>
                <w:lang w:val="en-US" w:eastAsia="zh-CN" w:bidi="ar-SA"/>
              </w:rPr>
              <w:t>4.</w:t>
            </w:r>
          </w:p>
        </w:tc>
        <w:tc>
          <w:tcPr>
            <w:tcW w:w="6441" w:type="dxa"/>
            <w:tcBorders>
              <w:top w:val="single" w:color="auto" w:sz="4" w:space="0"/>
              <w:left w:val="single" w:color="auto" w:sz="4" w:space="0"/>
              <w:bottom w:val="single" w:color="auto" w:sz="4" w:space="0"/>
              <w:right w:val="single" w:color="auto" w:sz="4" w:space="0"/>
            </w:tcBorders>
            <w:noWrap w:val="0"/>
            <w:vAlign w:val="center"/>
          </w:tcPr>
          <w:p w14:paraId="720992B4">
            <w:pPr>
              <w:pStyle w:val="2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right="0"/>
              <w:jc w:val="left"/>
              <w:textAlignment w:val="auto"/>
              <w:rPr>
                <w:rFonts w:hint="eastAsia" w:ascii="宋体" w:hAnsi="宋体" w:eastAsia="宋体" w:cs="宋体"/>
                <w:color w:val="auto"/>
                <w:sz w:val="24"/>
                <w:szCs w:val="24"/>
                <w:u w:val="none"/>
              </w:rPr>
            </w:pPr>
            <w:r>
              <w:rPr>
                <w:rFonts w:hint="eastAsia" w:ascii="宋体" w:hAnsi="宋体" w:eastAsia="宋体" w:cs="宋体"/>
                <w:i w:val="0"/>
                <w:iCs w:val="0"/>
                <w:caps w:val="0"/>
                <w:color w:val="auto"/>
                <w:spacing w:val="0"/>
                <w:sz w:val="24"/>
                <w:szCs w:val="24"/>
                <w:highlight w:val="none"/>
                <w:lang w:val="en-US" w:eastAsia="zh-CN"/>
              </w:rPr>
              <w:t>履行合同所必需的设备和专业技术能力：提供《投标人资格声明函》；</w:t>
            </w:r>
          </w:p>
        </w:tc>
        <w:tc>
          <w:tcPr>
            <w:tcW w:w="1491" w:type="dxa"/>
            <w:tcBorders>
              <w:top w:val="single" w:color="auto" w:sz="4" w:space="0"/>
              <w:left w:val="single" w:color="auto" w:sz="4" w:space="0"/>
              <w:bottom w:val="single" w:color="auto" w:sz="4" w:space="0"/>
              <w:right w:val="single" w:color="auto" w:sz="4" w:space="0"/>
            </w:tcBorders>
            <w:noWrap w:val="0"/>
            <w:vAlign w:val="center"/>
          </w:tcPr>
          <w:p w14:paraId="4A76AD94">
            <w:pPr>
              <w:keepNext w:val="0"/>
              <w:keepLines w:val="0"/>
              <w:pageBreakBefore w:val="0"/>
              <w:widowControl w:val="0"/>
              <w:kinsoku/>
              <w:wordWrap/>
              <w:overflowPunct/>
              <w:topLinePunct w:val="0"/>
              <w:autoSpaceDE/>
              <w:autoSpaceDN/>
              <w:bidi w:val="0"/>
              <w:adjustRightInd/>
              <w:spacing w:line="440" w:lineRule="exact"/>
              <w:ind w:firstLine="480" w:firstLineChars="200"/>
              <w:jc w:val="center"/>
              <w:textAlignment w:val="auto"/>
              <w:rPr>
                <w:rFonts w:hint="eastAsia" w:ascii="宋体" w:hAnsi="宋体" w:eastAsia="宋体" w:cs="宋体"/>
                <w:color w:val="auto"/>
                <w:sz w:val="24"/>
                <w:szCs w:val="24"/>
              </w:rPr>
            </w:pPr>
          </w:p>
        </w:tc>
      </w:tr>
      <w:tr w14:paraId="74AFF9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0" w:hRule="atLeast"/>
          <w:jc w:val="center"/>
        </w:trPr>
        <w:tc>
          <w:tcPr>
            <w:tcW w:w="907" w:type="dxa"/>
            <w:tcBorders>
              <w:top w:val="single" w:color="auto" w:sz="4" w:space="0"/>
              <w:left w:val="single" w:color="auto" w:sz="4" w:space="0"/>
              <w:bottom w:val="single" w:color="auto" w:sz="4" w:space="0"/>
              <w:right w:val="single" w:color="auto" w:sz="4" w:space="0"/>
            </w:tcBorders>
            <w:noWrap w:val="0"/>
            <w:vAlign w:val="center"/>
          </w:tcPr>
          <w:p w14:paraId="65FCE34C">
            <w:pPr>
              <w:keepNext w:val="0"/>
              <w:keepLines w:val="0"/>
              <w:pageBreakBefore w:val="0"/>
              <w:widowControl w:val="0"/>
              <w:numPr>
                <w:ilvl w:val="0"/>
                <w:numId w:val="0"/>
              </w:numPr>
              <w:kinsoku/>
              <w:wordWrap/>
              <w:overflowPunct/>
              <w:topLinePunct w:val="0"/>
              <w:autoSpaceDE/>
              <w:autoSpaceDN/>
              <w:bidi w:val="0"/>
              <w:adjustRightInd/>
              <w:spacing w:line="440" w:lineRule="exact"/>
              <w:ind w:left="425" w:leftChars="0" w:hanging="425" w:firstLineChars="0"/>
              <w:jc w:val="center"/>
              <w:textAlignment w:val="auto"/>
              <w:rPr>
                <w:rFonts w:hint="eastAsia" w:ascii="宋体" w:hAnsi="宋体" w:eastAsia="宋体" w:cs="宋体"/>
                <w:color w:val="auto"/>
                <w:sz w:val="24"/>
                <w:szCs w:val="24"/>
                <w:lang w:eastAsia="zh-CN"/>
              </w:rPr>
            </w:pPr>
            <w:r>
              <w:rPr>
                <w:rFonts w:hint="default" w:ascii="宋体" w:hAnsi="宋体" w:eastAsia="宋体" w:cs="宋体"/>
                <w:color w:val="auto"/>
                <w:kern w:val="2"/>
                <w:sz w:val="24"/>
                <w:szCs w:val="24"/>
                <w:lang w:val="en-US" w:eastAsia="zh-CN" w:bidi="ar-SA"/>
              </w:rPr>
              <w:t>5.</w:t>
            </w:r>
          </w:p>
        </w:tc>
        <w:tc>
          <w:tcPr>
            <w:tcW w:w="6441" w:type="dxa"/>
            <w:tcBorders>
              <w:top w:val="single" w:color="auto" w:sz="4" w:space="0"/>
              <w:left w:val="single" w:color="auto" w:sz="4" w:space="0"/>
              <w:bottom w:val="single" w:color="auto" w:sz="4" w:space="0"/>
              <w:right w:val="single" w:color="auto" w:sz="4" w:space="0"/>
            </w:tcBorders>
            <w:noWrap w:val="0"/>
            <w:vAlign w:val="center"/>
          </w:tcPr>
          <w:p w14:paraId="23467DC2">
            <w:pPr>
              <w:pStyle w:val="2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right="0"/>
              <w:jc w:val="left"/>
              <w:textAlignment w:val="auto"/>
              <w:rPr>
                <w:rFonts w:hint="eastAsia" w:ascii="宋体" w:hAnsi="宋体" w:eastAsia="宋体" w:cs="宋体"/>
                <w:color w:val="auto"/>
                <w:sz w:val="24"/>
                <w:szCs w:val="24"/>
                <w:u w:val="none"/>
              </w:rPr>
            </w:pPr>
            <w:r>
              <w:rPr>
                <w:rFonts w:hint="eastAsia" w:ascii="宋体" w:hAnsi="宋体" w:eastAsia="宋体" w:cs="宋体"/>
                <w:i w:val="0"/>
                <w:iCs w:val="0"/>
                <w:caps w:val="0"/>
                <w:color w:val="auto"/>
                <w:spacing w:val="0"/>
                <w:sz w:val="24"/>
                <w:szCs w:val="24"/>
                <w:highlight w:val="none"/>
                <w:lang w:val="en-US" w:eastAsia="zh-CN"/>
              </w:rPr>
              <w:t>参加采购活动前3年内，在经营活动中没有重大违法记录：提供《投标人资格声明函》。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tc>
        <w:tc>
          <w:tcPr>
            <w:tcW w:w="1491" w:type="dxa"/>
            <w:tcBorders>
              <w:top w:val="single" w:color="auto" w:sz="4" w:space="0"/>
              <w:left w:val="single" w:color="auto" w:sz="4" w:space="0"/>
              <w:bottom w:val="single" w:color="auto" w:sz="4" w:space="0"/>
              <w:right w:val="single" w:color="auto" w:sz="4" w:space="0"/>
            </w:tcBorders>
            <w:noWrap w:val="0"/>
            <w:vAlign w:val="center"/>
          </w:tcPr>
          <w:p w14:paraId="682B3A75">
            <w:pPr>
              <w:keepNext w:val="0"/>
              <w:keepLines w:val="0"/>
              <w:pageBreakBefore w:val="0"/>
              <w:widowControl w:val="0"/>
              <w:kinsoku/>
              <w:wordWrap/>
              <w:overflowPunct/>
              <w:topLinePunct w:val="0"/>
              <w:autoSpaceDE/>
              <w:autoSpaceDN/>
              <w:bidi w:val="0"/>
              <w:adjustRightInd/>
              <w:spacing w:line="440" w:lineRule="exact"/>
              <w:ind w:firstLine="480" w:firstLineChars="200"/>
              <w:jc w:val="center"/>
              <w:textAlignment w:val="auto"/>
              <w:rPr>
                <w:rFonts w:hint="eastAsia" w:ascii="宋体" w:hAnsi="宋体" w:eastAsia="宋体" w:cs="宋体"/>
                <w:color w:val="auto"/>
                <w:sz w:val="24"/>
                <w:szCs w:val="24"/>
              </w:rPr>
            </w:pPr>
          </w:p>
        </w:tc>
      </w:tr>
      <w:tr w14:paraId="0CC5E4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0" w:hRule="atLeast"/>
          <w:jc w:val="center"/>
        </w:trPr>
        <w:tc>
          <w:tcPr>
            <w:tcW w:w="907" w:type="dxa"/>
            <w:tcBorders>
              <w:top w:val="single" w:color="auto" w:sz="4" w:space="0"/>
              <w:left w:val="single" w:color="auto" w:sz="4" w:space="0"/>
              <w:bottom w:val="single" w:color="auto" w:sz="4" w:space="0"/>
              <w:right w:val="single" w:color="auto" w:sz="4" w:space="0"/>
            </w:tcBorders>
            <w:noWrap w:val="0"/>
            <w:vAlign w:val="center"/>
          </w:tcPr>
          <w:p w14:paraId="09AA55FB">
            <w:pPr>
              <w:keepNext w:val="0"/>
              <w:keepLines w:val="0"/>
              <w:pageBreakBefore w:val="0"/>
              <w:widowControl w:val="0"/>
              <w:numPr>
                <w:ilvl w:val="0"/>
                <w:numId w:val="0"/>
              </w:numPr>
              <w:kinsoku/>
              <w:wordWrap/>
              <w:overflowPunct/>
              <w:topLinePunct w:val="0"/>
              <w:autoSpaceDE/>
              <w:autoSpaceDN/>
              <w:bidi w:val="0"/>
              <w:adjustRightInd/>
              <w:spacing w:line="440" w:lineRule="exact"/>
              <w:ind w:left="425" w:leftChars="0" w:hanging="425" w:firstLineChars="0"/>
              <w:jc w:val="center"/>
              <w:textAlignment w:val="auto"/>
              <w:rPr>
                <w:rFonts w:hint="eastAsia" w:ascii="宋体" w:hAnsi="宋体" w:eastAsia="宋体" w:cs="宋体"/>
                <w:color w:val="auto"/>
                <w:sz w:val="24"/>
                <w:szCs w:val="24"/>
                <w:lang w:val="en-US" w:eastAsia="zh-CN"/>
              </w:rPr>
            </w:pPr>
            <w:r>
              <w:rPr>
                <w:rFonts w:hint="default" w:ascii="宋体" w:hAnsi="宋体" w:eastAsia="宋体" w:cs="宋体"/>
                <w:color w:val="auto"/>
                <w:kern w:val="2"/>
                <w:sz w:val="24"/>
                <w:szCs w:val="24"/>
                <w:lang w:val="en-US" w:eastAsia="zh-CN" w:bidi="ar-SA"/>
              </w:rPr>
              <w:t>6.</w:t>
            </w:r>
          </w:p>
        </w:tc>
        <w:tc>
          <w:tcPr>
            <w:tcW w:w="6441" w:type="dxa"/>
            <w:tcBorders>
              <w:top w:val="single" w:color="auto" w:sz="4" w:space="0"/>
              <w:left w:val="single" w:color="auto" w:sz="4" w:space="0"/>
              <w:bottom w:val="single" w:color="auto" w:sz="4" w:space="0"/>
              <w:right w:val="single" w:color="auto" w:sz="4" w:space="0"/>
            </w:tcBorders>
            <w:noWrap w:val="0"/>
            <w:vAlign w:val="center"/>
          </w:tcPr>
          <w:p w14:paraId="2CA22C82">
            <w:pPr>
              <w:pStyle w:val="2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right="0"/>
              <w:jc w:val="left"/>
              <w:textAlignment w:val="auto"/>
              <w:rPr>
                <w:rFonts w:hint="eastAsia" w:ascii="宋体" w:hAnsi="宋体" w:eastAsia="宋体" w:cs="宋体"/>
                <w:color w:val="auto"/>
                <w:sz w:val="24"/>
                <w:szCs w:val="24"/>
                <w:u w:val="none"/>
              </w:rPr>
            </w:pPr>
            <w:r>
              <w:rPr>
                <w:rFonts w:hint="eastAsia" w:ascii="宋体" w:hAnsi="宋体" w:eastAsia="宋体" w:cs="宋体"/>
                <w:i w:val="0"/>
                <w:iCs w:val="0"/>
                <w:caps w:val="0"/>
                <w:color w:val="auto"/>
                <w:spacing w:val="0"/>
                <w:sz w:val="24"/>
                <w:szCs w:val="24"/>
                <w:highlight w:val="none"/>
                <w:lang w:val="en-US" w:eastAsia="zh-CN"/>
              </w:rPr>
              <w:t>近三年拟参加本次招标项目的投标人在“信用中国（www.creditchina.gov.cn）”被列入失信被执行人、企业经营异常名录、重大税收违法案件当事人名单、政府采购严重违法失信名单（尚在处罚期内的）；在“中国政府采购网（www.ccgp.gov.cn）”被列入政府采购严重违法失信行为记录名单的（尚在处罚期内的）；经营异常名录的取消投标资格。</w:t>
            </w:r>
          </w:p>
        </w:tc>
        <w:tc>
          <w:tcPr>
            <w:tcW w:w="1491" w:type="dxa"/>
            <w:tcBorders>
              <w:top w:val="single" w:color="auto" w:sz="4" w:space="0"/>
              <w:left w:val="single" w:color="auto" w:sz="4" w:space="0"/>
              <w:bottom w:val="single" w:color="auto" w:sz="4" w:space="0"/>
              <w:right w:val="single" w:color="auto" w:sz="4" w:space="0"/>
            </w:tcBorders>
            <w:noWrap w:val="0"/>
            <w:vAlign w:val="center"/>
          </w:tcPr>
          <w:p w14:paraId="3B76BD2D">
            <w:pPr>
              <w:keepNext w:val="0"/>
              <w:keepLines w:val="0"/>
              <w:pageBreakBefore w:val="0"/>
              <w:widowControl w:val="0"/>
              <w:kinsoku/>
              <w:wordWrap/>
              <w:overflowPunct/>
              <w:topLinePunct w:val="0"/>
              <w:autoSpaceDE/>
              <w:autoSpaceDN/>
              <w:bidi w:val="0"/>
              <w:adjustRightInd/>
              <w:spacing w:line="440" w:lineRule="exact"/>
              <w:ind w:firstLine="480" w:firstLineChars="200"/>
              <w:jc w:val="center"/>
              <w:textAlignment w:val="auto"/>
              <w:rPr>
                <w:rFonts w:hint="eastAsia" w:ascii="宋体" w:hAnsi="宋体" w:eastAsia="宋体" w:cs="宋体"/>
                <w:color w:val="auto"/>
                <w:sz w:val="24"/>
                <w:szCs w:val="24"/>
              </w:rPr>
            </w:pPr>
          </w:p>
        </w:tc>
      </w:tr>
      <w:tr w14:paraId="59E7F6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0" w:hRule="atLeast"/>
          <w:jc w:val="center"/>
        </w:trPr>
        <w:tc>
          <w:tcPr>
            <w:tcW w:w="907" w:type="dxa"/>
            <w:tcBorders>
              <w:top w:val="single" w:color="auto" w:sz="4" w:space="0"/>
              <w:left w:val="single" w:color="auto" w:sz="4" w:space="0"/>
              <w:bottom w:val="single" w:color="auto" w:sz="4" w:space="0"/>
              <w:right w:val="single" w:color="auto" w:sz="4" w:space="0"/>
            </w:tcBorders>
            <w:noWrap w:val="0"/>
            <w:vAlign w:val="center"/>
          </w:tcPr>
          <w:p w14:paraId="45C2B258">
            <w:pPr>
              <w:keepNext w:val="0"/>
              <w:keepLines w:val="0"/>
              <w:pageBreakBefore w:val="0"/>
              <w:widowControl w:val="0"/>
              <w:numPr>
                <w:ilvl w:val="0"/>
                <w:numId w:val="0"/>
              </w:numPr>
              <w:kinsoku/>
              <w:wordWrap/>
              <w:overflowPunct/>
              <w:topLinePunct w:val="0"/>
              <w:autoSpaceDE/>
              <w:autoSpaceDN/>
              <w:bidi w:val="0"/>
              <w:adjustRightInd/>
              <w:spacing w:line="440" w:lineRule="exact"/>
              <w:ind w:left="425" w:leftChars="0" w:hanging="425" w:firstLineChars="0"/>
              <w:jc w:val="center"/>
              <w:textAlignment w:val="auto"/>
              <w:rPr>
                <w:rFonts w:hint="eastAsia" w:ascii="宋体" w:hAnsi="宋体" w:eastAsia="宋体" w:cs="宋体"/>
                <w:color w:val="auto"/>
                <w:sz w:val="24"/>
                <w:szCs w:val="24"/>
                <w:lang w:val="en-US" w:eastAsia="zh-CN"/>
              </w:rPr>
            </w:pPr>
            <w:r>
              <w:rPr>
                <w:rFonts w:hint="default" w:ascii="宋体" w:hAnsi="宋体" w:eastAsia="宋体" w:cs="宋体"/>
                <w:color w:val="auto"/>
                <w:kern w:val="2"/>
                <w:sz w:val="24"/>
                <w:szCs w:val="24"/>
                <w:lang w:val="en-US" w:eastAsia="zh-CN" w:bidi="ar-SA"/>
              </w:rPr>
              <w:t>7.</w:t>
            </w:r>
          </w:p>
        </w:tc>
        <w:tc>
          <w:tcPr>
            <w:tcW w:w="6441" w:type="dxa"/>
            <w:tcBorders>
              <w:top w:val="single" w:color="auto" w:sz="4" w:space="0"/>
              <w:left w:val="single" w:color="auto" w:sz="4" w:space="0"/>
              <w:bottom w:val="single" w:color="auto" w:sz="4" w:space="0"/>
              <w:right w:val="single" w:color="auto" w:sz="4" w:space="0"/>
            </w:tcBorders>
            <w:noWrap w:val="0"/>
            <w:vAlign w:val="center"/>
          </w:tcPr>
          <w:p w14:paraId="1F0571A7">
            <w:pPr>
              <w:pStyle w:val="2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right="0"/>
              <w:jc w:val="left"/>
              <w:textAlignment w:val="auto"/>
              <w:rPr>
                <w:rFonts w:hint="eastAsia" w:ascii="宋体" w:hAnsi="宋体" w:eastAsia="宋体" w:cs="宋体"/>
                <w:color w:val="auto"/>
                <w:sz w:val="24"/>
                <w:szCs w:val="24"/>
                <w:u w:val="none"/>
              </w:rPr>
            </w:pPr>
            <w:r>
              <w:rPr>
                <w:rFonts w:hint="eastAsia" w:ascii="宋体" w:hAnsi="宋体" w:eastAsia="宋体" w:cs="宋体"/>
                <w:i w:val="0"/>
                <w:iCs w:val="0"/>
                <w:caps w:val="0"/>
                <w:color w:val="auto"/>
                <w:spacing w:val="0"/>
                <w:sz w:val="24"/>
                <w:szCs w:val="24"/>
                <w:highlight w:val="none"/>
                <w:lang w:val="en-US" w:eastAsia="zh-CN"/>
              </w:rPr>
              <w:t>企业负责人为同一人或者存在直接控股、管理关系的不同投标人，不得参加同一合同项下的政府采购活动。否则，皆取消投标资格。</w:t>
            </w:r>
          </w:p>
        </w:tc>
        <w:tc>
          <w:tcPr>
            <w:tcW w:w="1491" w:type="dxa"/>
            <w:tcBorders>
              <w:top w:val="single" w:color="auto" w:sz="4" w:space="0"/>
              <w:left w:val="single" w:color="auto" w:sz="4" w:space="0"/>
              <w:bottom w:val="single" w:color="auto" w:sz="4" w:space="0"/>
              <w:right w:val="single" w:color="auto" w:sz="4" w:space="0"/>
            </w:tcBorders>
            <w:noWrap w:val="0"/>
            <w:vAlign w:val="center"/>
          </w:tcPr>
          <w:p w14:paraId="5EEBF2AA">
            <w:pPr>
              <w:keepNext w:val="0"/>
              <w:keepLines w:val="0"/>
              <w:pageBreakBefore w:val="0"/>
              <w:widowControl w:val="0"/>
              <w:kinsoku/>
              <w:wordWrap/>
              <w:overflowPunct/>
              <w:topLinePunct w:val="0"/>
              <w:autoSpaceDE/>
              <w:autoSpaceDN/>
              <w:bidi w:val="0"/>
              <w:adjustRightInd/>
              <w:spacing w:line="440" w:lineRule="exact"/>
              <w:ind w:firstLine="480" w:firstLineChars="200"/>
              <w:jc w:val="center"/>
              <w:textAlignment w:val="auto"/>
              <w:rPr>
                <w:rFonts w:hint="eastAsia" w:ascii="宋体" w:hAnsi="宋体" w:eastAsia="宋体" w:cs="宋体"/>
                <w:color w:val="auto"/>
                <w:sz w:val="24"/>
                <w:szCs w:val="24"/>
              </w:rPr>
            </w:pPr>
          </w:p>
        </w:tc>
      </w:tr>
      <w:tr w14:paraId="156D665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0" w:hRule="atLeast"/>
          <w:jc w:val="center"/>
        </w:trPr>
        <w:tc>
          <w:tcPr>
            <w:tcW w:w="907" w:type="dxa"/>
            <w:tcBorders>
              <w:top w:val="single" w:color="auto" w:sz="4" w:space="0"/>
              <w:left w:val="single" w:color="auto" w:sz="4" w:space="0"/>
              <w:bottom w:val="single" w:color="auto" w:sz="4" w:space="0"/>
              <w:right w:val="single" w:color="auto" w:sz="4" w:space="0"/>
            </w:tcBorders>
            <w:noWrap w:val="0"/>
            <w:vAlign w:val="center"/>
          </w:tcPr>
          <w:p w14:paraId="59061EF2">
            <w:pPr>
              <w:keepNext w:val="0"/>
              <w:keepLines w:val="0"/>
              <w:pageBreakBefore w:val="0"/>
              <w:widowControl w:val="0"/>
              <w:numPr>
                <w:ilvl w:val="0"/>
                <w:numId w:val="0"/>
              </w:numPr>
              <w:kinsoku/>
              <w:wordWrap/>
              <w:overflowPunct/>
              <w:topLinePunct w:val="0"/>
              <w:autoSpaceDE/>
              <w:autoSpaceDN/>
              <w:bidi w:val="0"/>
              <w:adjustRightInd/>
              <w:spacing w:line="440" w:lineRule="exact"/>
              <w:ind w:left="425" w:leftChars="0" w:hanging="425" w:firstLineChars="0"/>
              <w:jc w:val="center"/>
              <w:textAlignment w:val="auto"/>
              <w:rPr>
                <w:rFonts w:hint="eastAsia" w:ascii="宋体" w:hAnsi="宋体" w:eastAsia="宋体" w:cs="宋体"/>
                <w:color w:val="auto"/>
                <w:sz w:val="24"/>
                <w:szCs w:val="24"/>
                <w:lang w:val="en-US" w:eastAsia="zh-CN"/>
              </w:rPr>
            </w:pPr>
            <w:r>
              <w:rPr>
                <w:rFonts w:hint="default" w:ascii="宋体" w:hAnsi="宋体" w:eastAsia="宋体" w:cs="宋体"/>
                <w:color w:val="auto"/>
                <w:kern w:val="2"/>
                <w:sz w:val="24"/>
                <w:szCs w:val="24"/>
                <w:lang w:val="en-US" w:eastAsia="zh-CN" w:bidi="ar-SA"/>
              </w:rPr>
              <w:t>8.</w:t>
            </w:r>
          </w:p>
        </w:tc>
        <w:tc>
          <w:tcPr>
            <w:tcW w:w="6441" w:type="dxa"/>
            <w:tcBorders>
              <w:top w:val="single" w:color="auto" w:sz="4" w:space="0"/>
              <w:left w:val="single" w:color="auto" w:sz="4" w:space="0"/>
              <w:bottom w:val="single" w:color="auto" w:sz="4" w:space="0"/>
              <w:right w:val="single" w:color="auto" w:sz="4" w:space="0"/>
            </w:tcBorders>
            <w:noWrap w:val="0"/>
            <w:vAlign w:val="center"/>
          </w:tcPr>
          <w:p w14:paraId="461A95E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u w:val="none"/>
              </w:rPr>
            </w:pPr>
            <w:r>
              <w:rPr>
                <w:rFonts w:hint="eastAsia" w:ascii="宋体" w:hAnsi="宋体" w:eastAsia="宋体" w:cs="宋体"/>
                <w:color w:val="auto"/>
                <w:sz w:val="24"/>
                <w:szCs w:val="24"/>
                <w:u w:val="none"/>
              </w:rPr>
              <w:t>投标人是否提供投标保证金缴纳凭证或电子保函；</w:t>
            </w:r>
          </w:p>
        </w:tc>
        <w:tc>
          <w:tcPr>
            <w:tcW w:w="1491" w:type="dxa"/>
            <w:tcBorders>
              <w:top w:val="single" w:color="auto" w:sz="4" w:space="0"/>
              <w:left w:val="single" w:color="auto" w:sz="4" w:space="0"/>
              <w:bottom w:val="single" w:color="auto" w:sz="4" w:space="0"/>
              <w:right w:val="single" w:color="auto" w:sz="4" w:space="0"/>
            </w:tcBorders>
            <w:noWrap w:val="0"/>
            <w:vAlign w:val="center"/>
          </w:tcPr>
          <w:p w14:paraId="44974C83">
            <w:pPr>
              <w:keepNext w:val="0"/>
              <w:keepLines w:val="0"/>
              <w:pageBreakBefore w:val="0"/>
              <w:widowControl w:val="0"/>
              <w:kinsoku/>
              <w:wordWrap/>
              <w:overflowPunct/>
              <w:topLinePunct w:val="0"/>
              <w:autoSpaceDE/>
              <w:autoSpaceDN/>
              <w:bidi w:val="0"/>
              <w:adjustRightInd/>
              <w:spacing w:line="440" w:lineRule="exact"/>
              <w:ind w:firstLine="480" w:firstLineChars="200"/>
              <w:jc w:val="center"/>
              <w:textAlignment w:val="auto"/>
              <w:rPr>
                <w:rFonts w:hint="eastAsia" w:ascii="宋体" w:hAnsi="宋体" w:eastAsia="宋体" w:cs="宋体"/>
                <w:color w:val="auto"/>
                <w:sz w:val="24"/>
                <w:szCs w:val="24"/>
              </w:rPr>
            </w:pPr>
          </w:p>
        </w:tc>
      </w:tr>
      <w:tr w14:paraId="324510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0" w:hRule="atLeast"/>
          <w:jc w:val="center"/>
        </w:trPr>
        <w:tc>
          <w:tcPr>
            <w:tcW w:w="907" w:type="dxa"/>
            <w:tcBorders>
              <w:top w:val="single" w:color="auto" w:sz="4" w:space="0"/>
              <w:left w:val="single" w:color="auto" w:sz="4" w:space="0"/>
              <w:bottom w:val="single" w:color="auto" w:sz="4" w:space="0"/>
              <w:right w:val="single" w:color="auto" w:sz="4" w:space="0"/>
            </w:tcBorders>
            <w:noWrap w:val="0"/>
            <w:vAlign w:val="center"/>
          </w:tcPr>
          <w:p w14:paraId="042E7B91">
            <w:pPr>
              <w:keepNext w:val="0"/>
              <w:keepLines w:val="0"/>
              <w:pageBreakBefore w:val="0"/>
              <w:widowControl w:val="0"/>
              <w:numPr>
                <w:ilvl w:val="0"/>
                <w:numId w:val="0"/>
              </w:numPr>
              <w:kinsoku/>
              <w:wordWrap/>
              <w:overflowPunct/>
              <w:topLinePunct w:val="0"/>
              <w:autoSpaceDE/>
              <w:autoSpaceDN/>
              <w:bidi w:val="0"/>
              <w:adjustRightInd/>
              <w:spacing w:line="440" w:lineRule="exact"/>
              <w:ind w:leftChars="0"/>
              <w:jc w:val="center"/>
              <w:textAlignment w:val="auto"/>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9.</w:t>
            </w:r>
          </w:p>
        </w:tc>
        <w:tc>
          <w:tcPr>
            <w:tcW w:w="6441" w:type="dxa"/>
            <w:tcBorders>
              <w:top w:val="single" w:color="auto" w:sz="4" w:space="0"/>
              <w:left w:val="single" w:color="auto" w:sz="4" w:space="0"/>
              <w:bottom w:val="single" w:color="auto" w:sz="4" w:space="0"/>
              <w:right w:val="single" w:color="auto" w:sz="4" w:space="0"/>
            </w:tcBorders>
            <w:noWrap w:val="0"/>
            <w:vAlign w:val="center"/>
          </w:tcPr>
          <w:p w14:paraId="773FF63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lang w:eastAsia="zh-CN"/>
              </w:rPr>
            </w:pPr>
            <w:r>
              <w:rPr>
                <w:rFonts w:hint="eastAsia" w:cs="宋体"/>
                <w:i w:val="0"/>
                <w:iCs w:val="0"/>
                <w:caps w:val="0"/>
                <w:color w:val="000000"/>
                <w:spacing w:val="0"/>
                <w:sz w:val="24"/>
                <w:szCs w:val="24"/>
                <w:highlight w:val="none"/>
                <w:lang w:val="en-US" w:eastAsia="zh-CN"/>
              </w:rPr>
              <w:t>供应商为生产厂家，提供《药品生产许可证》；供应商为经销商，提供《药品经营许可证》。</w:t>
            </w:r>
          </w:p>
        </w:tc>
        <w:tc>
          <w:tcPr>
            <w:tcW w:w="1491" w:type="dxa"/>
            <w:tcBorders>
              <w:top w:val="single" w:color="auto" w:sz="4" w:space="0"/>
              <w:left w:val="single" w:color="auto" w:sz="4" w:space="0"/>
              <w:bottom w:val="single" w:color="auto" w:sz="4" w:space="0"/>
              <w:right w:val="single" w:color="auto" w:sz="4" w:space="0"/>
            </w:tcBorders>
            <w:noWrap w:val="0"/>
            <w:vAlign w:val="center"/>
          </w:tcPr>
          <w:p w14:paraId="1C42FE60">
            <w:pPr>
              <w:keepNext w:val="0"/>
              <w:keepLines w:val="0"/>
              <w:pageBreakBefore w:val="0"/>
              <w:widowControl w:val="0"/>
              <w:kinsoku/>
              <w:wordWrap/>
              <w:overflowPunct/>
              <w:topLinePunct w:val="0"/>
              <w:autoSpaceDE/>
              <w:autoSpaceDN/>
              <w:bidi w:val="0"/>
              <w:adjustRightInd/>
              <w:spacing w:line="440" w:lineRule="exact"/>
              <w:ind w:firstLine="480" w:firstLineChars="200"/>
              <w:jc w:val="center"/>
              <w:textAlignment w:val="auto"/>
              <w:rPr>
                <w:rFonts w:hint="eastAsia" w:ascii="宋体" w:hAnsi="宋体" w:eastAsia="宋体" w:cs="宋体"/>
                <w:color w:val="auto"/>
                <w:sz w:val="24"/>
                <w:szCs w:val="24"/>
              </w:rPr>
            </w:pPr>
          </w:p>
        </w:tc>
      </w:tr>
      <w:tr w14:paraId="14EEC5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9" w:hRule="atLeast"/>
          <w:jc w:val="center"/>
        </w:trPr>
        <w:tc>
          <w:tcPr>
            <w:tcW w:w="7348" w:type="dxa"/>
            <w:gridSpan w:val="2"/>
            <w:tcBorders>
              <w:top w:val="single" w:color="auto" w:sz="4" w:space="0"/>
              <w:left w:val="single" w:color="auto" w:sz="4" w:space="0"/>
              <w:bottom w:val="single" w:color="auto" w:sz="4" w:space="0"/>
              <w:right w:val="single" w:color="auto" w:sz="4" w:space="0"/>
            </w:tcBorders>
            <w:noWrap w:val="0"/>
            <w:vAlign w:val="center"/>
          </w:tcPr>
          <w:p w14:paraId="7235C0B1">
            <w:pPr>
              <w:keepNext w:val="0"/>
              <w:keepLines w:val="0"/>
              <w:pageBreakBefore w:val="0"/>
              <w:widowControl w:val="0"/>
              <w:kinsoku/>
              <w:wordWrap/>
              <w:overflowPunct/>
              <w:topLinePunct w:val="0"/>
              <w:autoSpaceDE/>
              <w:autoSpaceDN/>
              <w:bidi w:val="0"/>
              <w:adjustRightInd/>
              <w:spacing w:line="44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结论：是否通过评审</w:t>
            </w:r>
          </w:p>
        </w:tc>
        <w:tc>
          <w:tcPr>
            <w:tcW w:w="1491" w:type="dxa"/>
            <w:tcBorders>
              <w:top w:val="single" w:color="auto" w:sz="4" w:space="0"/>
              <w:left w:val="single" w:color="auto" w:sz="4" w:space="0"/>
              <w:bottom w:val="single" w:color="auto" w:sz="4" w:space="0"/>
              <w:right w:val="single" w:color="auto" w:sz="4" w:space="0"/>
            </w:tcBorders>
            <w:noWrap w:val="0"/>
            <w:vAlign w:val="center"/>
          </w:tcPr>
          <w:p w14:paraId="68FB52F4">
            <w:pPr>
              <w:keepNext w:val="0"/>
              <w:keepLines w:val="0"/>
              <w:pageBreakBefore w:val="0"/>
              <w:widowControl w:val="0"/>
              <w:kinsoku/>
              <w:wordWrap/>
              <w:overflowPunct/>
              <w:topLinePunct w:val="0"/>
              <w:autoSpaceDE/>
              <w:autoSpaceDN/>
              <w:bidi w:val="0"/>
              <w:adjustRightInd/>
              <w:spacing w:line="440" w:lineRule="exact"/>
              <w:ind w:firstLine="480" w:firstLineChars="200"/>
              <w:jc w:val="center"/>
              <w:textAlignment w:val="auto"/>
              <w:rPr>
                <w:rFonts w:hint="eastAsia" w:ascii="宋体" w:hAnsi="宋体" w:eastAsia="宋体" w:cs="宋体"/>
                <w:color w:val="auto"/>
                <w:sz w:val="24"/>
                <w:szCs w:val="24"/>
              </w:rPr>
            </w:pPr>
          </w:p>
        </w:tc>
      </w:tr>
    </w:tbl>
    <w:p w14:paraId="1767619F">
      <w:pPr>
        <w:keepNext w:val="0"/>
        <w:keepLines w:val="0"/>
        <w:pageBreakBefore w:val="0"/>
        <w:widowControl w:val="0"/>
        <w:kinsoku/>
        <w:wordWrap/>
        <w:overflowPunct/>
        <w:topLinePunct w:val="0"/>
        <w:autoSpaceDE/>
        <w:autoSpaceDN/>
        <w:bidi w:val="0"/>
        <w:adjustRightInd/>
        <w:spacing w:line="4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8</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1.</w:t>
      </w:r>
      <w:r>
        <w:rPr>
          <w:rFonts w:hint="eastAsia" w:ascii="宋体" w:hAnsi="宋体" w:eastAsia="宋体" w:cs="宋体"/>
          <w:b w:val="0"/>
          <w:bCs w:val="0"/>
          <w:color w:val="auto"/>
          <w:sz w:val="24"/>
          <w:szCs w:val="24"/>
        </w:rPr>
        <w:t>2符合性检查：</w:t>
      </w:r>
      <w:r>
        <w:rPr>
          <w:rFonts w:hint="eastAsia" w:ascii="宋体" w:hAnsi="宋体" w:eastAsia="宋体" w:cs="宋体"/>
          <w:color w:val="auto"/>
          <w:sz w:val="24"/>
          <w:szCs w:val="24"/>
        </w:rPr>
        <w:t>依据采购文件的规定，从响应文件的有效性、完整性和对采购文件的响应程度、有无计算错误进行审查，以确定是否对采购文件的实质性要求作出响应。符合性检查不合格的，将按响应文件无效处理。符合性检查资料表如下：</w:t>
      </w:r>
    </w:p>
    <w:tbl>
      <w:tblPr>
        <w:tblStyle w:val="29"/>
        <w:tblW w:w="478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1"/>
        <w:gridCol w:w="1480"/>
        <w:gridCol w:w="7221"/>
      </w:tblGrid>
      <w:tr w14:paraId="10A29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36" w:type="pct"/>
            <w:noWrap w:val="0"/>
            <w:vAlign w:val="center"/>
          </w:tcPr>
          <w:p w14:paraId="2344B8B4">
            <w:pPr>
              <w:widowControl/>
              <w:jc w:val="center"/>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序号</w:t>
            </w:r>
          </w:p>
        </w:tc>
        <w:tc>
          <w:tcPr>
            <w:tcW w:w="776" w:type="pct"/>
            <w:noWrap w:val="0"/>
            <w:vAlign w:val="center"/>
          </w:tcPr>
          <w:p w14:paraId="29F9DB70">
            <w:pPr>
              <w:widowControl/>
              <w:jc w:val="center"/>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审查因素</w:t>
            </w:r>
          </w:p>
        </w:tc>
        <w:tc>
          <w:tcPr>
            <w:tcW w:w="3787" w:type="pct"/>
            <w:noWrap w:val="0"/>
            <w:vAlign w:val="center"/>
          </w:tcPr>
          <w:p w14:paraId="6DD8CD41">
            <w:pPr>
              <w:widowControl/>
              <w:jc w:val="center"/>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审查内容</w:t>
            </w:r>
          </w:p>
        </w:tc>
      </w:tr>
      <w:tr w14:paraId="33D32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36" w:type="pct"/>
            <w:noWrap w:val="0"/>
            <w:vAlign w:val="center"/>
          </w:tcPr>
          <w:p w14:paraId="0ADC54F1">
            <w:pPr>
              <w:tabs>
                <w:tab w:val="left" w:pos="1080"/>
              </w:tabs>
              <w:snapToGrid w:val="0"/>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776" w:type="pct"/>
            <w:noWrap w:val="0"/>
            <w:vAlign w:val="center"/>
          </w:tcPr>
          <w:p w14:paraId="5CBBEC23">
            <w:pPr>
              <w:tabs>
                <w:tab w:val="left" w:pos="1080"/>
              </w:tabs>
              <w:snapToGrid w:val="0"/>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授权委托书</w:t>
            </w:r>
          </w:p>
        </w:tc>
        <w:tc>
          <w:tcPr>
            <w:tcW w:w="3787" w:type="pct"/>
            <w:noWrap w:val="0"/>
            <w:vAlign w:val="center"/>
          </w:tcPr>
          <w:p w14:paraId="4F05837F">
            <w:pPr>
              <w:tabs>
                <w:tab w:val="left" w:pos="1080"/>
              </w:tabs>
              <w:snapToGrid w:val="0"/>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按招标文件要求提供授权委托书；</w:t>
            </w:r>
          </w:p>
        </w:tc>
      </w:tr>
      <w:tr w14:paraId="7A8E9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36" w:type="pct"/>
            <w:noWrap w:val="0"/>
            <w:vAlign w:val="center"/>
          </w:tcPr>
          <w:p w14:paraId="3ED7CA55">
            <w:pPr>
              <w:tabs>
                <w:tab w:val="left" w:pos="1080"/>
              </w:tabs>
              <w:snapToGrid w:val="0"/>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776" w:type="pct"/>
            <w:noWrap w:val="0"/>
            <w:vAlign w:val="center"/>
          </w:tcPr>
          <w:p w14:paraId="11A0E164">
            <w:pPr>
              <w:tabs>
                <w:tab w:val="left" w:pos="1080"/>
              </w:tabs>
              <w:snapToGrid w:val="0"/>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投标完整性</w:t>
            </w:r>
          </w:p>
        </w:tc>
        <w:tc>
          <w:tcPr>
            <w:tcW w:w="3787" w:type="pct"/>
            <w:noWrap w:val="0"/>
            <w:vAlign w:val="center"/>
          </w:tcPr>
          <w:p w14:paraId="326445D1">
            <w:pPr>
              <w:tabs>
                <w:tab w:val="left" w:pos="1080"/>
              </w:tabs>
              <w:snapToGrid w:val="0"/>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未将一个采购包中的内容拆开投标；</w:t>
            </w:r>
          </w:p>
        </w:tc>
      </w:tr>
      <w:tr w14:paraId="6CA35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436" w:type="pct"/>
            <w:noWrap w:val="0"/>
            <w:vAlign w:val="center"/>
          </w:tcPr>
          <w:p w14:paraId="06DDB6A6">
            <w:pPr>
              <w:tabs>
                <w:tab w:val="left" w:pos="1080"/>
              </w:tabs>
              <w:snapToGrid w:val="0"/>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776" w:type="pct"/>
            <w:noWrap w:val="0"/>
            <w:vAlign w:val="center"/>
          </w:tcPr>
          <w:p w14:paraId="1F51B565">
            <w:pPr>
              <w:tabs>
                <w:tab w:val="left" w:pos="1080"/>
              </w:tabs>
              <w:snapToGrid w:val="0"/>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投标报价</w:t>
            </w:r>
          </w:p>
        </w:tc>
        <w:tc>
          <w:tcPr>
            <w:tcW w:w="3787" w:type="pct"/>
            <w:noWrap w:val="0"/>
            <w:vAlign w:val="center"/>
          </w:tcPr>
          <w:p w14:paraId="4802DD9F">
            <w:pPr>
              <w:tabs>
                <w:tab w:val="left" w:pos="1080"/>
              </w:tabs>
              <w:snapToGrid w:val="0"/>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投标报价未超过招标文件中规定的项目/采购包预算金额或者项目/采购包最高限价；</w:t>
            </w:r>
          </w:p>
        </w:tc>
      </w:tr>
      <w:tr w14:paraId="45248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36" w:type="pct"/>
            <w:noWrap w:val="0"/>
            <w:vAlign w:val="center"/>
          </w:tcPr>
          <w:p w14:paraId="759DC105">
            <w:pPr>
              <w:tabs>
                <w:tab w:val="left" w:pos="1080"/>
              </w:tabs>
              <w:snapToGrid w:val="0"/>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776" w:type="pct"/>
            <w:noWrap w:val="0"/>
            <w:vAlign w:val="center"/>
          </w:tcPr>
          <w:p w14:paraId="755D0A25">
            <w:pPr>
              <w:tabs>
                <w:tab w:val="left" w:pos="1080"/>
              </w:tabs>
              <w:snapToGrid w:val="0"/>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报价唯一性</w:t>
            </w:r>
          </w:p>
        </w:tc>
        <w:tc>
          <w:tcPr>
            <w:tcW w:w="3787" w:type="pct"/>
            <w:noWrap w:val="0"/>
            <w:vAlign w:val="center"/>
          </w:tcPr>
          <w:p w14:paraId="2A78E2F3">
            <w:pPr>
              <w:tabs>
                <w:tab w:val="left" w:pos="1080"/>
              </w:tabs>
              <w:snapToGrid w:val="0"/>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投标文件未出现可选择性或可调整的报价（招标文件另有规定的除外）；</w:t>
            </w:r>
          </w:p>
        </w:tc>
      </w:tr>
      <w:tr w14:paraId="672C6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36" w:type="pct"/>
            <w:noWrap w:val="0"/>
            <w:vAlign w:val="center"/>
          </w:tcPr>
          <w:p w14:paraId="7B99C2C4">
            <w:pPr>
              <w:tabs>
                <w:tab w:val="left" w:pos="1080"/>
              </w:tabs>
              <w:snapToGrid w:val="0"/>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776" w:type="pct"/>
            <w:noWrap w:val="0"/>
            <w:vAlign w:val="center"/>
          </w:tcPr>
          <w:p w14:paraId="3B17AE74">
            <w:pPr>
              <w:tabs>
                <w:tab w:val="left" w:pos="1080"/>
              </w:tabs>
              <w:snapToGrid w:val="0"/>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投标有效期</w:t>
            </w:r>
          </w:p>
        </w:tc>
        <w:tc>
          <w:tcPr>
            <w:tcW w:w="3787" w:type="pct"/>
            <w:noWrap w:val="0"/>
            <w:vAlign w:val="center"/>
          </w:tcPr>
          <w:p w14:paraId="23DC1DBB">
            <w:pPr>
              <w:tabs>
                <w:tab w:val="left" w:pos="1080"/>
              </w:tabs>
              <w:snapToGrid w:val="0"/>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投标文件中承诺的投标有效期满足招标文件中载明的投标有效期的；</w:t>
            </w:r>
          </w:p>
        </w:tc>
      </w:tr>
      <w:tr w14:paraId="1FB9E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36" w:type="pct"/>
            <w:noWrap w:val="0"/>
            <w:vAlign w:val="center"/>
          </w:tcPr>
          <w:p w14:paraId="508336B8">
            <w:pPr>
              <w:tabs>
                <w:tab w:val="left" w:pos="1080"/>
              </w:tabs>
              <w:snapToGrid w:val="0"/>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776" w:type="pct"/>
            <w:noWrap w:val="0"/>
            <w:vAlign w:val="center"/>
          </w:tcPr>
          <w:p w14:paraId="46134DFB">
            <w:pPr>
              <w:tabs>
                <w:tab w:val="left" w:pos="1080"/>
              </w:tabs>
              <w:snapToGrid w:val="0"/>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签署、盖章</w:t>
            </w:r>
          </w:p>
        </w:tc>
        <w:tc>
          <w:tcPr>
            <w:tcW w:w="3787" w:type="pct"/>
            <w:noWrap w:val="0"/>
            <w:vAlign w:val="center"/>
          </w:tcPr>
          <w:p w14:paraId="6BC3E736">
            <w:pPr>
              <w:tabs>
                <w:tab w:val="left" w:pos="1080"/>
              </w:tabs>
              <w:snapToGrid w:val="0"/>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按照招标文件要求签署、盖章的；</w:t>
            </w:r>
          </w:p>
        </w:tc>
      </w:tr>
      <w:tr w14:paraId="5AD3B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36" w:type="pct"/>
            <w:noWrap w:val="0"/>
            <w:vAlign w:val="center"/>
          </w:tcPr>
          <w:p w14:paraId="2496A23A">
            <w:pPr>
              <w:tabs>
                <w:tab w:val="left" w:pos="1080"/>
              </w:tabs>
              <w:snapToGrid w:val="0"/>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776" w:type="pct"/>
            <w:noWrap w:val="0"/>
            <w:vAlign w:val="center"/>
          </w:tcPr>
          <w:p w14:paraId="07AD49BA">
            <w:pPr>
              <w:tabs>
                <w:tab w:val="left" w:pos="1080"/>
              </w:tabs>
              <w:snapToGrid w:val="0"/>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实质性格式</w:t>
            </w:r>
          </w:p>
        </w:tc>
        <w:tc>
          <w:tcPr>
            <w:tcW w:w="3787" w:type="pct"/>
            <w:noWrap w:val="0"/>
            <w:vAlign w:val="center"/>
          </w:tcPr>
          <w:p w14:paraId="3572D0F1">
            <w:pPr>
              <w:tabs>
                <w:tab w:val="left" w:pos="1080"/>
              </w:tabs>
              <w:snapToGrid w:val="0"/>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标记为“实质性格式”的文件均按招标文件要求提供；</w:t>
            </w:r>
          </w:p>
        </w:tc>
      </w:tr>
      <w:tr w14:paraId="50132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36" w:type="pct"/>
            <w:noWrap w:val="0"/>
            <w:vAlign w:val="center"/>
          </w:tcPr>
          <w:p w14:paraId="61BE2809">
            <w:pPr>
              <w:tabs>
                <w:tab w:val="left" w:pos="1080"/>
              </w:tabs>
              <w:snapToGrid w:val="0"/>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p>
        </w:tc>
        <w:tc>
          <w:tcPr>
            <w:tcW w:w="776" w:type="pct"/>
            <w:noWrap w:val="0"/>
            <w:vAlign w:val="center"/>
          </w:tcPr>
          <w:p w14:paraId="0E2EC463">
            <w:pPr>
              <w:tabs>
                <w:tab w:val="left" w:pos="1080"/>
              </w:tabs>
              <w:snapToGrid w:val="0"/>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★号条款响应</w:t>
            </w:r>
          </w:p>
        </w:tc>
        <w:tc>
          <w:tcPr>
            <w:tcW w:w="3787" w:type="pct"/>
            <w:noWrap w:val="0"/>
            <w:vAlign w:val="center"/>
          </w:tcPr>
          <w:p w14:paraId="7DE773F0">
            <w:pPr>
              <w:tabs>
                <w:tab w:val="left" w:pos="1080"/>
              </w:tabs>
              <w:snapToGrid w:val="0"/>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投标文件满足招标文件第五章《采购内容及要求》中★号条款要求的；</w:t>
            </w:r>
          </w:p>
        </w:tc>
      </w:tr>
      <w:tr w14:paraId="343CE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36" w:type="pct"/>
            <w:noWrap w:val="0"/>
            <w:vAlign w:val="center"/>
          </w:tcPr>
          <w:p w14:paraId="7D733D22">
            <w:pPr>
              <w:tabs>
                <w:tab w:val="left" w:pos="1080"/>
              </w:tabs>
              <w:snapToGrid w:val="0"/>
              <w:spacing w:line="240" w:lineRule="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val="en-US" w:eastAsia="zh-CN"/>
              </w:rPr>
              <w:t>9</w:t>
            </w:r>
          </w:p>
        </w:tc>
        <w:tc>
          <w:tcPr>
            <w:tcW w:w="776" w:type="pct"/>
            <w:noWrap w:val="0"/>
            <w:vAlign w:val="center"/>
          </w:tcPr>
          <w:p w14:paraId="0CAF869A">
            <w:pPr>
              <w:tabs>
                <w:tab w:val="left" w:pos="1080"/>
              </w:tabs>
              <w:snapToGrid w:val="0"/>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报价的修正（如有）</w:t>
            </w:r>
          </w:p>
        </w:tc>
        <w:tc>
          <w:tcPr>
            <w:tcW w:w="3787" w:type="pct"/>
            <w:noWrap w:val="0"/>
            <w:vAlign w:val="center"/>
          </w:tcPr>
          <w:p w14:paraId="319A8814">
            <w:pPr>
              <w:tabs>
                <w:tab w:val="left" w:pos="1080"/>
              </w:tabs>
              <w:snapToGrid w:val="0"/>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不涉及报价修正，或投标文件报价出现前后不一致时，投标人对修正后的报价予以确认；（如有）</w:t>
            </w:r>
          </w:p>
        </w:tc>
      </w:tr>
      <w:tr w14:paraId="679B5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36" w:type="pct"/>
            <w:noWrap w:val="0"/>
            <w:vAlign w:val="center"/>
          </w:tcPr>
          <w:p w14:paraId="043F4E1A">
            <w:pPr>
              <w:tabs>
                <w:tab w:val="left" w:pos="1080"/>
              </w:tabs>
              <w:snapToGrid w:val="0"/>
              <w:spacing w:line="24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w:t>
            </w:r>
            <w:r>
              <w:rPr>
                <w:rFonts w:hint="eastAsia" w:ascii="宋体" w:hAnsi="宋体" w:cs="宋体"/>
                <w:color w:val="auto"/>
                <w:sz w:val="21"/>
                <w:szCs w:val="21"/>
                <w:highlight w:val="none"/>
                <w:lang w:val="en-US" w:eastAsia="zh-CN"/>
              </w:rPr>
              <w:t>0</w:t>
            </w:r>
          </w:p>
        </w:tc>
        <w:tc>
          <w:tcPr>
            <w:tcW w:w="776" w:type="pct"/>
            <w:noWrap w:val="0"/>
            <w:vAlign w:val="center"/>
          </w:tcPr>
          <w:p w14:paraId="1AF9E9C4">
            <w:pPr>
              <w:tabs>
                <w:tab w:val="left" w:pos="1080"/>
              </w:tabs>
              <w:snapToGrid w:val="0"/>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报价合理性</w:t>
            </w:r>
          </w:p>
        </w:tc>
        <w:tc>
          <w:tcPr>
            <w:tcW w:w="3787" w:type="pct"/>
            <w:noWrap w:val="0"/>
            <w:vAlign w:val="center"/>
          </w:tcPr>
          <w:p w14:paraId="119557A2">
            <w:pPr>
              <w:tabs>
                <w:tab w:val="left" w:pos="1080"/>
              </w:tabs>
              <w:snapToGrid w:val="0"/>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报价合理，或投标人的报价明显低于其他通过符合性审查投标人的报价，有可能影响产品质量或者不能诚信履约的，能够应评标委员会要求在规定时间内证明其报价合理性的；</w:t>
            </w:r>
          </w:p>
        </w:tc>
      </w:tr>
      <w:tr w14:paraId="3E23A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36" w:type="pct"/>
            <w:noWrap w:val="0"/>
            <w:vAlign w:val="center"/>
          </w:tcPr>
          <w:p w14:paraId="2BEEEBC8">
            <w:pPr>
              <w:tabs>
                <w:tab w:val="left" w:pos="1080"/>
              </w:tabs>
              <w:snapToGrid w:val="0"/>
              <w:spacing w:line="24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w:t>
            </w:r>
            <w:r>
              <w:rPr>
                <w:rFonts w:hint="eastAsia" w:ascii="宋体" w:hAnsi="宋体" w:cs="宋体"/>
                <w:color w:val="auto"/>
                <w:sz w:val="21"/>
                <w:szCs w:val="21"/>
                <w:highlight w:val="none"/>
                <w:lang w:val="en-US" w:eastAsia="zh-CN"/>
              </w:rPr>
              <w:t>1</w:t>
            </w:r>
          </w:p>
        </w:tc>
        <w:tc>
          <w:tcPr>
            <w:tcW w:w="776" w:type="pct"/>
            <w:noWrap w:val="0"/>
            <w:vAlign w:val="center"/>
          </w:tcPr>
          <w:p w14:paraId="68EDE6A0">
            <w:pPr>
              <w:tabs>
                <w:tab w:val="left" w:pos="1080"/>
              </w:tabs>
              <w:snapToGrid w:val="0"/>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公平竞争</w:t>
            </w:r>
          </w:p>
        </w:tc>
        <w:tc>
          <w:tcPr>
            <w:tcW w:w="3787" w:type="pct"/>
            <w:noWrap w:val="0"/>
            <w:vAlign w:val="center"/>
          </w:tcPr>
          <w:p w14:paraId="0E3F5BE9">
            <w:pPr>
              <w:tabs>
                <w:tab w:val="left" w:pos="1080"/>
              </w:tabs>
              <w:snapToGrid w:val="0"/>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投标人遵循公平竞争的原则，不存在恶意串通，妨碍其他投标人的竞争行为，不存在损害采购人或者其他投标人的合法权益情形的；</w:t>
            </w:r>
          </w:p>
        </w:tc>
      </w:tr>
      <w:tr w14:paraId="0D3C0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36" w:type="pct"/>
            <w:noWrap w:val="0"/>
            <w:vAlign w:val="center"/>
          </w:tcPr>
          <w:p w14:paraId="548DFFBE">
            <w:pPr>
              <w:tabs>
                <w:tab w:val="left" w:pos="1080"/>
              </w:tabs>
              <w:snapToGrid w:val="0"/>
              <w:spacing w:line="240" w:lineRule="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val="en-US" w:eastAsia="zh-CN"/>
              </w:rPr>
              <w:t>12</w:t>
            </w:r>
          </w:p>
        </w:tc>
        <w:tc>
          <w:tcPr>
            <w:tcW w:w="776" w:type="pct"/>
            <w:noWrap w:val="0"/>
            <w:vAlign w:val="center"/>
          </w:tcPr>
          <w:p w14:paraId="0C4933A4">
            <w:pPr>
              <w:tabs>
                <w:tab w:val="left" w:pos="1080"/>
              </w:tabs>
              <w:snapToGrid w:val="0"/>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串通投标</w:t>
            </w:r>
          </w:p>
        </w:tc>
        <w:tc>
          <w:tcPr>
            <w:tcW w:w="3787" w:type="pct"/>
            <w:noWrap w:val="0"/>
            <w:vAlign w:val="center"/>
          </w:tcPr>
          <w:p w14:paraId="70896732">
            <w:pPr>
              <w:tabs>
                <w:tab w:val="left" w:pos="1080"/>
              </w:tabs>
              <w:snapToGrid w:val="0"/>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155CF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36" w:type="pct"/>
            <w:noWrap w:val="0"/>
            <w:vAlign w:val="center"/>
          </w:tcPr>
          <w:p w14:paraId="2D27F4CB">
            <w:pPr>
              <w:tabs>
                <w:tab w:val="left" w:pos="1080"/>
              </w:tabs>
              <w:snapToGrid w:val="0"/>
              <w:spacing w:line="24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w:t>
            </w:r>
            <w:r>
              <w:rPr>
                <w:rFonts w:hint="eastAsia" w:ascii="宋体" w:hAnsi="宋体" w:cs="宋体"/>
                <w:color w:val="auto"/>
                <w:sz w:val="21"/>
                <w:szCs w:val="21"/>
                <w:highlight w:val="none"/>
                <w:lang w:val="en-US" w:eastAsia="zh-CN"/>
              </w:rPr>
              <w:t>3</w:t>
            </w:r>
          </w:p>
        </w:tc>
        <w:tc>
          <w:tcPr>
            <w:tcW w:w="776" w:type="pct"/>
            <w:noWrap w:val="0"/>
            <w:vAlign w:val="center"/>
          </w:tcPr>
          <w:p w14:paraId="67AF0CE2">
            <w:pPr>
              <w:tabs>
                <w:tab w:val="left" w:pos="1080"/>
              </w:tabs>
              <w:snapToGrid w:val="0"/>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附加条件</w:t>
            </w:r>
          </w:p>
        </w:tc>
        <w:tc>
          <w:tcPr>
            <w:tcW w:w="3787" w:type="pct"/>
            <w:noWrap w:val="0"/>
            <w:vAlign w:val="center"/>
          </w:tcPr>
          <w:p w14:paraId="72D9937E">
            <w:pPr>
              <w:tabs>
                <w:tab w:val="left" w:pos="1080"/>
              </w:tabs>
              <w:snapToGrid w:val="0"/>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投标文件未含有采购人不能接受的附加条件的；</w:t>
            </w:r>
          </w:p>
        </w:tc>
      </w:tr>
      <w:tr w14:paraId="32D87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36" w:type="pct"/>
            <w:noWrap w:val="0"/>
            <w:vAlign w:val="center"/>
          </w:tcPr>
          <w:p w14:paraId="4BE1659F">
            <w:pPr>
              <w:tabs>
                <w:tab w:val="left" w:pos="1080"/>
              </w:tabs>
              <w:snapToGrid w:val="0"/>
              <w:spacing w:line="24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w:t>
            </w:r>
            <w:r>
              <w:rPr>
                <w:rFonts w:hint="eastAsia" w:ascii="宋体" w:hAnsi="宋体" w:cs="宋体"/>
                <w:color w:val="auto"/>
                <w:sz w:val="21"/>
                <w:szCs w:val="21"/>
                <w:highlight w:val="none"/>
                <w:lang w:val="en-US" w:eastAsia="zh-CN"/>
              </w:rPr>
              <w:t>4</w:t>
            </w:r>
          </w:p>
        </w:tc>
        <w:tc>
          <w:tcPr>
            <w:tcW w:w="776" w:type="pct"/>
            <w:noWrap w:val="0"/>
            <w:vAlign w:val="center"/>
          </w:tcPr>
          <w:p w14:paraId="0CB031F2">
            <w:pPr>
              <w:tabs>
                <w:tab w:val="left" w:pos="1080"/>
              </w:tabs>
              <w:snapToGrid w:val="0"/>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其他无效情形</w:t>
            </w:r>
          </w:p>
        </w:tc>
        <w:tc>
          <w:tcPr>
            <w:tcW w:w="3787" w:type="pct"/>
            <w:noWrap w:val="0"/>
            <w:vAlign w:val="center"/>
          </w:tcPr>
          <w:p w14:paraId="05FCAB31">
            <w:pPr>
              <w:tabs>
                <w:tab w:val="left" w:pos="1080"/>
              </w:tabs>
              <w:snapToGrid w:val="0"/>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投标人、投标文件不存在不符合</w:t>
            </w:r>
            <w:r>
              <w:rPr>
                <w:rFonts w:hint="eastAsia" w:ascii="宋体" w:hAnsi="宋体" w:eastAsia="宋体" w:cs="宋体"/>
                <w:color w:val="auto"/>
                <w:sz w:val="21"/>
                <w:szCs w:val="21"/>
                <w:highlight w:val="none"/>
                <w:lang w:eastAsia="zh-CN"/>
              </w:rPr>
              <w:t>法律法规</w:t>
            </w:r>
            <w:r>
              <w:rPr>
                <w:rFonts w:hint="eastAsia" w:ascii="宋体" w:hAnsi="宋体" w:eastAsia="宋体" w:cs="宋体"/>
                <w:color w:val="auto"/>
                <w:sz w:val="21"/>
                <w:szCs w:val="21"/>
                <w:highlight w:val="none"/>
              </w:rPr>
              <w:t>和招标文件规定的其他无效情形。</w:t>
            </w:r>
          </w:p>
        </w:tc>
      </w:tr>
    </w:tbl>
    <w:p w14:paraId="1565B9DA">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二、协商与澄清</w:t>
      </w:r>
    </w:p>
    <w:p w14:paraId="4543133B">
      <w:pPr>
        <w:keepNext w:val="0"/>
        <w:keepLines w:val="0"/>
        <w:pageBreakBefore w:val="0"/>
        <w:widowControl w:val="0"/>
        <w:kinsoku/>
        <w:wordWrap/>
        <w:overflowPunct/>
        <w:topLinePunct w:val="0"/>
        <w:autoSpaceDE/>
        <w:autoSpaceDN/>
        <w:bidi w:val="0"/>
        <w:adjustRightInd/>
        <w:spacing w:line="440" w:lineRule="exact"/>
        <w:ind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rPr>
        <w:t>1</w:t>
      </w:r>
      <w:r>
        <w:rPr>
          <w:rFonts w:hint="eastAsia" w:ascii="宋体" w:hAnsi="宋体" w:eastAsia="宋体" w:cs="宋体"/>
          <w:b/>
          <w:bCs/>
          <w:color w:val="auto"/>
          <w:sz w:val="24"/>
          <w:szCs w:val="24"/>
          <w:lang w:val="en-US" w:eastAsia="zh-CN"/>
        </w:rPr>
        <w:t>9</w:t>
      </w:r>
      <w:r>
        <w:rPr>
          <w:rFonts w:hint="eastAsia" w:ascii="宋体" w:hAnsi="宋体" w:eastAsia="宋体" w:cs="宋体"/>
          <w:b/>
          <w:bCs/>
          <w:color w:val="auto"/>
          <w:sz w:val="24"/>
          <w:szCs w:val="24"/>
        </w:rPr>
        <w:t>.</w:t>
      </w:r>
      <w:r>
        <w:rPr>
          <w:rFonts w:hint="eastAsia" w:ascii="宋体" w:hAnsi="宋体" w:eastAsia="宋体" w:cs="宋体"/>
          <w:color w:val="auto"/>
          <w:sz w:val="24"/>
          <w:szCs w:val="24"/>
        </w:rPr>
        <w:t>对单一来源采购响应文件审查中发现文件表达含义不明确、同类问题表述不一致或者有明显文字和计算错误的内容，单一来源采购小组可通过询标，要求供应商做出澄清。单一来源采购供应商必须按照采购机构通知的时间、地点派技术和商务人员进行答疑和澄清。</w:t>
      </w:r>
    </w:p>
    <w:p w14:paraId="44BF3251">
      <w:pPr>
        <w:keepNext w:val="0"/>
        <w:keepLines w:val="0"/>
        <w:pageBreakBefore w:val="0"/>
        <w:widowControl w:val="0"/>
        <w:kinsoku/>
        <w:wordWrap/>
        <w:overflowPunct/>
        <w:topLinePunct w:val="0"/>
        <w:autoSpaceDE/>
        <w:autoSpaceDN/>
        <w:bidi w:val="0"/>
        <w:adjustRightInd/>
        <w:spacing w:line="440" w:lineRule="exact"/>
        <w:ind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val="en-US" w:eastAsia="zh-CN"/>
        </w:rPr>
        <w:t>20</w:t>
      </w:r>
      <w:r>
        <w:rPr>
          <w:rFonts w:hint="eastAsia" w:ascii="宋体" w:hAnsi="宋体" w:eastAsia="宋体" w:cs="宋体"/>
          <w:b/>
          <w:bCs/>
          <w:color w:val="auto"/>
          <w:sz w:val="24"/>
          <w:szCs w:val="24"/>
        </w:rPr>
        <w:t>.</w:t>
      </w:r>
      <w:r>
        <w:rPr>
          <w:rFonts w:hint="eastAsia" w:ascii="宋体" w:hAnsi="宋体" w:eastAsia="宋体" w:cs="宋体"/>
          <w:color w:val="auto"/>
          <w:sz w:val="24"/>
          <w:szCs w:val="24"/>
        </w:rPr>
        <w:t>单一来源采购供应商应对需要澄清的问题作书面回答，或按照专家组的要求作出补充承诺，该书面澄清或承诺应有单一来源采购供应商授权代表（或法定代表人）的签字（或盖章）。书面澄清或承诺将作为单一来源采购响应文件内容的一部分，与原响应文件具有同等法律效力。</w:t>
      </w:r>
    </w:p>
    <w:p w14:paraId="7E825CB2">
      <w:pPr>
        <w:keepNext w:val="0"/>
        <w:keepLines w:val="0"/>
        <w:pageBreakBefore w:val="0"/>
        <w:widowControl w:val="0"/>
        <w:kinsoku/>
        <w:wordWrap/>
        <w:overflowPunct/>
        <w:topLinePunct w:val="0"/>
        <w:autoSpaceDE/>
        <w:autoSpaceDN/>
        <w:bidi w:val="0"/>
        <w:adjustRightInd/>
        <w:spacing w:line="440" w:lineRule="exact"/>
        <w:ind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rPr>
        <w:t>2</w:t>
      </w:r>
      <w:r>
        <w:rPr>
          <w:rFonts w:hint="eastAsia" w:ascii="宋体" w:hAnsi="宋体" w:eastAsia="宋体" w:cs="宋体"/>
          <w:b/>
          <w:bCs/>
          <w:color w:val="auto"/>
          <w:sz w:val="24"/>
          <w:szCs w:val="24"/>
          <w:lang w:val="en-US" w:eastAsia="zh-CN"/>
        </w:rPr>
        <w:t>1</w:t>
      </w:r>
      <w:r>
        <w:rPr>
          <w:rFonts w:hint="eastAsia" w:ascii="宋体" w:hAnsi="宋体" w:eastAsia="宋体" w:cs="宋体"/>
          <w:b/>
          <w:bCs/>
          <w:color w:val="auto"/>
          <w:sz w:val="24"/>
          <w:szCs w:val="24"/>
        </w:rPr>
        <w:t>.</w:t>
      </w:r>
      <w:r>
        <w:rPr>
          <w:rFonts w:hint="eastAsia" w:ascii="宋体" w:hAnsi="宋体" w:eastAsia="宋体" w:cs="宋体"/>
          <w:color w:val="auto"/>
          <w:sz w:val="24"/>
          <w:szCs w:val="24"/>
        </w:rPr>
        <w:t>单一来源采购供应商对单一来源采购文件的澄清不得超出单一来源采购响应文件的实质性内容。</w:t>
      </w:r>
    </w:p>
    <w:p w14:paraId="3D822174">
      <w:pPr>
        <w:keepNext w:val="0"/>
        <w:keepLines w:val="0"/>
        <w:pageBreakBefore w:val="0"/>
        <w:widowControl w:val="0"/>
        <w:kinsoku/>
        <w:wordWrap/>
        <w:overflowPunct/>
        <w:topLinePunct w:val="0"/>
        <w:autoSpaceDE/>
        <w:autoSpaceDN/>
        <w:bidi w:val="0"/>
        <w:adjustRightInd/>
        <w:spacing w:line="440" w:lineRule="exact"/>
        <w:ind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rPr>
        <w:t>2</w:t>
      </w:r>
      <w:r>
        <w:rPr>
          <w:rFonts w:hint="eastAsia" w:ascii="宋体" w:hAnsi="宋体" w:eastAsia="宋体" w:cs="宋体"/>
          <w:b/>
          <w:bCs/>
          <w:color w:val="auto"/>
          <w:sz w:val="24"/>
          <w:szCs w:val="24"/>
          <w:lang w:val="en-US" w:eastAsia="zh-CN"/>
        </w:rPr>
        <w:t>2</w:t>
      </w:r>
      <w:r>
        <w:rPr>
          <w:rFonts w:hint="eastAsia" w:ascii="宋体" w:hAnsi="宋体" w:eastAsia="宋体" w:cs="宋体"/>
          <w:b/>
          <w:bCs/>
          <w:color w:val="auto"/>
          <w:sz w:val="24"/>
          <w:szCs w:val="24"/>
        </w:rPr>
        <w:t>.</w:t>
      </w:r>
      <w:r>
        <w:rPr>
          <w:rFonts w:hint="eastAsia" w:ascii="宋体" w:hAnsi="宋体" w:eastAsia="宋体" w:cs="宋体"/>
          <w:color w:val="auto"/>
          <w:sz w:val="24"/>
          <w:szCs w:val="24"/>
        </w:rPr>
        <w:t>若单一来源采购供应商未响应澄清安排的通知到场进行答疑和澄清，将被视作自动放弃。</w:t>
      </w:r>
    </w:p>
    <w:p w14:paraId="2A2FBE1F">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三、单一来源采购程序的终止</w:t>
      </w:r>
    </w:p>
    <w:p w14:paraId="04628EB9">
      <w:pPr>
        <w:keepNext w:val="0"/>
        <w:keepLines w:val="0"/>
        <w:pageBreakBefore w:val="0"/>
        <w:widowControl w:val="0"/>
        <w:kinsoku/>
        <w:wordWrap/>
        <w:overflowPunct/>
        <w:topLinePunct w:val="0"/>
        <w:autoSpaceDE/>
        <w:autoSpaceDN/>
        <w:bidi w:val="0"/>
        <w:adjustRightInd/>
        <w:spacing w:line="440" w:lineRule="exact"/>
        <w:ind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rPr>
        <w:t>2</w:t>
      </w:r>
      <w:r>
        <w:rPr>
          <w:rFonts w:hint="eastAsia" w:ascii="宋体" w:hAnsi="宋体" w:eastAsia="宋体" w:cs="宋体"/>
          <w:b/>
          <w:bCs/>
          <w:color w:val="auto"/>
          <w:sz w:val="24"/>
          <w:szCs w:val="24"/>
          <w:lang w:val="en-US" w:eastAsia="zh-CN"/>
        </w:rPr>
        <w:t>3</w:t>
      </w:r>
      <w:r>
        <w:rPr>
          <w:rFonts w:hint="eastAsia" w:ascii="宋体" w:hAnsi="宋体" w:eastAsia="宋体" w:cs="宋体"/>
          <w:b/>
          <w:bCs/>
          <w:color w:val="auto"/>
          <w:sz w:val="24"/>
          <w:szCs w:val="24"/>
        </w:rPr>
        <w:t>.</w:t>
      </w:r>
      <w:r>
        <w:rPr>
          <w:rFonts w:hint="eastAsia" w:ascii="宋体" w:hAnsi="宋体" w:eastAsia="宋体" w:cs="宋体"/>
          <w:color w:val="auto"/>
          <w:sz w:val="24"/>
          <w:szCs w:val="24"/>
        </w:rPr>
        <w:t>在评定单一来源采购响应文件、确定单一来源成交期间，专家组若发现单一来源采购供应商在单一来源采购中有腐败、欺诈行为或试图对单一来源采购过程进行影响的，将依法否决其单一来源采购资格。</w:t>
      </w:r>
    </w:p>
    <w:p w14:paraId="0E877F81">
      <w:pPr>
        <w:keepNext w:val="0"/>
        <w:keepLines w:val="0"/>
        <w:pageBreakBefore w:val="0"/>
        <w:widowControl w:val="0"/>
        <w:kinsoku/>
        <w:wordWrap/>
        <w:overflowPunct/>
        <w:topLinePunct w:val="0"/>
        <w:autoSpaceDE/>
        <w:autoSpaceDN/>
        <w:bidi w:val="0"/>
        <w:adjustRightInd/>
        <w:spacing w:line="440" w:lineRule="exact"/>
        <w:ind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rPr>
        <w:t>2</w:t>
      </w:r>
      <w:r>
        <w:rPr>
          <w:rFonts w:hint="eastAsia" w:ascii="宋体" w:hAnsi="宋体" w:eastAsia="宋体" w:cs="宋体"/>
          <w:b/>
          <w:bCs/>
          <w:color w:val="auto"/>
          <w:sz w:val="24"/>
          <w:szCs w:val="24"/>
          <w:lang w:val="en-US" w:eastAsia="zh-CN"/>
        </w:rPr>
        <w:t>4</w:t>
      </w:r>
      <w:r>
        <w:rPr>
          <w:rFonts w:hint="eastAsia" w:ascii="宋体" w:hAnsi="宋体" w:eastAsia="宋体" w:cs="宋体"/>
          <w:b/>
          <w:bCs/>
          <w:color w:val="auto"/>
          <w:sz w:val="24"/>
          <w:szCs w:val="24"/>
        </w:rPr>
        <w:t>.</w:t>
      </w:r>
      <w:r>
        <w:rPr>
          <w:rFonts w:hint="eastAsia" w:ascii="宋体" w:hAnsi="宋体" w:eastAsia="宋体" w:cs="宋体"/>
          <w:color w:val="auto"/>
          <w:sz w:val="24"/>
          <w:szCs w:val="24"/>
        </w:rPr>
        <w:t>出现影响采购公正的违法违规行为时、或因重大变故采购任务被取消时，专家组将做出依法终止单一来源采购程序的决定，此时单一来源采购程序也随之终止。</w:t>
      </w:r>
    </w:p>
    <w:p w14:paraId="1B2F3CA1">
      <w:pPr>
        <w:rPr>
          <w:rFonts w:hint="eastAsia" w:ascii="宋体" w:hAnsi="宋体" w:eastAsia="宋体" w:cs="宋体"/>
          <w:color w:val="auto"/>
          <w:sz w:val="20"/>
          <w:highlight w:val="white"/>
        </w:rPr>
      </w:pPr>
      <w:r>
        <w:rPr>
          <w:rFonts w:hint="eastAsia" w:ascii="宋体" w:hAnsi="宋体" w:eastAsia="宋体" w:cs="宋体"/>
          <w:color w:val="auto"/>
          <w:sz w:val="20"/>
          <w:highlight w:val="white"/>
        </w:rPr>
        <w:t xml:space="preserve"> </w:t>
      </w:r>
      <w:bookmarkEnd w:id="19"/>
    </w:p>
    <w:p w14:paraId="29B20277">
      <w:pPr>
        <w:jc w:val="center"/>
        <w:rPr>
          <w:rFonts w:hint="eastAsia" w:ascii="宋体" w:hAnsi="宋体" w:eastAsia="宋体" w:cs="宋体"/>
          <w:color w:val="auto"/>
        </w:rPr>
      </w:pPr>
      <w:r>
        <w:rPr>
          <w:rFonts w:hint="eastAsia" w:ascii="宋体" w:hAnsi="宋体" w:eastAsia="宋体" w:cs="宋体"/>
          <w:color w:val="auto"/>
          <w:highlight w:val="yellow"/>
        </w:rPr>
        <w:br w:type="page"/>
      </w:r>
      <w:bookmarkStart w:id="20" w:name="_Toc256000005"/>
      <w:r>
        <w:rPr>
          <w:rFonts w:hint="eastAsia" w:ascii="宋体" w:hAnsi="宋体" w:eastAsia="宋体" w:cs="宋体"/>
          <w:b/>
          <w:bCs/>
          <w:color w:val="auto"/>
          <w:sz w:val="44"/>
          <w:szCs w:val="44"/>
        </w:rPr>
        <w:t>第</w:t>
      </w:r>
      <w:r>
        <w:rPr>
          <w:rFonts w:hint="eastAsia" w:ascii="宋体" w:hAnsi="宋体" w:eastAsia="宋体" w:cs="宋体"/>
          <w:b/>
          <w:bCs/>
          <w:color w:val="auto"/>
          <w:sz w:val="44"/>
          <w:szCs w:val="44"/>
          <w:lang w:eastAsia="zh-CN"/>
        </w:rPr>
        <w:t>五</w:t>
      </w:r>
      <w:r>
        <w:rPr>
          <w:rFonts w:hint="eastAsia" w:ascii="宋体" w:hAnsi="宋体" w:eastAsia="宋体" w:cs="宋体"/>
          <w:b/>
          <w:bCs/>
          <w:color w:val="auto"/>
          <w:sz w:val="44"/>
          <w:szCs w:val="44"/>
        </w:rPr>
        <w:t>章 采购内容及要求</w:t>
      </w:r>
      <w:bookmarkEnd w:id="20"/>
    </w:p>
    <w:p w14:paraId="429956F8">
      <w:pPr>
        <w:pStyle w:val="13"/>
        <w:numPr>
          <w:ilvl w:val="0"/>
          <w:numId w:val="0"/>
        </w:numPr>
        <w:tabs>
          <w:tab w:val="left" w:pos="540"/>
        </w:tabs>
        <w:snapToGrid w:val="0"/>
        <w:spacing w:line="360" w:lineRule="auto"/>
        <w:ind w:left="420" w:leftChars="0" w:hanging="420" w:firstLineChars="0"/>
        <w:rPr>
          <w:rFonts w:hint="eastAsia" w:ascii="宋体" w:hAnsi="宋体" w:eastAsia="宋体" w:cs="宋体"/>
          <w:b/>
          <w:color w:val="000000"/>
          <w:sz w:val="24"/>
          <w:szCs w:val="24"/>
          <w:highlight w:val="none"/>
        </w:rPr>
      </w:pPr>
      <w:bookmarkStart w:id="21" w:name="_Toc256000006"/>
      <w:r>
        <w:rPr>
          <w:rFonts w:hint="eastAsia" w:ascii="宋体" w:hAnsi="宋体" w:eastAsia="宋体" w:cs="Courier New"/>
          <w:b/>
          <w:color w:val="auto"/>
          <w:kern w:val="0"/>
          <w:sz w:val="24"/>
          <w:szCs w:val="24"/>
          <w:lang w:val="en-US" w:eastAsia="zh-CN" w:bidi="ar-SA"/>
        </w:rPr>
        <w:t>一、</w:t>
      </w:r>
      <w:r>
        <w:rPr>
          <w:rFonts w:hint="eastAsia" w:ascii="宋体" w:hAnsi="宋体" w:eastAsia="宋体" w:cs="宋体"/>
          <w:b/>
          <w:color w:val="000000"/>
          <w:sz w:val="24"/>
          <w:szCs w:val="24"/>
          <w:highlight w:val="none"/>
        </w:rPr>
        <w:t>有关说明</w:t>
      </w:r>
    </w:p>
    <w:p w14:paraId="73BB56BD">
      <w:pPr>
        <w:numPr>
          <w:ilvl w:val="0"/>
          <w:numId w:val="0"/>
        </w:numPr>
        <w:snapToGrid w:val="0"/>
        <w:spacing w:line="360" w:lineRule="auto"/>
        <w:ind w:left="567" w:leftChars="0" w:hanging="567" w:firstLineChars="0"/>
        <w:rPr>
          <w:rFonts w:hint="eastAsia" w:ascii="宋体" w:hAnsi="宋体" w:eastAsia="宋体" w:cs="宋体"/>
          <w:bCs/>
          <w:color w:val="000000"/>
          <w:sz w:val="24"/>
          <w:highlight w:val="none"/>
        </w:rPr>
      </w:pPr>
      <w:r>
        <w:rPr>
          <w:rFonts w:hint="eastAsia" w:ascii="宋体" w:hAnsi="宋体" w:eastAsia="宋体" w:cs="宋体"/>
          <w:bCs/>
          <w:color w:val="auto"/>
          <w:kern w:val="2"/>
          <w:sz w:val="24"/>
          <w:szCs w:val="22"/>
          <w:lang w:val="en-US" w:eastAsia="zh-CN" w:bidi="ar-SA"/>
        </w:rPr>
        <w:t>(一)</w:t>
      </w:r>
      <w:r>
        <w:rPr>
          <w:rFonts w:hint="eastAsia" w:ascii="宋体" w:hAnsi="宋体" w:eastAsia="宋体" w:cs="宋体"/>
          <w:bCs/>
          <w:color w:val="000000"/>
          <w:sz w:val="24"/>
          <w:highlight w:val="none"/>
        </w:rPr>
        <w:t>投标人须对本项目的采购标的进行整体投标，任何只对本项目采购标的其中一部分内容、数量进行的投标都被视为无效投标。</w:t>
      </w:r>
    </w:p>
    <w:p w14:paraId="0A739E2C">
      <w:pPr>
        <w:numPr>
          <w:ilvl w:val="0"/>
          <w:numId w:val="0"/>
        </w:numPr>
        <w:snapToGrid w:val="0"/>
        <w:spacing w:line="360" w:lineRule="auto"/>
        <w:ind w:left="567" w:leftChars="0" w:hanging="567" w:firstLineChars="0"/>
        <w:rPr>
          <w:rFonts w:hint="eastAsia" w:ascii="宋体" w:hAnsi="宋体" w:eastAsia="宋体" w:cs="宋体"/>
          <w:bCs/>
          <w:color w:val="000000"/>
          <w:sz w:val="24"/>
          <w:highlight w:val="none"/>
        </w:rPr>
      </w:pPr>
      <w:r>
        <w:rPr>
          <w:rFonts w:hint="eastAsia" w:ascii="宋体" w:hAnsi="宋体" w:eastAsia="宋体" w:cs="宋体"/>
          <w:bCs/>
          <w:color w:val="auto"/>
          <w:kern w:val="2"/>
          <w:sz w:val="24"/>
          <w:szCs w:val="22"/>
          <w:lang w:val="en-US" w:eastAsia="zh-CN" w:bidi="ar-SA"/>
        </w:rPr>
        <w:t>(二)</w:t>
      </w:r>
      <w:r>
        <w:rPr>
          <w:rFonts w:hint="eastAsia" w:ascii="宋体" w:hAnsi="宋体" w:eastAsia="宋体" w:cs="宋体"/>
          <w:bCs/>
          <w:color w:val="000000"/>
          <w:sz w:val="24"/>
          <w:highlight w:val="none"/>
        </w:rPr>
        <w:t>产品属于国家强制采购的节能产品，响应供应商必须提供属于国家强制性节能产品品目清单内的产品进行响应，并提供有效的强制性节能产品认证证书复印件。</w:t>
      </w:r>
    </w:p>
    <w:p w14:paraId="183D5594">
      <w:pPr>
        <w:numPr>
          <w:ilvl w:val="0"/>
          <w:numId w:val="0"/>
        </w:numPr>
        <w:snapToGrid w:val="0"/>
        <w:spacing w:line="360" w:lineRule="auto"/>
        <w:ind w:left="420" w:leftChars="0" w:hanging="420" w:firstLineChars="0"/>
        <w:rPr>
          <w:rFonts w:hint="eastAsia" w:ascii="宋体" w:hAnsi="宋体" w:eastAsia="宋体" w:cs="宋体"/>
          <w:bCs/>
          <w:color w:val="000000"/>
          <w:sz w:val="24"/>
          <w:highlight w:val="none"/>
        </w:rPr>
      </w:pPr>
      <w:r>
        <w:rPr>
          <w:rFonts w:hint="eastAsia" w:ascii="宋体" w:hAnsi="宋体" w:eastAsia="宋体" w:cs="宋体"/>
          <w:bCs/>
          <w:color w:val="auto"/>
          <w:kern w:val="2"/>
          <w:sz w:val="24"/>
          <w:szCs w:val="22"/>
          <w:lang w:val="en-US" w:eastAsia="zh-CN" w:bidi="ar-SA"/>
        </w:rPr>
        <w:t>(三)</w:t>
      </w:r>
      <w:r>
        <w:rPr>
          <w:rFonts w:hint="eastAsia" w:ascii="宋体" w:hAnsi="宋体" w:eastAsia="宋体" w:cs="宋体"/>
          <w:bCs/>
          <w:color w:val="000000"/>
          <w:sz w:val="24"/>
          <w:highlight w:val="none"/>
        </w:rPr>
        <w:t>采购需求中标注“▲”号条款为重要技术参数，但不作为判定无效投标条款。</w:t>
      </w:r>
    </w:p>
    <w:p w14:paraId="56449CBD">
      <w:pPr>
        <w:pStyle w:val="13"/>
        <w:numPr>
          <w:ilvl w:val="0"/>
          <w:numId w:val="0"/>
        </w:numPr>
        <w:tabs>
          <w:tab w:val="left" w:pos="540"/>
        </w:tabs>
        <w:snapToGrid w:val="0"/>
        <w:spacing w:line="360" w:lineRule="auto"/>
        <w:ind w:left="420" w:leftChars="0" w:hanging="420" w:firstLineChars="0"/>
        <w:rPr>
          <w:rFonts w:hint="eastAsia" w:ascii="宋体" w:hAnsi="宋体" w:eastAsia="宋体" w:cs="宋体"/>
          <w:b/>
          <w:color w:val="000000"/>
          <w:sz w:val="24"/>
          <w:szCs w:val="24"/>
          <w:highlight w:val="none"/>
        </w:rPr>
      </w:pPr>
      <w:r>
        <w:rPr>
          <w:rFonts w:hint="eastAsia" w:ascii="宋体" w:hAnsi="宋体" w:eastAsia="宋体" w:cs="Courier New"/>
          <w:b/>
          <w:color w:val="auto"/>
          <w:kern w:val="0"/>
          <w:sz w:val="24"/>
          <w:szCs w:val="24"/>
          <w:lang w:val="en-US" w:eastAsia="zh-CN" w:bidi="ar-SA"/>
        </w:rPr>
        <w:t>二、</w:t>
      </w:r>
      <w:r>
        <w:rPr>
          <w:rFonts w:hint="eastAsia" w:ascii="宋体" w:hAnsi="宋体" w:eastAsia="宋体" w:cs="宋体"/>
          <w:b/>
          <w:color w:val="000000"/>
          <w:sz w:val="24"/>
          <w:szCs w:val="24"/>
          <w:highlight w:val="none"/>
        </w:rPr>
        <w:t>项目基本概况</w:t>
      </w:r>
    </w:p>
    <w:p w14:paraId="72D0973D">
      <w:pPr>
        <w:pStyle w:val="13"/>
        <w:tabs>
          <w:tab w:val="left" w:pos="420"/>
          <w:tab w:val="left" w:pos="540"/>
        </w:tabs>
        <w:snapToGrid w:val="0"/>
        <w:spacing w:line="360" w:lineRule="auto"/>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1.</w:t>
      </w:r>
      <w:r>
        <w:rPr>
          <w:rFonts w:hint="eastAsia" w:ascii="宋体" w:hAnsi="宋体" w:eastAsia="宋体" w:cs="宋体"/>
          <w:bCs/>
          <w:color w:val="000000"/>
          <w:sz w:val="24"/>
          <w:szCs w:val="24"/>
          <w:highlight w:val="none"/>
        </w:rPr>
        <w:tab/>
      </w:r>
      <w:r>
        <w:rPr>
          <w:rFonts w:hint="eastAsia" w:ascii="宋体" w:hAnsi="宋体" w:eastAsia="宋体" w:cs="宋体"/>
          <w:bCs/>
          <w:color w:val="000000"/>
          <w:sz w:val="24"/>
          <w:szCs w:val="24"/>
          <w:highlight w:val="none"/>
        </w:rPr>
        <w:t>项目需求概述</w:t>
      </w:r>
    </w:p>
    <w:p w14:paraId="48CFD002">
      <w:pPr>
        <w:pStyle w:val="24"/>
        <w:spacing w:before="50" w:beforeAutospacing="0" w:after="50" w:afterAutospacing="0" w:line="360" w:lineRule="auto"/>
        <w:ind w:firstLine="420"/>
        <w:rPr>
          <w:rFonts w:hint="eastAsia" w:ascii="宋体" w:hAnsi="宋体" w:cs="宋体"/>
          <w:color w:val="000000"/>
          <w:highlight w:val="none"/>
          <w:lang w:val="en-US" w:eastAsia="zh-CN"/>
        </w:rPr>
      </w:pPr>
      <w:r>
        <w:rPr>
          <w:rFonts w:hint="eastAsia" w:ascii="宋体" w:hAnsi="宋体" w:cs="宋体"/>
          <w:color w:val="000000"/>
          <w:highlight w:val="none"/>
          <w:lang w:val="en-US" w:eastAsia="zh-CN"/>
        </w:rPr>
        <w:t>皮山县维吾尔医医院中药饮片采购项目（单一来源采购）</w:t>
      </w:r>
    </w:p>
    <w:p w14:paraId="267782A1">
      <w:pPr>
        <w:pStyle w:val="24"/>
        <w:spacing w:before="50" w:beforeAutospacing="0" w:after="50" w:afterAutospacing="0" w:line="360" w:lineRule="auto"/>
        <w:ind w:firstLine="420"/>
        <w:rPr>
          <w:rFonts w:hint="eastAsia" w:ascii="宋体" w:hAnsi="宋体" w:eastAsia="宋体" w:cs="宋体"/>
          <w:color w:val="000000"/>
          <w:highlight w:val="none"/>
          <w:lang w:val="en-US" w:eastAsia="zh-CN"/>
        </w:rPr>
      </w:pPr>
      <w:r>
        <w:rPr>
          <w:rFonts w:hint="eastAsia" w:ascii="宋体" w:hAnsi="宋体" w:eastAsia="宋体" w:cs="宋体"/>
          <w:color w:val="000000"/>
          <w:highlight w:val="none"/>
          <w:lang w:val="en-US" w:eastAsia="zh-CN"/>
        </w:rPr>
        <w:t>供货期</w:t>
      </w:r>
      <w:r>
        <w:rPr>
          <w:rFonts w:hint="eastAsia" w:ascii="宋体" w:hAnsi="宋体" w:eastAsia="宋体" w:cs="宋体"/>
          <w:color w:val="000000"/>
          <w:highlight w:val="none"/>
        </w:rPr>
        <w:t>：1年</w:t>
      </w:r>
    </w:p>
    <w:p w14:paraId="1019D0E0">
      <w:pPr>
        <w:pStyle w:val="13"/>
        <w:numPr>
          <w:ilvl w:val="0"/>
          <w:numId w:val="0"/>
        </w:numPr>
        <w:tabs>
          <w:tab w:val="left" w:pos="540"/>
        </w:tabs>
        <w:snapToGrid w:val="0"/>
        <w:spacing w:line="360" w:lineRule="auto"/>
        <w:ind w:left="420" w:leftChars="0" w:hanging="420" w:firstLineChars="0"/>
        <w:rPr>
          <w:rFonts w:hint="eastAsia" w:ascii="宋体" w:hAnsi="宋体" w:eastAsia="宋体" w:cs="宋体"/>
          <w:b/>
          <w:color w:val="000000"/>
          <w:sz w:val="24"/>
          <w:szCs w:val="24"/>
          <w:highlight w:val="none"/>
        </w:rPr>
      </w:pPr>
      <w:r>
        <w:rPr>
          <w:rFonts w:hint="eastAsia" w:ascii="宋体" w:hAnsi="宋体" w:eastAsia="宋体" w:cs="Courier New"/>
          <w:b/>
          <w:color w:val="auto"/>
          <w:kern w:val="0"/>
          <w:sz w:val="24"/>
          <w:szCs w:val="24"/>
          <w:lang w:val="en-US" w:eastAsia="zh-CN" w:bidi="ar-SA"/>
        </w:rPr>
        <w:t>三、</w:t>
      </w:r>
      <w:r>
        <w:rPr>
          <w:rFonts w:hint="eastAsia" w:ascii="宋体" w:hAnsi="宋体" w:eastAsia="宋体" w:cs="宋体"/>
          <w:b/>
          <w:color w:val="000000"/>
          <w:sz w:val="24"/>
          <w:szCs w:val="24"/>
          <w:highlight w:val="none"/>
        </w:rPr>
        <w:t>采购项目清单及技术参数</w:t>
      </w:r>
    </w:p>
    <w:p w14:paraId="1B2E4C68">
      <w:pPr>
        <w:pStyle w:val="13"/>
        <w:numPr>
          <w:ilvl w:val="0"/>
          <w:numId w:val="0"/>
        </w:numPr>
        <w:tabs>
          <w:tab w:val="left" w:pos="540"/>
        </w:tabs>
        <w:snapToGrid w:val="0"/>
        <w:spacing w:line="360" w:lineRule="auto"/>
        <w:rPr>
          <w:rFonts w:hint="eastAsia" w:ascii="宋体" w:hAnsi="宋体" w:eastAsia="宋体" w:cs="宋体"/>
          <w:b/>
          <w:color w:val="000000"/>
          <w:sz w:val="24"/>
          <w:szCs w:val="24"/>
          <w:highlight w:val="none"/>
        </w:rPr>
      </w:pPr>
      <w:r>
        <w:rPr>
          <w:rFonts w:hint="eastAsia" w:ascii="宋体" w:hAnsi="宋体" w:eastAsia="宋体" w:cs="宋体"/>
          <w:b/>
          <w:color w:val="000000"/>
          <w:kern w:val="0"/>
          <w:sz w:val="24"/>
          <w:szCs w:val="24"/>
          <w:lang w:val="en-US" w:eastAsia="zh-CN" w:bidi="ar-SA"/>
        </w:rPr>
        <w:t>（一）</w:t>
      </w:r>
      <w:r>
        <w:rPr>
          <w:rFonts w:hint="eastAsia" w:ascii="宋体" w:hAnsi="宋体" w:eastAsia="宋体" w:cs="宋体"/>
          <w:b/>
          <w:color w:val="000000"/>
          <w:sz w:val="24"/>
          <w:szCs w:val="24"/>
          <w:highlight w:val="none"/>
        </w:rPr>
        <w:t>采购项目一览表</w:t>
      </w:r>
    </w:p>
    <w:p w14:paraId="478099EB">
      <w:pPr>
        <w:pStyle w:val="13"/>
        <w:numPr>
          <w:ilvl w:val="0"/>
          <w:numId w:val="0"/>
        </w:numPr>
        <w:tabs>
          <w:tab w:val="left" w:pos="540"/>
        </w:tabs>
        <w:snapToGrid w:val="0"/>
        <w:spacing w:line="360" w:lineRule="auto"/>
        <w:rPr>
          <w:rFonts w:hint="eastAsia" w:ascii="宋体" w:hAnsi="宋体" w:eastAsia="宋体" w:cs="宋体"/>
          <w:b/>
          <w:color w:val="000000"/>
          <w:sz w:val="24"/>
          <w:szCs w:val="24"/>
          <w:highlight w:val="none"/>
        </w:rPr>
      </w:pPr>
    </w:p>
    <w:tbl>
      <w:tblPr>
        <w:tblStyle w:val="29"/>
        <w:tblW w:w="4998"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2718"/>
        <w:gridCol w:w="1012"/>
        <w:gridCol w:w="2315"/>
        <w:gridCol w:w="3913"/>
      </w:tblGrid>
      <w:tr w14:paraId="17B70E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1" w:hRule="atLeast"/>
        </w:trPr>
        <w:tc>
          <w:tcPr>
            <w:tcW w:w="1364" w:type="pct"/>
            <w:tcBorders>
              <w:top w:val="single" w:color="auto" w:sz="12" w:space="0"/>
              <w:left w:val="single" w:color="auto" w:sz="6" w:space="0"/>
              <w:bottom w:val="single" w:color="auto" w:sz="6" w:space="0"/>
              <w:right w:val="single" w:color="auto" w:sz="6" w:space="0"/>
            </w:tcBorders>
            <w:shd w:val="clear" w:color="auto" w:fill="EEECE1"/>
            <w:noWrap w:val="0"/>
            <w:vAlign w:val="center"/>
          </w:tcPr>
          <w:p w14:paraId="6E693CC4">
            <w:pPr>
              <w:snapToGrid w:val="0"/>
              <w:jc w:val="center"/>
              <w:rPr>
                <w:rFonts w:hint="eastAsia" w:ascii="宋体" w:hAnsi="宋体" w:eastAsia="宋体" w:cs="宋体"/>
                <w:b/>
                <w:color w:val="000000"/>
                <w:sz w:val="24"/>
                <w:highlight w:val="none"/>
              </w:rPr>
            </w:pPr>
            <w:r>
              <w:rPr>
                <w:rFonts w:hint="eastAsia" w:ascii="宋体" w:hAnsi="宋体" w:eastAsia="宋体" w:cs="宋体"/>
                <w:b/>
                <w:color w:val="000000"/>
                <w:sz w:val="24"/>
                <w:highlight w:val="none"/>
              </w:rPr>
              <w:t>采购内容</w:t>
            </w:r>
          </w:p>
        </w:tc>
        <w:tc>
          <w:tcPr>
            <w:tcW w:w="508" w:type="pct"/>
            <w:tcBorders>
              <w:top w:val="single" w:color="auto" w:sz="12" w:space="0"/>
              <w:left w:val="single" w:color="auto" w:sz="6" w:space="0"/>
              <w:bottom w:val="single" w:color="auto" w:sz="6" w:space="0"/>
              <w:right w:val="single" w:color="auto" w:sz="6" w:space="0"/>
            </w:tcBorders>
            <w:shd w:val="clear" w:color="auto" w:fill="EEECE1"/>
            <w:noWrap w:val="0"/>
            <w:vAlign w:val="center"/>
          </w:tcPr>
          <w:p w14:paraId="0D5DD030">
            <w:pPr>
              <w:snapToGrid w:val="0"/>
              <w:jc w:val="center"/>
              <w:rPr>
                <w:rFonts w:hint="eastAsia" w:ascii="宋体" w:hAnsi="宋体" w:eastAsia="宋体" w:cs="宋体"/>
                <w:b/>
                <w:color w:val="000000"/>
                <w:sz w:val="24"/>
                <w:highlight w:val="none"/>
              </w:rPr>
            </w:pPr>
            <w:r>
              <w:rPr>
                <w:rFonts w:hint="eastAsia" w:ascii="宋体" w:hAnsi="宋体" w:eastAsia="宋体" w:cs="宋体"/>
                <w:b/>
                <w:color w:val="000000"/>
                <w:sz w:val="24"/>
                <w:highlight w:val="none"/>
              </w:rPr>
              <w:t>数量</w:t>
            </w:r>
          </w:p>
        </w:tc>
        <w:tc>
          <w:tcPr>
            <w:tcW w:w="1162" w:type="pct"/>
            <w:tcBorders>
              <w:top w:val="single" w:color="auto" w:sz="12" w:space="0"/>
              <w:left w:val="single" w:color="auto" w:sz="6" w:space="0"/>
              <w:bottom w:val="single" w:color="auto" w:sz="6" w:space="0"/>
              <w:right w:val="single" w:color="auto" w:sz="12" w:space="0"/>
            </w:tcBorders>
            <w:shd w:val="clear" w:color="auto" w:fill="EEECE1"/>
            <w:noWrap w:val="0"/>
            <w:vAlign w:val="center"/>
          </w:tcPr>
          <w:p w14:paraId="36AA5812">
            <w:pPr>
              <w:snapToGrid w:val="0"/>
              <w:jc w:val="center"/>
              <w:rPr>
                <w:rFonts w:hint="eastAsia" w:ascii="宋体" w:hAnsi="宋体" w:eastAsia="宋体" w:cs="宋体"/>
                <w:b/>
                <w:color w:val="000000"/>
                <w:sz w:val="24"/>
                <w:highlight w:val="none"/>
              </w:rPr>
            </w:pPr>
            <w:r>
              <w:rPr>
                <w:rFonts w:hint="eastAsia" w:ascii="宋体" w:hAnsi="宋体" w:eastAsia="宋体" w:cs="宋体"/>
                <w:b/>
                <w:color w:val="000000"/>
                <w:sz w:val="24"/>
                <w:highlight w:val="none"/>
              </w:rPr>
              <w:t>最高限价</w:t>
            </w:r>
          </w:p>
          <w:p w14:paraId="438B6BB0">
            <w:pPr>
              <w:snapToGrid w:val="0"/>
              <w:jc w:val="center"/>
              <w:rPr>
                <w:rFonts w:hint="eastAsia" w:ascii="宋体" w:hAnsi="宋体" w:eastAsia="宋体" w:cs="宋体"/>
                <w:b/>
                <w:color w:val="000000"/>
                <w:sz w:val="24"/>
                <w:highlight w:val="none"/>
              </w:rPr>
            </w:pPr>
            <w:r>
              <w:rPr>
                <w:rFonts w:hint="eastAsia" w:ascii="宋体" w:hAnsi="宋体" w:eastAsia="宋体" w:cs="宋体"/>
                <w:b/>
                <w:color w:val="000000"/>
                <w:sz w:val="24"/>
                <w:highlight w:val="none"/>
              </w:rPr>
              <w:t>（人民币元）</w:t>
            </w:r>
          </w:p>
        </w:tc>
        <w:tc>
          <w:tcPr>
            <w:tcW w:w="1964" w:type="pct"/>
            <w:tcBorders>
              <w:top w:val="single" w:color="auto" w:sz="12" w:space="0"/>
              <w:left w:val="single" w:color="auto" w:sz="6" w:space="0"/>
              <w:bottom w:val="single" w:color="auto" w:sz="6" w:space="0"/>
              <w:right w:val="single" w:color="auto" w:sz="6" w:space="0"/>
            </w:tcBorders>
            <w:shd w:val="clear" w:color="auto" w:fill="EEECE1"/>
            <w:noWrap w:val="0"/>
            <w:vAlign w:val="center"/>
          </w:tcPr>
          <w:p w14:paraId="536E9DD8">
            <w:pPr>
              <w:snapToGrid w:val="0"/>
              <w:jc w:val="center"/>
              <w:rPr>
                <w:rFonts w:hint="eastAsia" w:ascii="宋体" w:hAnsi="宋体" w:eastAsia="宋体" w:cs="宋体"/>
                <w:b/>
                <w:color w:val="000000"/>
                <w:sz w:val="24"/>
                <w:highlight w:val="none"/>
              </w:rPr>
            </w:pPr>
            <w:r>
              <w:rPr>
                <w:rFonts w:hint="eastAsia" w:ascii="宋体" w:hAnsi="宋体" w:eastAsia="宋体" w:cs="宋体"/>
                <w:b/>
                <w:color w:val="000000"/>
                <w:sz w:val="24"/>
                <w:highlight w:val="none"/>
                <w:lang w:val="en-US" w:eastAsia="zh-CN"/>
              </w:rPr>
              <w:t>供货期</w:t>
            </w:r>
          </w:p>
        </w:tc>
      </w:tr>
      <w:tr w14:paraId="0A79CA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367" w:hRule="atLeast"/>
        </w:trPr>
        <w:tc>
          <w:tcPr>
            <w:tcW w:w="1364" w:type="pct"/>
            <w:tcBorders>
              <w:top w:val="single" w:color="auto" w:sz="6" w:space="0"/>
              <w:left w:val="single" w:color="auto" w:sz="6" w:space="0"/>
              <w:bottom w:val="single" w:color="auto" w:sz="12" w:space="0"/>
              <w:right w:val="single" w:color="auto" w:sz="6" w:space="0"/>
            </w:tcBorders>
            <w:noWrap w:val="0"/>
            <w:vAlign w:val="center"/>
          </w:tcPr>
          <w:p w14:paraId="1720ACFF">
            <w:pPr>
              <w:snapToGrid w:val="0"/>
              <w:jc w:val="center"/>
              <w:rPr>
                <w:rFonts w:hint="eastAsia" w:ascii="宋体" w:hAnsi="宋体" w:eastAsia="宋体" w:cs="宋体"/>
                <w:bCs/>
                <w:color w:val="000000"/>
                <w:sz w:val="24"/>
                <w:highlight w:val="none"/>
                <w:lang w:eastAsia="zh-CN"/>
              </w:rPr>
            </w:pPr>
            <w:r>
              <w:rPr>
                <w:rFonts w:hint="eastAsia" w:ascii="宋体" w:hAnsi="宋体" w:cs="宋体"/>
                <w:bCs/>
                <w:color w:val="000000"/>
                <w:sz w:val="24"/>
                <w:highlight w:val="none"/>
                <w:lang w:eastAsia="zh-CN"/>
              </w:rPr>
              <w:t>皮山县维吾尔医医院中药饮片采购项目（单一来源采购）</w:t>
            </w:r>
          </w:p>
        </w:tc>
        <w:tc>
          <w:tcPr>
            <w:tcW w:w="508" w:type="pct"/>
            <w:tcBorders>
              <w:top w:val="single" w:color="auto" w:sz="6" w:space="0"/>
              <w:left w:val="single" w:color="auto" w:sz="6" w:space="0"/>
              <w:bottom w:val="single" w:color="auto" w:sz="12" w:space="0"/>
              <w:right w:val="single" w:color="auto" w:sz="6" w:space="0"/>
            </w:tcBorders>
            <w:noWrap w:val="0"/>
            <w:vAlign w:val="center"/>
          </w:tcPr>
          <w:p w14:paraId="2D376F03">
            <w:pPr>
              <w:snapToGrid w:val="0"/>
              <w:jc w:val="center"/>
              <w:rPr>
                <w:rFonts w:hint="eastAsia" w:ascii="宋体" w:hAnsi="宋体" w:eastAsia="宋体" w:cs="宋体"/>
                <w:bCs/>
                <w:color w:val="000000"/>
                <w:sz w:val="24"/>
                <w:highlight w:val="none"/>
              </w:rPr>
            </w:pPr>
            <w:r>
              <w:rPr>
                <w:rFonts w:hint="eastAsia" w:ascii="宋体" w:hAnsi="宋体" w:eastAsia="宋体" w:cs="宋体"/>
                <w:bCs/>
                <w:color w:val="000000"/>
                <w:sz w:val="24"/>
                <w:highlight w:val="none"/>
              </w:rPr>
              <w:t>一批</w:t>
            </w:r>
          </w:p>
        </w:tc>
        <w:tc>
          <w:tcPr>
            <w:tcW w:w="1162" w:type="pct"/>
            <w:tcBorders>
              <w:top w:val="single" w:color="auto" w:sz="6" w:space="0"/>
              <w:left w:val="single" w:color="auto" w:sz="6" w:space="0"/>
              <w:bottom w:val="single" w:color="auto" w:sz="12" w:space="0"/>
              <w:right w:val="single" w:color="auto" w:sz="12" w:space="0"/>
            </w:tcBorders>
            <w:noWrap w:val="0"/>
            <w:vAlign w:val="center"/>
          </w:tcPr>
          <w:p w14:paraId="264EA52A">
            <w:pPr>
              <w:keepNext/>
              <w:snapToGrid w:val="0"/>
              <w:jc w:val="center"/>
              <w:textAlignment w:val="center"/>
              <w:rPr>
                <w:rFonts w:hint="default" w:ascii="宋体" w:hAnsi="宋体" w:eastAsia="宋体" w:cs="宋体"/>
                <w:color w:val="000000"/>
                <w:sz w:val="24"/>
                <w:highlight w:val="none"/>
                <w:lang w:val="en-US" w:eastAsia="zh-CN"/>
              </w:rPr>
            </w:pPr>
            <w:r>
              <w:rPr>
                <w:rFonts w:hint="eastAsia" w:ascii="宋体" w:hAnsi="宋体" w:cs="宋体"/>
                <w:color w:val="000000"/>
                <w:sz w:val="24"/>
                <w:highlight w:val="none"/>
                <w:lang w:val="en-US" w:eastAsia="zh-CN"/>
              </w:rPr>
              <w:t>490000.00</w:t>
            </w:r>
          </w:p>
        </w:tc>
        <w:tc>
          <w:tcPr>
            <w:tcW w:w="1964" w:type="pct"/>
            <w:tcBorders>
              <w:top w:val="single" w:color="auto" w:sz="6" w:space="0"/>
              <w:left w:val="single" w:color="auto" w:sz="6" w:space="0"/>
              <w:bottom w:val="single" w:color="auto" w:sz="12" w:space="0"/>
              <w:right w:val="single" w:color="auto" w:sz="6" w:space="0"/>
            </w:tcBorders>
            <w:noWrap w:val="0"/>
            <w:vAlign w:val="center"/>
          </w:tcPr>
          <w:p w14:paraId="37163B61">
            <w:pPr>
              <w:keepNext/>
              <w:snapToGrid w:val="0"/>
              <w:jc w:val="center"/>
              <w:textAlignment w:val="center"/>
              <w:rPr>
                <w:rFonts w:hint="eastAsia" w:ascii="宋体" w:hAnsi="宋体" w:eastAsia="宋体" w:cs="宋体"/>
                <w:color w:val="000000"/>
                <w:sz w:val="24"/>
                <w:highlight w:val="none"/>
                <w:lang w:val="en-US" w:eastAsia="zh-CN"/>
              </w:rPr>
            </w:pPr>
            <w:r>
              <w:rPr>
                <w:rFonts w:hint="eastAsia" w:ascii="宋体" w:hAnsi="宋体" w:eastAsia="宋体" w:cs="宋体"/>
                <w:bCs/>
                <w:color w:val="000000"/>
                <w:sz w:val="24"/>
                <w:highlight w:val="none"/>
                <w:lang w:val="en-US" w:eastAsia="zh-CN"/>
              </w:rPr>
              <w:t>1年</w:t>
            </w:r>
          </w:p>
        </w:tc>
      </w:tr>
    </w:tbl>
    <w:p w14:paraId="48DC8230">
      <w:p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四、技术参数</w:t>
      </w:r>
    </w:p>
    <w:tbl>
      <w:tblPr>
        <w:tblStyle w:val="30"/>
        <w:tblpPr w:leftFromText="180" w:rightFromText="180" w:vertAnchor="text" w:horzAnchor="page" w:tblpXSpec="center" w:tblpY="356"/>
        <w:tblOverlap w:val="never"/>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9"/>
        <w:gridCol w:w="1236"/>
        <w:gridCol w:w="1238"/>
        <w:gridCol w:w="2459"/>
        <w:gridCol w:w="1337"/>
        <w:gridCol w:w="980"/>
        <w:gridCol w:w="980"/>
        <w:gridCol w:w="995"/>
      </w:tblGrid>
      <w:tr w14:paraId="57498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366" w:type="pct"/>
            <w:vAlign w:val="center"/>
          </w:tcPr>
          <w:p w14:paraId="114A4CA9">
            <w:pPr>
              <w:pStyle w:val="27"/>
              <w:keepNext w:val="0"/>
              <w:keepLines w:val="0"/>
              <w:pageBreakBefore w:val="0"/>
              <w:kinsoku/>
              <w:wordWrap/>
              <w:overflowPunct/>
              <w:topLinePunct w:val="0"/>
              <w:autoSpaceDE/>
              <w:autoSpaceDN/>
              <w:bidi w:val="0"/>
              <w:adjustRightInd/>
              <w:snapToGrid/>
              <w:spacing w:line="240" w:lineRule="auto"/>
              <w:ind w:left="0" w:leftChars="0" w:right="0" w:firstLine="0" w:firstLineChars="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序号</w:t>
            </w:r>
          </w:p>
        </w:tc>
        <w:tc>
          <w:tcPr>
            <w:tcW w:w="620" w:type="pct"/>
            <w:vAlign w:val="center"/>
          </w:tcPr>
          <w:p w14:paraId="36ABC115">
            <w:pPr>
              <w:pStyle w:val="27"/>
              <w:keepNext w:val="0"/>
              <w:keepLines w:val="0"/>
              <w:pageBreakBefore w:val="0"/>
              <w:kinsoku/>
              <w:wordWrap/>
              <w:overflowPunct/>
              <w:topLinePunct w:val="0"/>
              <w:autoSpaceDE/>
              <w:autoSpaceDN/>
              <w:bidi w:val="0"/>
              <w:adjustRightInd/>
              <w:snapToGrid/>
              <w:spacing w:line="240" w:lineRule="auto"/>
              <w:ind w:left="0" w:leftChars="0" w:right="0" w:firstLine="0" w:firstLineChars="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标的名称</w:t>
            </w:r>
          </w:p>
        </w:tc>
        <w:tc>
          <w:tcPr>
            <w:tcW w:w="621" w:type="pct"/>
            <w:vAlign w:val="center"/>
          </w:tcPr>
          <w:p w14:paraId="42ABB39D">
            <w:pPr>
              <w:pStyle w:val="27"/>
              <w:keepNext w:val="0"/>
              <w:keepLines w:val="0"/>
              <w:pageBreakBefore w:val="0"/>
              <w:kinsoku/>
              <w:wordWrap/>
              <w:overflowPunct/>
              <w:topLinePunct w:val="0"/>
              <w:autoSpaceDE/>
              <w:autoSpaceDN/>
              <w:bidi w:val="0"/>
              <w:adjustRightInd/>
              <w:snapToGrid/>
              <w:spacing w:line="240" w:lineRule="auto"/>
              <w:ind w:left="0" w:leftChars="0" w:right="0" w:firstLine="0" w:firstLineChars="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规格</w:t>
            </w:r>
          </w:p>
        </w:tc>
        <w:tc>
          <w:tcPr>
            <w:tcW w:w="1234" w:type="pct"/>
            <w:vAlign w:val="center"/>
          </w:tcPr>
          <w:p w14:paraId="376AEFA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宋体" w:hAnsi="宋体" w:eastAsia="宋体" w:cs="宋体"/>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质量依据</w:t>
            </w:r>
          </w:p>
        </w:tc>
        <w:tc>
          <w:tcPr>
            <w:tcW w:w="671" w:type="pct"/>
            <w:vAlign w:val="center"/>
          </w:tcPr>
          <w:p w14:paraId="64F70C1E">
            <w:pPr>
              <w:pStyle w:val="27"/>
              <w:keepNext w:val="0"/>
              <w:keepLines w:val="0"/>
              <w:pageBreakBefore w:val="0"/>
              <w:kinsoku/>
              <w:wordWrap/>
              <w:overflowPunct/>
              <w:topLinePunct w:val="0"/>
              <w:autoSpaceDE/>
              <w:autoSpaceDN/>
              <w:bidi w:val="0"/>
              <w:adjustRightInd/>
              <w:snapToGrid/>
              <w:spacing w:line="240" w:lineRule="auto"/>
              <w:ind w:left="0" w:leftChars="0" w:right="0" w:firstLine="0" w:firstLineChars="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数量</w:t>
            </w:r>
          </w:p>
        </w:tc>
        <w:tc>
          <w:tcPr>
            <w:tcW w:w="492" w:type="pct"/>
            <w:vAlign w:val="center"/>
          </w:tcPr>
          <w:p w14:paraId="2AA638AA">
            <w:pPr>
              <w:pStyle w:val="27"/>
              <w:keepNext w:val="0"/>
              <w:keepLines w:val="0"/>
              <w:pageBreakBefore w:val="0"/>
              <w:kinsoku/>
              <w:wordWrap/>
              <w:overflowPunct/>
              <w:topLinePunct w:val="0"/>
              <w:autoSpaceDE/>
              <w:autoSpaceDN/>
              <w:bidi w:val="0"/>
              <w:adjustRightInd/>
              <w:snapToGrid/>
              <w:spacing w:line="240" w:lineRule="auto"/>
              <w:ind w:left="0" w:leftChars="0" w:right="0" w:firstLine="0" w:firstLineChars="0"/>
              <w:jc w:val="center"/>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单位</w:t>
            </w:r>
          </w:p>
        </w:tc>
        <w:tc>
          <w:tcPr>
            <w:tcW w:w="492" w:type="pct"/>
            <w:vAlign w:val="center"/>
          </w:tcPr>
          <w:p w14:paraId="02DC6E7D">
            <w:pPr>
              <w:pStyle w:val="27"/>
              <w:keepNext w:val="0"/>
              <w:keepLines w:val="0"/>
              <w:pageBreakBefore w:val="0"/>
              <w:kinsoku/>
              <w:wordWrap/>
              <w:overflowPunct/>
              <w:topLinePunct w:val="0"/>
              <w:autoSpaceDE/>
              <w:autoSpaceDN/>
              <w:bidi w:val="0"/>
              <w:adjustRightInd/>
              <w:snapToGrid/>
              <w:spacing w:line="240" w:lineRule="auto"/>
              <w:ind w:left="0" w:leftChars="0" w:right="0" w:firstLine="0" w:firstLineChars="0"/>
              <w:jc w:val="center"/>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最高限价单价（元）</w:t>
            </w:r>
          </w:p>
        </w:tc>
        <w:tc>
          <w:tcPr>
            <w:tcW w:w="499" w:type="pct"/>
            <w:vAlign w:val="center"/>
          </w:tcPr>
          <w:p w14:paraId="0D1219C6">
            <w:pPr>
              <w:pStyle w:val="27"/>
              <w:keepNext w:val="0"/>
              <w:keepLines w:val="0"/>
              <w:pageBreakBefore w:val="0"/>
              <w:kinsoku/>
              <w:wordWrap/>
              <w:overflowPunct/>
              <w:topLinePunct w:val="0"/>
              <w:autoSpaceDE/>
              <w:autoSpaceDN/>
              <w:bidi w:val="0"/>
              <w:adjustRightInd/>
              <w:snapToGrid/>
              <w:spacing w:line="240" w:lineRule="auto"/>
              <w:ind w:left="0" w:leftChars="0" w:right="0" w:firstLine="0" w:firstLineChars="0"/>
              <w:jc w:val="center"/>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最高预算总价（元）</w:t>
            </w:r>
          </w:p>
        </w:tc>
      </w:tr>
      <w:tr w14:paraId="63C33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jc w:val="center"/>
        </w:trPr>
        <w:tc>
          <w:tcPr>
            <w:tcW w:w="366" w:type="pct"/>
            <w:vAlign w:val="center"/>
          </w:tcPr>
          <w:p w14:paraId="75968E41">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sz w:val="24"/>
                <w:szCs w:val="24"/>
              </w:rPr>
              <w:t>1</w:t>
            </w:r>
          </w:p>
        </w:tc>
        <w:tc>
          <w:tcPr>
            <w:tcW w:w="620" w:type="pct"/>
            <w:vAlign w:val="center"/>
          </w:tcPr>
          <w:p w14:paraId="585A66FE">
            <w:pPr>
              <w:pStyle w:val="27"/>
              <w:keepNext w:val="0"/>
              <w:keepLines w:val="0"/>
              <w:pageBreakBefore w:val="0"/>
              <w:kinsoku/>
              <w:wordWrap/>
              <w:overflowPunct/>
              <w:topLinePunct w:val="0"/>
              <w:autoSpaceDE/>
              <w:autoSpaceDN/>
              <w:bidi w:val="0"/>
              <w:adjustRightInd/>
              <w:snapToGrid/>
              <w:spacing w:line="240" w:lineRule="auto"/>
              <w:ind w:left="0" w:leftChars="0" w:right="0" w:firstLine="0" w:firstLineChars="0"/>
              <w:jc w:val="center"/>
              <w:rPr>
                <w:rFonts w:hint="eastAsia" w:ascii="宋体" w:hAnsi="宋体" w:eastAsia="宋体" w:cs="宋体"/>
                <w:sz w:val="24"/>
                <w:szCs w:val="24"/>
                <w:vertAlign w:val="baseline"/>
                <w:lang w:val="en-US" w:eastAsia="zh-CN"/>
              </w:rPr>
            </w:pPr>
            <w:r>
              <w:rPr>
                <w:rFonts w:hint="default" w:ascii="宋体" w:hAnsi="宋体" w:eastAsia="宋体" w:cs="宋体"/>
                <w:sz w:val="24"/>
                <w:szCs w:val="24"/>
                <w:vertAlign w:val="baseline"/>
                <w:lang w:val="en-US" w:eastAsia="zh-CN"/>
              </w:rPr>
              <w:t>人工麝香</w:t>
            </w:r>
          </w:p>
        </w:tc>
        <w:tc>
          <w:tcPr>
            <w:tcW w:w="621" w:type="pct"/>
            <w:vAlign w:val="center"/>
          </w:tcPr>
          <w:p w14:paraId="507D25A9">
            <w:pPr>
              <w:pStyle w:val="27"/>
              <w:keepNext w:val="0"/>
              <w:keepLines w:val="0"/>
              <w:pageBreakBefore w:val="0"/>
              <w:kinsoku/>
              <w:wordWrap/>
              <w:overflowPunct/>
              <w:topLinePunct w:val="0"/>
              <w:autoSpaceDE/>
              <w:autoSpaceDN/>
              <w:bidi w:val="0"/>
              <w:adjustRightInd/>
              <w:snapToGrid/>
              <w:spacing w:line="240" w:lineRule="auto"/>
              <w:ind w:left="0" w:leftChars="0" w:right="0" w:firstLine="0" w:firstLineChars="0"/>
              <w:jc w:val="center"/>
              <w:rPr>
                <w:rFonts w:hint="default" w:ascii="宋体" w:hAnsi="宋体" w:eastAsia="宋体" w:cs="宋体"/>
                <w:sz w:val="24"/>
                <w:szCs w:val="24"/>
                <w:vertAlign w:val="baseline"/>
                <w:lang w:val="en-US" w:eastAsia="zh-CN"/>
              </w:rPr>
            </w:pPr>
            <w:r>
              <w:rPr>
                <w:rFonts w:hint="default" w:ascii="宋体" w:hAnsi="宋体" w:eastAsia="宋体" w:cs="宋体"/>
                <w:sz w:val="24"/>
                <w:szCs w:val="24"/>
                <w:vertAlign w:val="baseline"/>
                <w:lang w:val="en-US" w:eastAsia="zh-CN"/>
              </w:rPr>
              <w:t>0.3g</w:t>
            </w:r>
            <w:r>
              <w:rPr>
                <w:rFonts w:hint="eastAsia" w:ascii="宋体" w:hAnsi="宋体" w:eastAsia="宋体" w:cs="宋体"/>
                <w:sz w:val="24"/>
                <w:szCs w:val="24"/>
                <w:vertAlign w:val="baseline"/>
                <w:lang w:val="en-US" w:eastAsia="zh-CN"/>
              </w:rPr>
              <w:t>/瓶</w:t>
            </w:r>
          </w:p>
        </w:tc>
        <w:tc>
          <w:tcPr>
            <w:tcW w:w="1234" w:type="pct"/>
            <w:vAlign w:val="center"/>
          </w:tcPr>
          <w:p w14:paraId="7989154E">
            <w:pPr>
              <w:pStyle w:val="27"/>
              <w:keepNext w:val="0"/>
              <w:keepLines w:val="0"/>
              <w:pageBreakBefore w:val="0"/>
              <w:kinsoku/>
              <w:wordWrap/>
              <w:overflowPunct/>
              <w:topLinePunct w:val="0"/>
              <w:autoSpaceDE/>
              <w:autoSpaceDN/>
              <w:bidi w:val="0"/>
              <w:adjustRightInd/>
              <w:snapToGrid/>
              <w:spacing w:line="240" w:lineRule="auto"/>
              <w:ind w:left="0" w:leftChars="0" w:right="0" w:firstLine="0" w:firstLineChars="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中国药典2025年版一部</w:t>
            </w:r>
          </w:p>
        </w:tc>
        <w:tc>
          <w:tcPr>
            <w:tcW w:w="671" w:type="pct"/>
            <w:vAlign w:val="center"/>
          </w:tcPr>
          <w:p w14:paraId="55FB2329">
            <w:pPr>
              <w:pStyle w:val="27"/>
              <w:keepNext w:val="0"/>
              <w:keepLines w:val="0"/>
              <w:pageBreakBefore w:val="0"/>
              <w:kinsoku/>
              <w:wordWrap/>
              <w:overflowPunct/>
              <w:topLinePunct w:val="0"/>
              <w:autoSpaceDE/>
              <w:autoSpaceDN/>
              <w:bidi w:val="0"/>
              <w:adjustRightInd/>
              <w:snapToGrid/>
              <w:spacing w:line="240" w:lineRule="auto"/>
              <w:ind w:left="0" w:leftChars="0" w:right="0" w:firstLine="0" w:firstLineChars="0"/>
              <w:jc w:val="center"/>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2000</w:t>
            </w:r>
          </w:p>
        </w:tc>
        <w:tc>
          <w:tcPr>
            <w:tcW w:w="492" w:type="pct"/>
            <w:vAlign w:val="center"/>
          </w:tcPr>
          <w:p w14:paraId="65E97C48">
            <w:pPr>
              <w:pStyle w:val="27"/>
              <w:keepNext w:val="0"/>
              <w:keepLines w:val="0"/>
              <w:pageBreakBefore w:val="0"/>
              <w:kinsoku/>
              <w:wordWrap/>
              <w:overflowPunct/>
              <w:topLinePunct w:val="0"/>
              <w:autoSpaceDE/>
              <w:autoSpaceDN/>
              <w:bidi w:val="0"/>
              <w:adjustRightInd/>
              <w:snapToGrid/>
              <w:spacing w:line="240" w:lineRule="auto"/>
              <w:ind w:left="0" w:leftChars="0" w:right="0" w:firstLine="0" w:firstLineChars="0"/>
              <w:jc w:val="center"/>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瓶</w:t>
            </w:r>
          </w:p>
        </w:tc>
        <w:tc>
          <w:tcPr>
            <w:tcW w:w="492" w:type="pct"/>
            <w:vAlign w:val="center"/>
          </w:tcPr>
          <w:p w14:paraId="363055B7">
            <w:pPr>
              <w:pStyle w:val="27"/>
              <w:keepNext w:val="0"/>
              <w:keepLines w:val="0"/>
              <w:pageBreakBefore w:val="0"/>
              <w:kinsoku/>
              <w:wordWrap/>
              <w:overflowPunct/>
              <w:topLinePunct w:val="0"/>
              <w:autoSpaceDE/>
              <w:autoSpaceDN/>
              <w:bidi w:val="0"/>
              <w:adjustRightInd/>
              <w:snapToGrid/>
              <w:spacing w:line="240" w:lineRule="auto"/>
              <w:ind w:left="0" w:leftChars="0" w:right="0" w:firstLine="0" w:firstLineChars="0"/>
              <w:jc w:val="center"/>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245</w:t>
            </w:r>
          </w:p>
        </w:tc>
        <w:tc>
          <w:tcPr>
            <w:tcW w:w="499" w:type="pct"/>
            <w:vAlign w:val="center"/>
          </w:tcPr>
          <w:p w14:paraId="17E0FB06">
            <w:pPr>
              <w:pStyle w:val="27"/>
              <w:keepNext w:val="0"/>
              <w:keepLines w:val="0"/>
              <w:pageBreakBefore w:val="0"/>
              <w:kinsoku/>
              <w:wordWrap/>
              <w:overflowPunct/>
              <w:topLinePunct w:val="0"/>
              <w:autoSpaceDE/>
              <w:autoSpaceDN/>
              <w:bidi w:val="0"/>
              <w:adjustRightInd/>
              <w:snapToGrid/>
              <w:spacing w:line="240" w:lineRule="auto"/>
              <w:ind w:left="0" w:leftChars="0" w:right="0" w:firstLine="0" w:firstLineChars="0"/>
              <w:jc w:val="center"/>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490000</w:t>
            </w:r>
          </w:p>
        </w:tc>
      </w:tr>
    </w:tbl>
    <w:p w14:paraId="0A5ECB87">
      <w:pPr>
        <w:spacing w:line="560" w:lineRule="exact"/>
        <w:ind w:firstLine="482" w:firstLineChars="200"/>
        <w:outlineLvl w:val="1"/>
        <w:rPr>
          <w:rStyle w:val="74"/>
          <w:rFonts w:hint="eastAsia" w:ascii="宋体" w:hAnsi="宋体" w:eastAsia="宋体" w:cs="宋体"/>
          <w:b/>
          <w:bCs/>
          <w:color w:val="auto"/>
          <w:sz w:val="24"/>
          <w:szCs w:val="24"/>
          <w:highlight w:val="none"/>
          <w:lang w:val="en-US" w:eastAsia="zh-CN"/>
        </w:rPr>
      </w:pPr>
      <w:r>
        <w:rPr>
          <w:rStyle w:val="74"/>
          <w:rFonts w:hint="eastAsia" w:ascii="宋体" w:hAnsi="宋体" w:eastAsia="宋体" w:cs="宋体"/>
          <w:b/>
          <w:bCs/>
          <w:color w:val="auto"/>
          <w:sz w:val="24"/>
          <w:szCs w:val="24"/>
          <w:highlight w:val="none"/>
          <w:lang w:val="en-US" w:eastAsia="zh-CN"/>
        </w:rPr>
        <w:t>五、商务要求</w:t>
      </w:r>
    </w:p>
    <w:p w14:paraId="77981EEB">
      <w:pPr>
        <w:spacing w:line="56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1、报价要求</w:t>
      </w:r>
    </w:p>
    <w:p w14:paraId="1AE43B5A">
      <w:pPr>
        <w:spacing w:line="56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1)、中标人提供的货物价格不得高于市场价格。</w:t>
      </w:r>
    </w:p>
    <w:p w14:paraId="2902D59C">
      <w:pPr>
        <w:spacing w:line="56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2)、中标人必须负责中标货物的运输、搬运等工作，所产生的费用由中标人负责。</w:t>
      </w:r>
    </w:p>
    <w:p w14:paraId="49612982">
      <w:pPr>
        <w:spacing w:line="56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3)、★中标人不得擅自变更投标货品（含商标、名称、产地、包装、规格和重量等），严格按采购人要求供应，否则，采购人有权拒收。如因市场流通问题确实需要变更的，应事先书面申请，并经采购人同意后方可改变。</w:t>
      </w:r>
    </w:p>
    <w:p w14:paraId="25216777">
      <w:pPr>
        <w:spacing w:line="56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4）★国家和自治区对中标物品的价格下调低于合同价格，合同价格在调价文件生效之日起随即下调至文件规定的价格，直到供货期限满为止，供应商需针对此条款作出书面承诺，不得以此为由终止合同或终止供货。</w:t>
      </w:r>
    </w:p>
    <w:p w14:paraId="239DF039">
      <w:pPr>
        <w:spacing w:line="56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2、质量及包装要求</w:t>
      </w:r>
    </w:p>
    <w:p w14:paraId="504F7A80">
      <w:pPr>
        <w:spacing w:line="56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（一）质量要求</w:t>
      </w:r>
    </w:p>
    <w:p w14:paraId="1FC74AB1">
      <w:pPr>
        <w:spacing w:line="56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1、中标人提供的货物必须为目前市场上技术较先进、成熟的原装、全新的，符合国家以及该产品的出厂标准和满足招标文件有关技术参数及质量标准的货物；且货物外形（外观）尺寸须符合国家及行业标准的公差标准及相关要求，表面无划伤，无碰撞，各项技术指标完全符合国家检测标准及产品出厂标准，凡列入《中华人民共和国实施强制性产品认证的产品目录》的货物需获得相关认证证书。货物若有国家标准按照国家标准验收，若无国家标准按行业标准验收，货物无侵权行为、表面无划损、无任何缺陷隐患，在中国境内可依常规安全合法使用。</w:t>
      </w:r>
    </w:p>
    <w:p w14:paraId="3BFB9E23">
      <w:pPr>
        <w:spacing w:line="56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2、如果中标人所提供的货物被有关部门认定为违反国家有关行业安全和质量规定及违法侵权等，由此而引起的一切后果和责任均由中标人负责。</w:t>
      </w:r>
    </w:p>
    <w:p w14:paraId="73C95A10">
      <w:pPr>
        <w:spacing w:line="56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3、在实际供货时，中标人响应时所提供的货物若已经停产（不列入该厂家当时的产品系统），且未能按原价提供同等质量或更优质的货物，则按违约处理。</w:t>
      </w:r>
    </w:p>
    <w:p w14:paraId="6DF4FB40">
      <w:pPr>
        <w:spacing w:line="56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4、★在实际供货时，若中标人提供的货物未能达到招标文件的要求和投标文件中的有关承诺，将按有关法规进行处罚，采购人将有权单方面终止合同的执行，并追究因中标人所提供的未达到所承诺准确率产品而产生的所有损失和责任。（以提供承诺函响应该条款，格式由供应商自拟。）</w:t>
      </w:r>
    </w:p>
    <w:p w14:paraId="0517B886">
      <w:pPr>
        <w:spacing w:line="56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5、中标人负责将货物送到现场过程中的全部运输，包括装卸车、货物现场的搬运；货物在现场的保管由中标人负责，直至验收完毕。</w:t>
      </w:r>
    </w:p>
    <w:p w14:paraId="3CE277CE">
      <w:pPr>
        <w:spacing w:line="56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3、服务要求</w:t>
      </w:r>
    </w:p>
    <w:p w14:paraId="3E5A3BA7">
      <w:pPr>
        <w:spacing w:line="56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1、供货期限一年，采购周期内确保产品的供应和配送服务，不得以经销或代理授权变更的理由，更换中标人。</w:t>
      </w:r>
    </w:p>
    <w:p w14:paraId="24536755">
      <w:pPr>
        <w:spacing w:line="56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2、招标文件中的年采购量及采购预算为采购人统计的过往一年该药材的使用量及实际支付金额，采购量及采购预算只作为投标人报本项目报价时参考使用。具体采购数量及金额以合同执行过程中的实际采购量及产生金额为准；采购人与中标人按照投标文件所报的单价签订采购合同；采购人不承诺最低采购数量和采购总金额。</w:t>
      </w:r>
    </w:p>
    <w:p w14:paraId="0F72AE1B">
      <w:pPr>
        <w:spacing w:line="56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3、送货时间：收到订单后48小时内，若发生延迟须提前告知，否则视为违约，按违约条款进行处罚，急救类药材须在通知后4小时内送达，如采购人有特殊配送需求的，应设法满足，节假日照常配送。</w:t>
      </w:r>
    </w:p>
    <w:p w14:paraId="4B35E4F9">
      <w:pPr>
        <w:spacing w:line="56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4、除客观不可抗力外，中标人不得更改送货内容。如确需变更供货内容的，中标人应在得知情况的同时告知采购人并征得采购人同意，经发现中标人有私自更改菜单中货品时以违约论处，由此产生的一切损失和费用由中标人承担。供货期内中标人出现上述情况，经采购人书面提出整改通知，但情况没有改善的，采购人有权取消中标人供货资格，终止中标人供货合同和没收履约保证金。</w:t>
      </w:r>
    </w:p>
    <w:p w14:paraId="3ECA49E7">
      <w:pPr>
        <w:spacing w:line="56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5、投标人必须对所投项目的所有清单内容完整投标，缺项漏项将导致投标无效。也不得修改清单中的任何内容，但可于投标前提出询问，否则投标无效。</w:t>
      </w:r>
    </w:p>
    <w:p w14:paraId="2CF486BF">
      <w:pPr>
        <w:spacing w:line="56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6、★若中标商品有断货或停货等特殊情况时，供货商必须提前30日通知采购方，并出示加盖公章的停货书面说明。断货期间，医院有权向其他供货商购买同类产品，直到原供货方能继续供货为止。</w:t>
      </w:r>
    </w:p>
    <w:p w14:paraId="64020552">
      <w:pPr>
        <w:spacing w:line="56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7、有意向参与该项目的投标人在购买招标文件后，可向采购人了解采购清单中的医用药材目前的使用情况和相关信息，采购人将给予配合。</w:t>
      </w:r>
    </w:p>
    <w:p w14:paraId="264314F4">
      <w:pPr>
        <w:spacing w:line="56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4、退换货要求</w:t>
      </w:r>
    </w:p>
    <w:p w14:paraId="44E5D83C">
      <w:pPr>
        <w:spacing w:line="56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1、如发现中标人所交付的货物有次品、损坏或其他不符合本项目的采购文件要求或不能满足投标文件有关承诺等情况，采购人有权提出退换货处理或按违约处理，由中标人负责对需退换货的产品做好相关记录，经中标人、采购人双方签字确认后，方可进行退换货品的工作。</w:t>
      </w:r>
    </w:p>
    <w:p w14:paraId="505E620F">
      <w:pPr>
        <w:spacing w:line="56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2、中标人须在确认当天完成所有的退换货工作，退换货工作包括货品的运输、搬运、堆放等，且由此产生的一切费用由中标人承担。</w:t>
      </w:r>
    </w:p>
    <w:p w14:paraId="09C9F6E0">
      <w:pPr>
        <w:spacing w:line="56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3、本项目换货后的产品须满足采购文件要求及投标文件承诺，不得低于原货品的标准要求；中标人也可经采购人同意后，选择同档次或优于原货品的同类产品替换原货品。</w:t>
      </w:r>
    </w:p>
    <w:p w14:paraId="08FFFC53">
      <w:pPr>
        <w:spacing w:line="56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4、★为确保本项目顺利完成，中标供应商必须承诺：本公司承诺在中标后所投入的人员为本公司人员，并与投标文件提供的人员一致，如供货期内采购人发现投入人员与投标文件不一致，视为提供虚假材料应标，采购人有权扣除履约保证金，单方面终止采购合同，并将供应商虚假应标的相关问题报送监管部门，供应商针对此点提供书面承诺。</w:t>
      </w:r>
    </w:p>
    <w:p w14:paraId="11D3A378">
      <w:pPr>
        <w:spacing w:line="56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5、在采购人签收之前，货物的所有权和风险属于中标人，货物发生遗失、损坏由中标人负责。</w:t>
      </w:r>
    </w:p>
    <w:p w14:paraId="17D67E59">
      <w:pPr>
        <w:spacing w:line="56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6、★中标人须严格按照各采购人的指令配送商品的数量，不得随意增减数量，否则，采购人有权拒收。</w:t>
      </w:r>
    </w:p>
    <w:p w14:paraId="7D4B34E9">
      <w:pPr>
        <w:spacing w:line="56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7、如因市场流通问题确实需要变更的，应事先书面申请，并经采购人同意后方可改变。</w:t>
      </w:r>
    </w:p>
    <w:p w14:paraId="5EC8DD5B">
      <w:pPr>
        <w:spacing w:line="56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8、★采购人发现采购货物不能正常使用的，中标人应无条件退换。中标人未能履行招标文件和合同所定事项，或供应不合格的、假冒伪劣、以次充好的商品，采购人退货后将记录在案，并对中标人予以处罚，要承担因此产生的一切损失和费用，供应商针对此点提供书面承诺。</w:t>
      </w:r>
    </w:p>
    <w:p w14:paraId="1C4E9906">
      <w:pPr>
        <w:spacing w:line="56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9、中标人不能按核定的供货价交付中标商品、不能提供与其承诺相符的服务或中标人存在违反招标文件和合同的行为，并且不予纠正的，将取消其供货资格。此项下违约责任包括但不限于下列各项：</w:t>
      </w:r>
    </w:p>
    <w:p w14:paraId="2A00415E">
      <w:pPr>
        <w:spacing w:line="56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①中标人在收到采购人订货要求后，在承诺的供货时间内不能供货的；</w:t>
      </w:r>
    </w:p>
    <w:p w14:paraId="1AA26636">
      <w:pPr>
        <w:spacing w:line="56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②中标人未能提供承诺的服务的。</w:t>
      </w:r>
    </w:p>
    <w:p w14:paraId="1CB8E2A5">
      <w:pPr>
        <w:spacing w:line="56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10、中标商品在保质期出现损坏的，中标人应承诺提供替换服务，因替换货物产生的费用由中标人负责。</w:t>
      </w:r>
    </w:p>
    <w:p w14:paraId="49C8271A">
      <w:pPr>
        <w:spacing w:line="56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11、中标人的送货单必须详细注明商品的品牌、型号、单价、数量、送货单不得涂改。标记不清的，采购人将拒绝签收。结算期末中标人还应提供送货清单供采购人结算。</w:t>
      </w:r>
    </w:p>
    <w:p w14:paraId="1D07E829">
      <w:pPr>
        <w:spacing w:line="56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12、中标人指定的送货专员必须穿着便于辨认的工衣和佩戴胸卡，送货专员在采购人单位活动必须严格遵守采购人单位各项规章制度，不得作出有损采购人形象和利益的事情。</w:t>
      </w:r>
    </w:p>
    <w:p w14:paraId="1B9B7F95">
      <w:pPr>
        <w:spacing w:line="56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13、★中标人不得泄露采购人的商业秘密。泄密造成采购人损失的，中标人将承担由此产生的一切损失和法律责任。</w:t>
      </w:r>
    </w:p>
    <w:p w14:paraId="035A5852">
      <w:pPr>
        <w:spacing w:line="56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5、验收要求</w:t>
      </w:r>
    </w:p>
    <w:p w14:paraId="4084D285">
      <w:pPr>
        <w:spacing w:line="56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1、本项目验收标准：货物进场验收，通过最终验收后交付采购人使用，进入质保期。根据国家颁布的最新检定规程执行。</w:t>
      </w:r>
    </w:p>
    <w:p w14:paraId="6900BE4F">
      <w:pPr>
        <w:spacing w:line="56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2、★采购人组织验收小组按国家有关规定、规范进行验收，必要时邀请相关的专业人员或机构参与验收。因货物质量问题发生争议时，由本地质量技术监督部门鉴定。货物符合质量技术标准的，鉴定费由采购人承担；否则鉴定费由中标人承担，供应商针对此点提供书面承诺。</w:t>
      </w:r>
    </w:p>
    <w:p w14:paraId="5A5D0432">
      <w:pPr>
        <w:spacing w:line="56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3、验收标准按照国内最新相关标准实施，要求对全部产品、型号、规格、数量、外形、外观、包装进行验收。双方将依据有关规定，对到货的规格、数量等进行检验。</w:t>
      </w:r>
    </w:p>
    <w:p w14:paraId="59BF7D00">
      <w:pPr>
        <w:spacing w:line="56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4、成交供应商在每批次供货时必须提供所供药材的检测报告。</w:t>
      </w:r>
    </w:p>
    <w:p w14:paraId="2C62F8D5">
      <w:pPr>
        <w:spacing w:line="56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6、技术服务人员及售后服务队伍要求</w:t>
      </w:r>
    </w:p>
    <w:p w14:paraId="63DFC0F2">
      <w:pPr>
        <w:spacing w:line="56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1.中标人需有稳定、专业的服务团队，须指派1名项目负责人全程跟踪管理本项目，与采购人保持良好的沟通。项目负责人应有丰富的类似项目经验、有良好的服务态度及沟通能力。</w:t>
      </w:r>
    </w:p>
    <w:p w14:paraId="4BBE8F80">
      <w:pPr>
        <w:spacing w:line="56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2.原则上项目负责人不得随意更换（除离职、生病等不可抗力外），如确需更换应提前3个工作日书面通知采购人，征得采购人同意后方可更换，而且更换后的人员水平不得低于原人员。</w:t>
      </w:r>
    </w:p>
    <w:p w14:paraId="13F76ED4">
      <w:pPr>
        <w:spacing w:line="56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3.中标人应当具有完善的物流配送体系和售后服务队伍，且具有履行本项目货物的供应、安装、维修等专业技术和服务能力。</w:t>
      </w:r>
    </w:p>
    <w:p w14:paraId="28A15F42">
      <w:pPr>
        <w:spacing w:line="56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7、售后服务要求</w:t>
      </w:r>
    </w:p>
    <w:p w14:paraId="369FB7F6">
      <w:pPr>
        <w:spacing w:line="56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除特别标明之外，所有货物保证在最终验收合格并交付用户使用之日起，应按照国家或生产厂家的规定执行。质保期内中标人必须进行质量“三包”。因质量原因损坏，中标人应迅速派员解决，并承担由此发生的费用。</w:t>
      </w:r>
    </w:p>
    <w:p w14:paraId="0B3DB001">
      <w:pPr>
        <w:spacing w:line="56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2.中标人应有稳定售后服务机构（点）或部门，质保期内指派专人负责与采购人联系售后服务事宜，提供服务专线。在质保期内，因产品质量问题，中标人在接到维修通知后2小时内响应，包括电话、传真、电子邮件等各种有效方式进行答疑或技术指导；若口头和书面交流仍无法解决问题，提供同档次产品代用，否则中标人应赔偿采购人的相应损失。如果需要更换产品的则必须免费提供，要求更换的产品跟被更换的品牌、类型相一致或者是同类同档次的替代品，且更换前应征得采购人同意。</w:t>
      </w:r>
    </w:p>
    <w:p w14:paraId="64DD785B">
      <w:pPr>
        <w:spacing w:line="56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3.质量保证期内非采购方的人为原因而出现产品质量及安装问题，由中标人负责包修、包换或包退，不能在规定时间内修复，由中标人负责包退或1个月内包换服务，并承担因此而产生的一切费用。</w:t>
      </w:r>
    </w:p>
    <w:p w14:paraId="363AD90B">
      <w:pPr>
        <w:spacing w:line="56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在实际供货时，若中标人提供的货物未能达到招标文件的要求和投标文件中的有关承诺，将按有关法规进行处罚，采购人将有权单方面终止合同的执行，并追究因中标人所提供的未达到所承诺准确率产品而产生的所有损失和责任。（以提供承诺函响应该条款，格式由供应商自拟。）</w:t>
      </w:r>
    </w:p>
    <w:p w14:paraId="354BFF38">
      <w:pPr>
        <w:spacing w:line="56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8、付款方式要求</w:t>
      </w:r>
    </w:p>
    <w:p w14:paraId="4F297BF3">
      <w:pPr>
        <w:spacing w:line="56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付款方式：中标人每月所订购的药材到采购人指定的地点交付并通过采购人的验收合格后，中标人凭开具的正式发票，由采购人在6个月内支付货款。</w:t>
      </w:r>
    </w:p>
    <w:p w14:paraId="2279D421">
      <w:pPr>
        <w:spacing w:line="56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1)、中标人货款按月度进行结算。在办理付款手续之前双方须对供应货物的品种、数量、单价、金额等进行统计，并核实无误。</w:t>
      </w:r>
    </w:p>
    <w:p w14:paraId="03AC74BF">
      <w:pPr>
        <w:spacing w:line="56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2)、采购人收到中标人收货凭证复印件和有效等额发票后，6个月内办理支付手续；（具体付款时间以政府财政支付为准）</w:t>
      </w:r>
    </w:p>
    <w:p w14:paraId="3DDC41AC">
      <w:pPr>
        <w:spacing w:line="56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3)、中标人凭以下有效文件与采购人结算：</w:t>
      </w:r>
    </w:p>
    <w:p w14:paraId="42AF0B50">
      <w:pPr>
        <w:spacing w:line="56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①合同；</w:t>
      </w:r>
    </w:p>
    <w:p w14:paraId="3283D5FC">
      <w:pPr>
        <w:spacing w:line="56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②中标人开具的正式发票；</w:t>
      </w:r>
    </w:p>
    <w:p w14:paraId="137E1241">
      <w:pPr>
        <w:spacing w:line="56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③货物收货清单（加盖采购人公章）；</w:t>
      </w:r>
    </w:p>
    <w:p w14:paraId="5D615232">
      <w:pPr>
        <w:spacing w:line="56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④中标通知书。</w:t>
      </w:r>
    </w:p>
    <w:p w14:paraId="09DB89AB">
      <w:pPr>
        <w:spacing w:line="56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因采购人使用的是财政资金，采购人在前款规定的付款时间为向政府采购支付部门提出办理财政支付申请手续的时间（不含政府财政支付部门审核的时间），在规定时间内提出支付申请手续后即视为采购人已经按期支付。成交供应商不能因此主张采购人违反合同约定，不能因此主张解除合同。（以提供承诺函响应该条款，格式由供应商自拟。）</w:t>
      </w:r>
    </w:p>
    <w:p w14:paraId="64F3A263">
      <w:pPr>
        <w:spacing w:line="56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9、项目履约保证金</w:t>
      </w:r>
    </w:p>
    <w:p w14:paraId="64A9EE66">
      <w:pPr>
        <w:spacing w:line="56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1)、中标人必须在收到中标通知书5个工作日内向采购人缴交合同金额10%的履约保证金，如未能按时交纳履约保证金的，采购人有权当方面取消其中标人资格并终止合同，并按照排序从其他候选中标供应商中确定中标供应商或重招。</w:t>
      </w:r>
    </w:p>
    <w:p w14:paraId="3344A636">
      <w:pPr>
        <w:spacing w:line="56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2)、如中标人违约，采购人可随时启动项目履约保证金，因中标人违约扣减履约保证金而使履约保证金不足的，采购人有权向中标人收取补足，中标人须在接到采购人通知的5个工作日内补足相应履约保证金，中标人未按时补足履约保证金的，采购人可单方面取消其中标人资格并终止合同，没收余下履约保证金，并按照排序从其他中标候选供应商中确定中标供应商或重招。</w:t>
      </w:r>
    </w:p>
    <w:p w14:paraId="54FC30E0">
      <w:pPr>
        <w:spacing w:line="56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3)、如中标人的供货不符合采购人的质量要求，采购人有权单方面解除合同。</w:t>
      </w:r>
    </w:p>
    <w:p w14:paraId="418D14E5">
      <w:pPr>
        <w:spacing w:line="56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4)、中标人无违约责任、无任何不良记录或违约责任已处理完成，采购人将于合同期满后一个月内无息退还全部履约保证金。</w:t>
      </w:r>
    </w:p>
    <w:p w14:paraId="1B4CD79B">
      <w:pPr>
        <w:spacing w:line="56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10、其他要求</w:t>
      </w:r>
    </w:p>
    <w:p w14:paraId="3674A64C">
      <w:pPr>
        <w:spacing w:line="56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1）同意采购人以任何形式对中标人投标文件内容及采购人认为有必要的相关资料的真实性和有效性进行审查、验证。</w:t>
      </w:r>
    </w:p>
    <w:p w14:paraId="2CBA6E72">
      <w:pPr>
        <w:spacing w:line="56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2)、采购人与中标人在投标及履行合同过程中，必须遵守《中华人民共和国反不正当竞争法》《中华人民共和国消费者权益保障法》、《中华人民共和国经济合同法》及相关的国家法律、法规。</w:t>
      </w:r>
    </w:p>
    <w:p w14:paraId="42896C2C">
      <w:pPr>
        <w:spacing w:line="56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3)、项目结案要求：项目结束后中标人须向采购人提供台账、项目决算表、项目总结报告等相关数据资料。替补候选人的设定与使用。</w:t>
      </w:r>
    </w:p>
    <w:p w14:paraId="7399A1C5">
      <w:pPr>
        <w:spacing w:line="56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如果中标供应商不能按照招标文件要求及投标文件的承诺签订中标合同，或经核定中标供应商的投标文件与事实不符，从而影响公平、公正及影响中标合同执行时，采购人有权取消该其中标供应商的中标资格，确定排名在中标供应商之后第一位的投标供应商为中标供应商或依法重新招标。</w:t>
      </w:r>
    </w:p>
    <w:p w14:paraId="560D36DB">
      <w:pPr>
        <w:keepNext w:val="0"/>
        <w:keepLines w:val="0"/>
        <w:pageBreakBefore w:val="0"/>
        <w:widowControl w:val="0"/>
        <w:kinsoku/>
        <w:wordWrap/>
        <w:overflowPunct/>
        <w:topLinePunct w:val="0"/>
        <w:autoSpaceDE/>
        <w:autoSpaceDN/>
        <w:bidi w:val="0"/>
        <w:adjustRightInd/>
        <w:snapToGrid/>
        <w:spacing w:line="360" w:lineRule="auto"/>
        <w:ind w:left="0" w:firstLine="560" w:firstLineChars="200"/>
        <w:textAlignment w:val="auto"/>
        <w:rPr>
          <w:rFonts w:hint="eastAsia" w:ascii="宋体" w:hAnsi="宋体" w:eastAsia="宋体" w:cs="宋体"/>
          <w:color w:val="auto"/>
          <w:sz w:val="28"/>
          <w:szCs w:val="28"/>
          <w:highlight w:val="none"/>
        </w:rPr>
        <w:sectPr>
          <w:footerReference r:id="rId5" w:type="default"/>
          <w:footerReference r:id="rId6" w:type="even"/>
          <w:pgSz w:w="11906" w:h="16838"/>
          <w:pgMar w:top="1440" w:right="1080" w:bottom="1440" w:left="1080" w:header="851" w:footer="992" w:gutter="0"/>
          <w:cols w:space="720" w:num="1"/>
          <w:docGrid w:type="lines" w:linePitch="312" w:charSpace="0"/>
        </w:sectPr>
      </w:pPr>
      <w:r>
        <w:rPr>
          <w:rFonts w:hint="eastAsia" w:ascii="宋体" w:hAnsi="宋体" w:eastAsia="宋体" w:cs="宋体"/>
          <w:sz w:val="28"/>
          <w:szCs w:val="28"/>
        </w:rPr>
        <w:t>★如果所有中标候选人均无法签订合同，采购人将依法重新招标或更改采购形式，对受影响的响应供应商不承担任何责任。</w:t>
      </w:r>
    </w:p>
    <w:p w14:paraId="0B41ED89">
      <w:pPr>
        <w:pStyle w:val="2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rPr>
      </w:pPr>
      <w:r>
        <w:rPr>
          <w:rFonts w:hint="eastAsia" w:ascii="宋体" w:hAnsi="宋体" w:eastAsia="宋体" w:cs="宋体"/>
          <w:color w:val="auto"/>
          <w:highlight w:val="white"/>
        </w:rPr>
        <w:t>第</w:t>
      </w:r>
      <w:r>
        <w:rPr>
          <w:rFonts w:hint="eastAsia" w:ascii="宋体" w:hAnsi="宋体" w:eastAsia="宋体" w:cs="宋体"/>
          <w:color w:val="auto"/>
          <w:highlight w:val="white"/>
          <w:lang w:eastAsia="zh-CN"/>
        </w:rPr>
        <w:t>六</w:t>
      </w:r>
      <w:r>
        <w:rPr>
          <w:rFonts w:hint="eastAsia" w:ascii="宋体" w:hAnsi="宋体" w:eastAsia="宋体" w:cs="宋体"/>
          <w:color w:val="auto"/>
          <w:highlight w:val="white"/>
        </w:rPr>
        <w:t>章 合同条款及合同格式</w:t>
      </w:r>
      <w:bookmarkEnd w:id="21"/>
    </w:p>
    <w:p w14:paraId="5EA22136">
      <w:pPr>
        <w:snapToGrid w:val="0"/>
        <w:spacing w:line="360" w:lineRule="auto"/>
        <w:ind w:left="0" w:leftChars="0" w:firstLine="0" w:firstLineChars="0"/>
        <w:jc w:val="center"/>
        <w:rPr>
          <w:rFonts w:hint="eastAsia" w:ascii="宋体" w:hAnsi="宋体" w:eastAsia="宋体" w:cs="宋体"/>
          <w:b/>
          <w:bCs/>
          <w:kern w:val="2"/>
          <w:sz w:val="24"/>
          <w:szCs w:val="32"/>
          <w:highlight w:val="none"/>
          <w:lang w:val="en-US" w:eastAsia="zh-CN" w:bidi="ar-SA"/>
        </w:rPr>
      </w:pPr>
      <w:bookmarkStart w:id="22" w:name="EB62257bdbded84919a61f123c0a2e8b30"/>
      <w:r>
        <w:rPr>
          <w:rFonts w:hint="eastAsia" w:ascii="宋体" w:hAnsi="宋体" w:eastAsia="宋体" w:cs="宋体"/>
          <w:b/>
          <w:color w:val="000000"/>
          <w:sz w:val="24"/>
          <w:szCs w:val="24"/>
          <w:highlight w:val="none"/>
        </w:rPr>
        <w:t>第</w:t>
      </w:r>
      <w:r>
        <w:rPr>
          <w:rFonts w:hint="eastAsia" w:ascii="宋体" w:hAnsi="宋体" w:eastAsia="宋体" w:cs="宋体"/>
          <w:b/>
          <w:color w:val="000000"/>
          <w:sz w:val="24"/>
          <w:szCs w:val="24"/>
          <w:highlight w:val="none"/>
          <w:lang w:val="en-US" w:eastAsia="zh-CN"/>
        </w:rPr>
        <w:t>一</w:t>
      </w:r>
      <w:r>
        <w:rPr>
          <w:rFonts w:hint="eastAsia" w:ascii="宋体" w:hAnsi="宋体" w:eastAsia="宋体" w:cs="宋体"/>
          <w:b/>
          <w:color w:val="000000"/>
          <w:sz w:val="24"/>
          <w:szCs w:val="24"/>
          <w:highlight w:val="none"/>
        </w:rPr>
        <w:t>部分</w:t>
      </w:r>
      <w:r>
        <w:rPr>
          <w:rFonts w:hint="eastAsia" w:ascii="宋体" w:hAnsi="宋体" w:eastAsia="宋体" w:cs="宋体"/>
          <w:b/>
          <w:color w:val="000000"/>
          <w:sz w:val="24"/>
          <w:szCs w:val="24"/>
          <w:highlight w:val="none"/>
          <w:lang w:val="en-US" w:eastAsia="zh-CN"/>
        </w:rPr>
        <w:t>合同</w:t>
      </w:r>
      <w:r>
        <w:rPr>
          <w:rFonts w:hint="eastAsia" w:ascii="宋体" w:hAnsi="宋体" w:eastAsia="宋体" w:cs="宋体"/>
          <w:b/>
          <w:bCs/>
          <w:kern w:val="2"/>
          <w:sz w:val="24"/>
          <w:szCs w:val="32"/>
          <w:highlight w:val="none"/>
          <w:lang w:val="en-US" w:eastAsia="zh-CN" w:bidi="ar-SA"/>
        </w:rPr>
        <w:t>主要条款</w:t>
      </w:r>
    </w:p>
    <w:p w14:paraId="5D9C1D7D">
      <w:pPr>
        <w:snapToGrid w:val="0"/>
        <w:spacing w:line="360" w:lineRule="auto"/>
        <w:ind w:left="0" w:leftChars="0" w:firstLine="0" w:firstLineChars="0"/>
        <w:jc w:val="center"/>
        <w:rPr>
          <w:rFonts w:hint="eastAsia" w:ascii="宋体" w:hAnsi="宋体" w:eastAsia="宋体" w:cs="宋体"/>
          <w:kern w:val="2"/>
          <w:sz w:val="21"/>
          <w:szCs w:val="24"/>
          <w:highlight w:val="none"/>
          <w:lang w:val="en-US" w:eastAsia="zh-CN" w:bidi="ar-SA"/>
        </w:rPr>
      </w:pPr>
      <w:r>
        <w:rPr>
          <w:rFonts w:hint="eastAsia" w:ascii="宋体" w:hAnsi="宋体" w:eastAsia="宋体" w:cs="宋体"/>
          <w:kern w:val="2"/>
          <w:sz w:val="21"/>
          <w:szCs w:val="24"/>
          <w:highlight w:val="none"/>
          <w:lang w:val="en-US" w:eastAsia="zh-CN" w:bidi="ar-SA"/>
        </w:rPr>
        <w:t>（本合同仅供参考，最终合同由采购人与中标人协商确定）</w:t>
      </w:r>
    </w:p>
    <w:p w14:paraId="69DC23E4">
      <w:pPr>
        <w:snapToGrid w:val="0"/>
        <w:spacing w:line="360" w:lineRule="auto"/>
        <w:ind w:left="0" w:leftChars="0" w:firstLine="0" w:firstLineChars="0"/>
        <w:jc w:val="left"/>
        <w:rPr>
          <w:rFonts w:hint="eastAsia" w:ascii="宋体" w:hAnsi="宋体" w:eastAsia="宋体" w:cs="宋体"/>
          <w:kern w:val="2"/>
          <w:sz w:val="21"/>
          <w:szCs w:val="24"/>
          <w:highlight w:val="none"/>
          <w:u w:val="single"/>
          <w:lang w:val="en-US" w:eastAsia="zh-CN" w:bidi="ar-SA"/>
        </w:rPr>
      </w:pPr>
      <w:bookmarkStart w:id="23" w:name="_Toc331685783"/>
    </w:p>
    <w:bookmarkEnd w:id="23"/>
    <w:p w14:paraId="07BDAB87">
      <w:pPr>
        <w:pStyle w:val="71"/>
        <w:ind w:firstLine="0"/>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第一部分合同书</w:t>
      </w:r>
    </w:p>
    <w:p w14:paraId="541B2482">
      <w:pPr>
        <w:pStyle w:val="71"/>
        <w:ind w:firstLine="0"/>
        <w:rPr>
          <w:rFonts w:hint="eastAsia" w:ascii="宋体" w:hAnsi="宋体" w:eastAsia="宋体" w:cs="宋体"/>
          <w:sz w:val="28"/>
          <w:szCs w:val="28"/>
          <w:highlight w:val="none"/>
        </w:rPr>
      </w:pPr>
    </w:p>
    <w:p w14:paraId="3A0C2C51">
      <w:pPr>
        <w:pStyle w:val="71"/>
        <w:ind w:firstLine="0"/>
        <w:rPr>
          <w:rFonts w:hint="eastAsia" w:ascii="宋体" w:hAnsi="宋体" w:eastAsia="宋体" w:cs="宋体"/>
          <w:sz w:val="28"/>
          <w:szCs w:val="28"/>
          <w:highlight w:val="none"/>
        </w:rPr>
      </w:pPr>
    </w:p>
    <w:p w14:paraId="2510C690">
      <w:pPr>
        <w:spacing w:before="120" w:line="22" w:lineRule="atLeast"/>
        <w:rPr>
          <w:rFonts w:hint="eastAsia" w:ascii="宋体" w:hAnsi="宋体" w:eastAsia="宋体" w:cs="宋体"/>
          <w:sz w:val="28"/>
          <w:szCs w:val="28"/>
          <w:highlight w:val="none"/>
        </w:rPr>
      </w:pPr>
    </w:p>
    <w:p w14:paraId="4D49F105">
      <w:pPr>
        <w:spacing w:before="120" w:line="22" w:lineRule="atLeast"/>
        <w:ind w:left="960"/>
        <w:rPr>
          <w:rFonts w:hint="eastAsia" w:ascii="宋体" w:hAnsi="宋体" w:eastAsia="宋体" w:cs="宋体"/>
          <w:sz w:val="24"/>
          <w:highlight w:val="none"/>
          <w:lang w:eastAsia="zh-CN"/>
        </w:rPr>
      </w:pPr>
      <w:r>
        <w:rPr>
          <w:rFonts w:hint="eastAsia" w:ascii="宋体" w:hAnsi="宋体" w:eastAsia="宋体" w:cs="宋体"/>
          <w:sz w:val="24"/>
          <w:highlight w:val="none"/>
        </w:rPr>
        <w:t>项目名称：</w:t>
      </w:r>
    </w:p>
    <w:p w14:paraId="23E33D62">
      <w:pPr>
        <w:spacing w:before="120" w:line="22" w:lineRule="atLeast"/>
        <w:ind w:left="960"/>
        <w:rPr>
          <w:rFonts w:hint="eastAsia" w:ascii="宋体" w:hAnsi="宋体" w:eastAsia="宋体" w:cs="宋体"/>
          <w:sz w:val="24"/>
          <w:highlight w:val="none"/>
          <w:u w:val="single"/>
          <w:lang w:eastAsia="zh-CN"/>
        </w:rPr>
      </w:pPr>
      <w:r>
        <w:rPr>
          <w:rFonts w:hint="eastAsia" w:ascii="宋体" w:hAnsi="宋体" w:eastAsia="宋体" w:cs="宋体"/>
          <w:sz w:val="24"/>
          <w:highlight w:val="none"/>
        </w:rPr>
        <w:t>甲方：</w:t>
      </w:r>
    </w:p>
    <w:p w14:paraId="44610BCD">
      <w:pPr>
        <w:spacing w:before="120" w:line="22" w:lineRule="atLeast"/>
        <w:ind w:left="960"/>
        <w:rPr>
          <w:rFonts w:hint="eastAsia" w:ascii="宋体" w:hAnsi="宋体" w:eastAsia="宋体" w:cs="宋体"/>
          <w:sz w:val="24"/>
          <w:highlight w:val="none"/>
          <w:u w:val="single"/>
          <w:lang w:eastAsia="zh-CN"/>
        </w:rPr>
      </w:pPr>
      <w:r>
        <w:rPr>
          <w:rFonts w:hint="eastAsia" w:ascii="宋体" w:hAnsi="宋体" w:eastAsia="宋体" w:cs="宋体"/>
          <w:sz w:val="24"/>
          <w:highlight w:val="none"/>
        </w:rPr>
        <w:t>乙方：</w:t>
      </w:r>
    </w:p>
    <w:p w14:paraId="292F2511">
      <w:pPr>
        <w:spacing w:before="120" w:line="22" w:lineRule="atLeast"/>
        <w:rPr>
          <w:rFonts w:hint="eastAsia" w:ascii="宋体" w:hAnsi="宋体" w:eastAsia="宋体" w:cs="宋体"/>
          <w:sz w:val="24"/>
          <w:highlight w:val="none"/>
          <w:u w:val="single"/>
          <w:lang w:eastAsia="zh-CN"/>
        </w:rPr>
      </w:pPr>
      <w:r>
        <w:rPr>
          <w:rFonts w:hint="eastAsia" w:ascii="宋体" w:hAnsi="宋体" w:eastAsia="宋体" w:cs="宋体"/>
          <w:sz w:val="24"/>
          <w:highlight w:val="none"/>
        </w:rPr>
        <w:t>签订地：</w:t>
      </w:r>
    </w:p>
    <w:p w14:paraId="703DB361">
      <w:pPr>
        <w:spacing w:before="120" w:line="22" w:lineRule="atLeast"/>
        <w:rPr>
          <w:rFonts w:hint="eastAsia" w:ascii="宋体" w:hAnsi="宋体" w:eastAsia="宋体" w:cs="宋体"/>
          <w:sz w:val="24"/>
          <w:highlight w:val="none"/>
        </w:rPr>
      </w:pPr>
      <w:r>
        <w:rPr>
          <w:rFonts w:hint="eastAsia" w:ascii="宋体" w:hAnsi="宋体" w:eastAsia="宋体" w:cs="宋体"/>
          <w:sz w:val="24"/>
          <w:highlight w:val="none"/>
        </w:rPr>
        <w:t>签订日期：年月日</w:t>
      </w:r>
    </w:p>
    <w:p w14:paraId="30F91953">
      <w:pPr>
        <w:rPr>
          <w:rFonts w:hint="eastAsia" w:ascii="宋体" w:hAnsi="宋体" w:eastAsia="宋体" w:cs="宋体"/>
          <w:sz w:val="24"/>
          <w:highlight w:val="none"/>
        </w:rPr>
      </w:pPr>
      <w:r>
        <w:rPr>
          <w:rFonts w:hint="eastAsia" w:ascii="宋体" w:hAnsi="宋体" w:eastAsia="宋体" w:cs="宋体"/>
          <w:sz w:val="24"/>
          <w:highlight w:val="none"/>
        </w:rPr>
        <w:br w:type="page"/>
      </w:r>
    </w:p>
    <w:p w14:paraId="09C14DA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lang w:val="zh-CN"/>
        </w:rPr>
        <w:t>年月日</w:t>
      </w:r>
      <w:r>
        <w:rPr>
          <w:rFonts w:hint="eastAsia" w:ascii="宋体" w:hAnsi="宋体" w:eastAsia="宋体" w:cs="宋体"/>
          <w:sz w:val="24"/>
          <w:highlight w:val="none"/>
        </w:rPr>
        <w:t>，</w:t>
      </w:r>
      <w:r>
        <w:rPr>
          <w:rFonts w:hint="eastAsia" w:ascii="宋体" w:hAnsi="宋体" w:cs="宋体"/>
          <w:sz w:val="24"/>
          <w:highlight w:val="none"/>
          <w:u w:val="single"/>
          <w:lang w:eastAsia="zh-CN"/>
        </w:rPr>
        <w:t>皮山县维吾尔医医院</w:t>
      </w:r>
      <w:r>
        <w:rPr>
          <w:rFonts w:hint="eastAsia" w:ascii="宋体" w:hAnsi="宋体" w:eastAsia="宋体" w:cs="宋体"/>
          <w:sz w:val="24"/>
          <w:highlight w:val="none"/>
        </w:rPr>
        <w:t>以</w:t>
      </w:r>
      <w:r>
        <w:rPr>
          <w:rFonts w:hint="eastAsia" w:ascii="宋体" w:hAnsi="宋体" w:eastAsia="宋体" w:cs="宋体"/>
          <w:sz w:val="24"/>
          <w:highlight w:val="none"/>
          <w:u w:val="single"/>
          <w:lang w:val="en-US" w:eastAsia="zh-CN"/>
        </w:rPr>
        <w:t>单一来源</w:t>
      </w:r>
      <w:r>
        <w:rPr>
          <w:rFonts w:hint="eastAsia" w:ascii="宋体" w:hAnsi="宋体" w:eastAsia="宋体" w:cs="宋体"/>
          <w:sz w:val="24"/>
          <w:highlight w:val="none"/>
          <w:u w:val="single"/>
        </w:rPr>
        <w:t>方式</w:t>
      </w:r>
      <w:r>
        <w:rPr>
          <w:rFonts w:hint="eastAsia" w:ascii="宋体" w:hAnsi="宋体" w:eastAsia="宋体" w:cs="宋体"/>
          <w:sz w:val="24"/>
          <w:highlight w:val="none"/>
        </w:rPr>
        <w:t>对</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rPr>
        <w:t>项目进行了采购。经</w:t>
      </w:r>
      <w:r>
        <w:rPr>
          <w:rFonts w:hint="eastAsia" w:ascii="宋体" w:hAnsi="宋体" w:eastAsia="宋体" w:cs="宋体"/>
          <w:sz w:val="24"/>
          <w:highlight w:val="none"/>
          <w:u w:val="single"/>
        </w:rPr>
        <w:t>（相关评定主体名称）</w:t>
      </w:r>
      <w:r>
        <w:rPr>
          <w:rFonts w:hint="eastAsia" w:ascii="宋体" w:hAnsi="宋体" w:eastAsia="宋体" w:cs="宋体"/>
          <w:sz w:val="24"/>
          <w:highlight w:val="none"/>
        </w:rPr>
        <w:t>评定，</w:t>
      </w:r>
      <w:r>
        <w:rPr>
          <w:rFonts w:hint="eastAsia" w:ascii="宋体" w:hAnsi="宋体" w:eastAsia="宋体" w:cs="宋体"/>
          <w:sz w:val="24"/>
          <w:highlight w:val="none"/>
          <w:u w:val="single"/>
        </w:rPr>
        <w:t>（中标供应商名称）</w:t>
      </w:r>
      <w:r>
        <w:rPr>
          <w:rFonts w:hint="eastAsia" w:ascii="宋体" w:hAnsi="宋体" w:eastAsia="宋体" w:cs="宋体"/>
          <w:sz w:val="24"/>
          <w:highlight w:val="none"/>
        </w:rPr>
        <w:t>为该项目中标供应商。现于中标通知书发出之日起三十日内，按照采购文件确定的事项签订本合同。</w:t>
      </w:r>
    </w:p>
    <w:p w14:paraId="64E1430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lang w:val="zh-CN"/>
        </w:rPr>
        <w:t>根据《中华人民共和国合同法》《中华人民共和国政府采购法》等相关法律法规之规定，按照平等、自愿、公平和诚实信用的原则，经</w:t>
      </w:r>
      <w:r>
        <w:rPr>
          <w:rFonts w:hint="eastAsia" w:ascii="宋体" w:hAnsi="宋体" w:eastAsia="宋体" w:cs="宋体"/>
          <w:sz w:val="24"/>
          <w:highlight w:val="none"/>
          <w:u w:val="single"/>
        </w:rPr>
        <w:t>（采购人名称）</w:t>
      </w:r>
      <w:r>
        <w:rPr>
          <w:rFonts w:hint="eastAsia" w:ascii="宋体" w:hAnsi="宋体" w:eastAsia="宋体" w:cs="宋体"/>
          <w:sz w:val="24"/>
          <w:highlight w:val="none"/>
          <w:u w:val="single"/>
          <w:lang w:eastAsia="zh-CN"/>
        </w:rPr>
        <w:t>（</w:t>
      </w:r>
      <w:r>
        <w:rPr>
          <w:rFonts w:hint="eastAsia" w:ascii="宋体" w:hAnsi="宋体" w:eastAsia="宋体" w:cs="宋体"/>
          <w:sz w:val="24"/>
          <w:highlight w:val="none"/>
          <w:lang w:val="zh-CN"/>
        </w:rPr>
        <w:t>以下简称：甲方）和</w:t>
      </w:r>
      <w:r>
        <w:rPr>
          <w:rFonts w:hint="eastAsia" w:ascii="宋体" w:hAnsi="宋体" w:eastAsia="宋体" w:cs="宋体"/>
          <w:sz w:val="24"/>
          <w:highlight w:val="none"/>
          <w:u w:val="single"/>
        </w:rPr>
        <w:t>（中标供应商名称）</w:t>
      </w:r>
      <w:r>
        <w:rPr>
          <w:rFonts w:hint="eastAsia" w:ascii="宋体" w:hAnsi="宋体" w:eastAsia="宋体" w:cs="宋体"/>
          <w:sz w:val="24"/>
          <w:highlight w:val="none"/>
          <w:u w:val="single"/>
          <w:lang w:eastAsia="zh-CN"/>
        </w:rPr>
        <w:t>（</w:t>
      </w:r>
      <w:r>
        <w:rPr>
          <w:rFonts w:hint="eastAsia" w:ascii="宋体" w:hAnsi="宋体" w:eastAsia="宋体" w:cs="宋体"/>
          <w:sz w:val="24"/>
          <w:highlight w:val="none"/>
          <w:lang w:val="zh-CN"/>
        </w:rPr>
        <w:t>以下简称：乙方）协商一致，约定以下合同</w:t>
      </w:r>
      <w:r>
        <w:rPr>
          <w:rFonts w:hint="eastAsia" w:ascii="宋体" w:hAnsi="宋体" w:eastAsia="宋体" w:cs="宋体"/>
          <w:sz w:val="24"/>
          <w:highlight w:val="none"/>
        </w:rPr>
        <w:t>条款，以兹共同遵守、全面履行。</w:t>
      </w:r>
    </w:p>
    <w:p w14:paraId="5EFB13C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0"/>
        <w:rPr>
          <w:rFonts w:hint="eastAsia" w:ascii="宋体" w:hAnsi="宋体" w:eastAsia="宋体" w:cs="宋体"/>
          <w:sz w:val="24"/>
          <w:highlight w:val="none"/>
        </w:rPr>
      </w:pPr>
      <w:bookmarkStart w:id="24" w:name="_Toc28855"/>
      <w:bookmarkStart w:id="25" w:name="_Toc15367"/>
      <w:bookmarkStart w:id="26" w:name="_Toc19273"/>
      <w:bookmarkStart w:id="27" w:name="_Toc22967"/>
      <w:bookmarkStart w:id="28" w:name="_Toc20421"/>
      <w:r>
        <w:rPr>
          <w:rFonts w:hint="eastAsia" w:ascii="宋体" w:hAnsi="宋体" w:eastAsia="宋体" w:cs="宋体"/>
          <w:b/>
          <w:bCs/>
          <w:sz w:val="24"/>
          <w:highlight w:val="none"/>
        </w:rPr>
        <w:t>1.1合同组成部分</w:t>
      </w:r>
      <w:bookmarkEnd w:id="24"/>
      <w:bookmarkEnd w:id="25"/>
      <w:bookmarkEnd w:id="26"/>
      <w:bookmarkEnd w:id="27"/>
      <w:bookmarkEnd w:id="28"/>
    </w:p>
    <w:p w14:paraId="5663F38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下列文件为本合同的组成部分，并构成一个整体，需综合解释、相互补充。如果下列文件内容出现不一致的情形，那么在保证按照采购文件确定的事项的前提下，组成本合同的多个文件的优先适用顺序如下：</w:t>
      </w:r>
    </w:p>
    <w:p w14:paraId="5310D2E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1.1.1本合同及其补充合同、变更协议；</w:t>
      </w:r>
    </w:p>
    <w:p w14:paraId="45AA5B0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1.1.2中标通知书；</w:t>
      </w:r>
    </w:p>
    <w:p w14:paraId="5ADB270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1.1.3投标文件（含澄清或者说明文件）；</w:t>
      </w:r>
    </w:p>
    <w:p w14:paraId="02A03DC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1.1.4招标文件（含澄清或者修改文件）；</w:t>
      </w:r>
    </w:p>
    <w:p w14:paraId="0F0C956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1.1.5其他相关采购文件。</w:t>
      </w:r>
    </w:p>
    <w:p w14:paraId="20CAB29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0"/>
        <w:rPr>
          <w:rFonts w:hint="eastAsia" w:ascii="宋体" w:hAnsi="宋体" w:eastAsia="宋体" w:cs="宋体"/>
          <w:b/>
          <w:bCs/>
          <w:sz w:val="24"/>
          <w:highlight w:val="none"/>
        </w:rPr>
      </w:pPr>
      <w:bookmarkStart w:id="29" w:name="_Toc6773"/>
      <w:bookmarkStart w:id="30" w:name="_Toc22185"/>
      <w:bookmarkStart w:id="31" w:name="_Toc18585"/>
      <w:bookmarkStart w:id="32" w:name="_Toc2918"/>
      <w:bookmarkStart w:id="33" w:name="_Toc6311"/>
      <w:r>
        <w:rPr>
          <w:rFonts w:hint="eastAsia" w:ascii="宋体" w:hAnsi="宋体" w:eastAsia="宋体" w:cs="宋体"/>
          <w:b/>
          <w:bCs/>
          <w:sz w:val="24"/>
          <w:highlight w:val="none"/>
        </w:rPr>
        <w:t>1.2标的</w:t>
      </w:r>
      <w:bookmarkEnd w:id="29"/>
      <w:bookmarkEnd w:id="30"/>
      <w:bookmarkEnd w:id="31"/>
      <w:bookmarkEnd w:id="32"/>
      <w:bookmarkEnd w:id="33"/>
    </w:p>
    <w:p w14:paraId="7981427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highlight w:val="none"/>
          <w:u w:val="single"/>
        </w:rPr>
      </w:pPr>
      <w:r>
        <w:rPr>
          <w:rFonts w:hint="eastAsia" w:ascii="宋体" w:hAnsi="宋体" w:eastAsia="宋体" w:cs="宋体"/>
          <w:sz w:val="24"/>
          <w:highlight w:val="none"/>
        </w:rPr>
        <w:t>1.2.1标的名称：</w:t>
      </w:r>
      <w:r>
        <w:rPr>
          <w:rFonts w:hint="eastAsia" w:ascii="宋体" w:hAnsi="宋体" w:eastAsia="宋体" w:cs="宋体"/>
          <w:sz w:val="24"/>
          <w:highlight w:val="none"/>
          <w:u w:val="single"/>
        </w:rPr>
        <w:t>（详见清单）</w:t>
      </w:r>
    </w:p>
    <w:p w14:paraId="3A88899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highlight w:val="none"/>
          <w:u w:val="single"/>
        </w:rPr>
      </w:pPr>
      <w:r>
        <w:rPr>
          <w:rFonts w:hint="eastAsia" w:ascii="宋体" w:hAnsi="宋体" w:eastAsia="宋体" w:cs="宋体"/>
          <w:sz w:val="24"/>
          <w:highlight w:val="none"/>
        </w:rPr>
        <w:t>1.2.2标的数量：</w:t>
      </w:r>
      <w:r>
        <w:rPr>
          <w:rFonts w:hint="eastAsia" w:ascii="宋体" w:hAnsi="宋体" w:eastAsia="宋体" w:cs="宋体"/>
          <w:sz w:val="24"/>
          <w:highlight w:val="none"/>
          <w:u w:val="single"/>
        </w:rPr>
        <w:t>按招标文件要求（详见清单）</w:t>
      </w:r>
    </w:p>
    <w:p w14:paraId="3BEB8F0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1.2.3标的质量：</w:t>
      </w:r>
      <w:r>
        <w:rPr>
          <w:rFonts w:hint="eastAsia" w:ascii="宋体" w:hAnsi="宋体" w:eastAsia="宋体" w:cs="宋体"/>
          <w:sz w:val="24"/>
          <w:highlight w:val="none"/>
          <w:u w:val="single"/>
        </w:rPr>
        <w:t>按招标文件要求和投标文件的实际填写。</w:t>
      </w:r>
    </w:p>
    <w:p w14:paraId="4F114DB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0"/>
        <w:rPr>
          <w:rFonts w:hint="eastAsia" w:ascii="宋体" w:hAnsi="宋体" w:eastAsia="宋体" w:cs="宋体"/>
          <w:b/>
          <w:bCs/>
          <w:sz w:val="24"/>
          <w:highlight w:val="none"/>
        </w:rPr>
      </w:pPr>
      <w:bookmarkStart w:id="34" w:name="_Toc13918"/>
      <w:bookmarkStart w:id="35" w:name="_Toc4929"/>
      <w:bookmarkStart w:id="36" w:name="_Toc21124"/>
      <w:bookmarkStart w:id="37" w:name="_Toc1386"/>
      <w:bookmarkStart w:id="38" w:name="_Toc5635"/>
      <w:r>
        <w:rPr>
          <w:rFonts w:hint="eastAsia" w:ascii="宋体" w:hAnsi="宋体" w:eastAsia="宋体" w:cs="宋体"/>
          <w:b/>
          <w:bCs/>
          <w:sz w:val="24"/>
          <w:highlight w:val="none"/>
        </w:rPr>
        <w:t>1.3价款</w:t>
      </w:r>
      <w:bookmarkEnd w:id="34"/>
      <w:bookmarkEnd w:id="35"/>
      <w:bookmarkEnd w:id="36"/>
      <w:bookmarkEnd w:id="37"/>
      <w:bookmarkEnd w:id="38"/>
    </w:p>
    <w:p w14:paraId="0B5DAF0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本合同总价为：￥元（大写：元人民币）。</w:t>
      </w:r>
    </w:p>
    <w:p w14:paraId="7E19DB7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highlight w:val="none"/>
          <w:u w:val="single"/>
        </w:rPr>
      </w:pPr>
      <w:r>
        <w:rPr>
          <w:rFonts w:hint="eastAsia" w:ascii="宋体" w:hAnsi="宋体" w:eastAsia="宋体" w:cs="宋体"/>
          <w:sz w:val="24"/>
          <w:highlight w:val="none"/>
        </w:rPr>
        <w:t>价格：</w:t>
      </w:r>
    </w:p>
    <w:tbl>
      <w:tblPr>
        <w:tblStyle w:val="29"/>
        <w:tblW w:w="71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1"/>
        <w:gridCol w:w="3402"/>
        <w:gridCol w:w="2552"/>
      </w:tblGrid>
      <w:tr w14:paraId="6D97A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vAlign w:val="center"/>
          </w:tcPr>
          <w:p w14:paraId="53F8D18A">
            <w:pPr>
              <w:pStyle w:val="73"/>
              <w:spacing w:line="560" w:lineRule="exact"/>
              <w:jc w:val="center"/>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rPr>
              <w:t>序号</w:t>
            </w:r>
          </w:p>
        </w:tc>
        <w:tc>
          <w:tcPr>
            <w:tcW w:w="3402" w:type="dxa"/>
            <w:vAlign w:val="center"/>
          </w:tcPr>
          <w:p w14:paraId="6E1BF551">
            <w:pPr>
              <w:pStyle w:val="73"/>
              <w:spacing w:line="560" w:lineRule="exact"/>
              <w:ind w:firstLine="200"/>
              <w:jc w:val="center"/>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rPr>
              <w:t>产品名称</w:t>
            </w:r>
          </w:p>
        </w:tc>
        <w:tc>
          <w:tcPr>
            <w:tcW w:w="2552" w:type="dxa"/>
            <w:vAlign w:val="center"/>
          </w:tcPr>
          <w:p w14:paraId="05429A0D">
            <w:pPr>
              <w:pStyle w:val="73"/>
              <w:spacing w:line="560" w:lineRule="exact"/>
              <w:jc w:val="center"/>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rPr>
              <w:t>产品价格</w:t>
            </w:r>
          </w:p>
        </w:tc>
      </w:tr>
      <w:tr w14:paraId="2BCDA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vAlign w:val="center"/>
          </w:tcPr>
          <w:p w14:paraId="440A8545">
            <w:pPr>
              <w:pStyle w:val="73"/>
              <w:spacing w:line="560" w:lineRule="exact"/>
              <w:ind w:firstLine="200"/>
              <w:jc w:val="center"/>
              <w:rPr>
                <w:rFonts w:hint="eastAsia" w:ascii="宋体" w:hAnsi="宋体" w:eastAsia="宋体" w:cs="宋体"/>
                <w:color w:val="000000"/>
                <w:kern w:val="2"/>
                <w:sz w:val="24"/>
                <w:szCs w:val="24"/>
                <w:highlight w:val="none"/>
              </w:rPr>
            </w:pPr>
          </w:p>
        </w:tc>
        <w:tc>
          <w:tcPr>
            <w:tcW w:w="3402" w:type="dxa"/>
            <w:vAlign w:val="center"/>
          </w:tcPr>
          <w:p w14:paraId="39F78C0E">
            <w:pPr>
              <w:pStyle w:val="73"/>
              <w:spacing w:line="560" w:lineRule="exact"/>
              <w:ind w:firstLine="200"/>
              <w:jc w:val="center"/>
              <w:rPr>
                <w:rFonts w:hint="eastAsia" w:ascii="宋体" w:hAnsi="宋体" w:eastAsia="宋体" w:cs="宋体"/>
                <w:color w:val="000000"/>
                <w:kern w:val="2"/>
                <w:sz w:val="24"/>
                <w:szCs w:val="24"/>
                <w:highlight w:val="none"/>
              </w:rPr>
            </w:pPr>
          </w:p>
        </w:tc>
        <w:tc>
          <w:tcPr>
            <w:tcW w:w="2552" w:type="dxa"/>
            <w:vAlign w:val="center"/>
          </w:tcPr>
          <w:p w14:paraId="1C5A6F61">
            <w:pPr>
              <w:pStyle w:val="73"/>
              <w:spacing w:line="560" w:lineRule="exact"/>
              <w:ind w:firstLine="200"/>
              <w:jc w:val="center"/>
              <w:rPr>
                <w:rFonts w:hint="eastAsia" w:ascii="宋体" w:hAnsi="宋体" w:eastAsia="宋体" w:cs="宋体"/>
                <w:color w:val="000000"/>
                <w:kern w:val="2"/>
                <w:sz w:val="24"/>
                <w:szCs w:val="24"/>
                <w:highlight w:val="none"/>
              </w:rPr>
            </w:pPr>
          </w:p>
        </w:tc>
      </w:tr>
      <w:tr w14:paraId="1DA98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vAlign w:val="center"/>
          </w:tcPr>
          <w:p w14:paraId="7E0AB0A2">
            <w:pPr>
              <w:pStyle w:val="73"/>
              <w:spacing w:line="560" w:lineRule="exact"/>
              <w:ind w:firstLine="200"/>
              <w:jc w:val="center"/>
              <w:rPr>
                <w:rFonts w:hint="eastAsia" w:ascii="宋体" w:hAnsi="宋体" w:eastAsia="宋体" w:cs="宋体"/>
                <w:color w:val="000000"/>
                <w:kern w:val="2"/>
                <w:sz w:val="24"/>
                <w:szCs w:val="24"/>
                <w:highlight w:val="none"/>
              </w:rPr>
            </w:pPr>
          </w:p>
        </w:tc>
        <w:tc>
          <w:tcPr>
            <w:tcW w:w="3402" w:type="dxa"/>
            <w:vAlign w:val="center"/>
          </w:tcPr>
          <w:p w14:paraId="6A8C5F18">
            <w:pPr>
              <w:pStyle w:val="73"/>
              <w:spacing w:line="560" w:lineRule="exact"/>
              <w:ind w:firstLine="200"/>
              <w:jc w:val="center"/>
              <w:rPr>
                <w:rFonts w:hint="eastAsia" w:ascii="宋体" w:hAnsi="宋体" w:eastAsia="宋体" w:cs="宋体"/>
                <w:color w:val="000000"/>
                <w:kern w:val="2"/>
                <w:sz w:val="24"/>
                <w:szCs w:val="24"/>
                <w:highlight w:val="none"/>
              </w:rPr>
            </w:pPr>
          </w:p>
        </w:tc>
        <w:tc>
          <w:tcPr>
            <w:tcW w:w="2552" w:type="dxa"/>
            <w:vAlign w:val="center"/>
          </w:tcPr>
          <w:p w14:paraId="3BADBA0A">
            <w:pPr>
              <w:pStyle w:val="73"/>
              <w:spacing w:line="560" w:lineRule="exact"/>
              <w:ind w:firstLine="200"/>
              <w:jc w:val="center"/>
              <w:rPr>
                <w:rFonts w:hint="eastAsia" w:ascii="宋体" w:hAnsi="宋体" w:eastAsia="宋体" w:cs="宋体"/>
                <w:color w:val="000000"/>
                <w:kern w:val="2"/>
                <w:sz w:val="24"/>
                <w:szCs w:val="24"/>
                <w:highlight w:val="none"/>
              </w:rPr>
            </w:pPr>
          </w:p>
        </w:tc>
      </w:tr>
      <w:tr w14:paraId="54D1C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vAlign w:val="center"/>
          </w:tcPr>
          <w:p w14:paraId="16C8F414">
            <w:pPr>
              <w:pStyle w:val="73"/>
              <w:spacing w:line="560" w:lineRule="exact"/>
              <w:ind w:firstLine="200"/>
              <w:jc w:val="center"/>
              <w:rPr>
                <w:rFonts w:hint="eastAsia" w:ascii="宋体" w:hAnsi="宋体" w:eastAsia="宋体" w:cs="宋体"/>
                <w:color w:val="000000"/>
                <w:kern w:val="2"/>
                <w:sz w:val="24"/>
                <w:szCs w:val="24"/>
                <w:highlight w:val="none"/>
              </w:rPr>
            </w:pPr>
          </w:p>
        </w:tc>
        <w:tc>
          <w:tcPr>
            <w:tcW w:w="3402" w:type="dxa"/>
            <w:vAlign w:val="center"/>
          </w:tcPr>
          <w:p w14:paraId="735AE659">
            <w:pPr>
              <w:pStyle w:val="73"/>
              <w:spacing w:line="560" w:lineRule="exact"/>
              <w:ind w:firstLine="200"/>
              <w:jc w:val="center"/>
              <w:rPr>
                <w:rFonts w:hint="eastAsia" w:ascii="宋体" w:hAnsi="宋体" w:eastAsia="宋体" w:cs="宋体"/>
                <w:color w:val="000000"/>
                <w:kern w:val="2"/>
                <w:sz w:val="24"/>
                <w:szCs w:val="24"/>
                <w:highlight w:val="none"/>
              </w:rPr>
            </w:pPr>
          </w:p>
        </w:tc>
        <w:tc>
          <w:tcPr>
            <w:tcW w:w="2552" w:type="dxa"/>
            <w:vAlign w:val="center"/>
          </w:tcPr>
          <w:p w14:paraId="5C6F97E1">
            <w:pPr>
              <w:pStyle w:val="73"/>
              <w:spacing w:line="560" w:lineRule="exact"/>
              <w:ind w:firstLine="200"/>
              <w:jc w:val="center"/>
              <w:rPr>
                <w:rFonts w:hint="eastAsia" w:ascii="宋体" w:hAnsi="宋体" w:eastAsia="宋体" w:cs="宋体"/>
                <w:color w:val="000000"/>
                <w:kern w:val="2"/>
                <w:sz w:val="24"/>
                <w:szCs w:val="24"/>
                <w:highlight w:val="none"/>
              </w:rPr>
            </w:pPr>
          </w:p>
        </w:tc>
      </w:tr>
      <w:tr w14:paraId="34664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vAlign w:val="center"/>
          </w:tcPr>
          <w:p w14:paraId="0574E425">
            <w:pPr>
              <w:pStyle w:val="73"/>
              <w:spacing w:line="560" w:lineRule="exact"/>
              <w:ind w:firstLine="200"/>
              <w:jc w:val="center"/>
              <w:rPr>
                <w:rFonts w:hint="eastAsia" w:ascii="宋体" w:hAnsi="宋体" w:eastAsia="宋体" w:cs="宋体"/>
                <w:color w:val="000000"/>
                <w:kern w:val="2"/>
                <w:sz w:val="24"/>
                <w:szCs w:val="24"/>
                <w:highlight w:val="none"/>
              </w:rPr>
            </w:pPr>
          </w:p>
        </w:tc>
        <w:tc>
          <w:tcPr>
            <w:tcW w:w="3402" w:type="dxa"/>
            <w:vAlign w:val="center"/>
          </w:tcPr>
          <w:p w14:paraId="2B91A7C1">
            <w:pPr>
              <w:pStyle w:val="73"/>
              <w:spacing w:line="560" w:lineRule="exact"/>
              <w:ind w:firstLine="200"/>
              <w:jc w:val="center"/>
              <w:rPr>
                <w:rFonts w:hint="eastAsia" w:ascii="宋体" w:hAnsi="宋体" w:eastAsia="宋体" w:cs="宋体"/>
                <w:color w:val="000000"/>
                <w:kern w:val="2"/>
                <w:sz w:val="24"/>
                <w:szCs w:val="24"/>
                <w:highlight w:val="none"/>
              </w:rPr>
            </w:pPr>
          </w:p>
        </w:tc>
        <w:tc>
          <w:tcPr>
            <w:tcW w:w="2552" w:type="dxa"/>
            <w:vAlign w:val="center"/>
          </w:tcPr>
          <w:p w14:paraId="0AD22AF4">
            <w:pPr>
              <w:pStyle w:val="73"/>
              <w:spacing w:line="560" w:lineRule="exact"/>
              <w:ind w:firstLine="200"/>
              <w:jc w:val="center"/>
              <w:rPr>
                <w:rFonts w:hint="eastAsia" w:ascii="宋体" w:hAnsi="宋体" w:eastAsia="宋体" w:cs="宋体"/>
                <w:color w:val="000000"/>
                <w:kern w:val="2"/>
                <w:sz w:val="24"/>
                <w:szCs w:val="24"/>
                <w:highlight w:val="none"/>
              </w:rPr>
            </w:pPr>
          </w:p>
        </w:tc>
      </w:tr>
      <w:tr w14:paraId="51051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603" w:type="dxa"/>
            <w:gridSpan w:val="2"/>
            <w:vAlign w:val="center"/>
          </w:tcPr>
          <w:p w14:paraId="61C6AC6E">
            <w:pPr>
              <w:pStyle w:val="73"/>
              <w:spacing w:line="560" w:lineRule="exact"/>
              <w:ind w:firstLine="200"/>
              <w:jc w:val="center"/>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rPr>
              <w:t>总价</w:t>
            </w:r>
          </w:p>
        </w:tc>
        <w:tc>
          <w:tcPr>
            <w:tcW w:w="2552" w:type="dxa"/>
            <w:vAlign w:val="center"/>
          </w:tcPr>
          <w:p w14:paraId="25154EBB">
            <w:pPr>
              <w:pStyle w:val="73"/>
              <w:spacing w:line="560" w:lineRule="exact"/>
              <w:ind w:firstLine="200"/>
              <w:jc w:val="center"/>
              <w:rPr>
                <w:rFonts w:hint="eastAsia" w:ascii="宋体" w:hAnsi="宋体" w:eastAsia="宋体" w:cs="宋体"/>
                <w:color w:val="000000"/>
                <w:kern w:val="2"/>
                <w:sz w:val="24"/>
                <w:szCs w:val="24"/>
                <w:highlight w:val="none"/>
              </w:rPr>
            </w:pPr>
          </w:p>
        </w:tc>
      </w:tr>
    </w:tbl>
    <w:p w14:paraId="5CB90D8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0"/>
        <w:rPr>
          <w:rFonts w:hint="eastAsia" w:ascii="宋体" w:hAnsi="宋体" w:eastAsia="宋体" w:cs="宋体"/>
          <w:b/>
          <w:bCs/>
          <w:sz w:val="24"/>
          <w:highlight w:val="none"/>
        </w:rPr>
      </w:pPr>
      <w:bookmarkStart w:id="39" w:name="_Toc30506"/>
      <w:bookmarkStart w:id="40" w:name="_Toc26916"/>
      <w:bookmarkStart w:id="41" w:name="_Toc30158"/>
      <w:bookmarkStart w:id="42" w:name="_Toc14993"/>
      <w:bookmarkStart w:id="43" w:name="_Toc3654"/>
      <w:r>
        <w:rPr>
          <w:rFonts w:hint="eastAsia" w:ascii="宋体" w:hAnsi="宋体" w:eastAsia="宋体" w:cs="宋体"/>
          <w:b/>
          <w:bCs/>
          <w:sz w:val="24"/>
          <w:highlight w:val="none"/>
        </w:rPr>
        <w:t>1.4付款方式和发票开具方式</w:t>
      </w:r>
      <w:bookmarkEnd w:id="39"/>
      <w:bookmarkEnd w:id="40"/>
      <w:bookmarkEnd w:id="41"/>
      <w:bookmarkEnd w:id="42"/>
      <w:bookmarkEnd w:id="43"/>
    </w:p>
    <w:p w14:paraId="622AE786">
      <w:pPr>
        <w:pStyle w:val="13"/>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1.4.1付款方式：详见招标文件要求。</w:t>
      </w:r>
    </w:p>
    <w:p w14:paraId="1054395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1.4.2发票开具方式：乙方提供发票</w:t>
      </w:r>
    </w:p>
    <w:p w14:paraId="2C9A2A33">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0"/>
        <w:rPr>
          <w:rFonts w:hint="eastAsia" w:ascii="宋体" w:hAnsi="宋体" w:eastAsia="宋体" w:cs="宋体"/>
          <w:b/>
          <w:bCs/>
          <w:sz w:val="24"/>
          <w:highlight w:val="none"/>
        </w:rPr>
      </w:pPr>
      <w:bookmarkStart w:id="44" w:name="_Toc3625"/>
      <w:bookmarkStart w:id="45" w:name="_Toc4760"/>
      <w:bookmarkStart w:id="46" w:name="_Toc31421"/>
      <w:bookmarkStart w:id="47" w:name="_Toc8772"/>
      <w:bookmarkStart w:id="48" w:name="_Toc11108"/>
      <w:r>
        <w:rPr>
          <w:rFonts w:hint="eastAsia" w:ascii="宋体" w:hAnsi="宋体" w:eastAsia="宋体" w:cs="宋体"/>
          <w:b/>
          <w:bCs/>
          <w:sz w:val="24"/>
          <w:highlight w:val="none"/>
        </w:rPr>
        <w:t>1.5履行期限、地点和方式</w:t>
      </w:r>
      <w:bookmarkEnd w:id="44"/>
      <w:bookmarkEnd w:id="45"/>
      <w:bookmarkEnd w:id="46"/>
      <w:bookmarkEnd w:id="47"/>
      <w:bookmarkEnd w:id="48"/>
    </w:p>
    <w:p w14:paraId="72C54E6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highlight w:val="none"/>
          <w:u w:val="single"/>
          <w:lang w:eastAsia="zh-CN"/>
        </w:rPr>
      </w:pPr>
      <w:r>
        <w:rPr>
          <w:rFonts w:hint="eastAsia" w:ascii="宋体" w:hAnsi="宋体" w:eastAsia="宋体" w:cs="宋体"/>
          <w:sz w:val="24"/>
          <w:highlight w:val="none"/>
        </w:rPr>
        <w:t>1.5.1履行期限：</w:t>
      </w:r>
      <w:r>
        <w:rPr>
          <w:rFonts w:hint="eastAsia" w:ascii="宋体" w:hAnsi="宋体" w:eastAsia="宋体" w:cs="宋体"/>
          <w:sz w:val="24"/>
          <w:highlight w:val="none"/>
          <w:u w:val="single"/>
        </w:rPr>
        <w:t>按投标文件要求</w:t>
      </w:r>
    </w:p>
    <w:p w14:paraId="2045949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sz w:val="24"/>
          <w:highlight w:val="none"/>
        </w:rPr>
      </w:pPr>
      <w:r>
        <w:rPr>
          <w:rFonts w:hint="eastAsia" w:ascii="宋体" w:hAnsi="宋体" w:eastAsia="宋体" w:cs="宋体"/>
          <w:sz w:val="24"/>
          <w:highlight w:val="none"/>
        </w:rPr>
        <w:t>1.5.2</w:t>
      </w:r>
      <w:r>
        <w:rPr>
          <w:rFonts w:hint="eastAsia" w:ascii="宋体" w:hAnsi="宋体" w:eastAsia="宋体" w:cs="宋体"/>
          <w:b/>
          <w:bCs/>
          <w:sz w:val="24"/>
          <w:highlight w:val="none"/>
        </w:rPr>
        <w:t>履行地点：采购人指定地点</w:t>
      </w:r>
    </w:p>
    <w:p w14:paraId="66BDA86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1.5.3履行方式：现场验收。</w:t>
      </w:r>
    </w:p>
    <w:p w14:paraId="3743D32F">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0"/>
        <w:rPr>
          <w:rFonts w:hint="eastAsia" w:ascii="宋体" w:hAnsi="宋体" w:eastAsia="宋体" w:cs="宋体"/>
          <w:sz w:val="24"/>
          <w:highlight w:val="none"/>
          <w:u w:val="single"/>
        </w:rPr>
      </w:pPr>
      <w:bookmarkStart w:id="49" w:name="_Toc3079"/>
      <w:bookmarkStart w:id="50" w:name="_Toc5698"/>
      <w:bookmarkStart w:id="51" w:name="_Toc2375"/>
      <w:bookmarkStart w:id="52" w:name="_Toc8586"/>
      <w:bookmarkStart w:id="53" w:name="_Toc24662"/>
      <w:r>
        <w:rPr>
          <w:rFonts w:hint="eastAsia" w:ascii="宋体" w:hAnsi="宋体" w:eastAsia="宋体" w:cs="宋体"/>
          <w:b/>
          <w:bCs/>
          <w:sz w:val="24"/>
          <w:highlight w:val="none"/>
        </w:rPr>
        <w:t>1.6违约责任</w:t>
      </w:r>
      <w:bookmarkEnd w:id="49"/>
      <w:bookmarkEnd w:id="50"/>
      <w:bookmarkEnd w:id="51"/>
      <w:bookmarkEnd w:id="52"/>
      <w:bookmarkEnd w:id="53"/>
    </w:p>
    <w:p w14:paraId="5E0E01B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1.6.1除不可抗力外，如果乙方没有按照本合同约定的期限、地点和方式履行，那么甲方可要求乙方支付违约金，违约金按每迟延履行一日的应提供而未提供服务价格的%计算，最高限额为本合同总价的%；迟延履行的违约金计算数额达到前述最高限额之日起，甲方有权在要求乙方支付违约金的同时，书面通知乙方解除本合同；</w:t>
      </w:r>
    </w:p>
    <w:p w14:paraId="09D2690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1.6.2除不可抗力外，如果甲方没有按照本合同约定的付款方式付款，那么乙方可要求甲方支付违约金，违约金按每迟延付款一日的应付而未付款的%计算，最高限额为本合同总价的%；迟延付款的违约金计算数额达到前述最高限额之日起，乙方有权在要求甲方支付违约金的同时，书面通知甲方解除本合同；</w:t>
      </w:r>
    </w:p>
    <w:p w14:paraId="5F3293C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来影响对方当事人在合同签订、履行过程中的行为）或者欺诈行为（即：以谎报事实或隐瞒真相的方法来影响对方当事人在合同签订、履行过程中的行为）的，对方当事人可以书面通知违约方解除本合同；</w:t>
      </w:r>
    </w:p>
    <w:p w14:paraId="58EFB95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3902427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5B89487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1.6.6如果出现政府采购监督管理部门在处理投诉事项期间，书面通知甲方暂停采购活动的情形，或者询问或质疑事项可能影响中标结果的，导致甲方中止履行合同的情形，均不视为甲方违约。</w:t>
      </w:r>
    </w:p>
    <w:p w14:paraId="77F9DE5C">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0"/>
        <w:rPr>
          <w:rFonts w:hint="eastAsia" w:ascii="宋体" w:hAnsi="宋体" w:eastAsia="宋体" w:cs="宋体"/>
          <w:b/>
          <w:bCs/>
          <w:sz w:val="24"/>
          <w:highlight w:val="none"/>
        </w:rPr>
      </w:pPr>
      <w:bookmarkStart w:id="54" w:name="_Toc30329"/>
      <w:bookmarkStart w:id="55" w:name="_Toc32454"/>
      <w:bookmarkStart w:id="56" w:name="_Toc26807"/>
      <w:bookmarkStart w:id="57" w:name="_Toc18683"/>
      <w:bookmarkStart w:id="58" w:name="_Toc9497"/>
      <w:r>
        <w:rPr>
          <w:rFonts w:hint="eastAsia" w:ascii="宋体" w:hAnsi="宋体" w:eastAsia="宋体" w:cs="宋体"/>
          <w:b/>
          <w:bCs/>
          <w:sz w:val="24"/>
          <w:highlight w:val="none"/>
        </w:rPr>
        <w:t>1.7合同争议的解决</w:t>
      </w:r>
      <w:bookmarkEnd w:id="54"/>
      <w:bookmarkEnd w:id="55"/>
      <w:bookmarkEnd w:id="56"/>
      <w:bookmarkEnd w:id="57"/>
      <w:bookmarkEnd w:id="58"/>
    </w:p>
    <w:p w14:paraId="6F37293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本合同履行过程中发生的任何争议，双方当事人均可通过和解或者调解解决；不愿和解、调解或者和解、调解不成的，可以选择下列第</w:t>
      </w:r>
      <w:r>
        <w:rPr>
          <w:rFonts w:hint="eastAsia" w:ascii="宋体" w:hAnsi="宋体" w:eastAsia="宋体" w:cs="宋体"/>
          <w:sz w:val="24"/>
          <w:highlight w:val="none"/>
          <w:u w:val="single"/>
        </w:rPr>
        <w:t>2</w:t>
      </w:r>
      <w:r>
        <w:rPr>
          <w:rFonts w:hint="eastAsia" w:ascii="宋体" w:hAnsi="宋体" w:eastAsia="宋体" w:cs="宋体"/>
          <w:sz w:val="24"/>
          <w:highlight w:val="none"/>
        </w:rPr>
        <w:t>种方式解决：</w:t>
      </w:r>
    </w:p>
    <w:p w14:paraId="2300412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1.7.1将争议提交仲裁委员会依申请仲裁时其现行有效的仲裁规则裁决；</w:t>
      </w:r>
    </w:p>
    <w:p w14:paraId="16825C1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1.7.2向</w:t>
      </w:r>
      <w:r>
        <w:rPr>
          <w:rFonts w:hint="eastAsia" w:ascii="宋体" w:hAnsi="宋体" w:cs="宋体"/>
          <w:sz w:val="24"/>
          <w:highlight w:val="none"/>
          <w:u w:val="single"/>
          <w:lang w:val="en-US" w:eastAsia="zh-CN"/>
        </w:rPr>
        <w:t>皮山</w:t>
      </w:r>
      <w:r>
        <w:rPr>
          <w:rFonts w:hint="eastAsia" w:ascii="宋体" w:hAnsi="宋体" w:eastAsia="宋体" w:cs="宋体"/>
          <w:sz w:val="24"/>
          <w:highlight w:val="none"/>
          <w:u w:val="single"/>
          <w:lang w:val="en-US" w:eastAsia="zh-CN"/>
        </w:rPr>
        <w:t>县</w:t>
      </w:r>
      <w:r>
        <w:rPr>
          <w:rFonts w:hint="eastAsia" w:ascii="宋体" w:hAnsi="宋体" w:eastAsia="宋体" w:cs="宋体"/>
          <w:sz w:val="24"/>
          <w:highlight w:val="none"/>
        </w:rPr>
        <w:t>人民法院起诉。</w:t>
      </w:r>
    </w:p>
    <w:p w14:paraId="003776DC">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0"/>
        <w:rPr>
          <w:rFonts w:hint="eastAsia" w:ascii="宋体" w:hAnsi="宋体" w:eastAsia="宋体" w:cs="宋体"/>
          <w:b/>
          <w:bCs/>
          <w:sz w:val="24"/>
          <w:highlight w:val="none"/>
        </w:rPr>
      </w:pPr>
      <w:bookmarkStart w:id="59" w:name="_Toc16417"/>
      <w:bookmarkStart w:id="60" w:name="_Toc23784"/>
      <w:bookmarkStart w:id="61" w:name="_Toc26227"/>
      <w:bookmarkStart w:id="62" w:name="_Toc12273"/>
      <w:bookmarkStart w:id="63" w:name="_Toc15827"/>
      <w:r>
        <w:rPr>
          <w:rFonts w:hint="eastAsia" w:ascii="宋体" w:hAnsi="宋体" w:eastAsia="宋体" w:cs="宋体"/>
          <w:b/>
          <w:bCs/>
          <w:sz w:val="24"/>
          <w:highlight w:val="none"/>
        </w:rPr>
        <w:t>1.8合同生效</w:t>
      </w:r>
      <w:bookmarkEnd w:id="59"/>
      <w:bookmarkEnd w:id="60"/>
      <w:bookmarkEnd w:id="61"/>
      <w:bookmarkEnd w:id="62"/>
      <w:bookmarkEnd w:id="63"/>
    </w:p>
    <w:p w14:paraId="2FC2AFF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sz w:val="24"/>
          <w:highlight w:val="none"/>
        </w:rPr>
      </w:pPr>
      <w:r>
        <w:rPr>
          <w:rFonts w:hint="eastAsia" w:ascii="宋体" w:hAnsi="宋体" w:eastAsia="宋体" w:cs="宋体"/>
          <w:sz w:val="24"/>
          <w:highlight w:val="none"/>
        </w:rPr>
        <w:t>本合同自双方当事人盖章或者签字时生效。</w:t>
      </w:r>
    </w:p>
    <w:p w14:paraId="7205C4DC">
      <w:pPr>
        <w:autoSpaceDE w:val="0"/>
        <w:autoSpaceDN w:val="0"/>
        <w:adjustRightInd w:val="0"/>
        <w:spacing w:line="560" w:lineRule="exact"/>
        <w:rPr>
          <w:rFonts w:hint="eastAsia" w:ascii="宋体" w:hAnsi="宋体" w:eastAsia="宋体" w:cs="宋体"/>
          <w:sz w:val="24"/>
          <w:highlight w:val="none"/>
          <w:lang w:val="zh-CN"/>
        </w:rPr>
      </w:pPr>
      <w:r>
        <w:rPr>
          <w:rFonts w:hint="eastAsia" w:ascii="宋体" w:hAnsi="宋体" w:eastAsia="宋体" w:cs="宋体"/>
          <w:b/>
          <w:bCs/>
          <w:sz w:val="24"/>
          <w:highlight w:val="none"/>
          <w:lang w:val="zh-CN"/>
        </w:rPr>
        <w:t>甲方</w:t>
      </w:r>
      <w:r>
        <w:rPr>
          <w:rFonts w:hint="eastAsia" w:ascii="宋体" w:hAnsi="宋体" w:eastAsia="宋体" w:cs="宋体"/>
          <w:sz w:val="24"/>
          <w:highlight w:val="none"/>
          <w:lang w:val="zh-CN"/>
        </w:rPr>
        <w:t>：</w:t>
      </w:r>
      <w:r>
        <w:rPr>
          <w:rFonts w:hint="eastAsia" w:ascii="宋体" w:hAnsi="宋体" w:cs="宋体"/>
          <w:sz w:val="24"/>
          <w:highlight w:val="none"/>
          <w:lang w:val="en-US" w:eastAsia="zh-CN"/>
        </w:rPr>
        <w:t xml:space="preserve">                                            </w:t>
      </w:r>
      <w:r>
        <w:rPr>
          <w:rFonts w:hint="eastAsia" w:ascii="宋体" w:hAnsi="宋体" w:eastAsia="宋体" w:cs="宋体"/>
          <w:b/>
          <w:bCs/>
          <w:sz w:val="24"/>
          <w:highlight w:val="none"/>
          <w:lang w:val="zh-CN"/>
        </w:rPr>
        <w:t>乙方</w:t>
      </w:r>
      <w:r>
        <w:rPr>
          <w:rFonts w:hint="eastAsia" w:ascii="宋体" w:hAnsi="宋体" w:eastAsia="宋体" w:cs="宋体"/>
          <w:sz w:val="24"/>
          <w:highlight w:val="none"/>
          <w:lang w:val="zh-CN"/>
        </w:rPr>
        <w:t>：</w:t>
      </w:r>
    </w:p>
    <w:p w14:paraId="6B5ADDE3">
      <w:pPr>
        <w:autoSpaceDE w:val="0"/>
        <w:autoSpaceDN w:val="0"/>
        <w:adjustRightInd w:val="0"/>
        <w:spacing w:line="560" w:lineRule="exact"/>
        <w:ind w:left="5040" w:hanging="5040" w:hangingChars="2100"/>
        <w:rPr>
          <w:rFonts w:hint="eastAsia" w:ascii="宋体" w:hAnsi="宋体" w:eastAsia="宋体" w:cs="宋体"/>
          <w:sz w:val="24"/>
          <w:highlight w:val="none"/>
          <w:lang w:val="zh-CN"/>
        </w:rPr>
      </w:pPr>
      <w:r>
        <w:rPr>
          <w:rFonts w:hint="eastAsia" w:ascii="宋体" w:hAnsi="宋体" w:eastAsia="宋体" w:cs="宋体"/>
          <w:sz w:val="24"/>
          <w:highlight w:val="none"/>
          <w:lang w:val="zh-CN"/>
        </w:rPr>
        <w:t>统一社会信用代码：</w:t>
      </w:r>
      <w:r>
        <w:rPr>
          <w:rFonts w:hint="eastAsia" w:ascii="宋体" w:hAnsi="宋体" w:cs="宋体"/>
          <w:sz w:val="24"/>
          <w:highlight w:val="none"/>
          <w:lang w:val="en-US" w:eastAsia="zh-CN"/>
        </w:rPr>
        <w:t xml:space="preserve">                                </w:t>
      </w:r>
      <w:r>
        <w:rPr>
          <w:rFonts w:hint="eastAsia" w:ascii="宋体" w:hAnsi="宋体" w:eastAsia="宋体" w:cs="宋体"/>
          <w:sz w:val="24"/>
          <w:highlight w:val="none"/>
          <w:lang w:val="zh-CN"/>
        </w:rPr>
        <w:t>统一社会信用代码或身份证号码：</w:t>
      </w:r>
    </w:p>
    <w:p w14:paraId="4EE4B1CC">
      <w:pPr>
        <w:autoSpaceDE w:val="0"/>
        <w:autoSpaceDN w:val="0"/>
        <w:adjustRightInd w:val="0"/>
        <w:spacing w:line="560" w:lineRule="exact"/>
        <w:rPr>
          <w:rFonts w:hint="eastAsia" w:ascii="宋体" w:hAnsi="宋体" w:eastAsia="宋体" w:cs="宋体"/>
          <w:sz w:val="24"/>
          <w:highlight w:val="none"/>
          <w:lang w:val="zh-CN"/>
        </w:rPr>
      </w:pPr>
      <w:r>
        <w:rPr>
          <w:rFonts w:hint="eastAsia" w:ascii="宋体" w:hAnsi="宋体" w:eastAsia="宋体" w:cs="宋体"/>
          <w:sz w:val="24"/>
          <w:highlight w:val="none"/>
          <w:lang w:val="zh-CN"/>
        </w:rPr>
        <w:t>住所：</w:t>
      </w:r>
      <w:r>
        <w:rPr>
          <w:rFonts w:hint="eastAsia" w:ascii="宋体" w:hAnsi="宋体" w:cs="宋体"/>
          <w:sz w:val="24"/>
          <w:highlight w:val="none"/>
          <w:lang w:val="en-US" w:eastAsia="zh-CN"/>
        </w:rPr>
        <w:t xml:space="preserve">                                            </w:t>
      </w:r>
      <w:r>
        <w:rPr>
          <w:rFonts w:hint="eastAsia" w:ascii="宋体" w:hAnsi="宋体" w:eastAsia="宋体" w:cs="宋体"/>
          <w:sz w:val="24"/>
          <w:highlight w:val="none"/>
          <w:lang w:val="zh-CN"/>
        </w:rPr>
        <w:t>住所：</w:t>
      </w:r>
    </w:p>
    <w:p w14:paraId="48F36CC7">
      <w:pPr>
        <w:autoSpaceDE w:val="0"/>
        <w:autoSpaceDN w:val="0"/>
        <w:adjustRightInd w:val="0"/>
        <w:spacing w:line="560" w:lineRule="exact"/>
        <w:rPr>
          <w:rFonts w:hint="eastAsia" w:ascii="宋体" w:hAnsi="宋体" w:eastAsia="宋体" w:cs="宋体"/>
          <w:sz w:val="24"/>
          <w:highlight w:val="none"/>
          <w:lang w:val="zh-CN"/>
        </w:rPr>
      </w:pPr>
      <w:r>
        <w:rPr>
          <w:rFonts w:hint="eastAsia" w:ascii="宋体" w:hAnsi="宋体" w:eastAsia="宋体" w:cs="宋体"/>
          <w:sz w:val="24"/>
          <w:highlight w:val="none"/>
          <w:lang w:val="zh-CN"/>
        </w:rPr>
        <w:t>法定代表人或法定代表人或授权代表（签字）：</w:t>
      </w:r>
      <w:r>
        <w:rPr>
          <w:rFonts w:hint="eastAsia" w:ascii="宋体" w:hAnsi="宋体" w:cs="宋体"/>
          <w:sz w:val="24"/>
          <w:highlight w:val="none"/>
          <w:lang w:val="en-US" w:eastAsia="zh-CN"/>
        </w:rPr>
        <w:t xml:space="preserve">        </w:t>
      </w:r>
      <w:r>
        <w:rPr>
          <w:rFonts w:hint="eastAsia" w:ascii="宋体" w:hAnsi="宋体" w:eastAsia="宋体" w:cs="宋体"/>
          <w:sz w:val="24"/>
          <w:highlight w:val="none"/>
          <w:lang w:val="zh-CN"/>
        </w:rPr>
        <w:t>授权代表（签字）：</w:t>
      </w:r>
    </w:p>
    <w:p w14:paraId="6B90083E">
      <w:pPr>
        <w:autoSpaceDE w:val="0"/>
        <w:autoSpaceDN w:val="0"/>
        <w:adjustRightInd w:val="0"/>
        <w:spacing w:line="560" w:lineRule="exact"/>
        <w:rPr>
          <w:rFonts w:hint="eastAsia" w:ascii="宋体" w:hAnsi="宋体" w:eastAsia="宋体" w:cs="宋体"/>
          <w:sz w:val="24"/>
          <w:highlight w:val="none"/>
          <w:lang w:val="zh-CN"/>
        </w:rPr>
      </w:pPr>
      <w:r>
        <w:rPr>
          <w:rFonts w:hint="eastAsia" w:ascii="宋体" w:hAnsi="宋体" w:eastAsia="宋体" w:cs="宋体"/>
          <w:sz w:val="24"/>
          <w:highlight w:val="none"/>
          <w:lang w:val="zh-CN"/>
        </w:rPr>
        <w:t>联系人：</w:t>
      </w:r>
      <w:r>
        <w:rPr>
          <w:rFonts w:hint="eastAsia" w:ascii="宋体" w:hAnsi="宋体" w:cs="宋体"/>
          <w:sz w:val="24"/>
          <w:highlight w:val="none"/>
          <w:lang w:val="en-US" w:eastAsia="zh-CN"/>
        </w:rPr>
        <w:t xml:space="preserve">                                          </w:t>
      </w:r>
      <w:r>
        <w:rPr>
          <w:rFonts w:hint="eastAsia" w:ascii="宋体" w:hAnsi="宋体" w:eastAsia="宋体" w:cs="宋体"/>
          <w:sz w:val="24"/>
          <w:highlight w:val="none"/>
          <w:lang w:val="zh-CN"/>
        </w:rPr>
        <w:t>联系人：</w:t>
      </w:r>
    </w:p>
    <w:p w14:paraId="2C5D4BA6">
      <w:pPr>
        <w:autoSpaceDE w:val="0"/>
        <w:autoSpaceDN w:val="0"/>
        <w:adjustRightInd w:val="0"/>
        <w:spacing w:line="560" w:lineRule="exact"/>
        <w:rPr>
          <w:rFonts w:hint="eastAsia" w:ascii="宋体" w:hAnsi="宋体" w:eastAsia="宋体" w:cs="宋体"/>
          <w:sz w:val="24"/>
          <w:highlight w:val="none"/>
          <w:lang w:val="zh-CN"/>
        </w:rPr>
      </w:pPr>
      <w:r>
        <w:rPr>
          <w:rFonts w:hint="eastAsia" w:ascii="宋体" w:hAnsi="宋体" w:eastAsia="宋体" w:cs="宋体"/>
          <w:sz w:val="24"/>
          <w:highlight w:val="none"/>
          <w:lang w:val="zh-CN"/>
        </w:rPr>
        <w:t>约定送达地址：</w:t>
      </w:r>
      <w:r>
        <w:rPr>
          <w:rFonts w:hint="eastAsia" w:ascii="宋体" w:hAnsi="宋体" w:cs="宋体"/>
          <w:sz w:val="24"/>
          <w:highlight w:val="none"/>
          <w:lang w:val="en-US" w:eastAsia="zh-CN"/>
        </w:rPr>
        <w:t xml:space="preserve">                                    </w:t>
      </w:r>
      <w:r>
        <w:rPr>
          <w:rFonts w:hint="eastAsia" w:ascii="宋体" w:hAnsi="宋体" w:eastAsia="宋体" w:cs="宋体"/>
          <w:sz w:val="24"/>
          <w:highlight w:val="none"/>
          <w:lang w:val="zh-CN"/>
        </w:rPr>
        <w:t>约定送达地址：</w:t>
      </w:r>
    </w:p>
    <w:p w14:paraId="744E2340">
      <w:pPr>
        <w:autoSpaceDE w:val="0"/>
        <w:autoSpaceDN w:val="0"/>
        <w:adjustRightInd w:val="0"/>
        <w:spacing w:line="560" w:lineRule="exact"/>
        <w:rPr>
          <w:rFonts w:hint="eastAsia" w:ascii="宋体" w:hAnsi="宋体" w:eastAsia="宋体" w:cs="宋体"/>
          <w:sz w:val="24"/>
          <w:highlight w:val="none"/>
          <w:lang w:val="zh-CN"/>
        </w:rPr>
      </w:pPr>
      <w:r>
        <w:rPr>
          <w:rFonts w:hint="eastAsia" w:ascii="宋体" w:hAnsi="宋体" w:eastAsia="宋体" w:cs="宋体"/>
          <w:sz w:val="24"/>
          <w:highlight w:val="none"/>
          <w:lang w:val="zh-CN"/>
        </w:rPr>
        <w:t>邮政编码：</w:t>
      </w:r>
      <w:r>
        <w:rPr>
          <w:rFonts w:hint="eastAsia" w:ascii="宋体" w:hAnsi="宋体" w:cs="宋体"/>
          <w:sz w:val="24"/>
          <w:highlight w:val="none"/>
          <w:lang w:val="en-US" w:eastAsia="zh-CN"/>
        </w:rPr>
        <w:t xml:space="preserve">                                        </w:t>
      </w:r>
      <w:r>
        <w:rPr>
          <w:rFonts w:hint="eastAsia" w:ascii="宋体" w:hAnsi="宋体" w:eastAsia="宋体" w:cs="宋体"/>
          <w:sz w:val="24"/>
          <w:highlight w:val="none"/>
          <w:lang w:val="zh-CN"/>
        </w:rPr>
        <w:t>邮政编码：</w:t>
      </w:r>
    </w:p>
    <w:p w14:paraId="5FFFB8AE">
      <w:pPr>
        <w:autoSpaceDE w:val="0"/>
        <w:autoSpaceDN w:val="0"/>
        <w:adjustRightInd w:val="0"/>
        <w:spacing w:line="560" w:lineRule="exact"/>
        <w:rPr>
          <w:rFonts w:hint="eastAsia" w:ascii="宋体" w:hAnsi="宋体" w:eastAsia="宋体" w:cs="宋体"/>
          <w:sz w:val="24"/>
          <w:highlight w:val="none"/>
          <w:lang w:val="zh-CN"/>
        </w:rPr>
      </w:pPr>
      <w:r>
        <w:rPr>
          <w:rFonts w:hint="eastAsia" w:ascii="宋体" w:hAnsi="宋体" w:eastAsia="宋体" w:cs="宋体"/>
          <w:sz w:val="24"/>
          <w:highlight w:val="none"/>
          <w:lang w:val="zh-CN"/>
        </w:rPr>
        <w:t>电话：</w:t>
      </w:r>
      <w:r>
        <w:rPr>
          <w:rFonts w:hint="eastAsia" w:ascii="宋体" w:hAnsi="宋体" w:cs="宋体"/>
          <w:sz w:val="24"/>
          <w:highlight w:val="none"/>
          <w:lang w:val="en-US" w:eastAsia="zh-CN"/>
        </w:rPr>
        <w:t xml:space="preserve">                                            </w:t>
      </w:r>
      <w:r>
        <w:rPr>
          <w:rFonts w:hint="eastAsia" w:ascii="宋体" w:hAnsi="宋体" w:eastAsia="宋体" w:cs="宋体"/>
          <w:sz w:val="24"/>
          <w:highlight w:val="none"/>
          <w:lang w:val="zh-CN"/>
        </w:rPr>
        <w:t>电话：</w:t>
      </w:r>
    </w:p>
    <w:p w14:paraId="7885508B">
      <w:pPr>
        <w:autoSpaceDE w:val="0"/>
        <w:autoSpaceDN w:val="0"/>
        <w:adjustRightInd w:val="0"/>
        <w:spacing w:line="560" w:lineRule="exact"/>
        <w:rPr>
          <w:rFonts w:hint="eastAsia" w:ascii="宋体" w:hAnsi="宋体" w:eastAsia="宋体" w:cs="宋体"/>
          <w:sz w:val="24"/>
          <w:highlight w:val="none"/>
          <w:lang w:val="zh-CN"/>
        </w:rPr>
      </w:pPr>
      <w:r>
        <w:rPr>
          <w:rFonts w:hint="eastAsia" w:ascii="宋体" w:hAnsi="宋体" w:eastAsia="宋体" w:cs="宋体"/>
          <w:sz w:val="24"/>
          <w:highlight w:val="none"/>
          <w:lang w:val="zh-CN"/>
        </w:rPr>
        <w:t>传真：</w:t>
      </w:r>
      <w:r>
        <w:rPr>
          <w:rFonts w:hint="eastAsia" w:ascii="宋体" w:hAnsi="宋体" w:cs="宋体"/>
          <w:sz w:val="24"/>
          <w:highlight w:val="none"/>
          <w:lang w:val="en-US" w:eastAsia="zh-CN"/>
        </w:rPr>
        <w:t xml:space="preserve">                                            </w:t>
      </w:r>
      <w:r>
        <w:rPr>
          <w:rFonts w:hint="eastAsia" w:ascii="宋体" w:hAnsi="宋体" w:eastAsia="宋体" w:cs="宋体"/>
          <w:sz w:val="24"/>
          <w:highlight w:val="none"/>
          <w:lang w:val="zh-CN"/>
        </w:rPr>
        <w:t>传真：</w:t>
      </w:r>
    </w:p>
    <w:p w14:paraId="03DBA08C">
      <w:pPr>
        <w:autoSpaceDE w:val="0"/>
        <w:autoSpaceDN w:val="0"/>
        <w:adjustRightInd w:val="0"/>
        <w:spacing w:line="560" w:lineRule="exact"/>
        <w:rPr>
          <w:rFonts w:hint="eastAsia" w:ascii="宋体" w:hAnsi="宋体" w:eastAsia="宋体" w:cs="宋体"/>
          <w:sz w:val="24"/>
          <w:highlight w:val="none"/>
        </w:rPr>
      </w:pPr>
      <w:r>
        <w:rPr>
          <w:rFonts w:hint="eastAsia" w:ascii="宋体" w:hAnsi="宋体" w:eastAsia="宋体" w:cs="宋体"/>
          <w:sz w:val="24"/>
          <w:highlight w:val="none"/>
          <w:lang w:val="zh-CN"/>
        </w:rPr>
        <w:t>电子邮箱：</w:t>
      </w:r>
      <w:r>
        <w:rPr>
          <w:rFonts w:hint="eastAsia" w:ascii="宋体" w:hAnsi="宋体" w:cs="宋体"/>
          <w:sz w:val="24"/>
          <w:highlight w:val="none"/>
          <w:lang w:val="en-US" w:eastAsia="zh-CN"/>
        </w:rPr>
        <w:t xml:space="preserve">                                        </w:t>
      </w:r>
      <w:r>
        <w:rPr>
          <w:rFonts w:hint="eastAsia" w:ascii="宋体" w:hAnsi="宋体" w:eastAsia="宋体" w:cs="宋体"/>
          <w:sz w:val="24"/>
          <w:highlight w:val="none"/>
          <w:lang w:val="zh-CN"/>
        </w:rPr>
        <w:t>电子邮箱：</w:t>
      </w:r>
    </w:p>
    <w:p w14:paraId="2195D1E0">
      <w:pPr>
        <w:autoSpaceDE w:val="0"/>
        <w:autoSpaceDN w:val="0"/>
        <w:adjustRightInd w:val="0"/>
        <w:spacing w:line="560" w:lineRule="exact"/>
        <w:rPr>
          <w:rFonts w:hint="eastAsia" w:ascii="宋体" w:hAnsi="宋体" w:eastAsia="宋体" w:cs="宋体"/>
          <w:sz w:val="24"/>
          <w:highlight w:val="none"/>
          <w:lang w:eastAsia="zh-CN"/>
        </w:rPr>
      </w:pPr>
      <w:r>
        <w:rPr>
          <w:rFonts w:hint="eastAsia" w:ascii="宋体" w:hAnsi="宋体" w:eastAsia="宋体" w:cs="宋体"/>
          <w:sz w:val="24"/>
          <w:highlight w:val="none"/>
        </w:rPr>
        <w:t>开户银行：</w:t>
      </w:r>
      <w:r>
        <w:rPr>
          <w:rFonts w:hint="eastAsia" w:ascii="宋体" w:hAnsi="宋体" w:cs="宋体"/>
          <w:sz w:val="24"/>
          <w:highlight w:val="none"/>
          <w:lang w:val="en-US" w:eastAsia="zh-CN"/>
        </w:rPr>
        <w:t xml:space="preserve">                                        </w:t>
      </w:r>
      <w:r>
        <w:rPr>
          <w:rFonts w:hint="eastAsia" w:ascii="宋体" w:hAnsi="宋体" w:eastAsia="宋体" w:cs="宋体"/>
          <w:sz w:val="24"/>
          <w:highlight w:val="none"/>
        </w:rPr>
        <w:t>开户银行：</w:t>
      </w:r>
    </w:p>
    <w:p w14:paraId="4315F802">
      <w:pPr>
        <w:autoSpaceDE w:val="0"/>
        <w:autoSpaceDN w:val="0"/>
        <w:adjustRightInd w:val="0"/>
        <w:spacing w:line="560" w:lineRule="exact"/>
        <w:rPr>
          <w:rFonts w:hint="eastAsia" w:ascii="宋体" w:hAnsi="宋体" w:eastAsia="宋体" w:cs="宋体"/>
          <w:sz w:val="24"/>
          <w:highlight w:val="none"/>
          <w:lang w:eastAsia="zh-CN"/>
        </w:rPr>
      </w:pPr>
      <w:r>
        <w:rPr>
          <w:rFonts w:hint="eastAsia" w:ascii="宋体" w:hAnsi="宋体" w:eastAsia="宋体" w:cs="宋体"/>
          <w:sz w:val="24"/>
          <w:highlight w:val="none"/>
        </w:rPr>
        <w:t>开户名称：</w:t>
      </w:r>
      <w:r>
        <w:rPr>
          <w:rFonts w:hint="eastAsia" w:ascii="宋体" w:hAnsi="宋体" w:cs="宋体"/>
          <w:sz w:val="24"/>
          <w:highlight w:val="none"/>
          <w:lang w:val="en-US" w:eastAsia="zh-CN"/>
        </w:rPr>
        <w:t xml:space="preserve">                                        </w:t>
      </w:r>
      <w:r>
        <w:rPr>
          <w:rFonts w:hint="eastAsia" w:ascii="宋体" w:hAnsi="宋体" w:eastAsia="宋体" w:cs="宋体"/>
          <w:sz w:val="24"/>
          <w:highlight w:val="none"/>
        </w:rPr>
        <w:t>开户名称：</w:t>
      </w:r>
    </w:p>
    <w:p w14:paraId="74F280CE">
      <w:pPr>
        <w:autoSpaceDE w:val="0"/>
        <w:autoSpaceDN w:val="0"/>
        <w:adjustRightInd w:val="0"/>
        <w:spacing w:line="560" w:lineRule="exact"/>
        <w:rPr>
          <w:rFonts w:hint="eastAsia" w:ascii="宋体" w:hAnsi="宋体" w:eastAsia="宋体" w:cs="宋体"/>
          <w:sz w:val="24"/>
          <w:highlight w:val="none"/>
        </w:rPr>
      </w:pPr>
      <w:r>
        <w:rPr>
          <w:rFonts w:hint="eastAsia" w:ascii="宋体" w:hAnsi="宋体" w:eastAsia="宋体" w:cs="宋体"/>
          <w:sz w:val="24"/>
          <w:highlight w:val="none"/>
        </w:rPr>
        <w:t>开户账号：</w:t>
      </w:r>
      <w:r>
        <w:rPr>
          <w:rFonts w:hint="eastAsia" w:ascii="宋体" w:hAnsi="宋体" w:cs="宋体"/>
          <w:sz w:val="24"/>
          <w:highlight w:val="none"/>
          <w:lang w:val="en-US" w:eastAsia="zh-CN"/>
        </w:rPr>
        <w:t xml:space="preserve">                                        </w:t>
      </w:r>
      <w:r>
        <w:rPr>
          <w:rFonts w:hint="eastAsia" w:ascii="宋体" w:hAnsi="宋体" w:eastAsia="宋体" w:cs="宋体"/>
          <w:sz w:val="24"/>
          <w:highlight w:val="none"/>
        </w:rPr>
        <w:t>开户账号：</w:t>
      </w:r>
    </w:p>
    <w:p w14:paraId="2EB30196">
      <w:pPr>
        <w:widowControl/>
        <w:spacing w:line="560" w:lineRule="exact"/>
        <w:jc w:val="left"/>
        <w:rPr>
          <w:rFonts w:hint="eastAsia" w:ascii="宋体" w:hAnsi="宋体" w:eastAsia="宋体" w:cs="宋体"/>
          <w:b/>
          <w:bCs/>
          <w:sz w:val="24"/>
          <w:highlight w:val="none"/>
        </w:rPr>
      </w:pPr>
    </w:p>
    <w:p w14:paraId="0A6FB8D1">
      <w:pPr>
        <w:widowControl/>
        <w:spacing w:line="560" w:lineRule="exact"/>
        <w:jc w:val="left"/>
        <w:rPr>
          <w:rFonts w:hint="eastAsia" w:ascii="宋体" w:hAnsi="宋体" w:eastAsia="宋体" w:cs="宋体"/>
          <w:b/>
          <w:bCs/>
          <w:kern w:val="0"/>
          <w:sz w:val="24"/>
          <w:highlight w:val="none"/>
        </w:rPr>
      </w:pPr>
    </w:p>
    <w:p w14:paraId="2B67248F">
      <w:pPr>
        <w:rPr>
          <w:rFonts w:hint="eastAsia" w:ascii="宋体" w:hAnsi="宋体" w:eastAsia="宋体" w:cs="宋体"/>
          <w:b/>
          <w:bCs/>
          <w:szCs w:val="24"/>
          <w:highlight w:val="none"/>
        </w:rPr>
      </w:pPr>
      <w:r>
        <w:rPr>
          <w:rFonts w:hint="eastAsia" w:ascii="宋体" w:hAnsi="宋体" w:eastAsia="宋体" w:cs="宋体"/>
          <w:b/>
          <w:bCs/>
          <w:szCs w:val="24"/>
          <w:highlight w:val="none"/>
        </w:rPr>
        <w:br w:type="page"/>
      </w:r>
    </w:p>
    <w:p w14:paraId="7A56D25F">
      <w:pPr>
        <w:pStyle w:val="71"/>
        <w:spacing w:line="560" w:lineRule="exact"/>
        <w:ind w:firstLine="200"/>
        <w:jc w:val="center"/>
        <w:rPr>
          <w:rFonts w:hint="eastAsia" w:ascii="宋体" w:hAnsi="宋体" w:eastAsia="宋体" w:cs="宋体"/>
          <w:b/>
          <w:bCs/>
          <w:szCs w:val="24"/>
          <w:highlight w:val="none"/>
        </w:rPr>
      </w:pPr>
      <w:r>
        <w:rPr>
          <w:rFonts w:hint="eastAsia" w:ascii="宋体" w:hAnsi="宋体" w:eastAsia="宋体" w:cs="宋体"/>
          <w:b/>
          <w:bCs/>
          <w:szCs w:val="24"/>
          <w:highlight w:val="none"/>
        </w:rPr>
        <w:t>第二部分合同一般条款</w:t>
      </w:r>
    </w:p>
    <w:p w14:paraId="2682ECF9">
      <w:pPr>
        <w:spacing w:line="560" w:lineRule="exact"/>
        <w:ind w:firstLine="482" w:firstLineChars="200"/>
        <w:outlineLvl w:val="0"/>
        <w:rPr>
          <w:rFonts w:hint="eastAsia" w:ascii="宋体" w:hAnsi="宋体" w:eastAsia="宋体" w:cs="宋体"/>
          <w:b/>
          <w:bCs/>
          <w:sz w:val="24"/>
          <w:highlight w:val="none"/>
        </w:rPr>
      </w:pPr>
      <w:bookmarkStart w:id="64" w:name="_Toc31297"/>
      <w:bookmarkStart w:id="65" w:name="_Toc5228"/>
      <w:bookmarkStart w:id="66" w:name="_Toc14021"/>
      <w:bookmarkStart w:id="67" w:name="_Toc19680"/>
      <w:bookmarkStart w:id="68" w:name="_Toc25079"/>
      <w:r>
        <w:rPr>
          <w:rFonts w:hint="eastAsia" w:ascii="宋体" w:hAnsi="宋体" w:eastAsia="宋体" w:cs="宋体"/>
          <w:b/>
          <w:bCs/>
          <w:sz w:val="24"/>
          <w:highlight w:val="none"/>
        </w:rPr>
        <w:t>2.1定义</w:t>
      </w:r>
      <w:bookmarkEnd w:id="64"/>
      <w:bookmarkEnd w:id="65"/>
      <w:bookmarkEnd w:id="66"/>
      <w:bookmarkEnd w:id="67"/>
      <w:bookmarkEnd w:id="68"/>
    </w:p>
    <w:p w14:paraId="276B39D4">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本合同中的下列词语应按以下内容进行解释：</w:t>
      </w:r>
    </w:p>
    <w:p w14:paraId="7CDCB3B3">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2.1.1“合同”系指采购人和中标供应商签订的载明双方当事人所达成的协议，并包括所有的附件、附录和构成合同的其他文件。</w:t>
      </w:r>
    </w:p>
    <w:p w14:paraId="3F2EA00E">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2.1.2“合同价”系指根据合同约定，中标供应商在完全履行合同义务后，采购人应支付给中标供应商的价格。</w:t>
      </w:r>
    </w:p>
    <w:p w14:paraId="5775A098">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2.1.3“服务”系指中标供应商根据合同约定应向采购人履行的除货物和工程以外的其他政府采购对象，包括采购人自身需要的服务和向社会公众提供的公共服务。</w:t>
      </w:r>
    </w:p>
    <w:p w14:paraId="38DDFE64">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2.1.4“甲方”系指与中标供应商签署合同的采购人；采购人委托采购代理机构代表其与乙方签订合同的，采购人的授权委托书作为合同附件。</w:t>
      </w:r>
    </w:p>
    <w:p w14:paraId="1BA8AC50">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2.1.5“乙方”系指根据合同约定提供服务的中标供应商；两个以上的自然人、法人或者其他组织组成一个联合体，以一个供应商的身份共同参加政府采购的，联合体各方均应为乙方或者与乙方相同地位的合同当事人，并就合同约定的事项对甲方承担连带责任。</w:t>
      </w:r>
    </w:p>
    <w:p w14:paraId="618112A3">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2.1.6“现场”系指合同约定提供服务的地点。</w:t>
      </w:r>
    </w:p>
    <w:p w14:paraId="562109E2">
      <w:pPr>
        <w:spacing w:line="560" w:lineRule="exact"/>
        <w:ind w:firstLine="482" w:firstLineChars="200"/>
        <w:outlineLvl w:val="0"/>
        <w:rPr>
          <w:rFonts w:hint="eastAsia" w:ascii="宋体" w:hAnsi="宋体" w:eastAsia="宋体" w:cs="宋体"/>
          <w:b/>
          <w:bCs/>
          <w:sz w:val="24"/>
          <w:highlight w:val="none"/>
        </w:rPr>
      </w:pPr>
      <w:bookmarkStart w:id="69" w:name="_Toc3769"/>
      <w:bookmarkStart w:id="70" w:name="_Toc16752"/>
      <w:bookmarkStart w:id="71" w:name="_Toc31402"/>
      <w:bookmarkStart w:id="72" w:name="_Toc23289"/>
      <w:bookmarkStart w:id="73" w:name="_Toc19539"/>
      <w:r>
        <w:rPr>
          <w:rFonts w:hint="eastAsia" w:ascii="宋体" w:hAnsi="宋体" w:eastAsia="宋体" w:cs="宋体"/>
          <w:b/>
          <w:bCs/>
          <w:sz w:val="24"/>
          <w:highlight w:val="none"/>
        </w:rPr>
        <w:t>2.2技术规范</w:t>
      </w:r>
      <w:bookmarkEnd w:id="69"/>
      <w:bookmarkEnd w:id="70"/>
      <w:bookmarkEnd w:id="71"/>
      <w:bookmarkEnd w:id="72"/>
      <w:bookmarkEnd w:id="73"/>
    </w:p>
    <w:p w14:paraId="3AD5CE05">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服务所应遵守的技术规范应与采购文件规定的技术规范和技术规范附件</w:t>
      </w:r>
      <w:r>
        <w:rPr>
          <w:rFonts w:hint="eastAsia" w:ascii="宋体" w:hAnsi="宋体" w:eastAsia="宋体" w:cs="宋体"/>
          <w:sz w:val="24"/>
          <w:highlight w:val="none"/>
          <w:lang w:eastAsia="zh-CN"/>
        </w:rPr>
        <w:t>（</w:t>
      </w:r>
      <w:r>
        <w:rPr>
          <w:rFonts w:hint="eastAsia" w:ascii="宋体" w:hAnsi="宋体" w:eastAsia="宋体" w:cs="宋体"/>
          <w:sz w:val="24"/>
          <w:highlight w:val="none"/>
        </w:rPr>
        <w:t>如果有的话</w:t>
      </w:r>
      <w:r>
        <w:rPr>
          <w:rFonts w:hint="eastAsia" w:ascii="宋体" w:hAnsi="宋体" w:eastAsia="宋体" w:cs="宋体"/>
          <w:sz w:val="24"/>
          <w:highlight w:val="none"/>
          <w:lang w:eastAsia="zh-CN"/>
        </w:rPr>
        <w:t>）</w:t>
      </w:r>
      <w:r>
        <w:rPr>
          <w:rFonts w:hint="eastAsia" w:ascii="宋体" w:hAnsi="宋体" w:eastAsia="宋体" w:cs="宋体"/>
          <w:sz w:val="24"/>
          <w:highlight w:val="none"/>
        </w:rPr>
        <w:t>及其技术规范偏差表</w:t>
      </w:r>
      <w:r>
        <w:rPr>
          <w:rFonts w:hint="eastAsia" w:ascii="宋体" w:hAnsi="宋体" w:eastAsia="宋体" w:cs="宋体"/>
          <w:sz w:val="24"/>
          <w:highlight w:val="none"/>
          <w:lang w:eastAsia="zh-CN"/>
        </w:rPr>
        <w:t>（</w:t>
      </w:r>
      <w:r>
        <w:rPr>
          <w:rFonts w:hint="eastAsia" w:ascii="宋体" w:hAnsi="宋体" w:eastAsia="宋体" w:cs="宋体"/>
          <w:sz w:val="24"/>
          <w:highlight w:val="none"/>
        </w:rPr>
        <w:t>如果被甲方接受的话</w:t>
      </w:r>
      <w:r>
        <w:rPr>
          <w:rFonts w:hint="eastAsia" w:ascii="宋体" w:hAnsi="宋体" w:eastAsia="宋体" w:cs="宋体"/>
          <w:sz w:val="24"/>
          <w:highlight w:val="none"/>
          <w:lang w:eastAsia="zh-CN"/>
        </w:rPr>
        <w:t>）</w:t>
      </w:r>
      <w:r>
        <w:rPr>
          <w:rFonts w:hint="eastAsia" w:ascii="宋体" w:hAnsi="宋体" w:eastAsia="宋体" w:cs="宋体"/>
          <w:sz w:val="24"/>
          <w:highlight w:val="none"/>
        </w:rPr>
        <w:t>相一致；如果采购文件中没有技术规范的相应说明，那么应以国家有关部门最新颁布的相应标准和规范为准。</w:t>
      </w:r>
    </w:p>
    <w:p w14:paraId="4CC56BF3">
      <w:pPr>
        <w:spacing w:line="560" w:lineRule="exact"/>
        <w:ind w:firstLine="482" w:firstLineChars="200"/>
        <w:outlineLvl w:val="0"/>
        <w:rPr>
          <w:rFonts w:hint="eastAsia" w:ascii="宋体" w:hAnsi="宋体" w:eastAsia="宋体" w:cs="宋体"/>
          <w:b/>
          <w:bCs/>
          <w:sz w:val="24"/>
          <w:highlight w:val="none"/>
        </w:rPr>
      </w:pPr>
      <w:bookmarkStart w:id="74" w:name="_Toc12412"/>
      <w:bookmarkStart w:id="75" w:name="_Toc27945"/>
      <w:bookmarkStart w:id="76" w:name="_Toc9161"/>
      <w:bookmarkStart w:id="77" w:name="_Toc13673"/>
      <w:bookmarkStart w:id="78" w:name="_Toc4133"/>
      <w:r>
        <w:rPr>
          <w:rFonts w:hint="eastAsia" w:ascii="宋体" w:hAnsi="宋体" w:eastAsia="宋体" w:cs="宋体"/>
          <w:b/>
          <w:bCs/>
          <w:sz w:val="24"/>
          <w:highlight w:val="none"/>
        </w:rPr>
        <w:t>2.3知识产权</w:t>
      </w:r>
      <w:bookmarkEnd w:id="74"/>
      <w:bookmarkEnd w:id="75"/>
      <w:bookmarkEnd w:id="76"/>
      <w:bookmarkEnd w:id="77"/>
      <w:bookmarkEnd w:id="78"/>
    </w:p>
    <w:p w14:paraId="6843B696">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2.3.1乙方应保证其提供的服务不受任何第三方提出的侵犯其著作权、商标权、专利权等知识产权方面的起诉；如果任何第三方提出侵权指控，那么乙方须与该第三方交涉并承担由此发生的一切责任、费用和赔偿；</w:t>
      </w:r>
    </w:p>
    <w:p w14:paraId="79F3A891">
      <w:pPr>
        <w:spacing w:line="560" w:lineRule="exact"/>
        <w:ind w:firstLine="482" w:firstLineChars="200"/>
        <w:rPr>
          <w:rFonts w:hint="eastAsia" w:ascii="宋体" w:hAnsi="宋体" w:eastAsia="宋体" w:cs="宋体"/>
          <w:b/>
          <w:bCs/>
          <w:sz w:val="24"/>
          <w:highlight w:val="none"/>
        </w:rPr>
      </w:pPr>
      <w:r>
        <w:rPr>
          <w:rFonts w:hint="eastAsia" w:ascii="宋体" w:hAnsi="宋体" w:eastAsia="宋体" w:cs="宋体"/>
          <w:b/>
          <w:bCs/>
          <w:sz w:val="24"/>
          <w:highlight w:val="none"/>
        </w:rPr>
        <w:t>2.4履约检查和问题反馈</w:t>
      </w:r>
    </w:p>
    <w:p w14:paraId="439F3149">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2.4.1甲方有权在其认为必要时，对乙方是否能够按照合同约定提供服务进行履约检查，以确保乙方所提供的服务能够依约满足甲方之项目需求，但不得因履约检查妨碍乙方的正常工作，乙方应予积极配合；</w:t>
      </w:r>
    </w:p>
    <w:p w14:paraId="17560E49">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2.4.2合同履行期间，甲方有权将履行过程中出现的问题反馈给乙方，双方当事人应以书面形式约定需要完善和改进的内容。</w:t>
      </w:r>
    </w:p>
    <w:p w14:paraId="7F6C5091">
      <w:pPr>
        <w:spacing w:line="560" w:lineRule="exact"/>
        <w:ind w:firstLine="482" w:firstLineChars="200"/>
        <w:outlineLvl w:val="0"/>
        <w:rPr>
          <w:rFonts w:hint="eastAsia" w:ascii="宋体" w:hAnsi="宋体" w:eastAsia="宋体" w:cs="宋体"/>
          <w:b/>
          <w:bCs/>
          <w:sz w:val="24"/>
          <w:highlight w:val="none"/>
        </w:rPr>
      </w:pPr>
      <w:bookmarkStart w:id="79" w:name="_Toc16163"/>
      <w:bookmarkStart w:id="80" w:name="_Toc13154"/>
      <w:bookmarkStart w:id="81" w:name="_Toc13467"/>
      <w:bookmarkStart w:id="82" w:name="_Toc30507"/>
      <w:bookmarkStart w:id="83" w:name="_Toc18990"/>
      <w:r>
        <w:rPr>
          <w:rFonts w:hint="eastAsia" w:ascii="宋体" w:hAnsi="宋体" w:eastAsia="宋体" w:cs="宋体"/>
          <w:b/>
          <w:bCs/>
          <w:sz w:val="24"/>
          <w:highlight w:val="none"/>
        </w:rPr>
        <w:t>2.5技术资料和保密义务</w:t>
      </w:r>
      <w:bookmarkEnd w:id="79"/>
      <w:bookmarkEnd w:id="80"/>
      <w:bookmarkEnd w:id="81"/>
      <w:bookmarkEnd w:id="82"/>
      <w:bookmarkEnd w:id="83"/>
    </w:p>
    <w:p w14:paraId="1D1D590F">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2.5.1乙方有权依据合同约定和项目需要，向甲方了解有关情况，调阅有关资料等，甲方应予积极配合；</w:t>
      </w:r>
    </w:p>
    <w:p w14:paraId="05272BEA">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2.5.2乙方有义务妥善保管和保护由甲方提供的前款信息和资料等；</w:t>
      </w:r>
    </w:p>
    <w:p w14:paraId="6CBD59F3">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2.5.3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方接触到对方当事人的上述保密信息和资料。</w:t>
      </w:r>
    </w:p>
    <w:p w14:paraId="4342F326">
      <w:pPr>
        <w:spacing w:line="560" w:lineRule="exact"/>
        <w:ind w:firstLine="482" w:firstLineChars="200"/>
        <w:outlineLvl w:val="0"/>
        <w:rPr>
          <w:rFonts w:hint="eastAsia" w:ascii="宋体" w:hAnsi="宋体" w:eastAsia="宋体" w:cs="宋体"/>
          <w:b/>
          <w:bCs/>
          <w:sz w:val="24"/>
          <w:highlight w:val="none"/>
        </w:rPr>
      </w:pPr>
      <w:bookmarkStart w:id="84" w:name="_Toc19069"/>
      <w:r>
        <w:rPr>
          <w:rFonts w:hint="eastAsia" w:ascii="宋体" w:hAnsi="宋体" w:eastAsia="宋体" w:cs="宋体"/>
          <w:b/>
          <w:bCs/>
          <w:sz w:val="24"/>
          <w:highlight w:val="none"/>
        </w:rPr>
        <w:t>2.6质量保证</w:t>
      </w:r>
      <w:bookmarkEnd w:id="84"/>
    </w:p>
    <w:p w14:paraId="075A8905">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2.6.1乙方应建立和完善履行合同的内部质量保证体系，并提供相关内部规章制度给甲方，以便甲方进行监督检查；</w:t>
      </w:r>
    </w:p>
    <w:p w14:paraId="608F0BA6">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2.6.2乙方应保证履行合同的人员数量和素质、软件和硬件设备的配置、场地、环境和设施等满足全面履行合同的要求，并应接受甲方的监督检查。</w:t>
      </w:r>
    </w:p>
    <w:p w14:paraId="06F4BBB6">
      <w:pPr>
        <w:spacing w:line="560" w:lineRule="exact"/>
        <w:ind w:firstLine="482" w:firstLineChars="200"/>
        <w:outlineLvl w:val="0"/>
        <w:rPr>
          <w:rFonts w:hint="eastAsia" w:ascii="宋体" w:hAnsi="宋体" w:eastAsia="宋体" w:cs="宋体"/>
          <w:b/>
          <w:bCs/>
          <w:sz w:val="24"/>
          <w:highlight w:val="none"/>
        </w:rPr>
      </w:pPr>
      <w:bookmarkStart w:id="85" w:name="_Toc22267"/>
      <w:r>
        <w:rPr>
          <w:rFonts w:hint="eastAsia" w:ascii="宋体" w:hAnsi="宋体" w:eastAsia="宋体" w:cs="宋体"/>
          <w:b/>
          <w:bCs/>
          <w:sz w:val="24"/>
          <w:highlight w:val="none"/>
        </w:rPr>
        <w:t>2.7延迟履行</w:t>
      </w:r>
      <w:bookmarkEnd w:id="85"/>
    </w:p>
    <w:p w14:paraId="4FD7EF1F">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在合同履行过程中，如果乙方遇到不能按时提供服务的情况，应及时以书面形式将不能按时提供服务的理由、预期延误时间通知甲方；甲方收到乙方通知后，认为其理由正当的，可以书面形式酌情同意乙方可以延长履行的具体时间。</w:t>
      </w:r>
    </w:p>
    <w:p w14:paraId="5EA329BC">
      <w:pPr>
        <w:spacing w:line="560" w:lineRule="exact"/>
        <w:ind w:firstLine="482" w:firstLineChars="200"/>
        <w:outlineLvl w:val="0"/>
        <w:rPr>
          <w:rFonts w:hint="eastAsia" w:ascii="宋体" w:hAnsi="宋体" w:eastAsia="宋体" w:cs="宋体"/>
          <w:b/>
          <w:bCs/>
          <w:sz w:val="24"/>
          <w:highlight w:val="none"/>
        </w:rPr>
      </w:pPr>
      <w:bookmarkStart w:id="86" w:name="_Toc10611"/>
      <w:r>
        <w:rPr>
          <w:rFonts w:hint="eastAsia" w:ascii="宋体" w:hAnsi="宋体" w:eastAsia="宋体" w:cs="宋体"/>
          <w:b/>
          <w:bCs/>
          <w:sz w:val="24"/>
          <w:highlight w:val="none"/>
        </w:rPr>
        <w:t>2.8合同变更</w:t>
      </w:r>
      <w:bookmarkEnd w:id="86"/>
    </w:p>
    <w:p w14:paraId="2EDC3F96">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2.8.1双方当事人协商一致，可以签订书面补充合同的形式变更合同，但不得违背采购文件确定的事项，且如果系追加与合同标的相同的服务的，那么所有补充合同的采购金额不得超过原合同价的10%；</w:t>
      </w:r>
    </w:p>
    <w:p w14:paraId="1F95098C">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2.8.2合同继续履行将损害国家利益和社会公共利益的，双方当事人应当以书面形式变更合同。有过错的一方应当承担赔偿责任，双方当事人都有过错的，各自承担相应的责任。</w:t>
      </w:r>
    </w:p>
    <w:p w14:paraId="47251C40">
      <w:pPr>
        <w:spacing w:line="560" w:lineRule="exact"/>
        <w:ind w:firstLine="482" w:firstLineChars="200"/>
        <w:outlineLvl w:val="0"/>
        <w:rPr>
          <w:rFonts w:hint="eastAsia" w:ascii="宋体" w:hAnsi="宋体" w:eastAsia="宋体" w:cs="宋体"/>
          <w:b/>
          <w:bCs/>
          <w:sz w:val="24"/>
          <w:highlight w:val="none"/>
        </w:rPr>
      </w:pPr>
      <w:bookmarkStart w:id="87" w:name="_Toc21830"/>
      <w:bookmarkStart w:id="88" w:name="_Toc42"/>
      <w:bookmarkStart w:id="89" w:name="_Toc23368"/>
      <w:bookmarkStart w:id="90" w:name="_Toc10663"/>
      <w:bookmarkStart w:id="91" w:name="_Toc26689"/>
      <w:r>
        <w:rPr>
          <w:rFonts w:hint="eastAsia" w:ascii="宋体" w:hAnsi="宋体" w:eastAsia="宋体" w:cs="宋体"/>
          <w:b/>
          <w:bCs/>
          <w:sz w:val="24"/>
          <w:highlight w:val="none"/>
        </w:rPr>
        <w:t>2.9合同转让和分包</w:t>
      </w:r>
      <w:bookmarkEnd w:id="87"/>
      <w:bookmarkEnd w:id="88"/>
      <w:bookmarkEnd w:id="89"/>
      <w:bookmarkEnd w:id="90"/>
      <w:bookmarkEnd w:id="91"/>
    </w:p>
    <w:p w14:paraId="22C30399">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合同的权利义务依法不得转让，但经甲方同意，乙方可以依法采取分包方式履行合同，即：依法可以将合同项下的部分非主体、非关键性工作分包给他人完成，接受分包的人应当具备相应的资格条件，并不得再次分包，且乙方应就分包项目向甲方负责，并与分包供应商就分包项目向甲方承担连带责任。</w:t>
      </w:r>
    </w:p>
    <w:p w14:paraId="4C1F2315">
      <w:pPr>
        <w:spacing w:line="560" w:lineRule="exact"/>
        <w:ind w:firstLine="482" w:firstLineChars="200"/>
        <w:outlineLvl w:val="0"/>
        <w:rPr>
          <w:rFonts w:hint="eastAsia" w:ascii="宋体" w:hAnsi="宋体" w:eastAsia="宋体" w:cs="宋体"/>
          <w:b/>
          <w:bCs/>
          <w:sz w:val="24"/>
          <w:highlight w:val="none"/>
        </w:rPr>
      </w:pPr>
      <w:bookmarkStart w:id="92" w:name="_Toc14371"/>
      <w:bookmarkStart w:id="93" w:name="_Toc4720"/>
      <w:bookmarkStart w:id="94" w:name="_Toc32494"/>
      <w:bookmarkStart w:id="95" w:name="_Toc25571"/>
      <w:bookmarkStart w:id="96" w:name="_Toc26633"/>
      <w:r>
        <w:rPr>
          <w:rFonts w:hint="eastAsia" w:ascii="宋体" w:hAnsi="宋体" w:eastAsia="宋体" w:cs="宋体"/>
          <w:b/>
          <w:bCs/>
          <w:sz w:val="24"/>
          <w:highlight w:val="none"/>
        </w:rPr>
        <w:t>2.10不可抗力</w:t>
      </w:r>
      <w:bookmarkEnd w:id="92"/>
      <w:bookmarkEnd w:id="93"/>
      <w:bookmarkEnd w:id="94"/>
      <w:bookmarkEnd w:id="95"/>
      <w:bookmarkEnd w:id="96"/>
    </w:p>
    <w:p w14:paraId="5A9C3F83">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2.10.1如果任何一方遭遇法律规定的不可抗力，致使合同履行受阻时，履行合同的期限应予延长，延长的期限应相当于不可抗力所影响的时间；</w:t>
      </w:r>
    </w:p>
    <w:p w14:paraId="0E1CB0C2">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2.10.2因不可抗力致使不能实现合同目的的，当事人可以解除合同；</w:t>
      </w:r>
    </w:p>
    <w:p w14:paraId="5A8018CF">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2.10.3因不可抗力致使合同有变更必要的，双方当事人应在</w:t>
      </w:r>
      <w:r>
        <w:rPr>
          <w:rFonts w:hint="eastAsia" w:ascii="宋体" w:hAnsi="宋体" w:eastAsia="宋体" w:cs="宋体"/>
          <w:b/>
          <w:bCs/>
          <w:i/>
          <w:iCs/>
          <w:sz w:val="24"/>
          <w:highlight w:val="none"/>
          <w:u w:val="single"/>
        </w:rPr>
        <w:t>5个工作日</w:t>
      </w:r>
      <w:r>
        <w:rPr>
          <w:rFonts w:hint="eastAsia" w:ascii="宋体" w:hAnsi="宋体" w:eastAsia="宋体" w:cs="宋体"/>
          <w:sz w:val="24"/>
          <w:highlight w:val="none"/>
        </w:rPr>
        <w:t>内以书面形式变更合同；</w:t>
      </w:r>
    </w:p>
    <w:p w14:paraId="12401263">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2.10.4受不可抗力影响的一方在不可抗力发生后，应在</w:t>
      </w:r>
      <w:r>
        <w:rPr>
          <w:rFonts w:hint="eastAsia" w:ascii="宋体" w:hAnsi="宋体" w:eastAsia="宋体" w:cs="宋体"/>
          <w:b/>
          <w:bCs/>
          <w:i/>
          <w:iCs/>
          <w:sz w:val="24"/>
          <w:highlight w:val="none"/>
          <w:u w:val="single"/>
        </w:rPr>
        <w:t>3个工作日</w:t>
      </w:r>
      <w:r>
        <w:rPr>
          <w:rFonts w:hint="eastAsia" w:ascii="宋体" w:hAnsi="宋体" w:eastAsia="宋体" w:cs="宋体"/>
          <w:sz w:val="24"/>
          <w:highlight w:val="none"/>
        </w:rPr>
        <w:t>内以书面形式通知对方当事人，并在</w:t>
      </w:r>
      <w:r>
        <w:rPr>
          <w:rFonts w:hint="eastAsia" w:ascii="宋体" w:hAnsi="宋体" w:eastAsia="宋体" w:cs="宋体"/>
          <w:b/>
          <w:bCs/>
          <w:i/>
          <w:iCs/>
          <w:sz w:val="24"/>
          <w:highlight w:val="none"/>
          <w:u w:val="single"/>
        </w:rPr>
        <w:t>5个工作日</w:t>
      </w:r>
      <w:r>
        <w:rPr>
          <w:rFonts w:hint="eastAsia" w:ascii="宋体" w:hAnsi="宋体" w:eastAsia="宋体" w:cs="宋体"/>
          <w:sz w:val="24"/>
          <w:highlight w:val="none"/>
        </w:rPr>
        <w:t>内，将有关部门出具的证明文件送达对方当事人。</w:t>
      </w:r>
    </w:p>
    <w:p w14:paraId="718A650F">
      <w:pPr>
        <w:spacing w:line="560" w:lineRule="exact"/>
        <w:ind w:firstLine="482" w:firstLineChars="200"/>
        <w:outlineLvl w:val="0"/>
        <w:rPr>
          <w:rFonts w:hint="eastAsia" w:ascii="宋体" w:hAnsi="宋体" w:eastAsia="宋体" w:cs="宋体"/>
          <w:b/>
          <w:bCs/>
          <w:sz w:val="24"/>
          <w:highlight w:val="none"/>
        </w:rPr>
      </w:pPr>
      <w:bookmarkStart w:id="97" w:name="_Toc3638"/>
      <w:bookmarkStart w:id="98" w:name="_Toc25783"/>
      <w:bookmarkStart w:id="99" w:name="_Toc14115"/>
      <w:bookmarkStart w:id="100" w:name="_Toc24465"/>
      <w:bookmarkStart w:id="101" w:name="_Toc23854"/>
      <w:r>
        <w:rPr>
          <w:rFonts w:hint="eastAsia" w:ascii="宋体" w:hAnsi="宋体" w:eastAsia="宋体" w:cs="宋体"/>
          <w:b/>
          <w:bCs/>
          <w:sz w:val="24"/>
          <w:highlight w:val="none"/>
        </w:rPr>
        <w:t>2.11税费</w:t>
      </w:r>
      <w:bookmarkEnd w:id="97"/>
      <w:bookmarkEnd w:id="98"/>
      <w:bookmarkEnd w:id="99"/>
      <w:bookmarkEnd w:id="100"/>
      <w:bookmarkEnd w:id="101"/>
    </w:p>
    <w:p w14:paraId="54AAD884">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与合同有关的一切税费，均按照中华人民共和国法律的相关规定缴纳。</w:t>
      </w:r>
    </w:p>
    <w:p w14:paraId="50DADD29">
      <w:pPr>
        <w:spacing w:line="560" w:lineRule="exact"/>
        <w:ind w:firstLine="482" w:firstLineChars="200"/>
        <w:outlineLvl w:val="0"/>
        <w:rPr>
          <w:rFonts w:hint="eastAsia" w:ascii="宋体" w:hAnsi="宋体" w:eastAsia="宋体" w:cs="宋体"/>
          <w:b/>
          <w:bCs/>
          <w:sz w:val="24"/>
          <w:highlight w:val="none"/>
        </w:rPr>
      </w:pPr>
      <w:bookmarkStart w:id="102" w:name="_Toc7315"/>
      <w:bookmarkStart w:id="103" w:name="_Toc30105"/>
      <w:bookmarkStart w:id="104" w:name="_Toc26883"/>
      <w:bookmarkStart w:id="105" w:name="_Toc14814"/>
      <w:bookmarkStart w:id="106" w:name="_Toc25525"/>
      <w:r>
        <w:rPr>
          <w:rFonts w:hint="eastAsia" w:ascii="宋体" w:hAnsi="宋体" w:eastAsia="宋体" w:cs="宋体"/>
          <w:b/>
          <w:bCs/>
          <w:sz w:val="24"/>
          <w:highlight w:val="none"/>
        </w:rPr>
        <w:t>2.12乙方破产</w:t>
      </w:r>
      <w:bookmarkEnd w:id="102"/>
      <w:bookmarkEnd w:id="103"/>
      <w:bookmarkEnd w:id="104"/>
      <w:bookmarkEnd w:id="105"/>
      <w:bookmarkEnd w:id="106"/>
    </w:p>
    <w:p w14:paraId="41618B85">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4D85F7A5">
      <w:pPr>
        <w:spacing w:line="560" w:lineRule="exact"/>
        <w:ind w:firstLine="482" w:firstLineChars="200"/>
        <w:outlineLvl w:val="0"/>
        <w:rPr>
          <w:rFonts w:hint="eastAsia" w:ascii="宋体" w:hAnsi="宋体" w:eastAsia="宋体" w:cs="宋体"/>
          <w:b/>
          <w:bCs/>
          <w:sz w:val="24"/>
          <w:highlight w:val="none"/>
        </w:rPr>
      </w:pPr>
      <w:bookmarkStart w:id="107" w:name="_Toc1123"/>
      <w:bookmarkStart w:id="108" w:name="_Toc23323"/>
      <w:bookmarkStart w:id="109" w:name="_Toc2016"/>
      <w:r>
        <w:rPr>
          <w:rFonts w:hint="eastAsia" w:ascii="宋体" w:hAnsi="宋体" w:eastAsia="宋体" w:cs="宋体"/>
          <w:b/>
          <w:bCs/>
          <w:sz w:val="24"/>
          <w:highlight w:val="none"/>
        </w:rPr>
        <w:t>2.13合同中止、终止</w:t>
      </w:r>
      <w:bookmarkEnd w:id="107"/>
      <w:bookmarkEnd w:id="108"/>
      <w:bookmarkEnd w:id="109"/>
    </w:p>
    <w:p w14:paraId="2C99C669">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2.13.1双方当事人不得擅自中止或者终止合同；</w:t>
      </w:r>
    </w:p>
    <w:p w14:paraId="0811C949">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2.13.2合同继续履行将损害国家利益和社会公共利益的，双方当事人应当中止或者终止合同。有过错的一方应当承担赔偿责任，双方当事人都有过错的，各自承担相应的责任。</w:t>
      </w:r>
    </w:p>
    <w:p w14:paraId="03C18E94">
      <w:pPr>
        <w:spacing w:line="560" w:lineRule="exact"/>
        <w:ind w:firstLine="482" w:firstLineChars="200"/>
        <w:outlineLvl w:val="0"/>
        <w:rPr>
          <w:rFonts w:hint="eastAsia" w:ascii="宋体" w:hAnsi="宋体" w:eastAsia="宋体" w:cs="宋体"/>
          <w:b/>
          <w:bCs/>
          <w:sz w:val="24"/>
          <w:highlight w:val="none"/>
        </w:rPr>
      </w:pPr>
      <w:bookmarkStart w:id="110" w:name="_Toc17363"/>
      <w:bookmarkStart w:id="111" w:name="_Toc14525"/>
      <w:bookmarkStart w:id="112" w:name="_Toc1969"/>
      <w:r>
        <w:rPr>
          <w:rFonts w:hint="eastAsia" w:ascii="宋体" w:hAnsi="宋体" w:eastAsia="宋体" w:cs="宋体"/>
          <w:b/>
          <w:bCs/>
          <w:sz w:val="24"/>
          <w:highlight w:val="none"/>
        </w:rPr>
        <w:t>2.14检验和验收</w:t>
      </w:r>
      <w:bookmarkEnd w:id="110"/>
      <w:bookmarkEnd w:id="111"/>
      <w:bookmarkEnd w:id="112"/>
    </w:p>
    <w:p w14:paraId="33D61649">
      <w:pPr>
        <w:tabs>
          <w:tab w:val="left" w:pos="360"/>
          <w:tab w:val="left" w:pos="540"/>
          <w:tab w:val="left" w:pos="1080"/>
        </w:tabs>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2.14.1合同期满或者履行完毕后，甲方有权组织（包括依法邀请国家认可的质量检测机构参加）对乙方履约的验收，即：按照合同约定的标准，组织对乙方履约情况的验收，并出具验收书；向社会公众提供的公共服务项目，验收时应当邀请服务对象参与并出具意见，验收结果应当向社会公告；</w:t>
      </w:r>
    </w:p>
    <w:p w14:paraId="736F22ED">
      <w:pPr>
        <w:tabs>
          <w:tab w:val="left" w:pos="360"/>
          <w:tab w:val="left" w:pos="540"/>
          <w:tab w:val="left" w:pos="1080"/>
        </w:tabs>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2.14.2检验和验收标准、程序等具体内容以及前述验收书的效力详见磋商文件及投标文件要求。</w:t>
      </w:r>
    </w:p>
    <w:p w14:paraId="7DC81C0D">
      <w:pPr>
        <w:spacing w:line="560" w:lineRule="exact"/>
        <w:ind w:firstLine="482" w:firstLineChars="200"/>
        <w:outlineLvl w:val="0"/>
        <w:rPr>
          <w:rFonts w:hint="eastAsia" w:ascii="宋体" w:hAnsi="宋体" w:eastAsia="宋体" w:cs="宋体"/>
          <w:b/>
          <w:bCs/>
          <w:sz w:val="24"/>
          <w:highlight w:val="none"/>
        </w:rPr>
      </w:pPr>
      <w:bookmarkStart w:id="113" w:name="_Toc25198"/>
      <w:bookmarkStart w:id="114" w:name="_Toc2308"/>
      <w:bookmarkStart w:id="115" w:name="_Toc12666"/>
      <w:bookmarkStart w:id="116" w:name="_Toc31892"/>
      <w:bookmarkStart w:id="117" w:name="_Toc9808"/>
      <w:r>
        <w:rPr>
          <w:rFonts w:hint="eastAsia" w:ascii="宋体" w:hAnsi="宋体" w:eastAsia="宋体" w:cs="宋体"/>
          <w:b/>
          <w:bCs/>
          <w:sz w:val="24"/>
          <w:highlight w:val="none"/>
        </w:rPr>
        <w:t>2.15通知和送达</w:t>
      </w:r>
      <w:bookmarkEnd w:id="113"/>
      <w:bookmarkEnd w:id="114"/>
      <w:bookmarkEnd w:id="115"/>
      <w:bookmarkEnd w:id="116"/>
      <w:bookmarkEnd w:id="117"/>
    </w:p>
    <w:p w14:paraId="3901C5E5">
      <w:pPr>
        <w:spacing w:line="560" w:lineRule="exact"/>
        <w:ind w:firstLine="480" w:firstLineChars="200"/>
        <w:rPr>
          <w:rFonts w:hint="eastAsia" w:ascii="宋体" w:hAnsi="宋体" w:eastAsia="宋体" w:cs="宋体"/>
          <w:sz w:val="24"/>
          <w:highlight w:val="none"/>
        </w:rPr>
      </w:pPr>
      <w:bookmarkStart w:id="118" w:name="_Toc7073"/>
      <w:bookmarkStart w:id="119" w:name="_Toc29220"/>
      <w:r>
        <w:rPr>
          <w:rFonts w:hint="eastAsia" w:ascii="宋体" w:hAnsi="宋体" w:eastAsia="宋体" w:cs="宋体"/>
          <w:sz w:val="24"/>
          <w:highlight w:val="none"/>
        </w:rPr>
        <w:t>2.15.1任何一方因履行合同而</w:t>
      </w:r>
      <w:r>
        <w:rPr>
          <w:rFonts w:hint="eastAsia" w:ascii="宋体" w:hAnsi="宋体" w:cs="宋体"/>
          <w:sz w:val="24"/>
          <w:highlight w:val="none"/>
          <w:lang w:eastAsia="zh-CN"/>
        </w:rPr>
        <w:t>依</w:t>
      </w:r>
      <w:r>
        <w:rPr>
          <w:rFonts w:hint="eastAsia" w:ascii="宋体" w:hAnsi="宋体" w:eastAsia="宋体" w:cs="宋体"/>
          <w:sz w:val="24"/>
          <w:highlight w:val="none"/>
        </w:rPr>
        <w:t>合同第一部分尾部所列明的所有通知、文件、材料，均视为已向对方当事人送达；任何一方变更上述送达方式或者地址的，应于个工作日内书面通知对方当事人，在对方当事人收到有关变更通知之前，变更前的约定送达方式或者地址仍视为有效。</w:t>
      </w:r>
      <w:bookmarkEnd w:id="118"/>
      <w:bookmarkEnd w:id="119"/>
    </w:p>
    <w:p w14:paraId="46C2FD6A">
      <w:pPr>
        <w:spacing w:line="560" w:lineRule="exact"/>
        <w:ind w:firstLine="480" w:firstLineChars="200"/>
        <w:rPr>
          <w:rFonts w:hint="eastAsia" w:ascii="宋体" w:hAnsi="宋体" w:eastAsia="宋体" w:cs="宋体"/>
          <w:sz w:val="24"/>
          <w:highlight w:val="none"/>
        </w:rPr>
      </w:pPr>
      <w:bookmarkStart w:id="120" w:name="_Toc18401"/>
      <w:bookmarkStart w:id="121" w:name="_Toc27674"/>
      <w:r>
        <w:rPr>
          <w:rFonts w:hint="eastAsia" w:ascii="宋体" w:hAnsi="宋体" w:eastAsia="宋体" w:cs="宋体"/>
          <w:sz w:val="24"/>
          <w:highlight w:val="none"/>
        </w:rPr>
        <w:t>2.15.2以当面交付方式送达的，交付之时视为送达；以电子邮件方式送达的，发出电子邮件之时视为送达；以传真方式送达的，发出传真之时视为送达；以邮寄方式送达的，邮件挂号寄出或者交邮之日之次日视为送达。</w:t>
      </w:r>
      <w:bookmarkEnd w:id="120"/>
      <w:bookmarkEnd w:id="121"/>
    </w:p>
    <w:p w14:paraId="47E711F9">
      <w:pPr>
        <w:spacing w:line="560" w:lineRule="exact"/>
        <w:ind w:firstLine="482" w:firstLineChars="200"/>
        <w:outlineLvl w:val="0"/>
        <w:rPr>
          <w:rFonts w:hint="eastAsia" w:ascii="宋体" w:hAnsi="宋体" w:eastAsia="宋体" w:cs="宋体"/>
          <w:b/>
          <w:bCs/>
          <w:sz w:val="24"/>
          <w:highlight w:val="none"/>
        </w:rPr>
      </w:pPr>
      <w:bookmarkStart w:id="122" w:name="_Toc12254"/>
      <w:bookmarkStart w:id="123" w:name="_Toc5063"/>
      <w:bookmarkStart w:id="124" w:name="_Toc27644"/>
      <w:bookmarkStart w:id="125" w:name="_Toc28906"/>
      <w:bookmarkStart w:id="126" w:name="_Toc20808"/>
      <w:r>
        <w:rPr>
          <w:rFonts w:hint="eastAsia" w:ascii="宋体" w:hAnsi="宋体" w:eastAsia="宋体" w:cs="宋体"/>
          <w:b/>
          <w:bCs/>
          <w:sz w:val="24"/>
          <w:highlight w:val="none"/>
        </w:rPr>
        <w:t>2.16合同使用的文字和适用的法律</w:t>
      </w:r>
      <w:bookmarkEnd w:id="122"/>
      <w:bookmarkEnd w:id="123"/>
      <w:bookmarkEnd w:id="124"/>
      <w:bookmarkEnd w:id="125"/>
      <w:bookmarkEnd w:id="126"/>
    </w:p>
    <w:p w14:paraId="0C6E6881">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2.16.1合同使用汉语书就、变更和解释；</w:t>
      </w:r>
    </w:p>
    <w:p w14:paraId="6B9AC792">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2.16.2合同适用中华人民共和国法律。</w:t>
      </w:r>
    </w:p>
    <w:p w14:paraId="46C332AA">
      <w:pPr>
        <w:spacing w:line="560" w:lineRule="exact"/>
        <w:ind w:firstLine="482" w:firstLineChars="200"/>
        <w:outlineLvl w:val="0"/>
        <w:rPr>
          <w:rFonts w:hint="eastAsia" w:ascii="宋体" w:hAnsi="宋体" w:eastAsia="宋体" w:cs="宋体"/>
          <w:b/>
          <w:bCs/>
          <w:sz w:val="24"/>
          <w:highlight w:val="none"/>
        </w:rPr>
      </w:pPr>
      <w:bookmarkStart w:id="127" w:name="_Toc27403"/>
      <w:bookmarkStart w:id="128" w:name="_Toc22266"/>
      <w:bookmarkStart w:id="129" w:name="_Toc30096"/>
      <w:bookmarkStart w:id="130" w:name="_Toc1492"/>
      <w:bookmarkStart w:id="131" w:name="_Toc27127"/>
      <w:r>
        <w:rPr>
          <w:rFonts w:hint="eastAsia" w:ascii="宋体" w:hAnsi="宋体" w:eastAsia="宋体" w:cs="宋体"/>
          <w:b/>
          <w:bCs/>
          <w:sz w:val="24"/>
          <w:highlight w:val="none"/>
        </w:rPr>
        <w:t>2.17履约保证金</w:t>
      </w:r>
      <w:bookmarkEnd w:id="127"/>
      <w:bookmarkEnd w:id="128"/>
      <w:bookmarkEnd w:id="129"/>
      <w:bookmarkEnd w:id="130"/>
      <w:bookmarkEnd w:id="131"/>
    </w:p>
    <w:p w14:paraId="5F9F153D">
      <w:pPr>
        <w:spacing w:line="560" w:lineRule="exact"/>
        <w:ind w:firstLine="480" w:firstLineChars="200"/>
        <w:rPr>
          <w:rFonts w:hint="eastAsia" w:ascii="宋体" w:hAnsi="宋体" w:eastAsia="宋体" w:cs="宋体"/>
          <w:color w:val="0000FF"/>
          <w:sz w:val="24"/>
          <w:highlight w:val="none"/>
        </w:rPr>
      </w:pPr>
      <w:r>
        <w:rPr>
          <w:rFonts w:hint="eastAsia" w:ascii="宋体" w:hAnsi="宋体" w:eastAsia="宋体" w:cs="宋体"/>
          <w:sz w:val="24"/>
          <w:highlight w:val="none"/>
        </w:rPr>
        <w:t>2.17.1采购文件要求乙方提交履约保证金的，乙方应按合同金额的计算向下取整至万元，以支票、汇票或者转账等非现金形式，在签订合同前5个日历日内向采购人交纳履约保证金；</w:t>
      </w:r>
    </w:p>
    <w:p w14:paraId="4A822E51">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2.17.2履约保证金在项目安装调试完成试运行3个月验收合格后5个工作日内，将履约保证金退还乙方；</w:t>
      </w:r>
    </w:p>
    <w:p w14:paraId="231DC118">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2.17.3如果乙方不履行合同，履约保证金不予退还；如果乙方未能按合同约定全面履行义务，那么甲方有权从履约保证金中取得补偿或赔偿，同时不影响甲方要求乙方承担合同约定的超过履约保证金的违约责任的权利。</w:t>
      </w:r>
    </w:p>
    <w:p w14:paraId="015F1911">
      <w:pPr>
        <w:spacing w:line="560" w:lineRule="exact"/>
        <w:ind w:firstLine="482" w:firstLineChars="200"/>
        <w:rPr>
          <w:rFonts w:hint="eastAsia" w:ascii="宋体" w:hAnsi="宋体" w:eastAsia="宋体" w:cs="宋体"/>
          <w:b/>
          <w:bCs/>
          <w:sz w:val="24"/>
          <w:highlight w:val="none"/>
        </w:rPr>
      </w:pPr>
      <w:r>
        <w:rPr>
          <w:rFonts w:hint="eastAsia" w:ascii="宋体" w:hAnsi="宋体" w:eastAsia="宋体" w:cs="宋体"/>
          <w:b/>
          <w:bCs/>
          <w:sz w:val="24"/>
          <w:highlight w:val="none"/>
        </w:rPr>
        <w:t>2.18合同份数</w:t>
      </w:r>
    </w:p>
    <w:p w14:paraId="6C89CE3D">
      <w:pPr>
        <w:spacing w:line="5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合同一式四份，甲乙双方各持2份，每份均具有同等法律效力。</w:t>
      </w:r>
    </w:p>
    <w:p w14:paraId="4D398079">
      <w:pPr>
        <w:pStyle w:val="6"/>
        <w:rPr>
          <w:rFonts w:hint="eastAsia" w:ascii="宋体" w:hAnsi="宋体" w:eastAsia="宋体" w:cs="宋体"/>
          <w:sz w:val="28"/>
          <w:szCs w:val="21"/>
          <w:highlight w:val="none"/>
        </w:rPr>
      </w:pPr>
    </w:p>
    <w:p w14:paraId="4C813A58">
      <w:pPr>
        <w:pStyle w:val="6"/>
        <w:rPr>
          <w:rFonts w:hint="eastAsia" w:ascii="宋体" w:hAnsi="宋体" w:eastAsia="宋体" w:cs="宋体"/>
          <w:kern w:val="44"/>
          <w:sz w:val="28"/>
          <w:szCs w:val="28"/>
          <w:highlight w:val="none"/>
        </w:rPr>
      </w:pPr>
      <w:r>
        <w:rPr>
          <w:rFonts w:hint="eastAsia" w:ascii="宋体" w:hAnsi="宋体" w:eastAsia="宋体" w:cs="宋体"/>
          <w:b/>
          <w:bCs/>
          <w:kern w:val="2"/>
          <w:sz w:val="32"/>
          <w:szCs w:val="32"/>
          <w:highlight w:val="none"/>
        </w:rPr>
        <w:t>（本合同仅供参考）</w:t>
      </w:r>
    </w:p>
    <w:p w14:paraId="2171E62E">
      <w:pPr>
        <w:pStyle w:val="28"/>
        <w:ind w:firstLine="560"/>
        <w:rPr>
          <w:rFonts w:hint="eastAsia" w:ascii="宋体" w:hAnsi="宋体" w:eastAsia="宋体" w:cs="宋体"/>
          <w:kern w:val="44"/>
          <w:sz w:val="28"/>
          <w:szCs w:val="28"/>
          <w:highlight w:val="none"/>
        </w:rPr>
      </w:pPr>
    </w:p>
    <w:p w14:paraId="12F9F596">
      <w:pPr>
        <w:rPr>
          <w:rFonts w:hint="eastAsia" w:ascii="宋体" w:hAnsi="宋体" w:eastAsia="宋体" w:cs="宋体"/>
          <w:color w:val="auto"/>
          <w:highlight w:val="red"/>
        </w:rPr>
      </w:pPr>
    </w:p>
    <w:p w14:paraId="383785CE">
      <w:pPr>
        <w:rPr>
          <w:rFonts w:hint="eastAsia" w:ascii="宋体" w:hAnsi="宋体" w:eastAsia="宋体" w:cs="宋体"/>
          <w:color w:val="auto"/>
          <w:sz w:val="24"/>
          <w:szCs w:val="24"/>
        </w:rPr>
      </w:pPr>
    </w:p>
    <w:bookmarkEnd w:id="22"/>
    <w:p w14:paraId="1C1995F5">
      <w:pPr>
        <w:spacing w:line="360" w:lineRule="auto"/>
        <w:rPr>
          <w:rFonts w:hint="eastAsia" w:ascii="宋体" w:hAnsi="宋体" w:eastAsia="宋体" w:cs="宋体"/>
          <w:sz w:val="28"/>
          <w:szCs w:val="28"/>
        </w:rPr>
      </w:pPr>
    </w:p>
    <w:p w14:paraId="720C5CE8">
      <w:pPr>
        <w:pStyle w:val="20"/>
        <w:rPr>
          <w:rFonts w:hint="eastAsia" w:ascii="宋体" w:hAnsi="宋体" w:eastAsia="宋体" w:cs="宋体"/>
          <w:color w:val="auto"/>
        </w:rPr>
      </w:pPr>
    </w:p>
    <w:p w14:paraId="1F4A3A60">
      <w:pPr>
        <w:pStyle w:val="25"/>
        <w:rPr>
          <w:rFonts w:hint="eastAsia" w:ascii="宋体" w:hAnsi="宋体" w:eastAsia="宋体" w:cs="宋体"/>
          <w:color w:val="auto"/>
        </w:rPr>
      </w:pPr>
      <w:bookmarkStart w:id="132" w:name="_Toc256000007"/>
      <w:r>
        <w:rPr>
          <w:rFonts w:hint="eastAsia" w:ascii="宋体" w:hAnsi="宋体" w:eastAsia="宋体" w:cs="宋体"/>
          <w:color w:val="auto"/>
          <w:highlight w:val="white"/>
        </w:rPr>
        <w:br w:type="column"/>
      </w:r>
      <w:r>
        <w:rPr>
          <w:rFonts w:hint="eastAsia" w:ascii="宋体" w:hAnsi="宋体" w:eastAsia="宋体" w:cs="宋体"/>
          <w:color w:val="auto"/>
          <w:highlight w:val="white"/>
        </w:rPr>
        <w:t>第</w:t>
      </w:r>
      <w:r>
        <w:rPr>
          <w:rFonts w:hint="eastAsia" w:ascii="宋体" w:hAnsi="宋体" w:eastAsia="宋体" w:cs="宋体"/>
          <w:color w:val="auto"/>
          <w:highlight w:val="white"/>
          <w:lang w:eastAsia="zh-CN"/>
        </w:rPr>
        <w:t>七</w:t>
      </w:r>
      <w:r>
        <w:rPr>
          <w:rFonts w:hint="eastAsia" w:ascii="宋体" w:hAnsi="宋体" w:eastAsia="宋体" w:cs="宋体"/>
          <w:color w:val="auto"/>
          <w:highlight w:val="white"/>
        </w:rPr>
        <w:t>章 采购响应文件格式</w:t>
      </w:r>
      <w:bookmarkEnd w:id="132"/>
    </w:p>
    <w:p w14:paraId="65C2276E">
      <w:pPr>
        <w:rPr>
          <w:rFonts w:hint="eastAsia" w:ascii="宋体" w:hAnsi="宋体" w:eastAsia="宋体" w:cs="宋体"/>
          <w:color w:val="auto"/>
          <w:sz w:val="24"/>
          <w:szCs w:val="24"/>
        </w:rPr>
      </w:pPr>
    </w:p>
    <w:p w14:paraId="5C1A1AC0">
      <w:pPr>
        <w:pStyle w:val="20"/>
        <w:rPr>
          <w:rFonts w:hint="eastAsia" w:ascii="宋体" w:hAnsi="宋体" w:eastAsia="宋体" w:cs="宋体"/>
          <w:color w:val="auto"/>
          <w:sz w:val="24"/>
          <w:szCs w:val="24"/>
        </w:rPr>
      </w:pPr>
    </w:p>
    <w:p w14:paraId="532BAD41">
      <w:pPr>
        <w:jc w:val="center"/>
        <w:rPr>
          <w:rFonts w:hint="eastAsia" w:ascii="宋体" w:hAnsi="宋体" w:eastAsia="宋体" w:cs="宋体"/>
          <w:b/>
          <w:color w:val="auto"/>
          <w:sz w:val="28"/>
          <w:szCs w:val="24"/>
        </w:rPr>
      </w:pPr>
      <w:r>
        <w:rPr>
          <w:rFonts w:hint="eastAsia" w:ascii="宋体" w:hAnsi="宋体" w:eastAsia="宋体" w:cs="宋体"/>
          <w:b/>
          <w:color w:val="auto"/>
          <w:sz w:val="28"/>
          <w:szCs w:val="24"/>
          <w:highlight w:val="white"/>
        </w:rPr>
        <w:t>响应文件封面格式</w:t>
      </w:r>
    </w:p>
    <w:p w14:paraId="601EF09F">
      <w:pPr>
        <w:spacing w:after="120" w:line="360" w:lineRule="auto"/>
        <w:jc w:val="right"/>
        <w:rPr>
          <w:rFonts w:hint="eastAsia" w:ascii="宋体" w:hAnsi="宋体" w:eastAsia="宋体" w:cs="宋体"/>
          <w:b/>
          <w:color w:val="auto"/>
          <w:sz w:val="56"/>
        </w:rPr>
      </w:pPr>
    </w:p>
    <w:p w14:paraId="59DC937D">
      <w:pPr>
        <w:spacing w:after="600" w:line="360" w:lineRule="auto"/>
        <w:jc w:val="center"/>
        <w:rPr>
          <w:rFonts w:hint="eastAsia" w:ascii="宋体" w:hAnsi="宋体" w:eastAsia="宋体" w:cs="宋体"/>
          <w:b/>
          <w:color w:val="auto"/>
          <w:sz w:val="48"/>
          <w:szCs w:val="48"/>
        </w:rPr>
      </w:pPr>
      <w:r>
        <w:rPr>
          <w:rFonts w:hint="eastAsia" w:ascii="宋体" w:hAnsi="宋体" w:eastAsia="宋体" w:cs="宋体"/>
          <w:b/>
          <w:color w:val="auto"/>
          <w:sz w:val="48"/>
          <w:szCs w:val="48"/>
          <w:highlight w:val="white"/>
        </w:rPr>
        <w:t>XX项目</w:t>
      </w:r>
    </w:p>
    <w:p w14:paraId="14EC81EF">
      <w:pPr>
        <w:spacing w:after="600" w:line="360" w:lineRule="auto"/>
        <w:jc w:val="center"/>
        <w:rPr>
          <w:rFonts w:hint="eastAsia" w:ascii="宋体" w:hAnsi="宋体" w:eastAsia="宋体" w:cs="宋体"/>
          <w:b/>
          <w:color w:val="auto"/>
          <w:sz w:val="56"/>
          <w:szCs w:val="56"/>
        </w:rPr>
      </w:pPr>
      <w:r>
        <w:rPr>
          <w:rFonts w:hint="eastAsia" w:ascii="宋体" w:hAnsi="宋体" w:eastAsia="宋体" w:cs="宋体"/>
          <w:b/>
          <w:color w:val="auto"/>
          <w:sz w:val="56"/>
          <w:szCs w:val="56"/>
          <w:highlight w:val="white"/>
        </w:rPr>
        <w:t>响应文件</w:t>
      </w:r>
    </w:p>
    <w:p w14:paraId="2A74507C">
      <w:pPr>
        <w:spacing w:line="360" w:lineRule="auto"/>
        <w:rPr>
          <w:rFonts w:hint="eastAsia" w:ascii="宋体" w:hAnsi="宋体" w:eastAsia="宋体" w:cs="宋体"/>
          <w:b/>
          <w:color w:val="auto"/>
          <w:sz w:val="32"/>
          <w:szCs w:val="32"/>
        </w:rPr>
      </w:pPr>
    </w:p>
    <w:p w14:paraId="6893F8EB">
      <w:pPr>
        <w:spacing w:line="360" w:lineRule="auto"/>
        <w:rPr>
          <w:rFonts w:hint="eastAsia" w:ascii="宋体" w:hAnsi="宋体" w:eastAsia="宋体" w:cs="宋体"/>
          <w:b/>
          <w:color w:val="auto"/>
          <w:sz w:val="32"/>
          <w:szCs w:val="32"/>
        </w:rPr>
      </w:pPr>
    </w:p>
    <w:p w14:paraId="5B7BEFF8">
      <w:pPr>
        <w:spacing w:line="360" w:lineRule="auto"/>
        <w:rPr>
          <w:rFonts w:hint="eastAsia" w:ascii="宋体" w:hAnsi="宋体" w:eastAsia="宋体" w:cs="宋体"/>
          <w:b/>
          <w:color w:val="auto"/>
          <w:sz w:val="32"/>
          <w:szCs w:val="32"/>
        </w:rPr>
      </w:pPr>
    </w:p>
    <w:p w14:paraId="5D6873E8">
      <w:pPr>
        <w:spacing w:line="360" w:lineRule="auto"/>
        <w:rPr>
          <w:rFonts w:hint="eastAsia" w:ascii="宋体" w:hAnsi="宋体" w:eastAsia="宋体" w:cs="宋体"/>
          <w:b/>
          <w:color w:val="auto"/>
          <w:sz w:val="32"/>
          <w:szCs w:val="32"/>
        </w:rPr>
      </w:pPr>
    </w:p>
    <w:p w14:paraId="1B783507">
      <w:pPr>
        <w:spacing w:line="360" w:lineRule="auto"/>
        <w:rPr>
          <w:rFonts w:hint="eastAsia" w:ascii="宋体" w:hAnsi="宋体" w:eastAsia="宋体" w:cs="宋体"/>
          <w:b/>
          <w:color w:val="auto"/>
          <w:sz w:val="32"/>
          <w:szCs w:val="32"/>
        </w:rPr>
      </w:pPr>
    </w:p>
    <w:p w14:paraId="2B48B5E3">
      <w:pPr>
        <w:topLinePunct/>
        <w:spacing w:line="360" w:lineRule="auto"/>
        <w:ind w:left="840" w:leftChars="400"/>
        <w:jc w:val="left"/>
        <w:rPr>
          <w:rFonts w:hint="eastAsia" w:ascii="宋体" w:hAnsi="宋体" w:eastAsia="宋体" w:cs="宋体"/>
          <w:bCs/>
          <w:color w:val="auto"/>
          <w:sz w:val="28"/>
          <w:szCs w:val="28"/>
          <w:u w:val="single"/>
        </w:rPr>
      </w:pPr>
      <w:r>
        <w:rPr>
          <w:rFonts w:hint="eastAsia" w:ascii="宋体" w:hAnsi="宋体" w:eastAsia="宋体" w:cs="宋体"/>
          <w:b/>
          <w:color w:val="auto"/>
          <w:sz w:val="28"/>
          <w:szCs w:val="28"/>
          <w:highlight w:val="white"/>
          <w:lang w:eastAsia="zh-CN"/>
        </w:rPr>
        <w:t>项目编号：</w:t>
      </w:r>
      <w:r>
        <w:rPr>
          <w:rFonts w:hint="eastAsia" w:ascii="宋体" w:hAnsi="宋体" w:eastAsia="宋体" w:cs="宋体"/>
          <w:bCs/>
          <w:color w:val="auto"/>
          <w:sz w:val="28"/>
          <w:szCs w:val="28"/>
          <w:highlight w:val="white"/>
          <w:u w:val="single"/>
        </w:rPr>
        <w:t xml:space="preserve">                                       </w:t>
      </w:r>
    </w:p>
    <w:p w14:paraId="1E9BC5BF">
      <w:pPr>
        <w:topLinePunct/>
        <w:spacing w:line="360" w:lineRule="auto"/>
        <w:ind w:left="840" w:leftChars="400"/>
        <w:jc w:val="left"/>
        <w:rPr>
          <w:rFonts w:hint="eastAsia" w:ascii="宋体" w:hAnsi="宋体" w:eastAsia="宋体" w:cs="宋体"/>
          <w:bCs/>
          <w:color w:val="auto"/>
          <w:sz w:val="28"/>
          <w:szCs w:val="28"/>
          <w:u w:val="single"/>
        </w:rPr>
      </w:pPr>
      <w:r>
        <w:rPr>
          <w:rFonts w:hint="eastAsia" w:ascii="宋体" w:hAnsi="宋体" w:eastAsia="宋体" w:cs="宋体"/>
          <w:b/>
          <w:color w:val="auto"/>
          <w:sz w:val="28"/>
          <w:szCs w:val="28"/>
          <w:highlight w:val="white"/>
        </w:rPr>
        <w:t>供 应 商（公章）：</w:t>
      </w:r>
      <w:r>
        <w:rPr>
          <w:rFonts w:hint="eastAsia" w:ascii="宋体" w:hAnsi="宋体" w:eastAsia="宋体" w:cs="宋体"/>
          <w:bCs/>
          <w:color w:val="auto"/>
          <w:sz w:val="28"/>
          <w:szCs w:val="28"/>
          <w:highlight w:val="white"/>
          <w:u w:val="single"/>
        </w:rPr>
        <w:t xml:space="preserve">                               </w:t>
      </w:r>
    </w:p>
    <w:p w14:paraId="30888369">
      <w:pPr>
        <w:topLinePunct/>
        <w:spacing w:line="360" w:lineRule="auto"/>
        <w:ind w:left="840" w:leftChars="400"/>
        <w:jc w:val="left"/>
        <w:rPr>
          <w:rFonts w:hint="eastAsia" w:ascii="宋体" w:hAnsi="宋体" w:eastAsia="宋体" w:cs="宋体"/>
          <w:bCs/>
          <w:color w:val="auto"/>
          <w:sz w:val="28"/>
          <w:szCs w:val="28"/>
          <w:u w:val="single"/>
        </w:rPr>
      </w:pPr>
      <w:r>
        <w:rPr>
          <w:rFonts w:hint="eastAsia" w:ascii="宋体" w:hAnsi="宋体" w:eastAsia="宋体" w:cs="宋体"/>
          <w:b/>
          <w:color w:val="auto"/>
          <w:sz w:val="28"/>
          <w:szCs w:val="28"/>
          <w:highlight w:val="white"/>
        </w:rPr>
        <w:t>法定代表人或授权委托人（签字）：</w:t>
      </w:r>
      <w:r>
        <w:rPr>
          <w:rFonts w:hint="eastAsia" w:ascii="宋体" w:hAnsi="宋体" w:eastAsia="宋体" w:cs="宋体"/>
          <w:bCs/>
          <w:color w:val="auto"/>
          <w:sz w:val="28"/>
          <w:szCs w:val="28"/>
          <w:highlight w:val="white"/>
          <w:u w:val="single"/>
        </w:rPr>
        <w:t xml:space="preserve">                 </w:t>
      </w:r>
    </w:p>
    <w:p w14:paraId="08185FFF">
      <w:pPr>
        <w:spacing w:before="240" w:beforeLines="100" w:line="360" w:lineRule="auto"/>
        <w:jc w:val="center"/>
        <w:rPr>
          <w:rFonts w:hint="eastAsia" w:ascii="宋体" w:hAnsi="宋体" w:eastAsia="宋体" w:cs="宋体"/>
          <w:bCs/>
          <w:color w:val="auto"/>
          <w:sz w:val="28"/>
          <w:szCs w:val="18"/>
          <w:u w:val="single"/>
        </w:rPr>
      </w:pPr>
      <w:r>
        <w:rPr>
          <w:rFonts w:hint="eastAsia" w:ascii="宋体" w:hAnsi="宋体" w:eastAsia="宋体" w:cs="宋体"/>
          <w:bCs/>
          <w:color w:val="auto"/>
          <w:sz w:val="28"/>
          <w:szCs w:val="28"/>
          <w:highlight w:val="white"/>
        </w:rPr>
        <w:t>日期：</w:t>
      </w:r>
      <w:r>
        <w:rPr>
          <w:rFonts w:hint="eastAsia" w:ascii="宋体" w:hAnsi="宋体" w:eastAsia="宋体" w:cs="宋体"/>
          <w:bCs/>
          <w:color w:val="auto"/>
          <w:sz w:val="28"/>
          <w:szCs w:val="32"/>
          <w:highlight w:val="white"/>
          <w:u w:val="single"/>
        </w:rPr>
        <w:t xml:space="preserve">      </w:t>
      </w:r>
      <w:r>
        <w:rPr>
          <w:rFonts w:hint="eastAsia" w:ascii="宋体" w:hAnsi="宋体" w:eastAsia="宋体" w:cs="宋体"/>
          <w:bCs/>
          <w:color w:val="auto"/>
          <w:sz w:val="28"/>
          <w:szCs w:val="32"/>
          <w:highlight w:val="white"/>
        </w:rPr>
        <w:t>年</w:t>
      </w:r>
      <w:r>
        <w:rPr>
          <w:rFonts w:hint="eastAsia" w:ascii="宋体" w:hAnsi="宋体" w:eastAsia="宋体" w:cs="宋体"/>
          <w:bCs/>
          <w:color w:val="auto"/>
          <w:sz w:val="28"/>
          <w:szCs w:val="32"/>
          <w:highlight w:val="white"/>
          <w:u w:val="single"/>
        </w:rPr>
        <w:t xml:space="preserve">    </w:t>
      </w:r>
      <w:r>
        <w:rPr>
          <w:rFonts w:hint="eastAsia" w:ascii="宋体" w:hAnsi="宋体" w:eastAsia="宋体" w:cs="宋体"/>
          <w:bCs/>
          <w:color w:val="auto"/>
          <w:sz w:val="28"/>
          <w:szCs w:val="32"/>
          <w:highlight w:val="white"/>
        </w:rPr>
        <w:t>月</w:t>
      </w:r>
      <w:r>
        <w:rPr>
          <w:rFonts w:hint="eastAsia" w:ascii="宋体" w:hAnsi="宋体" w:eastAsia="宋体" w:cs="宋体"/>
          <w:bCs/>
          <w:color w:val="auto"/>
          <w:sz w:val="28"/>
          <w:szCs w:val="32"/>
          <w:highlight w:val="white"/>
          <w:u w:val="single"/>
        </w:rPr>
        <w:t xml:space="preserve">    </w:t>
      </w:r>
      <w:r>
        <w:rPr>
          <w:rFonts w:hint="eastAsia" w:ascii="宋体" w:hAnsi="宋体" w:eastAsia="宋体" w:cs="宋体"/>
          <w:bCs/>
          <w:color w:val="auto"/>
          <w:sz w:val="28"/>
          <w:szCs w:val="32"/>
          <w:highlight w:val="white"/>
        </w:rPr>
        <w:t>日</w:t>
      </w:r>
    </w:p>
    <w:p w14:paraId="27CE51E5">
      <w:pPr>
        <w:jc w:val="center"/>
        <w:rPr>
          <w:rFonts w:hint="eastAsia" w:ascii="宋体" w:hAnsi="宋体" w:eastAsia="宋体" w:cs="宋体"/>
          <w:b/>
          <w:color w:val="auto"/>
          <w:sz w:val="28"/>
          <w:szCs w:val="24"/>
        </w:rPr>
      </w:pPr>
    </w:p>
    <w:p w14:paraId="3302D72B">
      <w:pPr>
        <w:pStyle w:val="11"/>
        <w:spacing w:after="240" w:afterLines="100" w:line="360" w:lineRule="auto"/>
        <w:ind w:firstLine="0"/>
        <w:rPr>
          <w:rFonts w:hint="eastAsia" w:ascii="宋体" w:hAnsi="宋体" w:eastAsia="宋体" w:cs="宋体"/>
          <w:color w:val="auto"/>
          <w:sz w:val="28"/>
        </w:rPr>
      </w:pPr>
    </w:p>
    <w:p w14:paraId="19F59889">
      <w:pPr>
        <w:pStyle w:val="11"/>
        <w:spacing w:after="240" w:afterLines="100" w:line="360" w:lineRule="auto"/>
        <w:ind w:firstLine="0"/>
        <w:rPr>
          <w:rFonts w:hint="eastAsia" w:ascii="宋体" w:hAnsi="宋体" w:eastAsia="宋体" w:cs="宋体"/>
          <w:color w:val="auto"/>
          <w:sz w:val="28"/>
        </w:rPr>
      </w:pPr>
    </w:p>
    <w:p w14:paraId="5B4F7B47">
      <w:pPr>
        <w:pStyle w:val="3"/>
        <w:rPr>
          <w:rFonts w:hint="eastAsia" w:ascii="宋体" w:hAnsi="宋体" w:eastAsia="宋体" w:cs="宋体"/>
          <w:b/>
          <w:bCs w:val="0"/>
          <w:color w:val="auto"/>
          <w:highlight w:val="white"/>
        </w:rPr>
      </w:pPr>
      <w:bookmarkStart w:id="133" w:name="_Toc256000008"/>
    </w:p>
    <w:p w14:paraId="5B0A57B8">
      <w:pPr>
        <w:pStyle w:val="3"/>
        <w:rPr>
          <w:rFonts w:hint="eastAsia" w:ascii="宋体" w:hAnsi="宋体" w:eastAsia="宋体" w:cs="宋体"/>
          <w:b/>
          <w:bCs w:val="0"/>
          <w:color w:val="auto"/>
          <w:highlight w:val="white"/>
        </w:rPr>
      </w:pPr>
    </w:p>
    <w:p w14:paraId="17B4CF25">
      <w:pPr>
        <w:pStyle w:val="3"/>
        <w:rPr>
          <w:rFonts w:hint="eastAsia" w:ascii="宋体" w:hAnsi="宋体" w:eastAsia="宋体" w:cs="宋体"/>
          <w:b/>
          <w:bCs w:val="0"/>
          <w:color w:val="auto"/>
          <w:highlight w:val="white"/>
        </w:rPr>
      </w:pPr>
    </w:p>
    <w:p w14:paraId="28083787">
      <w:pPr>
        <w:pStyle w:val="3"/>
        <w:rPr>
          <w:rFonts w:hint="eastAsia" w:ascii="宋体" w:hAnsi="宋体" w:eastAsia="宋体" w:cs="宋体"/>
          <w:b/>
          <w:bCs w:val="0"/>
          <w:color w:val="auto"/>
          <w:highlight w:val="white"/>
        </w:rPr>
      </w:pPr>
    </w:p>
    <w:p w14:paraId="3947B829">
      <w:pPr>
        <w:pStyle w:val="3"/>
        <w:jc w:val="center"/>
        <w:rPr>
          <w:rFonts w:hint="eastAsia" w:ascii="宋体" w:hAnsi="宋体" w:eastAsia="宋体" w:cs="宋体"/>
          <w:b/>
          <w:bCs w:val="0"/>
          <w:color w:val="auto"/>
        </w:rPr>
      </w:pPr>
      <w:r>
        <w:rPr>
          <w:rFonts w:hint="eastAsia" w:ascii="宋体" w:hAnsi="宋体" w:eastAsia="宋体" w:cs="宋体"/>
          <w:b/>
          <w:bCs w:val="0"/>
          <w:color w:val="auto"/>
          <w:highlight w:val="white"/>
        </w:rPr>
        <w:t>一、资格证明文件</w:t>
      </w:r>
      <w:bookmarkEnd w:id="133"/>
    </w:p>
    <w:p w14:paraId="496985C6">
      <w:pPr>
        <w:spacing w:line="480" w:lineRule="auto"/>
        <w:jc w:val="center"/>
        <w:rPr>
          <w:rFonts w:hint="eastAsia" w:ascii="宋体" w:hAnsi="宋体" w:eastAsia="宋体" w:cs="宋体"/>
          <w:color w:val="auto"/>
          <w:sz w:val="28"/>
          <w:highlight w:val="white"/>
          <w:lang w:eastAsia="zh-CN"/>
        </w:rPr>
        <w:sectPr>
          <w:headerReference r:id="rId7" w:type="default"/>
          <w:footerReference r:id="rId8" w:type="default"/>
          <w:pgSz w:w="11907" w:h="16840"/>
          <w:pgMar w:top="1440" w:right="1080" w:bottom="1440" w:left="1080" w:header="720" w:footer="720" w:gutter="0"/>
          <w:pgBorders>
            <w:top w:val="none" w:sz="0" w:space="0"/>
            <w:left w:val="none" w:sz="0" w:space="0"/>
            <w:bottom w:val="none" w:sz="0" w:space="0"/>
            <w:right w:val="none" w:sz="0" w:space="0"/>
          </w:pgBorders>
          <w:pgNumType w:fmt="decimal"/>
          <w:cols w:space="720" w:num="1"/>
          <w:docGrid w:linePitch="285" w:charSpace="0"/>
        </w:sectPr>
      </w:pPr>
    </w:p>
    <w:p w14:paraId="3C693C6C">
      <w:pPr>
        <w:spacing w:line="480" w:lineRule="auto"/>
        <w:jc w:val="center"/>
        <w:rPr>
          <w:rFonts w:hint="eastAsia" w:ascii="宋体" w:hAnsi="宋体" w:eastAsia="宋体" w:cs="宋体"/>
          <w:color w:val="auto"/>
          <w:sz w:val="28"/>
        </w:rPr>
      </w:pPr>
      <w:r>
        <w:rPr>
          <w:rFonts w:hint="eastAsia" w:ascii="宋体" w:hAnsi="宋体" w:eastAsia="宋体" w:cs="宋体"/>
          <w:color w:val="auto"/>
          <w:sz w:val="28"/>
          <w:highlight w:val="white"/>
          <w:lang w:eastAsia="zh-CN"/>
        </w:rPr>
        <w:t>（</w:t>
      </w:r>
      <w:r>
        <w:rPr>
          <w:rFonts w:hint="eastAsia" w:ascii="宋体" w:hAnsi="宋体" w:eastAsia="宋体" w:cs="宋体"/>
          <w:color w:val="auto"/>
          <w:sz w:val="28"/>
          <w:highlight w:val="white"/>
          <w:lang w:val="en-US" w:eastAsia="zh-CN"/>
        </w:rPr>
        <w:t>1</w:t>
      </w:r>
      <w:r>
        <w:rPr>
          <w:rFonts w:hint="eastAsia" w:ascii="宋体" w:hAnsi="宋体" w:eastAsia="宋体" w:cs="宋体"/>
          <w:color w:val="auto"/>
          <w:sz w:val="28"/>
          <w:highlight w:val="white"/>
          <w:lang w:eastAsia="zh-CN"/>
        </w:rPr>
        <w:t>）</w:t>
      </w:r>
      <w:r>
        <w:rPr>
          <w:rFonts w:hint="eastAsia" w:ascii="宋体" w:hAnsi="宋体" w:eastAsia="宋体" w:cs="宋体"/>
          <w:color w:val="auto"/>
          <w:sz w:val="28"/>
          <w:highlight w:val="white"/>
        </w:rPr>
        <w:t>法定代表人身份证明书</w:t>
      </w:r>
    </w:p>
    <w:p w14:paraId="66DDA751">
      <w:pPr>
        <w:spacing w:line="480" w:lineRule="auto"/>
        <w:rPr>
          <w:rFonts w:hint="eastAsia" w:ascii="宋体" w:hAnsi="宋体" w:eastAsia="宋体" w:cs="宋体"/>
          <w:color w:val="auto"/>
          <w:sz w:val="24"/>
        </w:rPr>
      </w:pPr>
      <w:r>
        <w:rPr>
          <w:rFonts w:hint="eastAsia" w:ascii="宋体" w:hAnsi="宋体" w:eastAsia="宋体" w:cs="宋体"/>
          <w:color w:val="auto"/>
          <w:sz w:val="24"/>
          <w:highlight w:val="white"/>
        </w:rPr>
        <w:t>单位名称：</w:t>
      </w:r>
      <w:r>
        <w:rPr>
          <w:rFonts w:hint="eastAsia" w:ascii="宋体" w:hAnsi="宋体" w:eastAsia="宋体" w:cs="宋体"/>
          <w:color w:val="auto"/>
          <w:sz w:val="24"/>
          <w:highlight w:val="white"/>
          <w:u w:val="single"/>
        </w:rPr>
        <w:t xml:space="preserve">                                            </w:t>
      </w:r>
    </w:p>
    <w:p w14:paraId="34A426D4">
      <w:pPr>
        <w:spacing w:line="480" w:lineRule="auto"/>
        <w:rPr>
          <w:rFonts w:hint="eastAsia" w:ascii="宋体" w:hAnsi="宋体" w:eastAsia="宋体" w:cs="宋体"/>
          <w:color w:val="auto"/>
          <w:sz w:val="24"/>
        </w:rPr>
      </w:pPr>
      <w:r>
        <w:rPr>
          <w:rFonts w:hint="eastAsia" w:ascii="宋体" w:hAnsi="宋体" w:eastAsia="宋体" w:cs="宋体"/>
          <w:color w:val="auto"/>
          <w:sz w:val="24"/>
          <w:highlight w:val="white"/>
        </w:rPr>
        <w:t>单位性质：</w:t>
      </w:r>
      <w:r>
        <w:rPr>
          <w:rFonts w:hint="eastAsia" w:ascii="宋体" w:hAnsi="宋体" w:eastAsia="宋体" w:cs="宋体"/>
          <w:color w:val="auto"/>
          <w:sz w:val="24"/>
          <w:highlight w:val="white"/>
          <w:u w:val="single"/>
        </w:rPr>
        <w:t xml:space="preserve">                                            </w:t>
      </w:r>
    </w:p>
    <w:p w14:paraId="3BFFDEC9">
      <w:pPr>
        <w:spacing w:line="480" w:lineRule="auto"/>
        <w:rPr>
          <w:rFonts w:hint="eastAsia" w:ascii="宋体" w:hAnsi="宋体" w:eastAsia="宋体" w:cs="宋体"/>
          <w:color w:val="auto"/>
          <w:sz w:val="24"/>
          <w:u w:val="single"/>
        </w:rPr>
      </w:pPr>
      <w:r>
        <w:rPr>
          <w:rFonts w:hint="eastAsia" w:ascii="宋体" w:hAnsi="宋体" w:eastAsia="宋体" w:cs="宋体"/>
          <w:color w:val="auto"/>
          <w:sz w:val="24"/>
          <w:highlight w:val="white"/>
        </w:rPr>
        <w:t>地    址：</w:t>
      </w:r>
      <w:r>
        <w:rPr>
          <w:rFonts w:hint="eastAsia" w:ascii="宋体" w:hAnsi="宋体" w:eastAsia="宋体" w:cs="宋体"/>
          <w:color w:val="auto"/>
          <w:sz w:val="24"/>
          <w:highlight w:val="white"/>
          <w:u w:val="single"/>
        </w:rPr>
        <w:t xml:space="preserve">                                            </w:t>
      </w:r>
    </w:p>
    <w:p w14:paraId="06629671">
      <w:pPr>
        <w:spacing w:line="480" w:lineRule="auto"/>
        <w:rPr>
          <w:rFonts w:hint="eastAsia" w:ascii="宋体" w:hAnsi="宋体" w:eastAsia="宋体" w:cs="宋体"/>
          <w:color w:val="auto"/>
          <w:sz w:val="24"/>
        </w:rPr>
      </w:pPr>
      <w:r>
        <w:rPr>
          <w:rFonts w:hint="eastAsia" w:ascii="宋体" w:hAnsi="宋体" w:eastAsia="宋体" w:cs="宋体"/>
          <w:color w:val="auto"/>
          <w:sz w:val="24"/>
          <w:highlight w:val="white"/>
        </w:rPr>
        <w:t>成立时间：</w:t>
      </w:r>
      <w:r>
        <w:rPr>
          <w:rFonts w:hint="eastAsia" w:ascii="宋体" w:hAnsi="宋体" w:eastAsia="宋体" w:cs="宋体"/>
          <w:color w:val="auto"/>
          <w:sz w:val="24"/>
          <w:highlight w:val="white"/>
          <w:u w:val="single"/>
        </w:rPr>
        <w:t xml:space="preserve">          </w:t>
      </w:r>
      <w:r>
        <w:rPr>
          <w:rFonts w:hint="eastAsia" w:ascii="宋体" w:hAnsi="宋体" w:eastAsia="宋体" w:cs="宋体"/>
          <w:color w:val="auto"/>
          <w:sz w:val="24"/>
          <w:highlight w:val="white"/>
        </w:rPr>
        <w:t>年</w:t>
      </w:r>
      <w:r>
        <w:rPr>
          <w:rFonts w:hint="eastAsia" w:ascii="宋体" w:hAnsi="宋体" w:eastAsia="宋体" w:cs="宋体"/>
          <w:color w:val="auto"/>
          <w:sz w:val="24"/>
          <w:highlight w:val="white"/>
          <w:u w:val="single"/>
        </w:rPr>
        <w:t xml:space="preserve">        </w:t>
      </w:r>
      <w:r>
        <w:rPr>
          <w:rFonts w:hint="eastAsia" w:ascii="宋体" w:hAnsi="宋体" w:eastAsia="宋体" w:cs="宋体"/>
          <w:color w:val="auto"/>
          <w:sz w:val="24"/>
          <w:highlight w:val="white"/>
        </w:rPr>
        <w:t>月</w:t>
      </w:r>
      <w:r>
        <w:rPr>
          <w:rFonts w:hint="eastAsia" w:ascii="宋体" w:hAnsi="宋体" w:eastAsia="宋体" w:cs="宋体"/>
          <w:color w:val="auto"/>
          <w:sz w:val="24"/>
          <w:highlight w:val="white"/>
          <w:u w:val="single"/>
        </w:rPr>
        <w:t xml:space="preserve">        </w:t>
      </w:r>
      <w:r>
        <w:rPr>
          <w:rFonts w:hint="eastAsia" w:ascii="宋体" w:hAnsi="宋体" w:eastAsia="宋体" w:cs="宋体"/>
          <w:color w:val="auto"/>
          <w:sz w:val="24"/>
          <w:highlight w:val="white"/>
        </w:rPr>
        <w:t>日</w:t>
      </w:r>
    </w:p>
    <w:p w14:paraId="3A62EE1C">
      <w:pPr>
        <w:spacing w:line="480" w:lineRule="auto"/>
        <w:rPr>
          <w:rFonts w:hint="eastAsia" w:ascii="宋体" w:hAnsi="宋体" w:eastAsia="宋体" w:cs="宋体"/>
          <w:color w:val="auto"/>
          <w:sz w:val="24"/>
          <w:u w:val="single"/>
        </w:rPr>
      </w:pPr>
      <w:r>
        <w:rPr>
          <w:rFonts w:hint="eastAsia" w:ascii="宋体" w:hAnsi="宋体" w:eastAsia="宋体" w:cs="宋体"/>
          <w:color w:val="auto"/>
          <w:sz w:val="24"/>
          <w:highlight w:val="white"/>
        </w:rPr>
        <w:t>经营期限：</w:t>
      </w:r>
      <w:r>
        <w:rPr>
          <w:rFonts w:hint="eastAsia" w:ascii="宋体" w:hAnsi="宋体" w:eastAsia="宋体" w:cs="宋体"/>
          <w:color w:val="auto"/>
          <w:sz w:val="24"/>
          <w:highlight w:val="white"/>
        </w:rPr>
        <w:tab/>
      </w:r>
      <w:r>
        <w:rPr>
          <w:rFonts w:hint="eastAsia" w:ascii="宋体" w:hAnsi="宋体" w:eastAsia="宋体" w:cs="宋体"/>
          <w:color w:val="auto"/>
          <w:sz w:val="24"/>
          <w:highlight w:val="white"/>
          <w:u w:val="single"/>
        </w:rPr>
        <w:t xml:space="preserve">                            </w:t>
      </w:r>
      <w:r>
        <w:rPr>
          <w:rFonts w:hint="eastAsia" w:ascii="宋体" w:hAnsi="宋体" w:eastAsia="宋体" w:cs="宋体"/>
          <w:color w:val="auto"/>
          <w:sz w:val="24"/>
          <w:highlight w:val="white"/>
          <w:u w:val="single"/>
        </w:rPr>
        <w:tab/>
      </w:r>
      <w:r>
        <w:rPr>
          <w:rFonts w:hint="eastAsia" w:ascii="宋体" w:hAnsi="宋体" w:eastAsia="宋体" w:cs="宋体"/>
          <w:color w:val="auto"/>
          <w:sz w:val="24"/>
          <w:highlight w:val="white"/>
          <w:u w:val="single"/>
        </w:rPr>
        <w:t xml:space="preserve">               </w:t>
      </w:r>
    </w:p>
    <w:p w14:paraId="774770AE">
      <w:pPr>
        <w:spacing w:line="480" w:lineRule="auto"/>
        <w:rPr>
          <w:rFonts w:hint="eastAsia" w:ascii="宋体" w:hAnsi="宋体" w:eastAsia="宋体" w:cs="宋体"/>
          <w:color w:val="auto"/>
          <w:sz w:val="24"/>
        </w:rPr>
      </w:pPr>
      <w:r>
        <w:rPr>
          <w:rFonts w:hint="eastAsia" w:ascii="宋体" w:hAnsi="宋体" w:eastAsia="宋体" w:cs="宋体"/>
          <w:color w:val="auto"/>
          <w:sz w:val="24"/>
          <w:highlight w:val="white"/>
        </w:rPr>
        <w:t>姓    名：</w:t>
      </w:r>
      <w:r>
        <w:rPr>
          <w:rFonts w:hint="eastAsia" w:ascii="宋体" w:hAnsi="宋体" w:eastAsia="宋体" w:cs="宋体"/>
          <w:color w:val="auto"/>
          <w:sz w:val="24"/>
          <w:highlight w:val="white"/>
          <w:u w:val="single"/>
        </w:rPr>
        <w:t xml:space="preserve">         </w:t>
      </w:r>
      <w:r>
        <w:rPr>
          <w:rFonts w:hint="eastAsia" w:ascii="宋体" w:hAnsi="宋体" w:eastAsia="宋体" w:cs="宋体"/>
          <w:color w:val="auto"/>
          <w:sz w:val="24"/>
          <w:highlight w:val="white"/>
        </w:rPr>
        <w:t>性别：</w:t>
      </w:r>
      <w:r>
        <w:rPr>
          <w:rFonts w:hint="eastAsia" w:ascii="宋体" w:hAnsi="宋体" w:eastAsia="宋体" w:cs="宋体"/>
          <w:color w:val="auto"/>
          <w:sz w:val="24"/>
          <w:highlight w:val="white"/>
          <w:u w:val="single"/>
        </w:rPr>
        <w:t xml:space="preserve">    </w:t>
      </w:r>
      <w:r>
        <w:rPr>
          <w:rFonts w:hint="eastAsia" w:ascii="宋体" w:hAnsi="宋体" w:eastAsia="宋体" w:cs="宋体"/>
          <w:color w:val="auto"/>
          <w:sz w:val="24"/>
          <w:highlight w:val="white"/>
        </w:rPr>
        <w:t>年龄：</w:t>
      </w:r>
      <w:r>
        <w:rPr>
          <w:rFonts w:hint="eastAsia" w:ascii="宋体" w:hAnsi="宋体" w:eastAsia="宋体" w:cs="宋体"/>
          <w:color w:val="auto"/>
          <w:sz w:val="24"/>
          <w:highlight w:val="white"/>
          <w:u w:val="single"/>
        </w:rPr>
        <w:t xml:space="preserve">      </w:t>
      </w:r>
      <w:r>
        <w:rPr>
          <w:rFonts w:hint="eastAsia" w:ascii="宋体" w:hAnsi="宋体" w:eastAsia="宋体" w:cs="宋体"/>
          <w:color w:val="auto"/>
          <w:sz w:val="24"/>
          <w:highlight w:val="white"/>
        </w:rPr>
        <w:t>职务：</w:t>
      </w:r>
      <w:r>
        <w:rPr>
          <w:rFonts w:hint="eastAsia" w:ascii="宋体" w:hAnsi="宋体" w:eastAsia="宋体" w:cs="宋体"/>
          <w:color w:val="auto"/>
          <w:sz w:val="24"/>
          <w:highlight w:val="white"/>
          <w:u w:val="single"/>
        </w:rPr>
        <w:t xml:space="preserve">      </w:t>
      </w:r>
      <w:r>
        <w:rPr>
          <w:rFonts w:hint="eastAsia" w:ascii="宋体" w:hAnsi="宋体" w:eastAsia="宋体" w:cs="宋体"/>
          <w:color w:val="auto"/>
          <w:sz w:val="24"/>
          <w:highlight w:val="white"/>
        </w:rPr>
        <w:t>系</w:t>
      </w:r>
      <w:r>
        <w:rPr>
          <w:rFonts w:hint="eastAsia" w:ascii="宋体" w:hAnsi="宋体" w:eastAsia="宋体" w:cs="宋体"/>
          <w:color w:val="auto"/>
          <w:sz w:val="24"/>
          <w:highlight w:val="white"/>
          <w:u w:val="single"/>
        </w:rPr>
        <w:t xml:space="preserve">     （供应商名称）    </w:t>
      </w:r>
      <w:r>
        <w:rPr>
          <w:rFonts w:hint="eastAsia" w:ascii="宋体" w:hAnsi="宋体" w:eastAsia="宋体" w:cs="宋体"/>
          <w:color w:val="auto"/>
          <w:sz w:val="24"/>
          <w:highlight w:val="white"/>
        </w:rPr>
        <w:t>的法定代表人。</w:t>
      </w:r>
    </w:p>
    <w:p w14:paraId="0374890C">
      <w:pPr>
        <w:spacing w:line="480" w:lineRule="auto"/>
        <w:rPr>
          <w:rFonts w:hint="eastAsia" w:ascii="宋体" w:hAnsi="宋体" w:eastAsia="宋体" w:cs="宋体"/>
          <w:color w:val="auto"/>
          <w:sz w:val="24"/>
        </w:rPr>
      </w:pPr>
      <w:r>
        <w:rPr>
          <w:rFonts w:hint="eastAsia" w:ascii="宋体" w:hAnsi="宋体" w:eastAsia="宋体" w:cs="宋体"/>
          <w:color w:val="auto"/>
          <w:sz w:val="24"/>
          <w:highlight w:val="white"/>
        </w:rPr>
        <w:t>特此证明。</w:t>
      </w:r>
    </w:p>
    <w:p w14:paraId="19B80EC3">
      <w:pPr>
        <w:rPr>
          <w:rFonts w:hint="eastAsia" w:ascii="宋体" w:hAnsi="宋体" w:eastAsia="宋体" w:cs="宋体"/>
          <w:color w:val="auto"/>
          <w:sz w:val="24"/>
        </w:rPr>
      </w:pPr>
    </w:p>
    <w:p w14:paraId="53F93432">
      <w:pPr>
        <w:rPr>
          <w:rFonts w:hint="eastAsia" w:ascii="宋体" w:hAnsi="宋体" w:eastAsia="宋体" w:cs="宋体"/>
          <w:color w:val="auto"/>
          <w:sz w:val="24"/>
        </w:rPr>
      </w:pPr>
    </w:p>
    <w:p w14:paraId="70CBFFDB">
      <w:pPr>
        <w:rPr>
          <w:rFonts w:hint="eastAsia" w:ascii="宋体" w:hAnsi="宋体" w:eastAsia="宋体" w:cs="宋体"/>
          <w:color w:val="auto"/>
          <w:sz w:val="24"/>
        </w:rPr>
      </w:pPr>
    </w:p>
    <w:p w14:paraId="3A6E3E73">
      <w:pPr>
        <w:rPr>
          <w:rFonts w:hint="eastAsia" w:ascii="宋体" w:hAnsi="宋体" w:eastAsia="宋体" w:cs="宋体"/>
          <w:color w:val="auto"/>
          <w:sz w:val="24"/>
        </w:rPr>
      </w:pPr>
    </w:p>
    <w:p w14:paraId="64B61D26">
      <w:pPr>
        <w:rPr>
          <w:rFonts w:hint="eastAsia" w:ascii="宋体" w:hAnsi="宋体" w:eastAsia="宋体" w:cs="宋体"/>
          <w:color w:val="auto"/>
          <w:sz w:val="24"/>
        </w:rPr>
      </w:pPr>
    </w:p>
    <w:p w14:paraId="37145912">
      <w:pPr>
        <w:rPr>
          <w:rFonts w:hint="eastAsia" w:ascii="宋体" w:hAnsi="宋体" w:eastAsia="宋体" w:cs="宋体"/>
          <w:color w:val="auto"/>
          <w:sz w:val="24"/>
        </w:rPr>
      </w:pPr>
    </w:p>
    <w:p w14:paraId="7517AF6B">
      <w:pPr>
        <w:spacing w:line="480" w:lineRule="auto"/>
        <w:rPr>
          <w:rFonts w:hint="eastAsia" w:ascii="宋体" w:hAnsi="宋体" w:eastAsia="宋体" w:cs="宋体"/>
          <w:color w:val="auto"/>
          <w:sz w:val="24"/>
          <w:szCs w:val="24"/>
          <w:u w:val="single"/>
        </w:rPr>
      </w:pPr>
      <w:r>
        <w:rPr>
          <w:rFonts w:hint="eastAsia" w:ascii="宋体" w:hAnsi="宋体" w:eastAsia="宋体" w:cs="宋体"/>
          <w:color w:val="auto"/>
          <w:sz w:val="24"/>
          <w:szCs w:val="24"/>
          <w:highlight w:val="white"/>
        </w:rPr>
        <w:t>供应商名称（公章）：</w:t>
      </w:r>
      <w:r>
        <w:rPr>
          <w:rFonts w:hint="eastAsia" w:ascii="宋体" w:hAnsi="宋体" w:eastAsia="宋体" w:cs="宋体"/>
          <w:color w:val="auto"/>
          <w:sz w:val="24"/>
          <w:szCs w:val="24"/>
          <w:highlight w:val="white"/>
          <w:u w:val="single"/>
        </w:rPr>
        <w:t xml:space="preserve">                         </w:t>
      </w:r>
    </w:p>
    <w:p w14:paraId="405AECFF">
      <w:pPr>
        <w:spacing w:line="480" w:lineRule="auto"/>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法定代表人或其授权代表（签字）：</w:t>
      </w:r>
      <w:r>
        <w:rPr>
          <w:rFonts w:hint="eastAsia" w:ascii="宋体" w:hAnsi="宋体" w:eastAsia="宋体" w:cs="宋体"/>
          <w:color w:val="auto"/>
          <w:sz w:val="24"/>
          <w:szCs w:val="24"/>
          <w:highlight w:val="white"/>
          <w:u w:val="single"/>
        </w:rPr>
        <w:t xml:space="preserve">             </w:t>
      </w:r>
    </w:p>
    <w:p w14:paraId="550CB4BE">
      <w:pPr>
        <w:spacing w:line="480" w:lineRule="auto"/>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日期：</w:t>
      </w:r>
      <w:r>
        <w:rPr>
          <w:rFonts w:hint="eastAsia" w:ascii="宋体" w:hAnsi="宋体" w:eastAsia="宋体" w:cs="宋体"/>
          <w:color w:val="auto"/>
          <w:sz w:val="24"/>
          <w:szCs w:val="24"/>
          <w:highlight w:val="white"/>
          <w:u w:val="single"/>
        </w:rPr>
        <w:t xml:space="preserve">      </w:t>
      </w:r>
      <w:r>
        <w:rPr>
          <w:rFonts w:hint="eastAsia" w:ascii="宋体" w:hAnsi="宋体" w:eastAsia="宋体" w:cs="宋体"/>
          <w:color w:val="auto"/>
          <w:sz w:val="24"/>
          <w:szCs w:val="24"/>
          <w:highlight w:val="white"/>
        </w:rPr>
        <w:t>年</w:t>
      </w:r>
      <w:r>
        <w:rPr>
          <w:rFonts w:hint="eastAsia" w:ascii="宋体" w:hAnsi="宋体" w:eastAsia="宋体" w:cs="宋体"/>
          <w:color w:val="auto"/>
          <w:sz w:val="24"/>
          <w:szCs w:val="24"/>
          <w:highlight w:val="white"/>
          <w:u w:val="single"/>
        </w:rPr>
        <w:t xml:space="preserve">    </w:t>
      </w:r>
      <w:r>
        <w:rPr>
          <w:rFonts w:hint="eastAsia" w:ascii="宋体" w:hAnsi="宋体" w:eastAsia="宋体" w:cs="宋体"/>
          <w:color w:val="auto"/>
          <w:sz w:val="24"/>
          <w:szCs w:val="24"/>
          <w:highlight w:val="white"/>
        </w:rPr>
        <w:t>月</w:t>
      </w:r>
      <w:r>
        <w:rPr>
          <w:rFonts w:hint="eastAsia" w:ascii="宋体" w:hAnsi="宋体" w:eastAsia="宋体" w:cs="宋体"/>
          <w:color w:val="auto"/>
          <w:sz w:val="24"/>
          <w:szCs w:val="24"/>
          <w:highlight w:val="white"/>
          <w:u w:val="single"/>
        </w:rPr>
        <w:t xml:space="preserve">    </w:t>
      </w:r>
      <w:r>
        <w:rPr>
          <w:rFonts w:hint="eastAsia" w:ascii="宋体" w:hAnsi="宋体" w:eastAsia="宋体" w:cs="宋体"/>
          <w:color w:val="auto"/>
          <w:sz w:val="24"/>
          <w:szCs w:val="24"/>
          <w:highlight w:val="white"/>
        </w:rPr>
        <w:t>日</w:t>
      </w:r>
    </w:p>
    <w:p w14:paraId="2C643E39">
      <w:pPr>
        <w:jc w:val="center"/>
        <w:rPr>
          <w:rFonts w:hint="eastAsia" w:ascii="宋体" w:hAnsi="宋体" w:eastAsia="宋体" w:cs="宋体"/>
          <w:color w:val="auto"/>
          <w:sz w:val="28"/>
          <w:szCs w:val="28"/>
          <w:highlight w:val="yellow"/>
        </w:rPr>
      </w:pPr>
      <w:r>
        <w:rPr>
          <w:rFonts w:hint="eastAsia" w:ascii="宋体" w:hAnsi="宋体" w:eastAsia="宋体" w:cs="宋体"/>
          <w:color w:val="auto"/>
          <w:sz w:val="24"/>
          <w:szCs w:val="24"/>
          <w:highlight w:val="white"/>
        </w:rPr>
        <w:br w:type="page"/>
      </w:r>
      <w:bookmarkStart w:id="134" w:name="_Toc256000009"/>
      <w:r>
        <w:rPr>
          <w:rFonts w:hint="eastAsia" w:ascii="宋体" w:hAnsi="宋体" w:eastAsia="宋体" w:cs="宋体"/>
          <w:color w:val="auto"/>
          <w:sz w:val="28"/>
          <w:szCs w:val="28"/>
          <w:highlight w:val="none"/>
        </w:rPr>
        <w:t>（</w:t>
      </w:r>
      <w:r>
        <w:rPr>
          <w:rFonts w:hint="eastAsia" w:ascii="宋体" w:hAnsi="宋体" w:eastAsia="宋体" w:cs="宋体"/>
          <w:color w:val="auto"/>
          <w:sz w:val="28"/>
          <w:szCs w:val="28"/>
          <w:highlight w:val="none"/>
          <w:lang w:val="en-US" w:eastAsia="zh-CN"/>
        </w:rPr>
        <w:t>2</w:t>
      </w:r>
      <w:r>
        <w:rPr>
          <w:rFonts w:hint="eastAsia" w:ascii="宋体" w:hAnsi="宋体" w:eastAsia="宋体" w:cs="宋体"/>
          <w:color w:val="auto"/>
          <w:sz w:val="28"/>
          <w:szCs w:val="28"/>
          <w:highlight w:val="none"/>
        </w:rPr>
        <w:t>）法定代表人授权委托书</w:t>
      </w:r>
      <w:bookmarkEnd w:id="134"/>
    </w:p>
    <w:p w14:paraId="4EF8AF31">
      <w:pPr>
        <w:spacing w:line="480" w:lineRule="auto"/>
        <w:rPr>
          <w:rFonts w:hint="eastAsia" w:ascii="宋体" w:hAnsi="宋体" w:eastAsia="宋体" w:cs="宋体"/>
          <w:color w:val="auto"/>
          <w:sz w:val="24"/>
          <w:szCs w:val="24"/>
          <w:highlight w:val="white"/>
          <w:u w:val="single"/>
        </w:rPr>
      </w:pPr>
    </w:p>
    <w:p w14:paraId="2E1A6ED6">
      <w:pPr>
        <w:spacing w:line="480" w:lineRule="auto"/>
        <w:rPr>
          <w:rFonts w:hint="eastAsia" w:ascii="宋体" w:hAnsi="宋体" w:eastAsia="宋体" w:cs="宋体"/>
          <w:color w:val="auto"/>
          <w:sz w:val="24"/>
          <w:szCs w:val="24"/>
        </w:rPr>
      </w:pPr>
      <w:r>
        <w:rPr>
          <w:rFonts w:hint="eastAsia" w:ascii="宋体" w:hAnsi="宋体" w:eastAsia="宋体" w:cs="宋体"/>
          <w:color w:val="auto"/>
          <w:sz w:val="24"/>
          <w:szCs w:val="24"/>
          <w:highlight w:val="white"/>
          <w:u w:val="single"/>
        </w:rPr>
        <w:t>（采购人名称）</w:t>
      </w:r>
      <w:r>
        <w:rPr>
          <w:rFonts w:hint="eastAsia" w:ascii="宋体" w:hAnsi="宋体" w:eastAsia="宋体" w:cs="宋体"/>
          <w:color w:val="auto"/>
          <w:sz w:val="24"/>
          <w:szCs w:val="24"/>
          <w:highlight w:val="white"/>
        </w:rPr>
        <w:t>：</w:t>
      </w:r>
    </w:p>
    <w:p w14:paraId="5C0F6F2A">
      <w:pPr>
        <w:spacing w:line="480" w:lineRule="auto"/>
        <w:ind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highlight w:val="white"/>
        </w:rPr>
        <w:t xml:space="preserve">兹委派我单位 </w:t>
      </w:r>
      <w:r>
        <w:rPr>
          <w:rFonts w:hint="eastAsia" w:ascii="宋体" w:hAnsi="宋体" w:eastAsia="宋体" w:cs="宋体"/>
          <w:color w:val="auto"/>
          <w:sz w:val="24"/>
          <w:szCs w:val="24"/>
          <w:highlight w:val="white"/>
          <w:u w:val="single"/>
        </w:rPr>
        <w:t xml:space="preserve">          （姓名、职务）</w:t>
      </w:r>
      <w:r>
        <w:rPr>
          <w:rFonts w:hint="eastAsia" w:ascii="宋体" w:hAnsi="宋体" w:eastAsia="宋体" w:cs="宋体"/>
          <w:color w:val="auto"/>
          <w:sz w:val="24"/>
          <w:szCs w:val="24"/>
          <w:highlight w:val="white"/>
        </w:rPr>
        <w:t>代表我单位全权处理</w:t>
      </w:r>
      <w:r>
        <w:rPr>
          <w:rFonts w:hint="eastAsia" w:ascii="宋体" w:hAnsi="宋体" w:eastAsia="宋体" w:cs="宋体"/>
          <w:color w:val="auto"/>
          <w:sz w:val="24"/>
          <w:szCs w:val="24"/>
          <w:highlight w:val="white"/>
          <w:u w:val="single"/>
        </w:rPr>
        <w:t xml:space="preserve">          </w:t>
      </w:r>
      <w:r>
        <w:rPr>
          <w:rFonts w:hint="eastAsia" w:ascii="宋体" w:hAnsi="宋体" w:eastAsia="宋体" w:cs="宋体"/>
          <w:color w:val="auto"/>
          <w:sz w:val="24"/>
          <w:szCs w:val="24"/>
          <w:highlight w:val="white"/>
        </w:rPr>
        <w:t>项目【编号</w:t>
      </w:r>
      <w:r>
        <w:rPr>
          <w:rFonts w:hint="eastAsia" w:ascii="宋体" w:hAnsi="宋体" w:eastAsia="宋体" w:cs="宋体"/>
          <w:color w:val="auto"/>
          <w:sz w:val="24"/>
          <w:szCs w:val="24"/>
          <w:highlight w:val="white"/>
          <w:u w:val="single"/>
        </w:rPr>
        <w:t xml:space="preserve">              </w:t>
      </w:r>
      <w:r>
        <w:rPr>
          <w:rFonts w:hint="eastAsia" w:ascii="宋体" w:hAnsi="宋体" w:eastAsia="宋体" w:cs="宋体"/>
          <w:color w:val="auto"/>
          <w:sz w:val="24"/>
          <w:szCs w:val="24"/>
          <w:highlight w:val="white"/>
        </w:rPr>
        <w:t>】单一来源采购投标的一切事项，</w:t>
      </w:r>
      <w:r>
        <w:rPr>
          <w:rFonts w:hint="eastAsia" w:ascii="宋体" w:hAnsi="宋体" w:eastAsia="宋体" w:cs="宋体"/>
          <w:color w:val="auto"/>
          <w:sz w:val="24"/>
          <w:highlight w:val="white"/>
        </w:rPr>
        <w:t>代理人在参加本项目过程中所签署的一切文件和处理与之有关的一切事务，我均予以承认</w:t>
      </w:r>
      <w:r>
        <w:rPr>
          <w:rFonts w:hint="eastAsia" w:ascii="宋体" w:hAnsi="宋体" w:eastAsia="宋体" w:cs="宋体"/>
          <w:color w:val="auto"/>
          <w:sz w:val="24"/>
          <w:highlight w:val="white"/>
          <w:lang w:eastAsia="zh-CN"/>
        </w:rPr>
        <w:t>。</w:t>
      </w:r>
    </w:p>
    <w:p w14:paraId="5F4A16C7">
      <w:pPr>
        <w:spacing w:line="48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本授权书有效期：自</w:t>
      </w:r>
      <w:r>
        <w:rPr>
          <w:rFonts w:hint="eastAsia" w:ascii="宋体" w:hAnsi="宋体" w:eastAsia="宋体" w:cs="宋体"/>
          <w:color w:val="auto"/>
          <w:sz w:val="24"/>
          <w:szCs w:val="24"/>
          <w:highlight w:val="white"/>
          <w:u w:val="single"/>
        </w:rPr>
        <w:t xml:space="preserve">      </w:t>
      </w:r>
      <w:r>
        <w:rPr>
          <w:rFonts w:hint="eastAsia" w:ascii="宋体" w:hAnsi="宋体" w:eastAsia="宋体" w:cs="宋体"/>
          <w:color w:val="auto"/>
          <w:sz w:val="24"/>
          <w:szCs w:val="24"/>
          <w:highlight w:val="white"/>
        </w:rPr>
        <w:t>年</w:t>
      </w:r>
      <w:r>
        <w:rPr>
          <w:rFonts w:hint="eastAsia" w:ascii="宋体" w:hAnsi="宋体" w:eastAsia="宋体" w:cs="宋体"/>
          <w:color w:val="auto"/>
          <w:sz w:val="24"/>
          <w:szCs w:val="24"/>
          <w:highlight w:val="white"/>
          <w:u w:val="single"/>
        </w:rPr>
        <w:t xml:space="preserve">    </w:t>
      </w:r>
      <w:r>
        <w:rPr>
          <w:rFonts w:hint="eastAsia" w:ascii="宋体" w:hAnsi="宋体" w:eastAsia="宋体" w:cs="宋体"/>
          <w:color w:val="auto"/>
          <w:sz w:val="24"/>
          <w:szCs w:val="24"/>
          <w:highlight w:val="white"/>
        </w:rPr>
        <w:t>月</w:t>
      </w:r>
      <w:r>
        <w:rPr>
          <w:rFonts w:hint="eastAsia" w:ascii="宋体" w:hAnsi="宋体" w:eastAsia="宋体" w:cs="宋体"/>
          <w:color w:val="auto"/>
          <w:sz w:val="24"/>
          <w:szCs w:val="24"/>
          <w:highlight w:val="white"/>
          <w:u w:val="single"/>
        </w:rPr>
        <w:t xml:space="preserve">    </w:t>
      </w:r>
      <w:r>
        <w:rPr>
          <w:rFonts w:hint="eastAsia" w:ascii="宋体" w:hAnsi="宋体" w:eastAsia="宋体" w:cs="宋体"/>
          <w:color w:val="auto"/>
          <w:sz w:val="24"/>
          <w:szCs w:val="24"/>
          <w:highlight w:val="white"/>
        </w:rPr>
        <w:t>日起至</w:t>
      </w:r>
      <w:r>
        <w:rPr>
          <w:rFonts w:hint="eastAsia" w:ascii="宋体" w:hAnsi="宋体" w:eastAsia="宋体" w:cs="宋体"/>
          <w:color w:val="auto"/>
          <w:sz w:val="24"/>
          <w:szCs w:val="24"/>
          <w:highlight w:val="white"/>
          <w:u w:val="single"/>
        </w:rPr>
        <w:t xml:space="preserve">    </w:t>
      </w:r>
      <w:r>
        <w:rPr>
          <w:rFonts w:hint="eastAsia" w:ascii="宋体" w:hAnsi="宋体" w:eastAsia="宋体" w:cs="宋体"/>
          <w:color w:val="auto"/>
          <w:sz w:val="24"/>
          <w:szCs w:val="24"/>
          <w:highlight w:val="white"/>
        </w:rPr>
        <w:t>年</w:t>
      </w:r>
      <w:r>
        <w:rPr>
          <w:rFonts w:hint="eastAsia" w:ascii="宋体" w:hAnsi="宋体" w:eastAsia="宋体" w:cs="宋体"/>
          <w:color w:val="auto"/>
          <w:sz w:val="24"/>
          <w:szCs w:val="24"/>
          <w:highlight w:val="white"/>
          <w:u w:val="single"/>
        </w:rPr>
        <w:t xml:space="preserve">    </w:t>
      </w:r>
      <w:r>
        <w:rPr>
          <w:rFonts w:hint="eastAsia" w:ascii="宋体" w:hAnsi="宋体" w:eastAsia="宋体" w:cs="宋体"/>
          <w:color w:val="auto"/>
          <w:sz w:val="24"/>
          <w:szCs w:val="24"/>
          <w:highlight w:val="white"/>
        </w:rPr>
        <w:t>月</w:t>
      </w:r>
      <w:r>
        <w:rPr>
          <w:rFonts w:hint="eastAsia" w:ascii="宋体" w:hAnsi="宋体" w:eastAsia="宋体" w:cs="宋体"/>
          <w:color w:val="auto"/>
          <w:sz w:val="24"/>
          <w:szCs w:val="24"/>
          <w:highlight w:val="white"/>
          <w:u w:val="single"/>
        </w:rPr>
        <w:t xml:space="preserve">    </w:t>
      </w:r>
      <w:r>
        <w:rPr>
          <w:rFonts w:hint="eastAsia" w:ascii="宋体" w:hAnsi="宋体" w:eastAsia="宋体" w:cs="宋体"/>
          <w:color w:val="auto"/>
          <w:sz w:val="24"/>
          <w:szCs w:val="24"/>
          <w:highlight w:val="white"/>
        </w:rPr>
        <w:t>日止。</w:t>
      </w:r>
    </w:p>
    <w:p w14:paraId="57B4E20D">
      <w:pPr>
        <w:spacing w:line="480" w:lineRule="auto"/>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特此告知。</w:t>
      </w:r>
    </w:p>
    <w:p w14:paraId="0A40E944">
      <w:pPr>
        <w:rPr>
          <w:rFonts w:hint="eastAsia" w:ascii="宋体" w:hAnsi="宋体" w:eastAsia="宋体" w:cs="宋体"/>
          <w:color w:val="auto"/>
          <w:sz w:val="28"/>
          <w:szCs w:val="18"/>
        </w:rPr>
      </w:pPr>
    </w:p>
    <w:p w14:paraId="158E1D8B">
      <w:pPr>
        <w:spacing w:line="480" w:lineRule="auto"/>
        <w:rPr>
          <w:rFonts w:hint="eastAsia" w:ascii="宋体" w:hAnsi="宋体" w:eastAsia="宋体" w:cs="宋体"/>
          <w:color w:val="auto"/>
          <w:sz w:val="24"/>
          <w:szCs w:val="24"/>
          <w:highlight w:val="white"/>
        </w:rPr>
      </w:pPr>
    </w:p>
    <w:p w14:paraId="4597E692">
      <w:pPr>
        <w:spacing w:line="480" w:lineRule="auto"/>
        <w:rPr>
          <w:rFonts w:hint="eastAsia" w:ascii="宋体" w:hAnsi="宋体" w:eastAsia="宋体" w:cs="宋体"/>
          <w:color w:val="auto"/>
          <w:sz w:val="24"/>
          <w:szCs w:val="24"/>
          <w:highlight w:val="white"/>
        </w:rPr>
      </w:pPr>
    </w:p>
    <w:p w14:paraId="3700B2CD">
      <w:pPr>
        <w:spacing w:line="480" w:lineRule="auto"/>
        <w:rPr>
          <w:rFonts w:hint="eastAsia" w:ascii="宋体" w:hAnsi="宋体" w:eastAsia="宋体" w:cs="宋体"/>
          <w:color w:val="auto"/>
          <w:sz w:val="24"/>
          <w:szCs w:val="24"/>
          <w:u w:val="single"/>
        </w:rPr>
      </w:pPr>
      <w:r>
        <w:rPr>
          <w:rFonts w:hint="eastAsia" w:ascii="宋体" w:hAnsi="宋体" w:eastAsia="宋体" w:cs="宋体"/>
          <w:color w:val="auto"/>
          <w:sz w:val="24"/>
          <w:szCs w:val="24"/>
          <w:highlight w:val="white"/>
        </w:rPr>
        <w:t>供应商名称（公章）：</w:t>
      </w:r>
      <w:r>
        <w:rPr>
          <w:rFonts w:hint="eastAsia" w:ascii="宋体" w:hAnsi="宋体" w:eastAsia="宋体" w:cs="宋体"/>
          <w:color w:val="auto"/>
          <w:sz w:val="24"/>
          <w:szCs w:val="24"/>
          <w:highlight w:val="white"/>
          <w:u w:val="single"/>
        </w:rPr>
        <w:t xml:space="preserve">                         </w:t>
      </w:r>
    </w:p>
    <w:p w14:paraId="1E977015">
      <w:pPr>
        <w:spacing w:line="480" w:lineRule="auto"/>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法定代表人或其授权代表（签字）：</w:t>
      </w:r>
      <w:r>
        <w:rPr>
          <w:rFonts w:hint="eastAsia" w:ascii="宋体" w:hAnsi="宋体" w:eastAsia="宋体" w:cs="宋体"/>
          <w:color w:val="auto"/>
          <w:sz w:val="24"/>
          <w:szCs w:val="24"/>
          <w:highlight w:val="white"/>
          <w:u w:val="single"/>
        </w:rPr>
        <w:t xml:space="preserve">             </w:t>
      </w:r>
    </w:p>
    <w:p w14:paraId="56CF11EF">
      <w:pPr>
        <w:spacing w:line="480" w:lineRule="auto"/>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日期：</w:t>
      </w:r>
      <w:r>
        <w:rPr>
          <w:rFonts w:hint="eastAsia" w:ascii="宋体" w:hAnsi="宋体" w:eastAsia="宋体" w:cs="宋体"/>
          <w:color w:val="auto"/>
          <w:sz w:val="24"/>
          <w:szCs w:val="24"/>
          <w:highlight w:val="white"/>
          <w:u w:val="single"/>
        </w:rPr>
        <w:t xml:space="preserve">      </w:t>
      </w:r>
      <w:r>
        <w:rPr>
          <w:rFonts w:hint="eastAsia" w:ascii="宋体" w:hAnsi="宋体" w:eastAsia="宋体" w:cs="宋体"/>
          <w:color w:val="auto"/>
          <w:sz w:val="24"/>
          <w:szCs w:val="24"/>
          <w:highlight w:val="white"/>
        </w:rPr>
        <w:t>年</w:t>
      </w:r>
      <w:r>
        <w:rPr>
          <w:rFonts w:hint="eastAsia" w:ascii="宋体" w:hAnsi="宋体" w:eastAsia="宋体" w:cs="宋体"/>
          <w:color w:val="auto"/>
          <w:sz w:val="24"/>
          <w:szCs w:val="24"/>
          <w:highlight w:val="white"/>
          <w:u w:val="single"/>
        </w:rPr>
        <w:t xml:space="preserve">    </w:t>
      </w:r>
      <w:r>
        <w:rPr>
          <w:rFonts w:hint="eastAsia" w:ascii="宋体" w:hAnsi="宋体" w:eastAsia="宋体" w:cs="宋体"/>
          <w:color w:val="auto"/>
          <w:sz w:val="24"/>
          <w:szCs w:val="24"/>
          <w:highlight w:val="white"/>
        </w:rPr>
        <w:t>月</w:t>
      </w:r>
      <w:r>
        <w:rPr>
          <w:rFonts w:hint="eastAsia" w:ascii="宋体" w:hAnsi="宋体" w:eastAsia="宋体" w:cs="宋体"/>
          <w:color w:val="auto"/>
          <w:sz w:val="24"/>
          <w:szCs w:val="24"/>
          <w:highlight w:val="white"/>
          <w:u w:val="single"/>
        </w:rPr>
        <w:t xml:space="preserve">    </w:t>
      </w:r>
      <w:r>
        <w:rPr>
          <w:rFonts w:hint="eastAsia" w:ascii="宋体" w:hAnsi="宋体" w:eastAsia="宋体" w:cs="宋体"/>
          <w:color w:val="auto"/>
          <w:sz w:val="24"/>
          <w:szCs w:val="24"/>
          <w:highlight w:val="white"/>
        </w:rPr>
        <w:t>日</w:t>
      </w:r>
    </w:p>
    <w:p w14:paraId="07D69329">
      <w:pPr>
        <w:rPr>
          <w:rFonts w:hint="eastAsia" w:ascii="宋体" w:hAnsi="宋体" w:eastAsia="宋体" w:cs="宋体"/>
          <w:color w:val="auto"/>
          <w:sz w:val="24"/>
          <w:szCs w:val="24"/>
        </w:rPr>
      </w:pPr>
      <w:r>
        <w:rPr>
          <w:rFonts w:hint="eastAsia" w:ascii="宋体" w:hAnsi="宋体" w:eastAsia="宋体" w:cs="宋体"/>
          <w:color w:val="auto"/>
          <w:sz w:val="24"/>
          <w:szCs w:val="24"/>
          <w:highlight w:val="white"/>
        </w:rPr>
        <w:br w:type="page"/>
      </w:r>
    </w:p>
    <w:p w14:paraId="3118E52B">
      <w:pPr>
        <w:pStyle w:val="4"/>
        <w:numPr>
          <w:ilvl w:val="0"/>
          <w:numId w:val="0"/>
        </w:numPr>
        <w:spacing w:line="415" w:lineRule="auto"/>
        <w:rPr>
          <w:rFonts w:hint="default" w:ascii="宋体" w:hAnsi="宋体" w:eastAsia="宋体" w:cs="宋体"/>
          <w:color w:val="auto"/>
          <w:sz w:val="28"/>
          <w:szCs w:val="28"/>
          <w:highlight w:val="none"/>
          <w:lang w:val="en-US" w:eastAsia="zh-CN"/>
        </w:rPr>
      </w:pPr>
      <w:bookmarkStart w:id="135" w:name="_Toc256000010"/>
      <w:r>
        <w:rPr>
          <w:rFonts w:hint="eastAsia" w:ascii="宋体" w:hAnsi="宋体" w:eastAsia="宋体" w:cs="宋体"/>
          <w:color w:val="auto"/>
          <w:sz w:val="28"/>
          <w:szCs w:val="28"/>
          <w:highlight w:val="none"/>
        </w:rPr>
        <w:t>（</w:t>
      </w:r>
      <w:r>
        <w:rPr>
          <w:rFonts w:hint="eastAsia" w:ascii="宋体" w:hAnsi="宋体" w:eastAsia="宋体" w:cs="宋体"/>
          <w:color w:val="auto"/>
          <w:sz w:val="28"/>
          <w:szCs w:val="28"/>
          <w:highlight w:val="none"/>
          <w:lang w:val="en-US" w:eastAsia="zh-CN"/>
        </w:rPr>
        <w:t>3</w:t>
      </w:r>
      <w:r>
        <w:rPr>
          <w:rFonts w:hint="eastAsia" w:ascii="宋体" w:hAnsi="宋体" w:eastAsia="宋体" w:cs="宋体"/>
          <w:color w:val="auto"/>
          <w:sz w:val="28"/>
          <w:szCs w:val="28"/>
          <w:highlight w:val="none"/>
        </w:rPr>
        <w:t>）</w:t>
      </w:r>
      <w:bookmarkEnd w:id="135"/>
      <w:r>
        <w:rPr>
          <w:rFonts w:hint="eastAsia" w:ascii="宋体" w:hAnsi="宋体" w:eastAsia="宋体" w:cs="宋体"/>
          <w:color w:val="auto"/>
          <w:sz w:val="28"/>
          <w:szCs w:val="28"/>
          <w:highlight w:val="none"/>
        </w:rPr>
        <w:t>2026年7月-2026年9月的</w:t>
      </w:r>
      <w:r>
        <w:rPr>
          <w:rFonts w:hint="eastAsia" w:cs="宋体"/>
          <w:color w:val="auto"/>
          <w:sz w:val="28"/>
          <w:szCs w:val="28"/>
          <w:highlight w:val="none"/>
          <w:lang w:val="en-US" w:eastAsia="zh-CN"/>
        </w:rPr>
        <w:t>社保缴纳证明</w:t>
      </w:r>
    </w:p>
    <w:p w14:paraId="10CC1DE2">
      <w:pPr>
        <w:jc w:val="center"/>
        <w:rPr>
          <w:rFonts w:hint="eastAsia" w:ascii="宋体" w:hAnsi="宋体" w:eastAsia="宋体" w:cs="宋体"/>
          <w:color w:val="auto"/>
          <w:sz w:val="28"/>
          <w:szCs w:val="28"/>
          <w:highlight w:val="white"/>
        </w:rPr>
      </w:pPr>
      <w:r>
        <w:rPr>
          <w:rFonts w:hint="eastAsia" w:ascii="宋体" w:hAnsi="宋体" w:eastAsia="宋体" w:cs="宋体"/>
          <w:color w:val="auto"/>
          <w:sz w:val="24"/>
          <w:szCs w:val="24"/>
          <w:highlight w:val="white"/>
        </w:rPr>
        <w:br w:type="page"/>
      </w:r>
      <w:bookmarkStart w:id="136" w:name="_Toc256000011"/>
      <w:r>
        <w:rPr>
          <w:rFonts w:hint="eastAsia" w:ascii="宋体" w:hAnsi="宋体" w:eastAsia="宋体" w:cs="宋体"/>
          <w:b/>
          <w:bCs/>
          <w:color w:val="auto"/>
          <w:sz w:val="28"/>
          <w:szCs w:val="28"/>
          <w:highlight w:val="white"/>
          <w:lang w:eastAsia="zh-CN"/>
        </w:rPr>
        <w:t>（</w:t>
      </w:r>
      <w:r>
        <w:rPr>
          <w:rFonts w:hint="eastAsia" w:ascii="宋体" w:hAnsi="宋体" w:eastAsia="宋体" w:cs="宋体"/>
          <w:b/>
          <w:bCs/>
          <w:color w:val="auto"/>
          <w:sz w:val="28"/>
          <w:szCs w:val="28"/>
          <w:highlight w:val="white"/>
          <w:lang w:val="en-US" w:eastAsia="zh-CN"/>
        </w:rPr>
        <w:t>4</w:t>
      </w:r>
      <w:r>
        <w:rPr>
          <w:rFonts w:hint="eastAsia" w:ascii="宋体" w:hAnsi="宋体" w:eastAsia="宋体" w:cs="宋体"/>
          <w:b/>
          <w:bCs/>
          <w:color w:val="auto"/>
          <w:sz w:val="28"/>
          <w:szCs w:val="28"/>
          <w:highlight w:val="white"/>
          <w:lang w:eastAsia="zh-CN"/>
        </w:rPr>
        <w:t>）</w:t>
      </w:r>
      <w:r>
        <w:rPr>
          <w:rFonts w:hint="eastAsia" w:ascii="宋体" w:hAnsi="宋体" w:eastAsia="宋体" w:cs="宋体"/>
          <w:b/>
          <w:bCs/>
          <w:color w:val="auto"/>
          <w:sz w:val="28"/>
          <w:szCs w:val="28"/>
          <w:highlight w:val="white"/>
        </w:rPr>
        <w:t>供应商基本情况表</w:t>
      </w:r>
      <w:bookmarkEnd w:id="136"/>
    </w:p>
    <w:tbl>
      <w:tblPr>
        <w:tblStyle w:val="29"/>
        <w:tblpPr w:leftFromText="180" w:rightFromText="180" w:vertAnchor="text" w:horzAnchor="page" w:tblpXSpec="center" w:tblpY="358"/>
        <w:tblOverlap w:val="never"/>
        <w:tblW w:w="9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43"/>
        <w:gridCol w:w="1017"/>
        <w:gridCol w:w="2320"/>
        <w:gridCol w:w="8"/>
        <w:gridCol w:w="2"/>
        <w:gridCol w:w="10"/>
        <w:gridCol w:w="1291"/>
        <w:gridCol w:w="10"/>
        <w:gridCol w:w="3260"/>
      </w:tblGrid>
      <w:tr w14:paraId="4EE39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41" w:hRule="atLeast"/>
          <w:jc w:val="center"/>
        </w:trPr>
        <w:tc>
          <w:tcPr>
            <w:tcW w:w="1843" w:type="dxa"/>
            <w:noWrap w:val="0"/>
            <w:vAlign w:val="center"/>
          </w:tcPr>
          <w:p w14:paraId="2BDF315A">
            <w:pPr>
              <w:spacing w:line="240" w:lineRule="exact"/>
              <w:ind w:firstLine="319" w:firstLineChars="133"/>
              <w:rPr>
                <w:rFonts w:hint="eastAsia" w:ascii="宋体" w:hAnsi="宋体" w:eastAsia="宋体" w:cs="宋体"/>
                <w:color w:val="auto"/>
                <w:sz w:val="24"/>
                <w:szCs w:val="24"/>
              </w:rPr>
            </w:pPr>
            <w:r>
              <w:rPr>
                <w:rFonts w:hint="eastAsia" w:ascii="宋体" w:hAnsi="宋体" w:eastAsia="宋体" w:cs="宋体"/>
                <w:color w:val="auto"/>
                <w:sz w:val="24"/>
                <w:szCs w:val="24"/>
              </w:rPr>
              <w:t>投标人名称</w:t>
            </w:r>
          </w:p>
        </w:tc>
        <w:tc>
          <w:tcPr>
            <w:tcW w:w="7918" w:type="dxa"/>
            <w:gridSpan w:val="8"/>
            <w:noWrap w:val="0"/>
            <w:vAlign w:val="center"/>
          </w:tcPr>
          <w:p w14:paraId="73F9FEBF">
            <w:pPr>
              <w:spacing w:line="240" w:lineRule="exact"/>
              <w:ind w:firstLine="480"/>
              <w:jc w:val="center"/>
              <w:rPr>
                <w:rFonts w:hint="eastAsia" w:ascii="宋体" w:hAnsi="宋体" w:eastAsia="宋体" w:cs="宋体"/>
                <w:color w:val="auto"/>
                <w:sz w:val="24"/>
                <w:szCs w:val="24"/>
              </w:rPr>
            </w:pPr>
          </w:p>
        </w:tc>
      </w:tr>
      <w:tr w14:paraId="6F191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8" w:hRule="atLeast"/>
          <w:jc w:val="center"/>
        </w:trPr>
        <w:tc>
          <w:tcPr>
            <w:tcW w:w="1843" w:type="dxa"/>
            <w:noWrap w:val="0"/>
            <w:vAlign w:val="center"/>
          </w:tcPr>
          <w:p w14:paraId="42CE5DE6">
            <w:pPr>
              <w:spacing w:line="240" w:lineRule="exact"/>
              <w:ind w:firstLine="480"/>
              <w:rPr>
                <w:rFonts w:hint="eastAsia" w:ascii="宋体" w:hAnsi="宋体" w:eastAsia="宋体" w:cs="宋体"/>
                <w:color w:val="auto"/>
                <w:sz w:val="24"/>
                <w:szCs w:val="24"/>
              </w:rPr>
            </w:pPr>
            <w:r>
              <w:rPr>
                <w:rFonts w:hint="eastAsia" w:ascii="宋体" w:hAnsi="宋体" w:eastAsia="宋体" w:cs="宋体"/>
                <w:color w:val="auto"/>
                <w:sz w:val="24"/>
                <w:szCs w:val="24"/>
              </w:rPr>
              <w:t>注册地址</w:t>
            </w:r>
          </w:p>
        </w:tc>
        <w:tc>
          <w:tcPr>
            <w:tcW w:w="7918" w:type="dxa"/>
            <w:gridSpan w:val="8"/>
            <w:noWrap w:val="0"/>
            <w:vAlign w:val="center"/>
          </w:tcPr>
          <w:p w14:paraId="51783F1D">
            <w:pPr>
              <w:spacing w:line="240" w:lineRule="exact"/>
              <w:ind w:firstLine="460"/>
              <w:jc w:val="center"/>
              <w:rPr>
                <w:rFonts w:hint="eastAsia" w:ascii="宋体" w:hAnsi="宋体" w:eastAsia="宋体" w:cs="宋体"/>
                <w:color w:val="auto"/>
                <w:sz w:val="24"/>
                <w:szCs w:val="24"/>
              </w:rPr>
            </w:pPr>
          </w:p>
        </w:tc>
      </w:tr>
      <w:tr w14:paraId="0ABE9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1843" w:type="dxa"/>
            <w:vMerge w:val="restart"/>
            <w:noWrap w:val="0"/>
            <w:vAlign w:val="center"/>
          </w:tcPr>
          <w:p w14:paraId="67AAA669">
            <w:pPr>
              <w:spacing w:line="240" w:lineRule="exact"/>
              <w:ind w:firstLine="439" w:firstLineChars="183"/>
              <w:rPr>
                <w:rFonts w:hint="eastAsia" w:ascii="宋体" w:hAnsi="宋体" w:eastAsia="宋体" w:cs="宋体"/>
                <w:color w:val="auto"/>
                <w:sz w:val="24"/>
                <w:szCs w:val="24"/>
              </w:rPr>
            </w:pPr>
            <w:r>
              <w:rPr>
                <w:rFonts w:hint="eastAsia" w:ascii="宋体" w:hAnsi="宋体" w:eastAsia="宋体" w:cs="宋体"/>
                <w:color w:val="auto"/>
                <w:sz w:val="24"/>
                <w:szCs w:val="24"/>
              </w:rPr>
              <w:t>联系方式</w:t>
            </w:r>
          </w:p>
        </w:tc>
        <w:tc>
          <w:tcPr>
            <w:tcW w:w="1017" w:type="dxa"/>
            <w:noWrap w:val="0"/>
            <w:vAlign w:val="center"/>
          </w:tcPr>
          <w:p w14:paraId="61639D1E">
            <w:pPr>
              <w:spacing w:line="24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联系人</w:t>
            </w:r>
          </w:p>
        </w:tc>
        <w:tc>
          <w:tcPr>
            <w:tcW w:w="2320" w:type="dxa"/>
            <w:noWrap w:val="0"/>
            <w:vAlign w:val="center"/>
          </w:tcPr>
          <w:p w14:paraId="7D4A52FC">
            <w:pPr>
              <w:spacing w:line="240" w:lineRule="exact"/>
              <w:ind w:firstLine="480"/>
              <w:jc w:val="center"/>
              <w:rPr>
                <w:rFonts w:hint="eastAsia" w:ascii="宋体" w:hAnsi="宋体" w:eastAsia="宋体" w:cs="宋体"/>
                <w:color w:val="auto"/>
                <w:sz w:val="24"/>
                <w:szCs w:val="24"/>
              </w:rPr>
            </w:pPr>
          </w:p>
        </w:tc>
        <w:tc>
          <w:tcPr>
            <w:tcW w:w="1311" w:type="dxa"/>
            <w:gridSpan w:val="4"/>
            <w:noWrap w:val="0"/>
            <w:vAlign w:val="center"/>
          </w:tcPr>
          <w:p w14:paraId="45BACDBA">
            <w:pPr>
              <w:spacing w:line="24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电 话</w:t>
            </w:r>
          </w:p>
        </w:tc>
        <w:tc>
          <w:tcPr>
            <w:tcW w:w="3270" w:type="dxa"/>
            <w:gridSpan w:val="2"/>
            <w:noWrap w:val="0"/>
            <w:vAlign w:val="center"/>
          </w:tcPr>
          <w:p w14:paraId="10A0DFD8">
            <w:pPr>
              <w:spacing w:line="240" w:lineRule="exact"/>
              <w:ind w:firstLine="480"/>
              <w:jc w:val="center"/>
              <w:rPr>
                <w:rFonts w:hint="eastAsia" w:ascii="宋体" w:hAnsi="宋体" w:eastAsia="宋体" w:cs="宋体"/>
                <w:color w:val="auto"/>
                <w:sz w:val="24"/>
                <w:szCs w:val="24"/>
              </w:rPr>
            </w:pPr>
          </w:p>
        </w:tc>
      </w:tr>
      <w:tr w14:paraId="61568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7" w:hRule="atLeast"/>
          <w:jc w:val="center"/>
        </w:trPr>
        <w:tc>
          <w:tcPr>
            <w:tcW w:w="1843" w:type="dxa"/>
            <w:vMerge w:val="continue"/>
            <w:noWrap w:val="0"/>
            <w:vAlign w:val="center"/>
          </w:tcPr>
          <w:p w14:paraId="79627B5E">
            <w:pPr>
              <w:spacing w:line="240" w:lineRule="exact"/>
              <w:ind w:firstLine="180"/>
              <w:jc w:val="center"/>
              <w:rPr>
                <w:rFonts w:hint="eastAsia" w:ascii="宋体" w:hAnsi="宋体" w:eastAsia="宋体" w:cs="宋体"/>
                <w:color w:val="auto"/>
                <w:sz w:val="24"/>
                <w:szCs w:val="24"/>
              </w:rPr>
            </w:pPr>
          </w:p>
        </w:tc>
        <w:tc>
          <w:tcPr>
            <w:tcW w:w="1017" w:type="dxa"/>
            <w:noWrap w:val="0"/>
            <w:vAlign w:val="center"/>
          </w:tcPr>
          <w:p w14:paraId="29DAEFD6">
            <w:pPr>
              <w:spacing w:line="24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传 真</w:t>
            </w:r>
          </w:p>
        </w:tc>
        <w:tc>
          <w:tcPr>
            <w:tcW w:w="2330" w:type="dxa"/>
            <w:gridSpan w:val="3"/>
            <w:noWrap w:val="0"/>
            <w:vAlign w:val="center"/>
          </w:tcPr>
          <w:p w14:paraId="7CFC478A">
            <w:pPr>
              <w:spacing w:line="240" w:lineRule="exact"/>
              <w:ind w:firstLine="180"/>
              <w:jc w:val="center"/>
              <w:rPr>
                <w:rFonts w:hint="eastAsia" w:ascii="宋体" w:hAnsi="宋体" w:eastAsia="宋体" w:cs="宋体"/>
                <w:color w:val="auto"/>
                <w:sz w:val="24"/>
                <w:szCs w:val="24"/>
              </w:rPr>
            </w:pPr>
          </w:p>
        </w:tc>
        <w:tc>
          <w:tcPr>
            <w:tcW w:w="1311" w:type="dxa"/>
            <w:gridSpan w:val="3"/>
            <w:noWrap w:val="0"/>
            <w:vAlign w:val="center"/>
          </w:tcPr>
          <w:p w14:paraId="5BF6106E">
            <w:pPr>
              <w:spacing w:line="240" w:lineRule="exact"/>
              <w:ind w:firstLine="180"/>
              <w:jc w:val="center"/>
              <w:rPr>
                <w:rFonts w:hint="eastAsia" w:ascii="宋体" w:hAnsi="宋体" w:eastAsia="宋体" w:cs="宋体"/>
                <w:color w:val="auto"/>
                <w:sz w:val="24"/>
                <w:szCs w:val="24"/>
              </w:rPr>
            </w:pPr>
            <w:r>
              <w:rPr>
                <w:rFonts w:hint="eastAsia" w:ascii="宋体" w:hAnsi="宋体" w:eastAsia="宋体" w:cs="宋体"/>
                <w:color w:val="auto"/>
                <w:sz w:val="24"/>
                <w:szCs w:val="24"/>
              </w:rPr>
              <w:t>邮政编</w:t>
            </w:r>
            <w:r>
              <w:rPr>
                <w:rFonts w:hint="eastAsia" w:ascii="宋体" w:hAnsi="宋体" w:eastAsia="宋体" w:cs="宋体"/>
                <w:color w:val="auto"/>
                <w:w w:val="99"/>
                <w:sz w:val="24"/>
                <w:szCs w:val="24"/>
              </w:rPr>
              <w:t>码</w:t>
            </w:r>
          </w:p>
        </w:tc>
        <w:tc>
          <w:tcPr>
            <w:tcW w:w="3260" w:type="dxa"/>
            <w:noWrap w:val="0"/>
            <w:vAlign w:val="center"/>
          </w:tcPr>
          <w:p w14:paraId="38D6FCCC">
            <w:pPr>
              <w:spacing w:line="240" w:lineRule="exact"/>
              <w:ind w:firstLine="180"/>
              <w:jc w:val="center"/>
              <w:rPr>
                <w:rFonts w:hint="eastAsia" w:ascii="宋体" w:hAnsi="宋体" w:eastAsia="宋体" w:cs="宋体"/>
                <w:color w:val="auto"/>
                <w:sz w:val="24"/>
                <w:szCs w:val="24"/>
              </w:rPr>
            </w:pPr>
          </w:p>
        </w:tc>
      </w:tr>
      <w:tr w14:paraId="02FF7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7" w:hRule="atLeast"/>
          <w:jc w:val="center"/>
        </w:trPr>
        <w:tc>
          <w:tcPr>
            <w:tcW w:w="1843" w:type="dxa"/>
            <w:noWrap w:val="0"/>
            <w:vAlign w:val="center"/>
          </w:tcPr>
          <w:p w14:paraId="3E8CEE10">
            <w:pPr>
              <w:spacing w:line="24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法定代表人</w:t>
            </w:r>
          </w:p>
        </w:tc>
        <w:tc>
          <w:tcPr>
            <w:tcW w:w="1017" w:type="dxa"/>
            <w:noWrap w:val="0"/>
            <w:vAlign w:val="center"/>
          </w:tcPr>
          <w:p w14:paraId="5E831F84">
            <w:pPr>
              <w:spacing w:line="24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姓  名</w:t>
            </w:r>
          </w:p>
        </w:tc>
        <w:tc>
          <w:tcPr>
            <w:tcW w:w="2340" w:type="dxa"/>
            <w:gridSpan w:val="4"/>
            <w:noWrap w:val="0"/>
            <w:vAlign w:val="center"/>
          </w:tcPr>
          <w:p w14:paraId="71AC5469">
            <w:pPr>
              <w:spacing w:line="240" w:lineRule="exact"/>
              <w:ind w:firstLine="480"/>
              <w:jc w:val="center"/>
              <w:rPr>
                <w:rFonts w:hint="eastAsia" w:ascii="宋体" w:hAnsi="宋体" w:eastAsia="宋体" w:cs="宋体"/>
                <w:color w:val="auto"/>
                <w:sz w:val="24"/>
                <w:szCs w:val="24"/>
              </w:rPr>
            </w:pPr>
          </w:p>
        </w:tc>
        <w:tc>
          <w:tcPr>
            <w:tcW w:w="1301" w:type="dxa"/>
            <w:gridSpan w:val="2"/>
            <w:noWrap w:val="0"/>
            <w:vAlign w:val="center"/>
          </w:tcPr>
          <w:p w14:paraId="2DB80CDD">
            <w:pPr>
              <w:spacing w:line="24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电 话</w:t>
            </w:r>
          </w:p>
        </w:tc>
        <w:tc>
          <w:tcPr>
            <w:tcW w:w="3260" w:type="dxa"/>
            <w:noWrap w:val="0"/>
            <w:vAlign w:val="center"/>
          </w:tcPr>
          <w:p w14:paraId="73AC349C">
            <w:pPr>
              <w:spacing w:line="240" w:lineRule="exact"/>
              <w:ind w:firstLine="480"/>
              <w:jc w:val="center"/>
              <w:rPr>
                <w:rFonts w:hint="eastAsia" w:ascii="宋体" w:hAnsi="宋体" w:eastAsia="宋体" w:cs="宋体"/>
                <w:color w:val="auto"/>
                <w:sz w:val="24"/>
                <w:szCs w:val="24"/>
              </w:rPr>
            </w:pPr>
          </w:p>
        </w:tc>
      </w:tr>
      <w:tr w14:paraId="7D96A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5" w:hRule="atLeast"/>
          <w:jc w:val="center"/>
        </w:trPr>
        <w:tc>
          <w:tcPr>
            <w:tcW w:w="1843" w:type="dxa"/>
            <w:noWrap w:val="0"/>
            <w:vAlign w:val="center"/>
          </w:tcPr>
          <w:p w14:paraId="18222AD2">
            <w:pPr>
              <w:spacing w:line="24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成立时间</w:t>
            </w:r>
          </w:p>
        </w:tc>
        <w:tc>
          <w:tcPr>
            <w:tcW w:w="3345" w:type="dxa"/>
            <w:gridSpan w:val="3"/>
            <w:noWrap w:val="0"/>
            <w:vAlign w:val="center"/>
          </w:tcPr>
          <w:p w14:paraId="4B7E5AF8">
            <w:pPr>
              <w:spacing w:line="240" w:lineRule="exact"/>
              <w:ind w:firstLine="720" w:firstLineChars="300"/>
              <w:jc w:val="both"/>
              <w:rPr>
                <w:rFonts w:hint="eastAsia" w:ascii="宋体" w:hAnsi="宋体" w:eastAsia="宋体" w:cs="宋体"/>
                <w:color w:val="auto"/>
                <w:sz w:val="24"/>
                <w:szCs w:val="24"/>
              </w:rPr>
            </w:pPr>
          </w:p>
        </w:tc>
        <w:tc>
          <w:tcPr>
            <w:tcW w:w="1313" w:type="dxa"/>
            <w:gridSpan w:val="4"/>
            <w:noWrap w:val="0"/>
            <w:vAlign w:val="center"/>
          </w:tcPr>
          <w:p w14:paraId="15AE3664">
            <w:pPr>
              <w:spacing w:line="24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员工总人数</w:t>
            </w:r>
          </w:p>
        </w:tc>
        <w:tc>
          <w:tcPr>
            <w:tcW w:w="3260" w:type="dxa"/>
            <w:noWrap w:val="0"/>
            <w:vAlign w:val="center"/>
          </w:tcPr>
          <w:p w14:paraId="6F63E414">
            <w:pPr>
              <w:spacing w:line="240" w:lineRule="exact"/>
              <w:ind w:firstLine="720" w:firstLineChars="300"/>
              <w:jc w:val="both"/>
              <w:rPr>
                <w:rFonts w:hint="eastAsia" w:ascii="宋体" w:hAnsi="宋体" w:eastAsia="宋体" w:cs="宋体"/>
                <w:color w:val="auto"/>
                <w:sz w:val="24"/>
                <w:szCs w:val="24"/>
              </w:rPr>
            </w:pPr>
          </w:p>
        </w:tc>
      </w:tr>
      <w:tr w14:paraId="7F3CC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7" w:hRule="atLeast"/>
          <w:jc w:val="center"/>
        </w:trPr>
        <w:tc>
          <w:tcPr>
            <w:tcW w:w="1843" w:type="dxa"/>
            <w:noWrap w:val="0"/>
            <w:vAlign w:val="center"/>
          </w:tcPr>
          <w:p w14:paraId="0434CD7D">
            <w:pPr>
              <w:spacing w:line="240" w:lineRule="exact"/>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统一社会信用代码</w:t>
            </w:r>
          </w:p>
        </w:tc>
        <w:tc>
          <w:tcPr>
            <w:tcW w:w="7918" w:type="dxa"/>
            <w:gridSpan w:val="8"/>
            <w:noWrap w:val="0"/>
            <w:vAlign w:val="center"/>
          </w:tcPr>
          <w:p w14:paraId="00A9D6C9">
            <w:pPr>
              <w:spacing w:line="240" w:lineRule="exact"/>
              <w:ind w:firstLine="480"/>
              <w:jc w:val="center"/>
              <w:rPr>
                <w:rFonts w:hint="eastAsia" w:ascii="宋体" w:hAnsi="宋体" w:eastAsia="宋体" w:cs="宋体"/>
                <w:color w:val="auto"/>
                <w:sz w:val="24"/>
                <w:szCs w:val="24"/>
              </w:rPr>
            </w:pPr>
          </w:p>
        </w:tc>
      </w:tr>
      <w:tr w14:paraId="187DD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4" w:hRule="atLeast"/>
          <w:jc w:val="center"/>
        </w:trPr>
        <w:tc>
          <w:tcPr>
            <w:tcW w:w="1843" w:type="dxa"/>
            <w:noWrap w:val="0"/>
            <w:vAlign w:val="center"/>
          </w:tcPr>
          <w:p w14:paraId="111FFB55">
            <w:pPr>
              <w:spacing w:line="24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注册资金</w:t>
            </w:r>
          </w:p>
        </w:tc>
        <w:tc>
          <w:tcPr>
            <w:tcW w:w="7918" w:type="dxa"/>
            <w:gridSpan w:val="8"/>
            <w:noWrap w:val="0"/>
            <w:vAlign w:val="center"/>
          </w:tcPr>
          <w:p w14:paraId="013DECEC">
            <w:pPr>
              <w:spacing w:line="240" w:lineRule="exact"/>
              <w:ind w:firstLine="480"/>
              <w:jc w:val="center"/>
              <w:rPr>
                <w:rFonts w:hint="eastAsia" w:ascii="宋体" w:hAnsi="宋体" w:eastAsia="宋体" w:cs="宋体"/>
                <w:color w:val="auto"/>
                <w:sz w:val="24"/>
                <w:szCs w:val="24"/>
              </w:rPr>
            </w:pPr>
          </w:p>
        </w:tc>
      </w:tr>
      <w:tr w14:paraId="09F54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7" w:hRule="atLeast"/>
          <w:jc w:val="center"/>
        </w:trPr>
        <w:tc>
          <w:tcPr>
            <w:tcW w:w="1843" w:type="dxa"/>
            <w:noWrap w:val="0"/>
            <w:vAlign w:val="center"/>
          </w:tcPr>
          <w:p w14:paraId="40D12F71">
            <w:pPr>
              <w:spacing w:line="24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开户银行</w:t>
            </w:r>
          </w:p>
        </w:tc>
        <w:tc>
          <w:tcPr>
            <w:tcW w:w="7918" w:type="dxa"/>
            <w:gridSpan w:val="8"/>
            <w:noWrap w:val="0"/>
            <w:vAlign w:val="center"/>
          </w:tcPr>
          <w:p w14:paraId="0B731C23">
            <w:pPr>
              <w:spacing w:line="240" w:lineRule="exact"/>
              <w:ind w:firstLine="480"/>
              <w:jc w:val="center"/>
              <w:rPr>
                <w:rFonts w:hint="eastAsia" w:ascii="宋体" w:hAnsi="宋体" w:eastAsia="宋体" w:cs="宋体"/>
                <w:color w:val="auto"/>
                <w:sz w:val="24"/>
                <w:szCs w:val="24"/>
              </w:rPr>
            </w:pPr>
          </w:p>
        </w:tc>
      </w:tr>
      <w:tr w14:paraId="233E0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6" w:hRule="atLeast"/>
          <w:jc w:val="center"/>
        </w:trPr>
        <w:tc>
          <w:tcPr>
            <w:tcW w:w="1843" w:type="dxa"/>
            <w:noWrap w:val="0"/>
            <w:vAlign w:val="center"/>
          </w:tcPr>
          <w:p w14:paraId="2F944912">
            <w:pPr>
              <w:spacing w:line="24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账号</w:t>
            </w:r>
          </w:p>
        </w:tc>
        <w:tc>
          <w:tcPr>
            <w:tcW w:w="7918" w:type="dxa"/>
            <w:gridSpan w:val="8"/>
            <w:noWrap w:val="0"/>
            <w:vAlign w:val="center"/>
          </w:tcPr>
          <w:p w14:paraId="5837E591">
            <w:pPr>
              <w:spacing w:line="240" w:lineRule="exact"/>
              <w:ind w:firstLine="480"/>
              <w:jc w:val="center"/>
              <w:rPr>
                <w:rFonts w:hint="eastAsia" w:ascii="宋体" w:hAnsi="宋体" w:eastAsia="宋体" w:cs="宋体"/>
                <w:color w:val="auto"/>
                <w:sz w:val="24"/>
                <w:szCs w:val="24"/>
              </w:rPr>
            </w:pPr>
          </w:p>
        </w:tc>
      </w:tr>
      <w:tr w14:paraId="64249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2" w:hRule="atLeast"/>
          <w:jc w:val="center"/>
        </w:trPr>
        <w:tc>
          <w:tcPr>
            <w:tcW w:w="1843" w:type="dxa"/>
            <w:noWrap w:val="0"/>
            <w:vAlign w:val="center"/>
          </w:tcPr>
          <w:p w14:paraId="39FA35BF">
            <w:pPr>
              <w:spacing w:line="24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经营范围</w:t>
            </w:r>
          </w:p>
        </w:tc>
        <w:tc>
          <w:tcPr>
            <w:tcW w:w="7918" w:type="dxa"/>
            <w:gridSpan w:val="8"/>
            <w:noWrap w:val="0"/>
            <w:vAlign w:val="center"/>
          </w:tcPr>
          <w:p w14:paraId="4DB141E9">
            <w:pPr>
              <w:spacing w:line="240" w:lineRule="exact"/>
              <w:ind w:firstLine="480"/>
              <w:jc w:val="center"/>
              <w:rPr>
                <w:rFonts w:hint="eastAsia" w:ascii="宋体" w:hAnsi="宋体" w:eastAsia="宋体" w:cs="宋体"/>
                <w:color w:val="auto"/>
                <w:sz w:val="24"/>
                <w:szCs w:val="24"/>
              </w:rPr>
            </w:pPr>
          </w:p>
        </w:tc>
      </w:tr>
      <w:tr w14:paraId="76DEA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9" w:hRule="atLeast"/>
          <w:jc w:val="center"/>
        </w:trPr>
        <w:tc>
          <w:tcPr>
            <w:tcW w:w="1843" w:type="dxa"/>
            <w:noWrap w:val="0"/>
            <w:vAlign w:val="center"/>
          </w:tcPr>
          <w:p w14:paraId="5D3436A3">
            <w:pPr>
              <w:spacing w:line="24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备注</w:t>
            </w:r>
          </w:p>
        </w:tc>
        <w:tc>
          <w:tcPr>
            <w:tcW w:w="7918" w:type="dxa"/>
            <w:gridSpan w:val="8"/>
            <w:noWrap w:val="0"/>
            <w:vAlign w:val="center"/>
          </w:tcPr>
          <w:p w14:paraId="48A8E112">
            <w:pPr>
              <w:spacing w:line="240" w:lineRule="exact"/>
              <w:ind w:firstLine="480"/>
              <w:jc w:val="center"/>
              <w:rPr>
                <w:rFonts w:hint="eastAsia" w:ascii="宋体" w:hAnsi="宋体" w:eastAsia="宋体" w:cs="宋体"/>
                <w:color w:val="auto"/>
                <w:sz w:val="24"/>
                <w:szCs w:val="24"/>
              </w:rPr>
            </w:pPr>
          </w:p>
        </w:tc>
      </w:tr>
    </w:tbl>
    <w:p w14:paraId="3449ADA8">
      <w:pPr>
        <w:numPr>
          <w:ilvl w:val="0"/>
          <w:numId w:val="0"/>
        </w:numPr>
        <w:rPr>
          <w:rFonts w:hint="eastAsia" w:ascii="宋体" w:hAnsi="宋体" w:eastAsia="宋体" w:cs="宋体"/>
          <w:color w:val="auto"/>
        </w:rPr>
      </w:pPr>
    </w:p>
    <w:p w14:paraId="7D61B6FD">
      <w:pPr>
        <w:pStyle w:val="4"/>
        <w:numPr>
          <w:ilvl w:val="0"/>
          <w:numId w:val="0"/>
        </w:numPr>
        <w:tabs>
          <w:tab w:val="clear" w:pos="1260"/>
        </w:tabs>
        <w:ind w:left="840" w:leftChars="0"/>
        <w:rPr>
          <w:rFonts w:hint="eastAsia" w:ascii="宋体" w:hAnsi="宋体" w:eastAsia="宋体" w:cs="宋体"/>
          <w:color w:val="auto"/>
        </w:rPr>
      </w:pPr>
    </w:p>
    <w:p w14:paraId="462F0E53">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注：本表后应附有效的营业执照或社会团体登记证书或事业单位法人证书或其他类型主体资格证书等证明文件，以自然人身份投标的提交自然人的身份证明。</w:t>
      </w:r>
    </w:p>
    <w:p w14:paraId="146CD277">
      <w:pPr>
        <w:spacing w:line="480" w:lineRule="auto"/>
        <w:rPr>
          <w:rFonts w:hint="eastAsia" w:ascii="宋体" w:hAnsi="宋体" w:eastAsia="宋体" w:cs="宋体"/>
          <w:b/>
          <w:bCs/>
          <w:color w:val="auto"/>
          <w:sz w:val="28"/>
          <w:szCs w:val="28"/>
          <w:highlight w:val="white"/>
          <w:lang w:val="en-US" w:eastAsia="zh-CN"/>
        </w:rPr>
      </w:pPr>
      <w:r>
        <w:rPr>
          <w:rFonts w:hint="eastAsia" w:ascii="宋体" w:hAnsi="宋体" w:eastAsia="宋体" w:cs="宋体"/>
          <w:color w:val="auto"/>
          <w:sz w:val="24"/>
          <w:szCs w:val="24"/>
          <w:highlight w:val="white"/>
        </w:rPr>
        <w:br w:type="page"/>
      </w:r>
      <w:bookmarkStart w:id="137" w:name="_Toc256000012"/>
      <w:r>
        <w:rPr>
          <w:rFonts w:hint="eastAsia" w:ascii="宋体" w:hAnsi="宋体" w:eastAsia="宋体" w:cs="宋体"/>
          <w:b/>
          <w:bCs/>
          <w:color w:val="auto"/>
          <w:sz w:val="28"/>
          <w:szCs w:val="28"/>
          <w:highlight w:val="white"/>
          <w:lang w:eastAsia="zh-CN"/>
        </w:rPr>
        <w:t>（</w:t>
      </w:r>
      <w:r>
        <w:rPr>
          <w:rFonts w:hint="eastAsia" w:ascii="宋体" w:hAnsi="宋体" w:eastAsia="宋体" w:cs="宋体"/>
          <w:b/>
          <w:bCs/>
          <w:color w:val="auto"/>
          <w:sz w:val="28"/>
          <w:szCs w:val="28"/>
          <w:highlight w:val="white"/>
          <w:lang w:val="en-US" w:eastAsia="zh-CN"/>
        </w:rPr>
        <w:t>5</w:t>
      </w:r>
      <w:r>
        <w:rPr>
          <w:rFonts w:hint="eastAsia" w:ascii="宋体" w:hAnsi="宋体" w:eastAsia="宋体" w:cs="宋体"/>
          <w:b/>
          <w:bCs/>
          <w:color w:val="auto"/>
          <w:sz w:val="28"/>
          <w:szCs w:val="28"/>
          <w:highlight w:val="white"/>
          <w:lang w:eastAsia="zh-CN"/>
        </w:rPr>
        <w:t>）</w:t>
      </w:r>
      <w:bookmarkEnd w:id="137"/>
      <w:r>
        <w:rPr>
          <w:rFonts w:hint="eastAsia" w:ascii="宋体" w:hAnsi="宋体" w:eastAsia="宋体" w:cs="宋体"/>
          <w:b/>
          <w:bCs/>
          <w:color w:val="auto"/>
          <w:sz w:val="28"/>
          <w:szCs w:val="28"/>
          <w:highlight w:val="white"/>
          <w:lang w:val="en-US" w:eastAsia="zh-CN"/>
        </w:rPr>
        <w:t>营业执照副本</w:t>
      </w:r>
    </w:p>
    <w:p w14:paraId="4328D92E">
      <w:pPr>
        <w:rPr>
          <w:rFonts w:hint="eastAsia" w:ascii="宋体" w:hAnsi="宋体" w:eastAsia="宋体" w:cs="宋体"/>
          <w:color w:val="auto"/>
          <w:sz w:val="24"/>
          <w:szCs w:val="24"/>
        </w:rPr>
      </w:pPr>
      <w:r>
        <w:rPr>
          <w:rFonts w:hint="eastAsia" w:ascii="宋体" w:hAnsi="宋体" w:eastAsia="宋体" w:cs="宋体"/>
          <w:i/>
          <w:color w:val="auto"/>
          <w:sz w:val="24"/>
          <w:szCs w:val="24"/>
          <w:highlight w:val="white"/>
        </w:rPr>
        <w:br w:type="page"/>
      </w:r>
    </w:p>
    <w:p w14:paraId="5F79F2CD">
      <w:pPr>
        <w:pStyle w:val="4"/>
        <w:numPr>
          <w:ilvl w:val="0"/>
          <w:numId w:val="0"/>
        </w:numPr>
        <w:jc w:val="center"/>
        <w:rPr>
          <w:rFonts w:hint="eastAsia" w:ascii="宋体" w:hAnsi="宋体" w:eastAsia="宋体" w:cs="宋体"/>
          <w:color w:val="auto"/>
          <w:sz w:val="28"/>
          <w:szCs w:val="28"/>
        </w:rPr>
      </w:pPr>
      <w:bookmarkStart w:id="138" w:name="_Toc256000013"/>
      <w:r>
        <w:rPr>
          <w:rFonts w:hint="eastAsia" w:ascii="宋体" w:hAnsi="宋体" w:eastAsia="宋体" w:cs="宋体"/>
          <w:color w:val="auto"/>
          <w:sz w:val="28"/>
          <w:szCs w:val="28"/>
          <w:highlight w:val="white"/>
        </w:rPr>
        <w:t>（</w:t>
      </w:r>
      <w:r>
        <w:rPr>
          <w:rFonts w:hint="eastAsia" w:ascii="宋体" w:hAnsi="宋体" w:eastAsia="宋体" w:cs="宋体"/>
          <w:color w:val="auto"/>
          <w:sz w:val="28"/>
          <w:szCs w:val="28"/>
          <w:highlight w:val="white"/>
          <w:lang w:val="en-US" w:eastAsia="zh-CN"/>
        </w:rPr>
        <w:t>6</w:t>
      </w:r>
      <w:r>
        <w:rPr>
          <w:rFonts w:hint="eastAsia" w:ascii="宋体" w:hAnsi="宋体" w:eastAsia="宋体" w:cs="宋体"/>
          <w:color w:val="auto"/>
          <w:sz w:val="28"/>
          <w:szCs w:val="28"/>
          <w:highlight w:val="white"/>
        </w:rPr>
        <w:t>）具有健全的财务会计制度</w:t>
      </w:r>
      <w:bookmarkEnd w:id="138"/>
    </w:p>
    <w:p w14:paraId="57F6EEC1">
      <w:pPr>
        <w:spacing w:line="480" w:lineRule="auto"/>
        <w:ind w:firstLine="480" w:firstLineChars="200"/>
        <w:rPr>
          <w:rFonts w:hint="eastAsia" w:ascii="宋体" w:hAnsi="宋体" w:eastAsia="宋体" w:cs="宋体"/>
          <w:color w:val="auto"/>
          <w:sz w:val="24"/>
          <w:szCs w:val="18"/>
        </w:rPr>
      </w:pPr>
      <w:r>
        <w:rPr>
          <w:rFonts w:hint="eastAsia" w:ascii="宋体" w:hAnsi="宋体" w:eastAsia="宋体" w:cs="宋体"/>
          <w:color w:val="auto"/>
          <w:sz w:val="24"/>
          <w:szCs w:val="18"/>
          <w:highlight w:val="white"/>
        </w:rPr>
        <w:t>附：</w:t>
      </w:r>
      <w:r>
        <w:rPr>
          <w:rFonts w:hint="eastAsia" w:ascii="宋体" w:hAnsi="宋体" w:cs="宋体"/>
          <w:color w:val="auto"/>
          <w:sz w:val="24"/>
          <w:szCs w:val="18"/>
          <w:highlight w:val="white"/>
          <w:lang w:eastAsia="zh-CN"/>
        </w:rPr>
        <w:t>提供2025年度</w:t>
      </w:r>
      <w:r>
        <w:rPr>
          <w:rFonts w:hint="eastAsia" w:ascii="宋体" w:hAnsi="宋体" w:eastAsia="宋体" w:cs="宋体"/>
          <w:color w:val="auto"/>
          <w:sz w:val="24"/>
          <w:szCs w:val="18"/>
          <w:highlight w:val="white"/>
        </w:rPr>
        <w:t>由第三方财务审计机构出具的在注册会计师行业统一监管平台备案赋码的财务审计报告（2026年新成立的公司按实际发生的情况提供银行出具的近一个月资信证明）</w:t>
      </w:r>
      <w:r>
        <w:rPr>
          <w:rFonts w:hint="eastAsia" w:ascii="宋体" w:hAnsi="宋体" w:eastAsia="宋体" w:cs="宋体"/>
          <w:color w:val="auto"/>
          <w:sz w:val="24"/>
          <w:szCs w:val="18"/>
          <w:highlight w:val="white"/>
        </w:rPr>
        <w:br w:type="page"/>
      </w:r>
    </w:p>
    <w:p w14:paraId="2C8D2026">
      <w:pPr>
        <w:pStyle w:val="4"/>
        <w:numPr>
          <w:ilvl w:val="0"/>
          <w:numId w:val="0"/>
        </w:numPr>
        <w:jc w:val="center"/>
        <w:rPr>
          <w:rFonts w:hint="eastAsia" w:ascii="宋体" w:hAnsi="宋体" w:eastAsia="宋体" w:cs="宋体"/>
          <w:color w:val="auto"/>
          <w:sz w:val="28"/>
          <w:szCs w:val="28"/>
        </w:rPr>
      </w:pPr>
      <w:bookmarkStart w:id="139" w:name="_Toc256000014"/>
      <w:r>
        <w:rPr>
          <w:rFonts w:hint="eastAsia" w:ascii="宋体" w:hAnsi="宋体" w:eastAsia="宋体" w:cs="宋体"/>
          <w:color w:val="auto"/>
          <w:sz w:val="28"/>
          <w:szCs w:val="28"/>
          <w:highlight w:val="white"/>
        </w:rPr>
        <w:t>（</w:t>
      </w:r>
      <w:r>
        <w:rPr>
          <w:rFonts w:hint="eastAsia" w:ascii="宋体" w:hAnsi="宋体" w:eastAsia="宋体" w:cs="宋体"/>
          <w:color w:val="auto"/>
          <w:sz w:val="28"/>
          <w:szCs w:val="28"/>
          <w:highlight w:val="white"/>
          <w:lang w:val="en-US" w:eastAsia="zh-CN"/>
        </w:rPr>
        <w:t>7</w:t>
      </w:r>
      <w:r>
        <w:rPr>
          <w:rFonts w:hint="eastAsia" w:ascii="宋体" w:hAnsi="宋体" w:eastAsia="宋体" w:cs="宋体"/>
          <w:color w:val="auto"/>
          <w:sz w:val="28"/>
          <w:szCs w:val="28"/>
          <w:highlight w:val="white"/>
        </w:rPr>
        <w:t>）2026年7月-2026年9月</w:t>
      </w:r>
      <w:r>
        <w:rPr>
          <w:rFonts w:hint="eastAsia" w:ascii="宋体" w:hAnsi="宋体" w:eastAsia="宋体" w:cs="宋体"/>
          <w:color w:val="auto"/>
          <w:sz w:val="28"/>
          <w:szCs w:val="28"/>
          <w:highlight w:val="white"/>
          <w:lang w:val="en-US" w:eastAsia="zh-CN"/>
        </w:rPr>
        <w:t>的完税证明</w:t>
      </w:r>
      <w:bookmarkEnd w:id="139"/>
    </w:p>
    <w:p w14:paraId="0E6D5758">
      <w:pPr>
        <w:rPr>
          <w:rFonts w:hint="eastAsia" w:ascii="宋体" w:hAnsi="宋体" w:eastAsia="宋体" w:cs="宋体"/>
          <w:color w:val="auto"/>
          <w:sz w:val="24"/>
          <w:szCs w:val="24"/>
        </w:rPr>
      </w:pPr>
      <w:r>
        <w:rPr>
          <w:rFonts w:hint="eastAsia" w:ascii="宋体" w:hAnsi="宋体" w:eastAsia="宋体" w:cs="宋体"/>
          <w:color w:val="auto"/>
          <w:sz w:val="24"/>
          <w:szCs w:val="24"/>
          <w:highlight w:val="white"/>
        </w:rPr>
        <w:br w:type="page"/>
      </w:r>
    </w:p>
    <w:p w14:paraId="3F6C47DB">
      <w:pPr>
        <w:pStyle w:val="4"/>
        <w:numPr>
          <w:ilvl w:val="0"/>
          <w:numId w:val="0"/>
        </w:numPr>
        <w:spacing w:line="415" w:lineRule="auto"/>
        <w:jc w:val="center"/>
        <w:rPr>
          <w:rFonts w:hint="eastAsia" w:ascii="宋体" w:hAnsi="宋体" w:eastAsia="宋体" w:cs="宋体"/>
          <w:color w:val="auto"/>
          <w:sz w:val="28"/>
          <w:szCs w:val="28"/>
        </w:rPr>
      </w:pPr>
      <w:bookmarkStart w:id="140" w:name="_Toc256000015"/>
      <w:r>
        <w:rPr>
          <w:rFonts w:hint="eastAsia" w:ascii="宋体" w:hAnsi="宋体" w:eastAsia="宋体" w:cs="宋体"/>
          <w:color w:val="auto"/>
          <w:sz w:val="28"/>
          <w:szCs w:val="28"/>
          <w:highlight w:val="white"/>
        </w:rPr>
        <w:t>（</w:t>
      </w:r>
      <w:r>
        <w:rPr>
          <w:rFonts w:hint="eastAsia" w:ascii="宋体" w:hAnsi="宋体" w:eastAsia="宋体" w:cs="宋体"/>
          <w:color w:val="auto"/>
          <w:sz w:val="28"/>
          <w:szCs w:val="28"/>
          <w:highlight w:val="white"/>
          <w:lang w:val="en-US" w:eastAsia="zh-CN"/>
        </w:rPr>
        <w:t>8</w:t>
      </w:r>
      <w:r>
        <w:rPr>
          <w:rFonts w:hint="eastAsia" w:ascii="宋体" w:hAnsi="宋体" w:eastAsia="宋体" w:cs="宋体"/>
          <w:color w:val="auto"/>
          <w:sz w:val="28"/>
          <w:szCs w:val="28"/>
          <w:highlight w:val="white"/>
        </w:rPr>
        <w:t>）参加采购活动前三年内在经营活动中没有重大违法记录的声明</w:t>
      </w:r>
      <w:bookmarkEnd w:id="140"/>
    </w:p>
    <w:p w14:paraId="32A0E956">
      <w:pPr>
        <w:spacing w:line="480" w:lineRule="auto"/>
        <w:rPr>
          <w:rFonts w:hint="eastAsia" w:ascii="宋体" w:hAnsi="宋体" w:eastAsia="宋体" w:cs="宋体"/>
          <w:color w:val="auto"/>
          <w:sz w:val="24"/>
          <w:szCs w:val="24"/>
        </w:rPr>
      </w:pPr>
      <w:r>
        <w:rPr>
          <w:rFonts w:hint="eastAsia" w:ascii="宋体" w:hAnsi="宋体" w:eastAsia="宋体" w:cs="宋体"/>
          <w:color w:val="auto"/>
          <w:sz w:val="24"/>
          <w:szCs w:val="24"/>
          <w:highlight w:val="white"/>
          <w:u w:val="single"/>
        </w:rPr>
        <w:t>（采购人名称）</w:t>
      </w:r>
      <w:r>
        <w:rPr>
          <w:rFonts w:hint="eastAsia" w:ascii="宋体" w:hAnsi="宋体" w:eastAsia="宋体" w:cs="宋体"/>
          <w:color w:val="auto"/>
          <w:sz w:val="24"/>
          <w:szCs w:val="24"/>
          <w:highlight w:val="white"/>
        </w:rPr>
        <w:t>：</w:t>
      </w:r>
    </w:p>
    <w:p w14:paraId="565B63AA">
      <w:pPr>
        <w:spacing w:line="48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声明：注册于</w:t>
      </w:r>
      <w:r>
        <w:rPr>
          <w:rFonts w:hint="eastAsia" w:ascii="宋体" w:hAnsi="宋体" w:eastAsia="宋体" w:cs="宋体"/>
          <w:color w:val="auto"/>
          <w:sz w:val="24"/>
          <w:szCs w:val="24"/>
          <w:highlight w:val="white"/>
          <w:u w:val="single"/>
        </w:rPr>
        <w:t xml:space="preserve">          </w:t>
      </w:r>
      <w:r>
        <w:rPr>
          <w:rFonts w:hint="eastAsia" w:ascii="宋体" w:hAnsi="宋体" w:eastAsia="宋体" w:cs="宋体"/>
          <w:color w:val="auto"/>
          <w:sz w:val="24"/>
          <w:szCs w:val="24"/>
          <w:highlight w:val="white"/>
        </w:rPr>
        <w:t>（国家或地区的名称）的</w:t>
      </w:r>
      <w:r>
        <w:rPr>
          <w:rFonts w:hint="eastAsia" w:ascii="宋体" w:hAnsi="宋体" w:eastAsia="宋体" w:cs="宋体"/>
          <w:color w:val="auto"/>
          <w:sz w:val="24"/>
          <w:szCs w:val="24"/>
          <w:highlight w:val="white"/>
          <w:u w:val="single"/>
        </w:rPr>
        <w:t xml:space="preserve">           </w:t>
      </w:r>
      <w:r>
        <w:rPr>
          <w:rFonts w:hint="eastAsia" w:ascii="宋体" w:hAnsi="宋体" w:eastAsia="宋体" w:cs="宋体"/>
          <w:color w:val="auto"/>
          <w:sz w:val="24"/>
          <w:szCs w:val="24"/>
          <w:highlight w:val="white"/>
        </w:rPr>
        <w:t>（公司名称）的在下面签字的代表人代表本公司郑重声明：</w:t>
      </w:r>
    </w:p>
    <w:p w14:paraId="0650BAB2">
      <w:pPr>
        <w:spacing w:line="48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我公司在参加本次采购活动前三年内，在经营活动中没有重大违法记录。</w:t>
      </w:r>
    </w:p>
    <w:p w14:paraId="23DAD474">
      <w:pPr>
        <w:rPr>
          <w:rFonts w:hint="eastAsia" w:ascii="宋体" w:hAnsi="宋体" w:eastAsia="宋体" w:cs="宋体"/>
          <w:color w:val="auto"/>
          <w:sz w:val="24"/>
          <w:szCs w:val="24"/>
        </w:rPr>
      </w:pPr>
    </w:p>
    <w:p w14:paraId="636A11E6">
      <w:pPr>
        <w:rPr>
          <w:rFonts w:hint="eastAsia" w:ascii="宋体" w:hAnsi="宋体" w:eastAsia="宋体" w:cs="宋体"/>
          <w:color w:val="auto"/>
          <w:sz w:val="24"/>
          <w:szCs w:val="24"/>
        </w:rPr>
      </w:pPr>
    </w:p>
    <w:p w14:paraId="3F37375E">
      <w:pPr>
        <w:rPr>
          <w:rFonts w:hint="eastAsia" w:ascii="宋体" w:hAnsi="宋体" w:eastAsia="宋体" w:cs="宋体"/>
          <w:color w:val="auto"/>
          <w:sz w:val="24"/>
          <w:szCs w:val="24"/>
        </w:rPr>
      </w:pPr>
    </w:p>
    <w:p w14:paraId="25281EAE">
      <w:pPr>
        <w:rPr>
          <w:rFonts w:hint="eastAsia" w:ascii="宋体" w:hAnsi="宋体" w:eastAsia="宋体" w:cs="宋体"/>
          <w:color w:val="auto"/>
          <w:sz w:val="24"/>
          <w:szCs w:val="24"/>
        </w:rPr>
      </w:pPr>
    </w:p>
    <w:p w14:paraId="014A3AFC">
      <w:pPr>
        <w:rPr>
          <w:rFonts w:hint="eastAsia" w:ascii="宋体" w:hAnsi="宋体" w:eastAsia="宋体" w:cs="宋体"/>
          <w:color w:val="auto"/>
          <w:sz w:val="24"/>
          <w:szCs w:val="24"/>
        </w:rPr>
      </w:pPr>
    </w:p>
    <w:p w14:paraId="1FC0B0A2">
      <w:pPr>
        <w:rPr>
          <w:rFonts w:hint="eastAsia" w:ascii="宋体" w:hAnsi="宋体" w:eastAsia="宋体" w:cs="宋体"/>
          <w:color w:val="auto"/>
          <w:sz w:val="24"/>
          <w:szCs w:val="24"/>
        </w:rPr>
      </w:pPr>
    </w:p>
    <w:p w14:paraId="28BA91BE">
      <w:pPr>
        <w:spacing w:line="480" w:lineRule="auto"/>
        <w:rPr>
          <w:rFonts w:hint="eastAsia" w:ascii="宋体" w:hAnsi="宋体" w:eastAsia="宋体" w:cs="宋体"/>
          <w:color w:val="auto"/>
          <w:sz w:val="24"/>
          <w:szCs w:val="24"/>
        </w:rPr>
      </w:pPr>
    </w:p>
    <w:p w14:paraId="02738090">
      <w:pPr>
        <w:spacing w:line="480" w:lineRule="auto"/>
        <w:rPr>
          <w:rFonts w:hint="eastAsia" w:ascii="宋体" w:hAnsi="宋体" w:eastAsia="宋体" w:cs="宋体"/>
          <w:color w:val="auto"/>
          <w:sz w:val="24"/>
          <w:szCs w:val="24"/>
          <w:u w:val="single"/>
        </w:rPr>
      </w:pPr>
      <w:r>
        <w:rPr>
          <w:rFonts w:hint="eastAsia" w:ascii="宋体" w:hAnsi="宋体" w:eastAsia="宋体" w:cs="宋体"/>
          <w:color w:val="auto"/>
          <w:sz w:val="24"/>
          <w:szCs w:val="24"/>
          <w:highlight w:val="white"/>
        </w:rPr>
        <w:t>供应商名称（公章）：</w:t>
      </w:r>
      <w:r>
        <w:rPr>
          <w:rFonts w:hint="eastAsia" w:ascii="宋体" w:hAnsi="宋体" w:eastAsia="宋体" w:cs="宋体"/>
          <w:color w:val="auto"/>
          <w:sz w:val="24"/>
          <w:szCs w:val="24"/>
          <w:highlight w:val="white"/>
          <w:u w:val="single"/>
        </w:rPr>
        <w:t xml:space="preserve">                         </w:t>
      </w:r>
    </w:p>
    <w:p w14:paraId="44ECB940">
      <w:pPr>
        <w:spacing w:line="480" w:lineRule="auto"/>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法定代表人或其授权代表（签字）：</w:t>
      </w:r>
      <w:r>
        <w:rPr>
          <w:rFonts w:hint="eastAsia" w:ascii="宋体" w:hAnsi="宋体" w:eastAsia="宋体" w:cs="宋体"/>
          <w:color w:val="auto"/>
          <w:sz w:val="24"/>
          <w:szCs w:val="24"/>
          <w:highlight w:val="white"/>
          <w:u w:val="single"/>
        </w:rPr>
        <w:t xml:space="preserve">             </w:t>
      </w:r>
    </w:p>
    <w:p w14:paraId="24885B40">
      <w:pPr>
        <w:spacing w:line="480" w:lineRule="auto"/>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日期：</w:t>
      </w:r>
      <w:r>
        <w:rPr>
          <w:rFonts w:hint="eastAsia" w:ascii="宋体" w:hAnsi="宋体" w:eastAsia="宋体" w:cs="宋体"/>
          <w:color w:val="auto"/>
          <w:sz w:val="24"/>
          <w:szCs w:val="24"/>
          <w:highlight w:val="white"/>
          <w:u w:val="single"/>
        </w:rPr>
        <w:t xml:space="preserve">      </w:t>
      </w:r>
      <w:r>
        <w:rPr>
          <w:rFonts w:hint="eastAsia" w:ascii="宋体" w:hAnsi="宋体" w:eastAsia="宋体" w:cs="宋体"/>
          <w:color w:val="auto"/>
          <w:sz w:val="24"/>
          <w:szCs w:val="24"/>
          <w:highlight w:val="white"/>
        </w:rPr>
        <w:t>年</w:t>
      </w:r>
      <w:r>
        <w:rPr>
          <w:rFonts w:hint="eastAsia" w:ascii="宋体" w:hAnsi="宋体" w:eastAsia="宋体" w:cs="宋体"/>
          <w:color w:val="auto"/>
          <w:sz w:val="24"/>
          <w:szCs w:val="24"/>
          <w:highlight w:val="white"/>
          <w:u w:val="single"/>
        </w:rPr>
        <w:t xml:space="preserve">    </w:t>
      </w:r>
      <w:r>
        <w:rPr>
          <w:rFonts w:hint="eastAsia" w:ascii="宋体" w:hAnsi="宋体" w:eastAsia="宋体" w:cs="宋体"/>
          <w:color w:val="auto"/>
          <w:sz w:val="24"/>
          <w:szCs w:val="24"/>
          <w:highlight w:val="white"/>
        </w:rPr>
        <w:t>月</w:t>
      </w:r>
      <w:r>
        <w:rPr>
          <w:rFonts w:hint="eastAsia" w:ascii="宋体" w:hAnsi="宋体" w:eastAsia="宋体" w:cs="宋体"/>
          <w:color w:val="auto"/>
          <w:sz w:val="24"/>
          <w:szCs w:val="24"/>
          <w:highlight w:val="white"/>
          <w:u w:val="single"/>
        </w:rPr>
        <w:t xml:space="preserve">    </w:t>
      </w:r>
      <w:r>
        <w:rPr>
          <w:rFonts w:hint="eastAsia" w:ascii="宋体" w:hAnsi="宋体" w:eastAsia="宋体" w:cs="宋体"/>
          <w:color w:val="auto"/>
          <w:sz w:val="24"/>
          <w:szCs w:val="24"/>
          <w:highlight w:val="white"/>
        </w:rPr>
        <w:t>日</w:t>
      </w:r>
    </w:p>
    <w:p w14:paraId="406091F0">
      <w:pPr>
        <w:rPr>
          <w:rFonts w:hint="eastAsia" w:ascii="宋体" w:hAnsi="宋体" w:eastAsia="宋体" w:cs="宋体"/>
          <w:color w:val="auto"/>
          <w:sz w:val="24"/>
          <w:szCs w:val="24"/>
        </w:rPr>
      </w:pPr>
      <w:r>
        <w:rPr>
          <w:rFonts w:hint="eastAsia" w:ascii="宋体" w:hAnsi="宋体" w:eastAsia="宋体" w:cs="宋体"/>
          <w:color w:val="auto"/>
          <w:sz w:val="24"/>
          <w:szCs w:val="24"/>
          <w:highlight w:val="white"/>
        </w:rPr>
        <w:br w:type="page"/>
      </w:r>
    </w:p>
    <w:p w14:paraId="2DC1C99B">
      <w:pPr>
        <w:pStyle w:val="4"/>
        <w:numPr>
          <w:ilvl w:val="0"/>
          <w:numId w:val="0"/>
        </w:numPr>
        <w:ind w:left="425" w:leftChars="0" w:hanging="425" w:firstLineChars="0"/>
        <w:jc w:val="center"/>
        <w:rPr>
          <w:rFonts w:hint="eastAsia" w:ascii="宋体" w:hAnsi="宋体" w:eastAsia="宋体" w:cs="宋体"/>
          <w:color w:val="auto"/>
          <w:sz w:val="28"/>
          <w:szCs w:val="28"/>
          <w:lang w:eastAsia="zh-CN"/>
        </w:rPr>
      </w:pPr>
      <w:bookmarkStart w:id="141" w:name="_Toc256000016"/>
      <w:r>
        <w:rPr>
          <w:rFonts w:hint="eastAsia" w:ascii="宋体" w:hAnsi="宋体" w:eastAsia="宋体" w:cs="宋体"/>
          <w:b/>
          <w:color w:val="auto"/>
          <w:kern w:val="2"/>
          <w:sz w:val="28"/>
          <w:szCs w:val="28"/>
          <w:lang w:val="en-US" w:eastAsia="zh-CN" w:bidi="ar-SA"/>
        </w:rPr>
        <w:t>（9）</w:t>
      </w:r>
      <w:r>
        <w:rPr>
          <w:rFonts w:hint="eastAsia" w:ascii="宋体" w:hAnsi="宋体" w:eastAsia="宋体" w:cs="宋体"/>
          <w:color w:val="auto"/>
          <w:sz w:val="28"/>
          <w:szCs w:val="28"/>
          <w:highlight w:val="white"/>
        </w:rPr>
        <w:t>具有履行合同所必需的</w:t>
      </w:r>
      <w:r>
        <w:rPr>
          <w:rFonts w:hint="eastAsia" w:ascii="宋体" w:hAnsi="宋体" w:eastAsia="宋体" w:cs="宋体"/>
          <w:color w:val="auto"/>
          <w:sz w:val="28"/>
          <w:szCs w:val="28"/>
          <w:highlight w:val="white"/>
          <w:lang w:eastAsia="zh-CN"/>
        </w:rPr>
        <w:t>货物</w:t>
      </w:r>
      <w:r>
        <w:rPr>
          <w:rFonts w:hint="eastAsia" w:ascii="宋体" w:hAnsi="宋体" w:eastAsia="宋体" w:cs="宋体"/>
          <w:color w:val="auto"/>
          <w:sz w:val="28"/>
          <w:szCs w:val="28"/>
          <w:highlight w:val="white"/>
        </w:rPr>
        <w:t>和专业技术能力的声明</w:t>
      </w:r>
      <w:bookmarkEnd w:id="141"/>
    </w:p>
    <w:p w14:paraId="3881966D">
      <w:pPr>
        <w:pStyle w:val="4"/>
        <w:numPr>
          <w:ilvl w:val="0"/>
          <w:numId w:val="0"/>
        </w:numPr>
        <w:ind w:leftChars="0"/>
        <w:jc w:val="center"/>
        <w:rPr>
          <w:rFonts w:hint="eastAsia" w:ascii="宋体" w:hAnsi="宋体" w:eastAsia="宋体" w:cs="宋体"/>
          <w:color w:val="auto"/>
          <w:sz w:val="28"/>
          <w:szCs w:val="28"/>
          <w:lang w:eastAsia="zh-CN"/>
        </w:rPr>
      </w:pPr>
      <w:r>
        <w:rPr>
          <w:rFonts w:hint="eastAsia" w:ascii="宋体" w:hAnsi="宋体" w:eastAsia="宋体" w:cs="宋体"/>
          <w:color w:val="auto"/>
          <w:sz w:val="28"/>
          <w:szCs w:val="28"/>
          <w:highlight w:val="white"/>
          <w:lang w:eastAsia="zh-CN"/>
        </w:rPr>
        <w:t>（</w:t>
      </w:r>
      <w:r>
        <w:rPr>
          <w:rFonts w:hint="eastAsia" w:ascii="宋体" w:hAnsi="宋体" w:eastAsia="宋体" w:cs="宋体"/>
          <w:color w:val="auto"/>
          <w:sz w:val="28"/>
          <w:szCs w:val="28"/>
          <w:highlight w:val="white"/>
          <w:lang w:val="en-US" w:eastAsia="zh-CN"/>
        </w:rPr>
        <w:t>投标人资格声明函</w:t>
      </w:r>
      <w:r>
        <w:rPr>
          <w:rFonts w:hint="eastAsia" w:ascii="宋体" w:hAnsi="宋体" w:eastAsia="宋体" w:cs="宋体"/>
          <w:color w:val="auto"/>
          <w:sz w:val="28"/>
          <w:szCs w:val="28"/>
          <w:highlight w:val="white"/>
          <w:lang w:eastAsia="zh-CN"/>
        </w:rPr>
        <w:t>）</w:t>
      </w:r>
    </w:p>
    <w:p w14:paraId="101C7DB7">
      <w:pPr>
        <w:spacing w:line="48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我公司</w:t>
      </w:r>
      <w:r>
        <w:rPr>
          <w:rFonts w:hint="eastAsia" w:ascii="宋体" w:hAnsi="宋体" w:eastAsia="宋体" w:cs="宋体"/>
          <w:color w:val="auto"/>
          <w:sz w:val="24"/>
          <w:szCs w:val="24"/>
          <w:highlight w:val="white"/>
          <w:u w:val="single"/>
        </w:rPr>
        <w:t xml:space="preserve">           </w:t>
      </w:r>
      <w:r>
        <w:rPr>
          <w:rFonts w:hint="eastAsia" w:ascii="宋体" w:hAnsi="宋体" w:eastAsia="宋体" w:cs="宋体"/>
          <w:color w:val="auto"/>
          <w:sz w:val="24"/>
          <w:szCs w:val="24"/>
          <w:highlight w:val="white"/>
        </w:rPr>
        <w:t>收到</w:t>
      </w:r>
      <w:r>
        <w:rPr>
          <w:rFonts w:hint="eastAsia" w:ascii="宋体" w:hAnsi="宋体" w:eastAsia="宋体" w:cs="宋体"/>
          <w:color w:val="auto"/>
          <w:sz w:val="24"/>
          <w:szCs w:val="24"/>
          <w:highlight w:val="white"/>
          <w:u w:val="single"/>
        </w:rPr>
        <w:t xml:space="preserve">               </w:t>
      </w:r>
      <w:r>
        <w:rPr>
          <w:rFonts w:hint="eastAsia" w:ascii="宋体" w:hAnsi="宋体" w:eastAsia="宋体" w:cs="宋体"/>
          <w:color w:val="auto"/>
          <w:sz w:val="24"/>
          <w:szCs w:val="24"/>
          <w:highlight w:val="white"/>
        </w:rPr>
        <w:t>项目（</w:t>
      </w:r>
      <w:r>
        <w:rPr>
          <w:rFonts w:hint="eastAsia" w:ascii="宋体" w:hAnsi="宋体" w:eastAsia="宋体" w:cs="宋体"/>
          <w:color w:val="auto"/>
          <w:sz w:val="24"/>
          <w:szCs w:val="24"/>
          <w:highlight w:val="white"/>
          <w:lang w:eastAsia="zh-CN"/>
        </w:rPr>
        <w:t>项目编号：</w:t>
      </w:r>
      <w:r>
        <w:rPr>
          <w:rFonts w:hint="eastAsia" w:ascii="宋体" w:hAnsi="宋体" w:cs="宋体"/>
          <w:color w:val="auto"/>
          <w:sz w:val="24"/>
          <w:szCs w:val="24"/>
          <w:highlight w:val="white"/>
          <w:lang w:eastAsia="zh-CN"/>
        </w:rPr>
        <w:t>PSXZC2026-056号</w:t>
      </w:r>
      <w:r>
        <w:rPr>
          <w:rFonts w:hint="eastAsia" w:ascii="宋体" w:hAnsi="宋体" w:eastAsia="宋体" w:cs="宋体"/>
          <w:color w:val="auto"/>
          <w:sz w:val="24"/>
          <w:szCs w:val="24"/>
          <w:highlight w:val="white"/>
          <w:u w:val="single"/>
        </w:rPr>
        <w:t xml:space="preserve">         </w:t>
      </w:r>
      <w:r>
        <w:rPr>
          <w:rFonts w:hint="eastAsia" w:ascii="宋体" w:hAnsi="宋体" w:eastAsia="宋体" w:cs="宋体"/>
          <w:color w:val="auto"/>
          <w:sz w:val="24"/>
          <w:szCs w:val="24"/>
          <w:highlight w:val="white"/>
        </w:rPr>
        <w:t>）的采购文件后，在完全理解该项目采购技术要求和商务条款的基础上，决定参加此次投标活动。如我方获得中标资格，我方保证具备履行合同所必需的</w:t>
      </w:r>
      <w:r>
        <w:rPr>
          <w:rFonts w:hint="eastAsia" w:ascii="宋体" w:hAnsi="宋体" w:eastAsia="宋体" w:cs="宋体"/>
          <w:color w:val="auto"/>
          <w:sz w:val="24"/>
          <w:szCs w:val="24"/>
          <w:highlight w:val="white"/>
          <w:lang w:eastAsia="zh-CN"/>
        </w:rPr>
        <w:t>货物</w:t>
      </w:r>
      <w:r>
        <w:rPr>
          <w:rFonts w:hint="eastAsia" w:ascii="宋体" w:hAnsi="宋体" w:eastAsia="宋体" w:cs="宋体"/>
          <w:color w:val="auto"/>
          <w:sz w:val="24"/>
          <w:szCs w:val="24"/>
          <w:highlight w:val="white"/>
        </w:rPr>
        <w:t>和专业技术能力，并承诺如下：</w:t>
      </w:r>
    </w:p>
    <w:p w14:paraId="1F33C591">
      <w:pPr>
        <w:spacing w:line="48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 xml:space="preserve">1、具有独立承担民事责任的能力； </w:t>
      </w:r>
    </w:p>
    <w:p w14:paraId="352886AA">
      <w:pPr>
        <w:spacing w:line="48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2、具有良好的商业信誉和健全的财务会计制度；</w:t>
      </w:r>
    </w:p>
    <w:p w14:paraId="2521E956">
      <w:pPr>
        <w:spacing w:line="48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3、具有履行合同所必需的</w:t>
      </w:r>
      <w:r>
        <w:rPr>
          <w:rFonts w:hint="eastAsia" w:ascii="宋体" w:hAnsi="宋体" w:eastAsia="宋体" w:cs="宋体"/>
          <w:color w:val="auto"/>
          <w:sz w:val="24"/>
          <w:szCs w:val="24"/>
          <w:highlight w:val="white"/>
          <w:lang w:eastAsia="zh-CN"/>
        </w:rPr>
        <w:t>货物</w:t>
      </w:r>
      <w:r>
        <w:rPr>
          <w:rFonts w:hint="eastAsia" w:ascii="宋体" w:hAnsi="宋体" w:eastAsia="宋体" w:cs="宋体"/>
          <w:color w:val="auto"/>
          <w:sz w:val="24"/>
          <w:szCs w:val="24"/>
          <w:highlight w:val="white"/>
        </w:rPr>
        <w:t>和专业技术能力；</w:t>
      </w:r>
    </w:p>
    <w:p w14:paraId="021E6770">
      <w:pPr>
        <w:spacing w:line="48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4、有依法缴纳税收和社会保障资金的良好记录；</w:t>
      </w:r>
    </w:p>
    <w:p w14:paraId="76218ED0">
      <w:pPr>
        <w:spacing w:line="48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5、参加政府采购活动前三年内，在经营活动中没有重大违法记录；</w:t>
      </w:r>
    </w:p>
    <w:p w14:paraId="7BCDB321">
      <w:pPr>
        <w:spacing w:line="48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6、法律、行政法规规定的其他条件；</w:t>
      </w:r>
    </w:p>
    <w:p w14:paraId="1C31C781">
      <w:pPr>
        <w:spacing w:line="48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7、供应商须具备承担和实施本次采购内容相关的经营范围和能力，具有与本项目相关的经营范围。</w:t>
      </w:r>
    </w:p>
    <w:p w14:paraId="70C37ABF">
      <w:pPr>
        <w:rPr>
          <w:rFonts w:hint="eastAsia" w:ascii="宋体" w:hAnsi="宋体" w:eastAsia="宋体" w:cs="宋体"/>
          <w:color w:val="auto"/>
          <w:sz w:val="24"/>
          <w:szCs w:val="24"/>
        </w:rPr>
      </w:pPr>
    </w:p>
    <w:p w14:paraId="067CC424">
      <w:pPr>
        <w:rPr>
          <w:rFonts w:hint="eastAsia" w:ascii="宋体" w:hAnsi="宋体" w:eastAsia="宋体" w:cs="宋体"/>
          <w:color w:val="auto"/>
          <w:sz w:val="24"/>
          <w:szCs w:val="24"/>
        </w:rPr>
      </w:pPr>
    </w:p>
    <w:p w14:paraId="61DD3B8E">
      <w:pPr>
        <w:rPr>
          <w:rFonts w:hint="eastAsia" w:ascii="宋体" w:hAnsi="宋体" w:eastAsia="宋体" w:cs="宋体"/>
          <w:color w:val="auto"/>
          <w:sz w:val="24"/>
          <w:szCs w:val="24"/>
        </w:rPr>
      </w:pPr>
    </w:p>
    <w:p w14:paraId="47E741C3">
      <w:pPr>
        <w:spacing w:line="480" w:lineRule="auto"/>
        <w:rPr>
          <w:rFonts w:hint="eastAsia" w:ascii="宋体" w:hAnsi="宋体" w:eastAsia="宋体" w:cs="宋体"/>
          <w:color w:val="auto"/>
          <w:sz w:val="24"/>
          <w:szCs w:val="24"/>
          <w:u w:val="single"/>
        </w:rPr>
      </w:pPr>
      <w:r>
        <w:rPr>
          <w:rFonts w:hint="eastAsia" w:ascii="宋体" w:hAnsi="宋体" w:eastAsia="宋体" w:cs="宋体"/>
          <w:color w:val="auto"/>
          <w:sz w:val="24"/>
          <w:szCs w:val="24"/>
          <w:highlight w:val="white"/>
        </w:rPr>
        <w:t>供应商名称（公章）：</w:t>
      </w:r>
      <w:r>
        <w:rPr>
          <w:rFonts w:hint="eastAsia" w:ascii="宋体" w:hAnsi="宋体" w:eastAsia="宋体" w:cs="宋体"/>
          <w:color w:val="auto"/>
          <w:sz w:val="24"/>
          <w:szCs w:val="24"/>
          <w:highlight w:val="white"/>
          <w:u w:val="single"/>
        </w:rPr>
        <w:t xml:space="preserve">                         </w:t>
      </w:r>
    </w:p>
    <w:p w14:paraId="2B057324">
      <w:pPr>
        <w:spacing w:line="480" w:lineRule="auto"/>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法定代表人或其授权代表（签字）：</w:t>
      </w:r>
      <w:r>
        <w:rPr>
          <w:rFonts w:hint="eastAsia" w:ascii="宋体" w:hAnsi="宋体" w:eastAsia="宋体" w:cs="宋体"/>
          <w:color w:val="auto"/>
          <w:sz w:val="24"/>
          <w:szCs w:val="24"/>
          <w:highlight w:val="white"/>
          <w:u w:val="single"/>
        </w:rPr>
        <w:t xml:space="preserve">             </w:t>
      </w:r>
    </w:p>
    <w:p w14:paraId="1C5C7FA1">
      <w:pPr>
        <w:spacing w:line="480" w:lineRule="auto"/>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日期：</w:t>
      </w:r>
      <w:r>
        <w:rPr>
          <w:rFonts w:hint="eastAsia" w:ascii="宋体" w:hAnsi="宋体" w:eastAsia="宋体" w:cs="宋体"/>
          <w:color w:val="auto"/>
          <w:sz w:val="24"/>
          <w:szCs w:val="24"/>
          <w:highlight w:val="white"/>
          <w:u w:val="single"/>
        </w:rPr>
        <w:t xml:space="preserve">      </w:t>
      </w:r>
      <w:r>
        <w:rPr>
          <w:rFonts w:hint="eastAsia" w:ascii="宋体" w:hAnsi="宋体" w:eastAsia="宋体" w:cs="宋体"/>
          <w:color w:val="auto"/>
          <w:sz w:val="24"/>
          <w:szCs w:val="24"/>
          <w:highlight w:val="white"/>
        </w:rPr>
        <w:t>年</w:t>
      </w:r>
      <w:r>
        <w:rPr>
          <w:rFonts w:hint="eastAsia" w:ascii="宋体" w:hAnsi="宋体" w:eastAsia="宋体" w:cs="宋体"/>
          <w:color w:val="auto"/>
          <w:sz w:val="24"/>
          <w:szCs w:val="24"/>
          <w:highlight w:val="white"/>
          <w:u w:val="single"/>
        </w:rPr>
        <w:t xml:space="preserve">  </w:t>
      </w:r>
      <w:r>
        <w:rPr>
          <w:rFonts w:hint="eastAsia" w:ascii="宋体" w:hAnsi="宋体" w:eastAsia="宋体" w:cs="宋体"/>
          <w:color w:val="auto"/>
          <w:sz w:val="24"/>
          <w:szCs w:val="24"/>
          <w:highlight w:val="white"/>
          <w:u w:val="single"/>
          <w:lang w:val="en-US" w:eastAsia="zh-CN"/>
        </w:rPr>
        <w:t xml:space="preserve">  </w:t>
      </w:r>
      <w:r>
        <w:rPr>
          <w:rFonts w:hint="eastAsia" w:ascii="宋体" w:hAnsi="宋体" w:eastAsia="宋体" w:cs="宋体"/>
          <w:color w:val="auto"/>
          <w:sz w:val="24"/>
          <w:szCs w:val="24"/>
          <w:highlight w:val="white"/>
          <w:u w:val="single"/>
        </w:rPr>
        <w:t xml:space="preserve">  </w:t>
      </w:r>
      <w:r>
        <w:rPr>
          <w:rFonts w:hint="eastAsia" w:ascii="宋体" w:hAnsi="宋体" w:eastAsia="宋体" w:cs="宋体"/>
          <w:color w:val="auto"/>
          <w:sz w:val="24"/>
          <w:szCs w:val="24"/>
          <w:highlight w:val="white"/>
        </w:rPr>
        <w:t>月</w:t>
      </w:r>
      <w:r>
        <w:rPr>
          <w:rFonts w:hint="eastAsia" w:ascii="宋体" w:hAnsi="宋体" w:eastAsia="宋体" w:cs="宋体"/>
          <w:color w:val="auto"/>
          <w:sz w:val="24"/>
          <w:szCs w:val="24"/>
          <w:highlight w:val="white"/>
          <w:u w:val="single"/>
        </w:rPr>
        <w:t xml:space="preserve"> </w:t>
      </w:r>
      <w:r>
        <w:rPr>
          <w:rFonts w:hint="eastAsia" w:ascii="宋体" w:hAnsi="宋体" w:eastAsia="宋体" w:cs="宋体"/>
          <w:color w:val="auto"/>
          <w:sz w:val="24"/>
          <w:szCs w:val="24"/>
          <w:highlight w:val="white"/>
          <w:u w:val="single"/>
          <w:lang w:val="en-US" w:eastAsia="zh-CN"/>
        </w:rPr>
        <w:t xml:space="preserve">   </w:t>
      </w:r>
      <w:r>
        <w:rPr>
          <w:rFonts w:hint="eastAsia" w:ascii="宋体" w:hAnsi="宋体" w:eastAsia="宋体" w:cs="宋体"/>
          <w:color w:val="auto"/>
          <w:sz w:val="24"/>
          <w:szCs w:val="24"/>
          <w:highlight w:val="white"/>
          <w:u w:val="single"/>
        </w:rPr>
        <w:t xml:space="preserve">   </w:t>
      </w:r>
      <w:r>
        <w:rPr>
          <w:rFonts w:hint="eastAsia" w:ascii="宋体" w:hAnsi="宋体" w:eastAsia="宋体" w:cs="宋体"/>
          <w:color w:val="auto"/>
          <w:sz w:val="24"/>
          <w:szCs w:val="24"/>
          <w:highlight w:val="white"/>
        </w:rPr>
        <w:t>日</w:t>
      </w:r>
    </w:p>
    <w:p w14:paraId="5A6307AD">
      <w:pPr>
        <w:rPr>
          <w:rFonts w:hint="eastAsia" w:ascii="宋体" w:hAnsi="宋体" w:eastAsia="宋体" w:cs="宋体"/>
          <w:color w:val="auto"/>
          <w:sz w:val="24"/>
          <w:szCs w:val="24"/>
        </w:rPr>
      </w:pPr>
      <w:r>
        <w:rPr>
          <w:rFonts w:hint="eastAsia" w:ascii="宋体" w:hAnsi="宋体" w:eastAsia="宋体" w:cs="宋体"/>
          <w:color w:val="auto"/>
          <w:sz w:val="24"/>
          <w:szCs w:val="24"/>
          <w:highlight w:val="white"/>
        </w:rPr>
        <w:br w:type="page"/>
      </w:r>
    </w:p>
    <w:p w14:paraId="46B8205F">
      <w:pPr>
        <w:pStyle w:val="4"/>
        <w:numPr>
          <w:ilvl w:val="0"/>
          <w:numId w:val="0"/>
        </w:numPr>
        <w:jc w:val="center"/>
        <w:rPr>
          <w:rFonts w:hint="eastAsia" w:ascii="宋体" w:hAnsi="宋体" w:eastAsia="宋体" w:cs="宋体"/>
          <w:color w:val="auto"/>
          <w:sz w:val="28"/>
          <w:szCs w:val="28"/>
        </w:rPr>
      </w:pPr>
      <w:bookmarkStart w:id="142" w:name="_Toc256000017"/>
      <w:r>
        <w:rPr>
          <w:rFonts w:hint="eastAsia" w:ascii="宋体" w:hAnsi="宋体" w:eastAsia="宋体" w:cs="宋体"/>
          <w:color w:val="auto"/>
          <w:sz w:val="28"/>
          <w:szCs w:val="28"/>
          <w:highlight w:val="white"/>
        </w:rPr>
        <w:t>（9）企业信用</w:t>
      </w:r>
      <w:bookmarkEnd w:id="142"/>
    </w:p>
    <w:p w14:paraId="479663CB">
      <w:pPr>
        <w:spacing w:line="480" w:lineRule="auto"/>
        <w:ind w:firstLine="480" w:firstLineChars="200"/>
        <w:rPr>
          <w:rFonts w:hint="eastAsia" w:ascii="宋体" w:hAnsi="宋体" w:eastAsia="宋体" w:cs="宋体"/>
          <w:color w:val="auto"/>
          <w:sz w:val="24"/>
          <w:szCs w:val="28"/>
        </w:rPr>
      </w:pPr>
      <w:r>
        <w:rPr>
          <w:rFonts w:hint="eastAsia" w:ascii="宋体" w:hAnsi="宋体" w:eastAsia="宋体" w:cs="宋体"/>
          <w:color w:val="auto"/>
          <w:sz w:val="24"/>
          <w:szCs w:val="28"/>
          <w:highlight w:val="white"/>
        </w:rPr>
        <w:t>凡拟参加本次招标项目的</w:t>
      </w:r>
      <w:r>
        <w:rPr>
          <w:rFonts w:hint="eastAsia" w:ascii="宋体" w:hAnsi="宋体" w:eastAsia="宋体" w:cs="宋体"/>
          <w:color w:val="auto"/>
          <w:sz w:val="24"/>
          <w:szCs w:val="28"/>
          <w:highlight w:val="white"/>
          <w:lang w:val="en-US" w:eastAsia="zh-CN"/>
        </w:rPr>
        <w:t>供应商</w:t>
      </w:r>
      <w:r>
        <w:rPr>
          <w:rFonts w:hint="eastAsia" w:ascii="宋体" w:hAnsi="宋体" w:eastAsia="宋体" w:cs="宋体"/>
          <w:color w:val="auto"/>
          <w:sz w:val="24"/>
          <w:szCs w:val="28"/>
          <w:highlight w:val="white"/>
        </w:rPr>
        <w:t>，在“信用中国”网站（WWW.creditchina.gov.cn）、中国政府采购网（www.ccgp.gov.cn）、国家企业信用信息公示系统（http://www.gsxt.gov.cn）</w:t>
      </w:r>
      <w:r>
        <w:rPr>
          <w:rFonts w:hint="eastAsia" w:ascii="宋体" w:hAnsi="宋体" w:eastAsia="宋体" w:cs="宋体"/>
          <w:color w:val="auto"/>
          <w:sz w:val="24"/>
          <w:szCs w:val="28"/>
          <w:highlight w:val="white"/>
          <w:lang w:val="en-US" w:eastAsia="zh-CN"/>
        </w:rPr>
        <w:t>三个网站查询结果，如供应商</w:t>
      </w:r>
      <w:r>
        <w:rPr>
          <w:rFonts w:hint="eastAsia" w:ascii="宋体" w:hAnsi="宋体" w:eastAsia="宋体" w:cs="宋体"/>
          <w:color w:val="auto"/>
          <w:sz w:val="24"/>
          <w:szCs w:val="28"/>
          <w:highlight w:val="white"/>
        </w:rPr>
        <w:t>被列入失信被执行人、重大税收违法案件当事人名单、政府采购严重违法失信行为记录名单的（尚在处罚期内的）、经营异常名录的</w:t>
      </w:r>
      <w:r>
        <w:rPr>
          <w:rFonts w:hint="eastAsia" w:ascii="宋体" w:hAnsi="宋体" w:eastAsia="宋体" w:cs="宋体"/>
          <w:color w:val="auto"/>
          <w:sz w:val="24"/>
          <w:szCs w:val="28"/>
          <w:highlight w:val="white"/>
          <w:lang w:eastAsia="zh-CN"/>
        </w:rPr>
        <w:t>、</w:t>
      </w:r>
      <w:r>
        <w:rPr>
          <w:rFonts w:hint="eastAsia" w:ascii="宋体" w:hAnsi="宋体" w:eastAsia="宋体" w:cs="宋体"/>
          <w:color w:val="auto"/>
          <w:sz w:val="24"/>
          <w:szCs w:val="28"/>
          <w:highlight w:val="white"/>
          <w:lang w:val="en-US" w:eastAsia="zh-CN"/>
        </w:rPr>
        <w:t>列入严重违法失信企业名单的</w:t>
      </w:r>
      <w:r>
        <w:rPr>
          <w:rFonts w:hint="eastAsia" w:ascii="宋体" w:hAnsi="宋体" w:eastAsia="宋体" w:cs="宋体"/>
          <w:color w:val="auto"/>
          <w:sz w:val="24"/>
          <w:szCs w:val="28"/>
          <w:highlight w:val="white"/>
        </w:rPr>
        <w:t>， 将拒绝其参加本次政府采购活动（查询截止时点：本公告发布之日至响应文件递交截止时间之间任意时刻的查询）。</w:t>
      </w:r>
    </w:p>
    <w:p w14:paraId="49416232">
      <w:pPr>
        <w:spacing w:line="360" w:lineRule="auto"/>
        <w:ind w:firstLine="420" w:firstLineChars="200"/>
        <w:rPr>
          <w:rFonts w:hint="eastAsia" w:ascii="宋体" w:hAnsi="宋体" w:eastAsia="宋体" w:cs="宋体"/>
          <w:color w:val="auto"/>
        </w:rPr>
      </w:pPr>
      <w:r>
        <w:rPr>
          <w:rFonts w:hint="eastAsia" w:ascii="宋体" w:hAnsi="宋体" w:eastAsia="宋体" w:cs="宋体"/>
          <w:color w:val="auto"/>
          <w:highlight w:val="white"/>
        </w:rPr>
        <w:br w:type="page"/>
      </w:r>
    </w:p>
    <w:p w14:paraId="3D601559">
      <w:pPr>
        <w:pStyle w:val="4"/>
        <w:numPr>
          <w:ilvl w:val="0"/>
          <w:numId w:val="0"/>
        </w:numPr>
        <w:spacing w:line="415" w:lineRule="auto"/>
        <w:rPr>
          <w:rFonts w:hint="eastAsia" w:ascii="宋体" w:hAnsi="宋体" w:eastAsia="宋体" w:cs="宋体"/>
          <w:color w:val="auto"/>
          <w:sz w:val="28"/>
          <w:szCs w:val="28"/>
        </w:rPr>
      </w:pPr>
      <w:bookmarkStart w:id="143" w:name="_Toc256000018"/>
      <w:r>
        <w:rPr>
          <w:rFonts w:hint="eastAsia" w:ascii="宋体" w:hAnsi="宋体" w:eastAsia="宋体" w:cs="宋体"/>
          <w:color w:val="auto"/>
          <w:sz w:val="28"/>
          <w:szCs w:val="28"/>
          <w:highlight w:val="white"/>
        </w:rPr>
        <w:t>（1</w:t>
      </w:r>
      <w:r>
        <w:rPr>
          <w:rFonts w:hint="eastAsia" w:ascii="宋体" w:hAnsi="宋体" w:eastAsia="宋体" w:cs="宋体"/>
          <w:color w:val="auto"/>
          <w:sz w:val="28"/>
          <w:szCs w:val="28"/>
          <w:highlight w:val="white"/>
          <w:lang w:val="en-US" w:eastAsia="zh-CN"/>
        </w:rPr>
        <w:t>1</w:t>
      </w:r>
      <w:r>
        <w:rPr>
          <w:rFonts w:hint="eastAsia" w:ascii="宋体" w:hAnsi="宋体" w:eastAsia="宋体" w:cs="宋体"/>
          <w:color w:val="auto"/>
          <w:sz w:val="28"/>
          <w:szCs w:val="28"/>
          <w:highlight w:val="white"/>
        </w:rPr>
        <w:t>）供应商认为需要的其它资格文件或说明</w:t>
      </w:r>
      <w:bookmarkEnd w:id="143"/>
    </w:p>
    <w:p w14:paraId="3461B884">
      <w:pPr>
        <w:ind w:firstLine="480" w:firstLineChars="200"/>
        <w:rPr>
          <w:rFonts w:hint="eastAsia" w:ascii="宋体" w:hAnsi="宋体" w:eastAsia="宋体" w:cs="宋体"/>
          <w:color w:val="auto"/>
          <w:sz w:val="24"/>
          <w:szCs w:val="24"/>
        </w:rPr>
      </w:pPr>
    </w:p>
    <w:p w14:paraId="2BA09F56">
      <w:pPr>
        <w:pStyle w:val="3"/>
        <w:jc w:val="center"/>
        <w:rPr>
          <w:rFonts w:hint="eastAsia" w:ascii="宋体" w:hAnsi="宋体" w:eastAsia="宋体" w:cs="宋体"/>
          <w:b/>
          <w:bCs w:val="0"/>
          <w:color w:val="auto"/>
          <w:highlight w:val="white"/>
        </w:rPr>
      </w:pPr>
      <w:bookmarkStart w:id="144" w:name="_Toc256000019"/>
    </w:p>
    <w:p w14:paraId="34D41258">
      <w:pPr>
        <w:pStyle w:val="3"/>
        <w:jc w:val="center"/>
        <w:rPr>
          <w:rFonts w:hint="eastAsia" w:ascii="宋体" w:hAnsi="宋体" w:eastAsia="宋体" w:cs="宋体"/>
          <w:b/>
          <w:bCs w:val="0"/>
          <w:color w:val="auto"/>
          <w:highlight w:val="white"/>
        </w:rPr>
      </w:pPr>
    </w:p>
    <w:p w14:paraId="45D9A1E6">
      <w:pPr>
        <w:pStyle w:val="3"/>
        <w:jc w:val="center"/>
        <w:rPr>
          <w:rFonts w:hint="eastAsia" w:ascii="宋体" w:hAnsi="宋体" w:eastAsia="宋体" w:cs="宋体"/>
          <w:b/>
          <w:bCs w:val="0"/>
          <w:color w:val="auto"/>
          <w:highlight w:val="white"/>
        </w:rPr>
      </w:pPr>
    </w:p>
    <w:p w14:paraId="311FDDD6">
      <w:pPr>
        <w:pStyle w:val="3"/>
        <w:jc w:val="center"/>
        <w:rPr>
          <w:rFonts w:hint="eastAsia" w:ascii="宋体" w:hAnsi="宋体" w:eastAsia="宋体" w:cs="宋体"/>
          <w:b/>
          <w:bCs w:val="0"/>
          <w:color w:val="auto"/>
          <w:highlight w:val="white"/>
        </w:rPr>
      </w:pPr>
    </w:p>
    <w:p w14:paraId="42F68EE4">
      <w:pPr>
        <w:pStyle w:val="3"/>
        <w:jc w:val="center"/>
        <w:rPr>
          <w:rFonts w:hint="eastAsia" w:ascii="宋体" w:hAnsi="宋体" w:eastAsia="宋体" w:cs="宋体"/>
          <w:b/>
          <w:bCs w:val="0"/>
          <w:color w:val="auto"/>
          <w:highlight w:val="white"/>
        </w:rPr>
      </w:pPr>
    </w:p>
    <w:p w14:paraId="72F39010">
      <w:pPr>
        <w:pStyle w:val="3"/>
        <w:jc w:val="center"/>
        <w:rPr>
          <w:rFonts w:hint="eastAsia" w:ascii="宋体" w:hAnsi="宋体" w:eastAsia="宋体" w:cs="宋体"/>
          <w:b/>
          <w:bCs w:val="0"/>
          <w:color w:val="auto"/>
          <w:highlight w:val="white"/>
        </w:rPr>
      </w:pPr>
      <w:r>
        <w:rPr>
          <w:rFonts w:hint="eastAsia" w:ascii="宋体" w:hAnsi="宋体" w:eastAsia="宋体" w:cs="宋体"/>
          <w:b/>
          <w:bCs w:val="0"/>
          <w:color w:val="auto"/>
          <w:highlight w:val="white"/>
        </w:rPr>
        <w:br w:type="page"/>
      </w:r>
    </w:p>
    <w:p w14:paraId="2CAE9954">
      <w:pPr>
        <w:pStyle w:val="3"/>
        <w:jc w:val="center"/>
        <w:rPr>
          <w:rFonts w:hint="eastAsia" w:ascii="宋体" w:hAnsi="宋体" w:eastAsia="宋体" w:cs="宋体"/>
          <w:b/>
          <w:bCs w:val="0"/>
          <w:color w:val="auto"/>
          <w:highlight w:val="white"/>
        </w:rPr>
      </w:pPr>
    </w:p>
    <w:p w14:paraId="507025AC">
      <w:pPr>
        <w:pStyle w:val="3"/>
        <w:jc w:val="center"/>
        <w:rPr>
          <w:rFonts w:hint="eastAsia" w:ascii="宋体" w:hAnsi="宋体" w:eastAsia="宋体" w:cs="宋体"/>
          <w:b/>
          <w:bCs w:val="0"/>
          <w:color w:val="auto"/>
          <w:highlight w:val="white"/>
        </w:rPr>
      </w:pPr>
    </w:p>
    <w:p w14:paraId="08F16AC9">
      <w:pPr>
        <w:pStyle w:val="3"/>
        <w:jc w:val="center"/>
        <w:rPr>
          <w:rFonts w:hint="eastAsia" w:ascii="宋体" w:hAnsi="宋体" w:eastAsia="宋体" w:cs="宋体"/>
          <w:b/>
          <w:bCs w:val="0"/>
          <w:color w:val="auto"/>
          <w:highlight w:val="white"/>
        </w:rPr>
      </w:pPr>
    </w:p>
    <w:p w14:paraId="71F469E9">
      <w:pPr>
        <w:pStyle w:val="3"/>
        <w:jc w:val="center"/>
        <w:rPr>
          <w:rFonts w:hint="eastAsia" w:ascii="宋体" w:hAnsi="宋体" w:eastAsia="宋体" w:cs="宋体"/>
          <w:b/>
          <w:bCs w:val="0"/>
          <w:color w:val="auto"/>
          <w:highlight w:val="white"/>
        </w:rPr>
      </w:pPr>
    </w:p>
    <w:p w14:paraId="588C3704">
      <w:pPr>
        <w:pStyle w:val="3"/>
        <w:jc w:val="center"/>
        <w:rPr>
          <w:rFonts w:hint="eastAsia" w:ascii="宋体" w:hAnsi="宋体" w:eastAsia="宋体" w:cs="宋体"/>
          <w:b/>
          <w:bCs w:val="0"/>
          <w:color w:val="auto"/>
          <w:highlight w:val="white"/>
        </w:rPr>
      </w:pPr>
    </w:p>
    <w:p w14:paraId="6621E324">
      <w:pPr>
        <w:pStyle w:val="3"/>
        <w:jc w:val="center"/>
        <w:rPr>
          <w:rFonts w:hint="eastAsia" w:ascii="宋体" w:hAnsi="宋体" w:eastAsia="宋体" w:cs="宋体"/>
          <w:b/>
          <w:bCs w:val="0"/>
          <w:color w:val="auto"/>
          <w:highlight w:val="white"/>
        </w:rPr>
      </w:pPr>
    </w:p>
    <w:p w14:paraId="6917ECD8">
      <w:pPr>
        <w:pStyle w:val="3"/>
        <w:jc w:val="center"/>
        <w:rPr>
          <w:rFonts w:hint="eastAsia" w:ascii="宋体" w:hAnsi="宋体" w:eastAsia="宋体" w:cs="宋体"/>
          <w:b/>
          <w:bCs w:val="0"/>
          <w:color w:val="auto"/>
          <w:highlight w:val="white"/>
        </w:rPr>
      </w:pPr>
    </w:p>
    <w:p w14:paraId="29F609A9">
      <w:pPr>
        <w:pStyle w:val="3"/>
        <w:jc w:val="center"/>
        <w:rPr>
          <w:rFonts w:hint="eastAsia" w:ascii="宋体" w:hAnsi="宋体" w:eastAsia="宋体" w:cs="宋体"/>
          <w:b/>
          <w:bCs w:val="0"/>
          <w:color w:val="auto"/>
        </w:rPr>
      </w:pPr>
      <w:r>
        <w:rPr>
          <w:rFonts w:hint="eastAsia" w:ascii="宋体" w:hAnsi="宋体" w:eastAsia="宋体" w:cs="宋体"/>
          <w:b/>
          <w:bCs w:val="0"/>
          <w:color w:val="auto"/>
          <w:highlight w:val="white"/>
        </w:rPr>
        <w:t>二、商务文件</w:t>
      </w:r>
      <w:bookmarkEnd w:id="144"/>
    </w:p>
    <w:p w14:paraId="339037C5">
      <w:pPr>
        <w:pStyle w:val="4"/>
        <w:numPr>
          <w:ilvl w:val="0"/>
          <w:numId w:val="0"/>
        </w:numPr>
        <w:rPr>
          <w:rFonts w:hint="eastAsia" w:ascii="宋体" w:hAnsi="宋体" w:eastAsia="宋体" w:cs="宋体"/>
          <w:color w:val="auto"/>
          <w:sz w:val="28"/>
          <w:szCs w:val="28"/>
          <w:highlight w:val="white"/>
        </w:rPr>
        <w:sectPr>
          <w:pgSz w:w="11907" w:h="16840"/>
          <w:pgMar w:top="1440" w:right="1080" w:bottom="1440" w:left="1080" w:header="720" w:footer="720" w:gutter="0"/>
          <w:pgBorders>
            <w:top w:val="none" w:sz="0" w:space="0"/>
            <w:left w:val="none" w:sz="0" w:space="0"/>
            <w:bottom w:val="none" w:sz="0" w:space="0"/>
            <w:right w:val="none" w:sz="0" w:space="0"/>
          </w:pgBorders>
          <w:pgNumType w:fmt="decimal"/>
          <w:cols w:space="720" w:num="1"/>
          <w:docGrid w:linePitch="285" w:charSpace="0"/>
        </w:sectPr>
      </w:pPr>
      <w:bookmarkStart w:id="145" w:name="_Toc256000020"/>
    </w:p>
    <w:p w14:paraId="30D4B7E5">
      <w:pPr>
        <w:pStyle w:val="4"/>
        <w:numPr>
          <w:ilvl w:val="0"/>
          <w:numId w:val="0"/>
        </w:numPr>
        <w:jc w:val="center"/>
        <w:rPr>
          <w:rFonts w:hint="eastAsia" w:ascii="宋体" w:hAnsi="宋体" w:eastAsia="宋体" w:cs="宋体"/>
          <w:color w:val="auto"/>
          <w:sz w:val="28"/>
          <w:szCs w:val="28"/>
        </w:rPr>
      </w:pPr>
      <w:r>
        <w:rPr>
          <w:rFonts w:hint="eastAsia" w:ascii="宋体" w:hAnsi="宋体" w:eastAsia="宋体" w:cs="宋体"/>
          <w:color w:val="auto"/>
          <w:sz w:val="28"/>
          <w:szCs w:val="28"/>
          <w:highlight w:val="white"/>
        </w:rPr>
        <w:t>（1）投标函</w:t>
      </w:r>
      <w:bookmarkEnd w:id="145"/>
    </w:p>
    <w:p w14:paraId="4A55A00E">
      <w:pPr>
        <w:spacing w:line="360" w:lineRule="auto"/>
        <w:rPr>
          <w:rFonts w:hint="eastAsia" w:ascii="宋体" w:hAnsi="宋体" w:eastAsia="宋体" w:cs="宋体"/>
          <w:color w:val="auto"/>
          <w:sz w:val="24"/>
        </w:rPr>
      </w:pPr>
      <w:r>
        <w:rPr>
          <w:rFonts w:hint="eastAsia" w:ascii="宋体" w:hAnsi="宋体" w:eastAsia="宋体" w:cs="宋体"/>
          <w:color w:val="auto"/>
          <w:sz w:val="24"/>
          <w:highlight w:val="white"/>
        </w:rPr>
        <w:t>致</w:t>
      </w:r>
      <w:r>
        <w:rPr>
          <w:rFonts w:hint="eastAsia" w:ascii="宋体" w:hAnsi="宋体" w:eastAsia="宋体" w:cs="宋体"/>
          <w:color w:val="auto"/>
          <w:sz w:val="24"/>
          <w:highlight w:val="white"/>
          <w:u w:val="single"/>
        </w:rPr>
        <w:t xml:space="preserve">  （采购人名称）</w:t>
      </w:r>
      <w:r>
        <w:rPr>
          <w:rFonts w:hint="eastAsia" w:ascii="宋体" w:hAnsi="宋体" w:eastAsia="宋体" w:cs="宋体"/>
          <w:color w:val="auto"/>
          <w:sz w:val="24"/>
          <w:highlight w:val="white"/>
        </w:rPr>
        <w:t>：</w:t>
      </w:r>
    </w:p>
    <w:p w14:paraId="5E301646">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highlight w:val="white"/>
        </w:rPr>
        <w:t>我单位（公司）决定参加</w:t>
      </w:r>
      <w:r>
        <w:rPr>
          <w:rFonts w:hint="eastAsia" w:ascii="宋体" w:hAnsi="宋体" w:eastAsia="宋体" w:cs="宋体"/>
          <w:color w:val="auto"/>
          <w:sz w:val="24"/>
          <w:highlight w:val="white"/>
          <w:u w:val="single"/>
        </w:rPr>
        <w:t xml:space="preserve">      （项目名称）</w:t>
      </w:r>
      <w:r>
        <w:rPr>
          <w:rFonts w:hint="eastAsia" w:ascii="宋体" w:hAnsi="宋体" w:eastAsia="宋体" w:cs="宋体"/>
          <w:color w:val="auto"/>
          <w:sz w:val="24"/>
          <w:highlight w:val="white"/>
        </w:rPr>
        <w:t>的单一来源采购活动，经认真研究，我们决定参加投标。</w:t>
      </w:r>
    </w:p>
    <w:p w14:paraId="0C3A00D5">
      <w:pPr>
        <w:spacing w:line="360" w:lineRule="auto"/>
        <w:ind w:firstLine="240" w:firstLineChars="100"/>
        <w:rPr>
          <w:rFonts w:hint="eastAsia" w:ascii="宋体" w:hAnsi="宋体" w:eastAsia="宋体" w:cs="宋体"/>
          <w:color w:val="auto"/>
          <w:sz w:val="24"/>
        </w:rPr>
      </w:pPr>
      <w:r>
        <w:rPr>
          <w:rFonts w:hint="eastAsia" w:ascii="宋体" w:hAnsi="宋体" w:eastAsia="宋体" w:cs="宋体"/>
          <w:color w:val="auto"/>
          <w:sz w:val="24"/>
          <w:highlight w:val="white"/>
        </w:rPr>
        <w:t>（1）文件包括以下内容：</w:t>
      </w:r>
    </w:p>
    <w:p w14:paraId="28747709">
      <w:pPr>
        <w:spacing w:line="360" w:lineRule="auto"/>
        <w:ind w:firstLine="720" w:firstLineChars="300"/>
        <w:rPr>
          <w:rFonts w:hint="eastAsia" w:ascii="宋体" w:hAnsi="宋体" w:eastAsia="宋体" w:cs="宋体"/>
          <w:color w:val="auto"/>
          <w:sz w:val="24"/>
        </w:rPr>
      </w:pPr>
      <w:r>
        <w:rPr>
          <w:rFonts w:hint="eastAsia" w:ascii="宋体" w:hAnsi="宋体" w:eastAsia="宋体" w:cs="宋体"/>
          <w:color w:val="auto"/>
          <w:sz w:val="24"/>
          <w:highlight w:val="white"/>
        </w:rPr>
        <w:t>资格证明文件</w:t>
      </w:r>
    </w:p>
    <w:p w14:paraId="608DD20E">
      <w:pPr>
        <w:spacing w:line="360" w:lineRule="auto"/>
        <w:ind w:firstLine="720" w:firstLineChars="300"/>
        <w:rPr>
          <w:rFonts w:hint="eastAsia" w:ascii="宋体" w:hAnsi="宋体" w:eastAsia="宋体" w:cs="宋体"/>
          <w:color w:val="auto"/>
          <w:sz w:val="24"/>
        </w:rPr>
      </w:pPr>
      <w:r>
        <w:rPr>
          <w:rFonts w:hint="eastAsia" w:ascii="宋体" w:hAnsi="宋体" w:eastAsia="宋体" w:cs="宋体"/>
          <w:color w:val="auto"/>
          <w:sz w:val="24"/>
          <w:highlight w:val="white"/>
        </w:rPr>
        <w:t>商务文件</w:t>
      </w:r>
    </w:p>
    <w:p w14:paraId="7A0A81FB">
      <w:pPr>
        <w:spacing w:line="360" w:lineRule="auto"/>
        <w:ind w:firstLine="720" w:firstLineChars="300"/>
        <w:rPr>
          <w:rFonts w:hint="eastAsia" w:ascii="宋体" w:hAnsi="宋体" w:eastAsia="宋体" w:cs="宋体"/>
          <w:color w:val="auto"/>
          <w:sz w:val="24"/>
        </w:rPr>
      </w:pPr>
      <w:r>
        <w:rPr>
          <w:rFonts w:hint="eastAsia" w:ascii="宋体" w:hAnsi="宋体" w:eastAsia="宋体" w:cs="宋体"/>
          <w:color w:val="auto"/>
          <w:sz w:val="24"/>
          <w:highlight w:val="white"/>
        </w:rPr>
        <w:t>技术文件</w:t>
      </w:r>
    </w:p>
    <w:p w14:paraId="41E74FCE">
      <w:pPr>
        <w:spacing w:line="360" w:lineRule="auto"/>
        <w:ind w:firstLine="240" w:firstLineChars="100"/>
        <w:rPr>
          <w:rFonts w:hint="eastAsia" w:ascii="宋体" w:hAnsi="宋体" w:eastAsia="宋体" w:cs="宋体"/>
          <w:color w:val="auto"/>
          <w:sz w:val="24"/>
        </w:rPr>
      </w:pPr>
      <w:r>
        <w:rPr>
          <w:rFonts w:hint="eastAsia" w:ascii="宋体" w:hAnsi="宋体" w:eastAsia="宋体" w:cs="宋体"/>
          <w:color w:val="auto"/>
          <w:sz w:val="24"/>
          <w:highlight w:val="white"/>
        </w:rPr>
        <w:t>（2）我单位（或公司）同意以下事项</w:t>
      </w:r>
    </w:p>
    <w:p w14:paraId="3F79747B">
      <w:pPr>
        <w:spacing w:line="360" w:lineRule="auto"/>
        <w:ind w:firstLine="720" w:firstLineChars="300"/>
        <w:rPr>
          <w:rFonts w:hint="eastAsia" w:ascii="宋体" w:hAnsi="宋体" w:eastAsia="宋体" w:cs="宋体"/>
          <w:color w:val="auto"/>
          <w:sz w:val="24"/>
        </w:rPr>
      </w:pPr>
      <w:r>
        <w:rPr>
          <w:rFonts w:hint="eastAsia" w:ascii="宋体" w:hAnsi="宋体" w:eastAsia="宋体" w:cs="宋体"/>
          <w:color w:val="auto"/>
          <w:sz w:val="24"/>
          <w:highlight w:val="white"/>
        </w:rPr>
        <w:t>①遵守单一来源采购文件的各项条款及一切有关规定；</w:t>
      </w:r>
    </w:p>
    <w:p w14:paraId="084B41AA">
      <w:pPr>
        <w:spacing w:line="360" w:lineRule="auto"/>
        <w:ind w:firstLine="720" w:firstLineChars="300"/>
        <w:rPr>
          <w:rFonts w:hint="eastAsia" w:ascii="宋体" w:hAnsi="宋体" w:eastAsia="宋体" w:cs="宋体"/>
          <w:color w:val="auto"/>
          <w:sz w:val="24"/>
        </w:rPr>
      </w:pPr>
      <w:r>
        <w:rPr>
          <w:rFonts w:hint="eastAsia" w:ascii="宋体" w:hAnsi="宋体" w:eastAsia="宋体" w:cs="宋体"/>
          <w:color w:val="auto"/>
          <w:sz w:val="24"/>
          <w:highlight w:val="white"/>
        </w:rPr>
        <w:t>②向贵方提供所有与本项目有关的真实有效的数据、情况和技术资料；</w:t>
      </w:r>
    </w:p>
    <w:p w14:paraId="4683E6D1">
      <w:pPr>
        <w:spacing w:line="360" w:lineRule="auto"/>
        <w:ind w:firstLine="720" w:firstLineChars="300"/>
        <w:rPr>
          <w:rFonts w:hint="eastAsia" w:ascii="宋体" w:hAnsi="宋体" w:eastAsia="宋体" w:cs="宋体"/>
          <w:color w:val="auto"/>
          <w:sz w:val="24"/>
        </w:rPr>
      </w:pPr>
      <w:r>
        <w:rPr>
          <w:rFonts w:hint="eastAsia" w:ascii="宋体" w:hAnsi="宋体" w:eastAsia="宋体" w:cs="宋体"/>
          <w:color w:val="auto"/>
          <w:sz w:val="24"/>
          <w:highlight w:val="white"/>
        </w:rPr>
        <w:t>③本响应性文件自贵方收到之日生效，有效期至递交截止时间后</w:t>
      </w:r>
      <w:r>
        <w:rPr>
          <w:rFonts w:hint="eastAsia" w:ascii="宋体" w:hAnsi="宋体" w:eastAsia="宋体" w:cs="宋体"/>
          <w:color w:val="auto"/>
          <w:sz w:val="24"/>
          <w:highlight w:val="white"/>
          <w:lang w:val="en-US" w:eastAsia="zh-CN"/>
        </w:rPr>
        <w:t>90</w:t>
      </w:r>
      <w:r>
        <w:rPr>
          <w:rFonts w:hint="eastAsia" w:ascii="宋体" w:hAnsi="宋体" w:eastAsia="宋体" w:cs="宋体"/>
          <w:color w:val="auto"/>
          <w:sz w:val="24"/>
          <w:highlight w:val="white"/>
        </w:rPr>
        <w:t>日，在此期间本响应性文件之规定对我方具有约束力；</w:t>
      </w:r>
    </w:p>
    <w:p w14:paraId="106BB10F">
      <w:pPr>
        <w:spacing w:line="360" w:lineRule="auto"/>
        <w:ind w:firstLine="720" w:firstLineChars="300"/>
        <w:rPr>
          <w:rFonts w:hint="eastAsia" w:ascii="宋体" w:hAnsi="宋体" w:eastAsia="宋体" w:cs="宋体"/>
          <w:color w:val="auto"/>
          <w:sz w:val="24"/>
        </w:rPr>
      </w:pPr>
      <w:r>
        <w:rPr>
          <w:rFonts w:hint="eastAsia" w:ascii="宋体" w:hAnsi="宋体" w:eastAsia="宋体" w:cs="宋体"/>
          <w:color w:val="auto"/>
          <w:sz w:val="24"/>
          <w:highlight w:val="white"/>
        </w:rPr>
        <w:t>④如果我方报价被接受，则至合同履行完成和质量保证期满为止，本响应性文件保持有效。</w:t>
      </w:r>
    </w:p>
    <w:p w14:paraId="384C2131">
      <w:pPr>
        <w:spacing w:line="360" w:lineRule="auto"/>
        <w:rPr>
          <w:rFonts w:hint="eastAsia" w:ascii="宋体" w:hAnsi="宋体" w:eastAsia="宋体" w:cs="宋体"/>
          <w:color w:val="auto"/>
          <w:sz w:val="24"/>
          <w:u w:val="single"/>
        </w:rPr>
      </w:pPr>
      <w:r>
        <w:rPr>
          <w:rFonts w:hint="eastAsia" w:ascii="宋体" w:hAnsi="宋体" w:eastAsia="宋体" w:cs="宋体"/>
          <w:color w:val="auto"/>
          <w:sz w:val="24"/>
          <w:highlight w:val="white"/>
        </w:rPr>
        <w:t>供应商全称（公章）：</w:t>
      </w:r>
      <w:r>
        <w:rPr>
          <w:rFonts w:hint="eastAsia" w:ascii="宋体" w:hAnsi="宋体" w:eastAsia="宋体" w:cs="宋体"/>
          <w:color w:val="auto"/>
          <w:sz w:val="24"/>
          <w:highlight w:val="white"/>
          <w:u w:val="single"/>
        </w:rPr>
        <w:t xml:space="preserve">                       </w:t>
      </w:r>
    </w:p>
    <w:p w14:paraId="04FC007C">
      <w:pPr>
        <w:spacing w:line="360" w:lineRule="auto"/>
        <w:rPr>
          <w:rFonts w:hint="eastAsia" w:ascii="宋体" w:hAnsi="宋体" w:eastAsia="宋体" w:cs="宋体"/>
          <w:color w:val="auto"/>
          <w:sz w:val="24"/>
          <w:u w:val="single"/>
        </w:rPr>
      </w:pPr>
      <w:r>
        <w:rPr>
          <w:rFonts w:hint="eastAsia" w:ascii="宋体" w:hAnsi="宋体" w:eastAsia="宋体" w:cs="宋体"/>
          <w:color w:val="auto"/>
          <w:sz w:val="24"/>
          <w:highlight w:val="white"/>
        </w:rPr>
        <w:t>地  址：</w:t>
      </w:r>
      <w:r>
        <w:rPr>
          <w:rFonts w:hint="eastAsia" w:ascii="宋体" w:hAnsi="宋体" w:eastAsia="宋体" w:cs="宋体"/>
          <w:color w:val="auto"/>
          <w:sz w:val="24"/>
          <w:highlight w:val="white"/>
          <w:u w:val="single"/>
        </w:rPr>
        <w:t xml:space="preserve">                                   </w:t>
      </w:r>
    </w:p>
    <w:p w14:paraId="25DABF43">
      <w:pPr>
        <w:spacing w:line="360" w:lineRule="auto"/>
        <w:rPr>
          <w:rFonts w:hint="eastAsia" w:ascii="宋体" w:hAnsi="宋体" w:eastAsia="宋体" w:cs="宋体"/>
          <w:color w:val="auto"/>
          <w:sz w:val="24"/>
        </w:rPr>
      </w:pPr>
      <w:r>
        <w:rPr>
          <w:rFonts w:hint="eastAsia" w:ascii="宋体" w:hAnsi="宋体" w:eastAsia="宋体" w:cs="宋体"/>
          <w:color w:val="auto"/>
          <w:sz w:val="24"/>
          <w:highlight w:val="white"/>
        </w:rPr>
        <w:t>电  话：</w:t>
      </w:r>
      <w:r>
        <w:rPr>
          <w:rFonts w:hint="eastAsia" w:ascii="宋体" w:hAnsi="宋体" w:eastAsia="宋体" w:cs="宋体"/>
          <w:color w:val="auto"/>
          <w:sz w:val="24"/>
          <w:highlight w:val="white"/>
          <w:u w:val="single"/>
        </w:rPr>
        <w:t xml:space="preserve">                                   </w:t>
      </w:r>
    </w:p>
    <w:p w14:paraId="2C5BD7E7">
      <w:pPr>
        <w:spacing w:line="360" w:lineRule="auto"/>
        <w:rPr>
          <w:rFonts w:hint="eastAsia" w:ascii="宋体" w:hAnsi="宋体" w:eastAsia="宋体" w:cs="宋体"/>
          <w:color w:val="auto"/>
          <w:sz w:val="24"/>
          <w:u w:val="single"/>
        </w:rPr>
      </w:pPr>
      <w:r>
        <w:rPr>
          <w:rFonts w:hint="eastAsia" w:ascii="宋体" w:hAnsi="宋体" w:eastAsia="宋体" w:cs="宋体"/>
          <w:color w:val="auto"/>
          <w:sz w:val="24"/>
          <w:highlight w:val="white"/>
        </w:rPr>
        <w:t>邮  编：</w:t>
      </w:r>
      <w:r>
        <w:rPr>
          <w:rFonts w:hint="eastAsia" w:ascii="宋体" w:hAnsi="宋体" w:eastAsia="宋体" w:cs="宋体"/>
          <w:color w:val="auto"/>
          <w:sz w:val="24"/>
          <w:highlight w:val="white"/>
          <w:u w:val="single"/>
        </w:rPr>
        <w:t xml:space="preserve">                                   </w:t>
      </w:r>
    </w:p>
    <w:p w14:paraId="4530FC86">
      <w:pPr>
        <w:spacing w:line="360" w:lineRule="auto"/>
        <w:rPr>
          <w:rFonts w:hint="eastAsia" w:ascii="宋体" w:hAnsi="宋体" w:eastAsia="宋体" w:cs="宋体"/>
          <w:color w:val="auto"/>
          <w:sz w:val="24"/>
          <w:u w:val="single"/>
        </w:rPr>
      </w:pPr>
      <w:r>
        <w:rPr>
          <w:rFonts w:hint="eastAsia" w:ascii="宋体" w:hAnsi="宋体" w:eastAsia="宋体" w:cs="宋体"/>
          <w:color w:val="auto"/>
          <w:sz w:val="24"/>
          <w:highlight w:val="white"/>
        </w:rPr>
        <w:t>传  真：</w:t>
      </w:r>
      <w:r>
        <w:rPr>
          <w:rFonts w:hint="eastAsia" w:ascii="宋体" w:hAnsi="宋体" w:eastAsia="宋体" w:cs="宋体"/>
          <w:color w:val="auto"/>
          <w:sz w:val="24"/>
          <w:highlight w:val="white"/>
          <w:u w:val="single"/>
        </w:rPr>
        <w:t xml:space="preserve">                                   </w:t>
      </w:r>
    </w:p>
    <w:p w14:paraId="250F762C">
      <w:pPr>
        <w:spacing w:line="360" w:lineRule="auto"/>
        <w:rPr>
          <w:rFonts w:hint="eastAsia" w:ascii="宋体" w:hAnsi="宋体" w:eastAsia="宋体" w:cs="宋体"/>
          <w:color w:val="auto"/>
          <w:sz w:val="24"/>
          <w:u w:val="single"/>
        </w:rPr>
      </w:pPr>
      <w:r>
        <w:rPr>
          <w:rFonts w:hint="eastAsia" w:ascii="宋体" w:hAnsi="宋体" w:eastAsia="宋体" w:cs="宋体"/>
          <w:color w:val="auto"/>
          <w:sz w:val="24"/>
          <w:highlight w:val="white"/>
        </w:rPr>
        <w:t>法定代表人或委托代理人</w:t>
      </w:r>
      <w:r>
        <w:rPr>
          <w:rFonts w:hint="eastAsia" w:ascii="宋体" w:hAnsi="宋体" w:eastAsia="宋体" w:cs="宋体"/>
          <w:color w:val="auto"/>
          <w:sz w:val="24"/>
          <w:highlight w:val="white"/>
          <w:lang w:eastAsia="zh-CN"/>
        </w:rPr>
        <w:t>（</w:t>
      </w:r>
      <w:r>
        <w:rPr>
          <w:rFonts w:hint="eastAsia" w:ascii="宋体" w:hAnsi="宋体" w:eastAsia="宋体" w:cs="宋体"/>
          <w:color w:val="auto"/>
          <w:sz w:val="24"/>
          <w:highlight w:val="white"/>
        </w:rPr>
        <w:t>签字</w:t>
      </w:r>
      <w:r>
        <w:rPr>
          <w:rFonts w:hint="eastAsia" w:ascii="宋体" w:hAnsi="宋体" w:eastAsia="宋体" w:cs="宋体"/>
          <w:color w:val="auto"/>
          <w:sz w:val="24"/>
          <w:highlight w:val="white"/>
          <w:lang w:eastAsia="zh-CN"/>
        </w:rPr>
        <w:t>）</w:t>
      </w:r>
      <w:r>
        <w:rPr>
          <w:rFonts w:hint="eastAsia" w:ascii="宋体" w:hAnsi="宋体" w:eastAsia="宋体" w:cs="宋体"/>
          <w:color w:val="auto"/>
          <w:sz w:val="24"/>
          <w:highlight w:val="white"/>
        </w:rPr>
        <w:t>：</w:t>
      </w:r>
      <w:r>
        <w:rPr>
          <w:rFonts w:hint="eastAsia" w:ascii="宋体" w:hAnsi="宋体" w:eastAsia="宋体" w:cs="宋体"/>
          <w:color w:val="auto"/>
          <w:sz w:val="24"/>
          <w:highlight w:val="white"/>
          <w:u w:val="single"/>
        </w:rPr>
        <w:t xml:space="preserve">               </w:t>
      </w:r>
    </w:p>
    <w:p w14:paraId="667000AC">
      <w:pPr>
        <w:spacing w:line="360" w:lineRule="auto"/>
        <w:rPr>
          <w:rFonts w:hint="eastAsia" w:ascii="宋体" w:hAnsi="宋体" w:eastAsia="宋体" w:cs="宋体"/>
          <w:color w:val="auto"/>
          <w:sz w:val="24"/>
          <w:u w:val="single"/>
        </w:rPr>
      </w:pPr>
      <w:r>
        <w:rPr>
          <w:rFonts w:hint="eastAsia" w:ascii="宋体" w:hAnsi="宋体" w:eastAsia="宋体" w:cs="宋体"/>
          <w:color w:val="auto"/>
          <w:sz w:val="24"/>
          <w:highlight w:val="white"/>
        </w:rPr>
        <w:t>日  期：</w:t>
      </w:r>
      <w:r>
        <w:rPr>
          <w:rFonts w:hint="eastAsia" w:ascii="宋体" w:hAnsi="宋体" w:eastAsia="宋体" w:cs="宋体"/>
          <w:color w:val="auto"/>
          <w:sz w:val="24"/>
          <w:highlight w:val="white"/>
          <w:u w:val="single"/>
        </w:rPr>
        <w:t xml:space="preserve">                                   </w:t>
      </w:r>
    </w:p>
    <w:p w14:paraId="5741F8C3">
      <w:pPr>
        <w:numPr>
          <w:ilvl w:val="0"/>
          <w:numId w:val="0"/>
        </w:numPr>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white"/>
          <w:u w:val="single"/>
        </w:rPr>
        <w:br w:type="page"/>
      </w:r>
      <w:bookmarkStart w:id="146" w:name="_Toc256000021"/>
      <w:r>
        <w:rPr>
          <w:rFonts w:hint="eastAsia" w:ascii="宋体" w:hAnsi="宋体" w:eastAsia="宋体" w:cs="宋体"/>
          <w:b/>
          <w:bCs/>
          <w:color w:val="auto"/>
          <w:sz w:val="28"/>
          <w:szCs w:val="28"/>
          <w:highlight w:val="none"/>
          <w:u w:val="none"/>
          <w:lang w:val="en-US" w:eastAsia="zh-CN"/>
        </w:rPr>
        <w:t>（2）报</w:t>
      </w:r>
      <w:r>
        <w:rPr>
          <w:rFonts w:hint="eastAsia" w:ascii="宋体" w:hAnsi="宋体" w:eastAsia="宋体" w:cs="宋体"/>
          <w:b/>
          <w:bCs/>
          <w:color w:val="auto"/>
          <w:sz w:val="28"/>
          <w:szCs w:val="28"/>
          <w:highlight w:val="none"/>
          <w:lang w:val="en-US" w:eastAsia="zh-CN"/>
        </w:rPr>
        <w:t>价表</w:t>
      </w:r>
      <w:bookmarkEnd w:id="146"/>
    </w:p>
    <w:p w14:paraId="4B091680">
      <w:pPr>
        <w:numPr>
          <w:ilvl w:val="0"/>
          <w:numId w:val="0"/>
        </w:numPr>
        <w:jc w:val="both"/>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项目名称：</w:t>
      </w:r>
      <w:r>
        <w:rPr>
          <w:rFonts w:hint="eastAsia" w:ascii="宋体" w:hAnsi="宋体" w:eastAsia="宋体" w:cs="宋体"/>
          <w:color w:val="auto"/>
          <w:sz w:val="24"/>
          <w:highlight w:val="none"/>
          <w:u w:val="single"/>
        </w:rPr>
        <w:t xml:space="preserve">                                   </w:t>
      </w:r>
    </w:p>
    <w:p w14:paraId="5BCC7769">
      <w:pPr>
        <w:rPr>
          <w:rFonts w:hint="eastAsia" w:ascii="宋体" w:hAnsi="宋体" w:eastAsia="宋体" w:cs="宋体"/>
          <w:bCs/>
          <w:color w:val="auto"/>
          <w:sz w:val="24"/>
          <w:highlight w:val="none"/>
        </w:rPr>
      </w:pPr>
    </w:p>
    <w:p w14:paraId="0C87A670">
      <w:pPr>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单位：人民币</w:t>
      </w:r>
      <w:r>
        <w:rPr>
          <w:rFonts w:hint="eastAsia" w:ascii="宋体" w:hAnsi="宋体" w:eastAsia="宋体" w:cs="宋体"/>
          <w:bCs/>
          <w:color w:val="auto"/>
          <w:sz w:val="24"/>
          <w:highlight w:val="none"/>
          <w:lang w:val="en-US" w:eastAsia="zh-CN"/>
        </w:rPr>
        <w:t>·</w:t>
      </w:r>
      <w:r>
        <w:rPr>
          <w:rFonts w:hint="eastAsia" w:ascii="宋体" w:hAnsi="宋体" w:eastAsia="宋体" w:cs="宋体"/>
          <w:bCs/>
          <w:color w:val="auto"/>
          <w:sz w:val="24"/>
          <w:highlight w:val="none"/>
        </w:rPr>
        <w:t xml:space="preserve">元 </w:t>
      </w:r>
    </w:p>
    <w:tbl>
      <w:tblPr>
        <w:tblStyle w:val="29"/>
        <w:tblpPr w:leftFromText="180" w:rightFromText="180" w:vertAnchor="text" w:horzAnchor="margin" w:tblpY="242"/>
        <w:tblW w:w="965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30" w:type="dxa"/>
          <w:bottom w:w="0" w:type="dxa"/>
          <w:right w:w="30" w:type="dxa"/>
        </w:tblCellMar>
      </w:tblPr>
      <w:tblGrid>
        <w:gridCol w:w="1256"/>
        <w:gridCol w:w="1025"/>
        <w:gridCol w:w="7378"/>
      </w:tblGrid>
      <w:tr w14:paraId="1BAFA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30" w:type="dxa"/>
            <w:bottom w:w="0" w:type="dxa"/>
            <w:right w:w="30" w:type="dxa"/>
          </w:tblCellMar>
        </w:tblPrEx>
        <w:trPr>
          <w:cantSplit/>
          <w:trHeight w:val="570" w:hRule="atLeast"/>
        </w:trPr>
        <w:tc>
          <w:tcPr>
            <w:tcW w:w="2281" w:type="dxa"/>
            <w:gridSpan w:val="2"/>
            <w:tcBorders>
              <w:top w:val="single" w:color="auto" w:sz="8" w:space="0"/>
              <w:left w:val="single" w:color="auto" w:sz="8" w:space="0"/>
              <w:bottom w:val="single" w:color="000000" w:sz="6" w:space="0"/>
              <w:right w:val="single" w:color="auto" w:sz="4" w:space="0"/>
            </w:tcBorders>
            <w:noWrap w:val="0"/>
            <w:vAlign w:val="center"/>
          </w:tcPr>
          <w:p w14:paraId="786DAE2B">
            <w:pPr>
              <w:jc w:val="center"/>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项目名称</w:t>
            </w:r>
          </w:p>
        </w:tc>
        <w:tc>
          <w:tcPr>
            <w:tcW w:w="7378" w:type="dxa"/>
            <w:tcBorders>
              <w:top w:val="single" w:color="auto" w:sz="8" w:space="0"/>
              <w:left w:val="single" w:color="auto" w:sz="4" w:space="0"/>
              <w:bottom w:val="single" w:color="000000" w:sz="6" w:space="0"/>
              <w:right w:val="single" w:color="auto" w:sz="8" w:space="0"/>
            </w:tcBorders>
            <w:noWrap w:val="0"/>
            <w:vAlign w:val="center"/>
          </w:tcPr>
          <w:p w14:paraId="102A6CE0">
            <w:pPr>
              <w:rPr>
                <w:rFonts w:hint="eastAsia" w:ascii="宋体" w:hAnsi="宋体" w:eastAsia="宋体" w:cs="宋体"/>
                <w:bCs/>
                <w:color w:val="auto"/>
                <w:sz w:val="24"/>
                <w:highlight w:val="none"/>
              </w:rPr>
            </w:pPr>
          </w:p>
        </w:tc>
      </w:tr>
      <w:tr w14:paraId="65C16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30" w:type="dxa"/>
            <w:bottom w:w="0" w:type="dxa"/>
            <w:right w:w="30" w:type="dxa"/>
          </w:tblCellMar>
        </w:tblPrEx>
        <w:trPr>
          <w:cantSplit/>
          <w:trHeight w:val="590" w:hRule="atLeast"/>
        </w:trPr>
        <w:tc>
          <w:tcPr>
            <w:tcW w:w="2281" w:type="dxa"/>
            <w:gridSpan w:val="2"/>
            <w:tcBorders>
              <w:top w:val="single" w:color="auto" w:sz="4" w:space="0"/>
              <w:left w:val="single" w:color="auto" w:sz="8" w:space="0"/>
              <w:right w:val="single" w:color="auto" w:sz="4" w:space="0"/>
            </w:tcBorders>
            <w:noWrap w:val="0"/>
            <w:vAlign w:val="center"/>
          </w:tcPr>
          <w:p w14:paraId="4B0A12D6">
            <w:pPr>
              <w:jc w:val="center"/>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项目编号</w:t>
            </w:r>
          </w:p>
        </w:tc>
        <w:tc>
          <w:tcPr>
            <w:tcW w:w="7378" w:type="dxa"/>
            <w:tcBorders>
              <w:top w:val="single" w:color="auto" w:sz="4" w:space="0"/>
              <w:left w:val="single" w:color="auto" w:sz="4" w:space="0"/>
              <w:bottom w:val="single" w:color="auto" w:sz="4" w:space="0"/>
              <w:right w:val="single" w:color="auto" w:sz="8" w:space="0"/>
            </w:tcBorders>
            <w:noWrap w:val="0"/>
            <w:vAlign w:val="center"/>
          </w:tcPr>
          <w:p w14:paraId="6797017A">
            <w:pPr>
              <w:rPr>
                <w:rFonts w:hint="eastAsia" w:ascii="宋体" w:hAnsi="宋体" w:eastAsia="宋体" w:cs="宋体"/>
                <w:bCs/>
                <w:color w:val="auto"/>
                <w:sz w:val="24"/>
                <w:highlight w:val="none"/>
              </w:rPr>
            </w:pPr>
          </w:p>
        </w:tc>
      </w:tr>
      <w:tr w14:paraId="7C04C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30" w:type="dxa"/>
            <w:bottom w:w="0" w:type="dxa"/>
            <w:right w:w="30" w:type="dxa"/>
          </w:tblCellMar>
        </w:tblPrEx>
        <w:trPr>
          <w:cantSplit/>
          <w:trHeight w:val="710" w:hRule="atLeast"/>
        </w:trPr>
        <w:tc>
          <w:tcPr>
            <w:tcW w:w="1256" w:type="dxa"/>
            <w:vMerge w:val="restart"/>
            <w:tcBorders>
              <w:top w:val="single" w:color="auto" w:sz="4" w:space="0"/>
              <w:left w:val="single" w:color="auto" w:sz="8" w:space="0"/>
              <w:right w:val="single" w:color="auto" w:sz="4" w:space="0"/>
            </w:tcBorders>
            <w:noWrap w:val="0"/>
            <w:vAlign w:val="center"/>
          </w:tcPr>
          <w:p w14:paraId="55BA721B">
            <w:pPr>
              <w:jc w:val="center"/>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投标报价</w:t>
            </w:r>
          </w:p>
        </w:tc>
        <w:tc>
          <w:tcPr>
            <w:tcW w:w="1025" w:type="dxa"/>
            <w:tcBorders>
              <w:top w:val="single" w:color="auto" w:sz="4" w:space="0"/>
              <w:left w:val="single" w:color="auto" w:sz="4" w:space="0"/>
              <w:bottom w:val="single" w:color="auto" w:sz="4" w:space="0"/>
              <w:right w:val="single" w:color="auto" w:sz="4" w:space="0"/>
            </w:tcBorders>
            <w:noWrap w:val="0"/>
            <w:vAlign w:val="center"/>
          </w:tcPr>
          <w:p w14:paraId="3A20184B">
            <w:pPr>
              <w:jc w:val="center"/>
              <w:rPr>
                <w:rFonts w:hint="eastAsia" w:ascii="宋体" w:hAnsi="宋体" w:eastAsia="宋体" w:cs="宋体"/>
                <w:bCs/>
                <w:color w:val="auto"/>
                <w:kern w:val="2"/>
                <w:sz w:val="24"/>
                <w:szCs w:val="22"/>
                <w:highlight w:val="none"/>
                <w:lang w:val="en-US" w:eastAsia="zh-CN" w:bidi="ar-SA"/>
              </w:rPr>
            </w:pPr>
            <w:r>
              <w:rPr>
                <w:rFonts w:hint="eastAsia" w:ascii="宋体" w:hAnsi="宋体" w:eastAsia="宋体" w:cs="宋体"/>
                <w:bCs/>
                <w:color w:val="auto"/>
                <w:sz w:val="24"/>
                <w:highlight w:val="none"/>
                <w:lang w:val="en-US" w:eastAsia="zh-CN"/>
              </w:rPr>
              <w:t>小写</w:t>
            </w:r>
          </w:p>
        </w:tc>
        <w:tc>
          <w:tcPr>
            <w:tcW w:w="7378" w:type="dxa"/>
            <w:tcBorders>
              <w:top w:val="single" w:color="auto" w:sz="4" w:space="0"/>
              <w:left w:val="single" w:color="auto" w:sz="4" w:space="0"/>
              <w:bottom w:val="single" w:color="auto" w:sz="4" w:space="0"/>
              <w:right w:val="single" w:color="auto" w:sz="8" w:space="0"/>
            </w:tcBorders>
            <w:noWrap w:val="0"/>
            <w:vAlign w:val="center"/>
          </w:tcPr>
          <w:p w14:paraId="3A6E88CC">
            <w:pPr>
              <w:rPr>
                <w:rFonts w:hint="eastAsia" w:ascii="宋体" w:hAnsi="宋体" w:eastAsia="宋体" w:cs="宋体"/>
                <w:bCs/>
                <w:color w:val="auto"/>
                <w:sz w:val="24"/>
                <w:highlight w:val="none"/>
              </w:rPr>
            </w:pPr>
          </w:p>
        </w:tc>
      </w:tr>
      <w:tr w14:paraId="4E5D48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30" w:type="dxa"/>
            <w:bottom w:w="0" w:type="dxa"/>
            <w:right w:w="30" w:type="dxa"/>
          </w:tblCellMar>
        </w:tblPrEx>
        <w:trPr>
          <w:cantSplit/>
          <w:trHeight w:val="710" w:hRule="atLeast"/>
        </w:trPr>
        <w:tc>
          <w:tcPr>
            <w:tcW w:w="1256" w:type="dxa"/>
            <w:vMerge w:val="continue"/>
            <w:tcBorders>
              <w:left w:val="single" w:color="auto" w:sz="8" w:space="0"/>
              <w:bottom w:val="single" w:color="auto" w:sz="4" w:space="0"/>
              <w:right w:val="single" w:color="auto" w:sz="4" w:space="0"/>
            </w:tcBorders>
            <w:noWrap w:val="0"/>
            <w:vAlign w:val="center"/>
          </w:tcPr>
          <w:p w14:paraId="4BDC7E4A">
            <w:pPr>
              <w:jc w:val="center"/>
              <w:rPr>
                <w:rFonts w:hint="eastAsia" w:ascii="宋体" w:hAnsi="宋体" w:eastAsia="宋体" w:cs="宋体"/>
                <w:bCs/>
                <w:color w:val="auto"/>
                <w:sz w:val="24"/>
                <w:highlight w:val="none"/>
              </w:rPr>
            </w:pPr>
          </w:p>
        </w:tc>
        <w:tc>
          <w:tcPr>
            <w:tcW w:w="1025" w:type="dxa"/>
            <w:tcBorders>
              <w:top w:val="single" w:color="auto" w:sz="4" w:space="0"/>
              <w:left w:val="single" w:color="auto" w:sz="4" w:space="0"/>
              <w:bottom w:val="single" w:color="auto" w:sz="4" w:space="0"/>
              <w:right w:val="single" w:color="auto" w:sz="4" w:space="0"/>
            </w:tcBorders>
            <w:noWrap w:val="0"/>
            <w:vAlign w:val="center"/>
          </w:tcPr>
          <w:p w14:paraId="530DAEE0">
            <w:pPr>
              <w:jc w:val="center"/>
              <w:rPr>
                <w:rFonts w:hint="eastAsia" w:ascii="宋体" w:hAnsi="宋体" w:eastAsia="宋体" w:cs="宋体"/>
                <w:bCs/>
                <w:color w:val="auto"/>
                <w:kern w:val="2"/>
                <w:sz w:val="24"/>
                <w:szCs w:val="22"/>
                <w:highlight w:val="none"/>
                <w:lang w:val="en-US" w:eastAsia="zh-CN" w:bidi="ar-SA"/>
              </w:rPr>
            </w:pPr>
            <w:r>
              <w:rPr>
                <w:rFonts w:hint="eastAsia" w:ascii="宋体" w:hAnsi="宋体" w:eastAsia="宋体" w:cs="宋体"/>
                <w:bCs/>
                <w:color w:val="auto"/>
                <w:sz w:val="24"/>
                <w:highlight w:val="none"/>
              </w:rPr>
              <w:t>大写</w:t>
            </w:r>
          </w:p>
        </w:tc>
        <w:tc>
          <w:tcPr>
            <w:tcW w:w="7378" w:type="dxa"/>
            <w:tcBorders>
              <w:top w:val="single" w:color="auto" w:sz="4" w:space="0"/>
              <w:left w:val="single" w:color="auto" w:sz="4" w:space="0"/>
              <w:bottom w:val="single" w:color="auto" w:sz="4" w:space="0"/>
              <w:right w:val="single" w:color="auto" w:sz="8" w:space="0"/>
            </w:tcBorders>
            <w:noWrap w:val="0"/>
            <w:vAlign w:val="center"/>
          </w:tcPr>
          <w:p w14:paraId="3AF2F86E">
            <w:pPr>
              <w:rPr>
                <w:rFonts w:hint="eastAsia" w:ascii="宋体" w:hAnsi="宋体" w:eastAsia="宋体" w:cs="宋体"/>
                <w:bCs/>
                <w:color w:val="auto"/>
                <w:sz w:val="24"/>
                <w:highlight w:val="none"/>
              </w:rPr>
            </w:pPr>
          </w:p>
        </w:tc>
      </w:tr>
      <w:tr w14:paraId="3C17E8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30" w:type="dxa"/>
            <w:bottom w:w="0" w:type="dxa"/>
            <w:right w:w="30" w:type="dxa"/>
          </w:tblCellMar>
        </w:tblPrEx>
        <w:trPr>
          <w:cantSplit/>
          <w:trHeight w:val="489" w:hRule="atLeast"/>
        </w:trPr>
        <w:tc>
          <w:tcPr>
            <w:tcW w:w="2281" w:type="dxa"/>
            <w:gridSpan w:val="2"/>
            <w:tcBorders>
              <w:top w:val="single" w:color="auto" w:sz="4" w:space="0"/>
              <w:left w:val="single" w:color="auto" w:sz="8" w:space="0"/>
              <w:bottom w:val="single" w:color="auto" w:sz="4" w:space="0"/>
              <w:right w:val="single" w:color="auto" w:sz="4" w:space="0"/>
            </w:tcBorders>
            <w:noWrap w:val="0"/>
            <w:vAlign w:val="center"/>
          </w:tcPr>
          <w:p w14:paraId="5DD8AB45">
            <w:pPr>
              <w:jc w:val="center"/>
              <w:rPr>
                <w:rFonts w:hint="eastAsia" w:ascii="宋体" w:hAnsi="宋体" w:eastAsia="宋体" w:cs="宋体"/>
                <w:bCs/>
                <w:color w:val="auto"/>
                <w:sz w:val="24"/>
                <w:highlight w:val="none"/>
              </w:rPr>
            </w:pPr>
            <w:r>
              <w:rPr>
                <w:rFonts w:hint="eastAsia" w:ascii="宋体" w:hAnsi="宋体" w:cs="宋体"/>
                <w:bCs/>
                <w:color w:val="auto"/>
                <w:sz w:val="24"/>
                <w:highlight w:val="none"/>
                <w:lang w:val="en-US" w:eastAsia="zh-CN"/>
              </w:rPr>
              <w:t>供货期</w:t>
            </w:r>
          </w:p>
        </w:tc>
        <w:tc>
          <w:tcPr>
            <w:tcW w:w="7378" w:type="dxa"/>
            <w:tcBorders>
              <w:top w:val="single" w:color="auto" w:sz="4" w:space="0"/>
              <w:left w:val="single" w:color="auto" w:sz="4" w:space="0"/>
              <w:bottom w:val="single" w:color="auto" w:sz="4" w:space="0"/>
              <w:right w:val="single" w:color="auto" w:sz="8" w:space="0"/>
            </w:tcBorders>
            <w:noWrap w:val="0"/>
            <w:vAlign w:val="center"/>
          </w:tcPr>
          <w:p w14:paraId="5C040D78">
            <w:pPr>
              <w:rPr>
                <w:rFonts w:hint="eastAsia" w:ascii="宋体" w:hAnsi="宋体" w:eastAsia="宋体" w:cs="宋体"/>
                <w:bCs/>
                <w:color w:val="auto"/>
                <w:sz w:val="24"/>
                <w:highlight w:val="none"/>
              </w:rPr>
            </w:pPr>
          </w:p>
        </w:tc>
      </w:tr>
      <w:tr w14:paraId="15F65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30" w:type="dxa"/>
            <w:bottom w:w="0" w:type="dxa"/>
            <w:right w:w="30" w:type="dxa"/>
          </w:tblCellMar>
        </w:tblPrEx>
        <w:trPr>
          <w:cantSplit/>
          <w:trHeight w:val="1261" w:hRule="atLeast"/>
        </w:trPr>
        <w:tc>
          <w:tcPr>
            <w:tcW w:w="2281" w:type="dxa"/>
            <w:gridSpan w:val="2"/>
            <w:tcBorders>
              <w:top w:val="single" w:color="auto" w:sz="4" w:space="0"/>
              <w:left w:val="single" w:color="auto" w:sz="8" w:space="0"/>
              <w:bottom w:val="single" w:color="auto" w:sz="4" w:space="0"/>
              <w:right w:val="single" w:color="auto" w:sz="4" w:space="0"/>
            </w:tcBorders>
            <w:noWrap w:val="0"/>
            <w:vAlign w:val="center"/>
          </w:tcPr>
          <w:p w14:paraId="146776B3">
            <w:pPr>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是否接受本项目采购文件采购项目的要求的所有内容</w:t>
            </w:r>
          </w:p>
        </w:tc>
        <w:tc>
          <w:tcPr>
            <w:tcW w:w="7378" w:type="dxa"/>
            <w:tcBorders>
              <w:top w:val="single" w:color="auto" w:sz="4" w:space="0"/>
              <w:left w:val="single" w:color="auto" w:sz="4" w:space="0"/>
              <w:bottom w:val="single" w:color="auto" w:sz="4" w:space="0"/>
              <w:right w:val="single" w:color="auto" w:sz="8" w:space="0"/>
            </w:tcBorders>
            <w:noWrap w:val="0"/>
            <w:vAlign w:val="center"/>
          </w:tcPr>
          <w:p w14:paraId="477FD3EF">
            <w:pP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（是/否）</w:t>
            </w:r>
          </w:p>
        </w:tc>
      </w:tr>
      <w:tr w14:paraId="490BF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30" w:type="dxa"/>
            <w:bottom w:w="0" w:type="dxa"/>
            <w:right w:w="30" w:type="dxa"/>
          </w:tblCellMar>
        </w:tblPrEx>
        <w:trPr>
          <w:cantSplit/>
          <w:trHeight w:val="730" w:hRule="atLeast"/>
        </w:trPr>
        <w:tc>
          <w:tcPr>
            <w:tcW w:w="2281" w:type="dxa"/>
            <w:gridSpan w:val="2"/>
            <w:tcBorders>
              <w:top w:val="single" w:color="auto" w:sz="4" w:space="0"/>
              <w:left w:val="single" w:color="auto" w:sz="8" w:space="0"/>
              <w:bottom w:val="single" w:color="auto" w:sz="8" w:space="0"/>
              <w:right w:val="single" w:color="auto" w:sz="4" w:space="0"/>
            </w:tcBorders>
            <w:noWrap w:val="0"/>
            <w:vAlign w:val="center"/>
          </w:tcPr>
          <w:p w14:paraId="7837FAC9">
            <w:pPr>
              <w:jc w:val="center"/>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备注</w:t>
            </w:r>
          </w:p>
        </w:tc>
        <w:tc>
          <w:tcPr>
            <w:tcW w:w="7378" w:type="dxa"/>
            <w:tcBorders>
              <w:top w:val="single" w:color="auto" w:sz="4" w:space="0"/>
              <w:left w:val="single" w:color="auto" w:sz="4" w:space="0"/>
              <w:bottom w:val="single" w:color="auto" w:sz="8" w:space="0"/>
              <w:right w:val="single" w:color="auto" w:sz="8" w:space="0"/>
            </w:tcBorders>
            <w:noWrap w:val="0"/>
            <w:vAlign w:val="center"/>
          </w:tcPr>
          <w:p w14:paraId="0ABA745E">
            <w:pPr>
              <w:rPr>
                <w:rFonts w:hint="eastAsia" w:ascii="宋体" w:hAnsi="宋体" w:eastAsia="宋体" w:cs="宋体"/>
                <w:bCs/>
                <w:color w:val="auto"/>
                <w:sz w:val="24"/>
                <w:highlight w:val="none"/>
              </w:rPr>
            </w:pPr>
          </w:p>
        </w:tc>
      </w:tr>
    </w:tbl>
    <w:p w14:paraId="04F91934">
      <w:pPr>
        <w:spacing w:line="360" w:lineRule="auto"/>
        <w:ind w:firstLine="480" w:firstLineChars="200"/>
        <w:rPr>
          <w:rFonts w:hint="eastAsia" w:ascii="宋体" w:hAnsi="宋体" w:eastAsia="宋体" w:cs="宋体"/>
          <w:color w:val="auto"/>
          <w:sz w:val="24"/>
          <w:szCs w:val="24"/>
          <w:highlight w:val="white"/>
        </w:rPr>
      </w:pPr>
    </w:p>
    <w:p w14:paraId="26293745">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注：供应商的报价应含有所供货物费用、税费及包装、运至最终目的地的运输、保险和交付等工作所发生的费用等。除非合同条款中另有规定，否则，供应商所报价格在合同实施期间不因市场变化因素而变动。如果因供应商原因引起的报价失误，同时又被评审时所接受，其后果由供应商自行负责。</w:t>
      </w:r>
    </w:p>
    <w:p w14:paraId="4565F11B">
      <w:pPr>
        <w:rPr>
          <w:rFonts w:hint="eastAsia" w:ascii="宋体" w:hAnsi="宋体" w:eastAsia="宋体" w:cs="宋体"/>
          <w:color w:val="auto"/>
          <w:sz w:val="24"/>
          <w:szCs w:val="24"/>
        </w:rPr>
      </w:pPr>
    </w:p>
    <w:p w14:paraId="4219384B">
      <w:pPr>
        <w:rPr>
          <w:rFonts w:hint="eastAsia" w:ascii="宋体" w:hAnsi="宋体" w:eastAsia="宋体" w:cs="宋体"/>
          <w:color w:val="auto"/>
          <w:sz w:val="24"/>
          <w:szCs w:val="24"/>
        </w:rPr>
      </w:pPr>
    </w:p>
    <w:p w14:paraId="04FBB37D">
      <w:pPr>
        <w:spacing w:line="480" w:lineRule="auto"/>
        <w:rPr>
          <w:rFonts w:hint="eastAsia" w:ascii="宋体" w:hAnsi="宋体" w:eastAsia="宋体" w:cs="宋体"/>
          <w:color w:val="auto"/>
          <w:sz w:val="24"/>
          <w:szCs w:val="24"/>
          <w:u w:val="single"/>
        </w:rPr>
      </w:pPr>
      <w:r>
        <w:rPr>
          <w:rFonts w:hint="eastAsia" w:ascii="宋体" w:hAnsi="宋体" w:eastAsia="宋体" w:cs="宋体"/>
          <w:color w:val="auto"/>
          <w:sz w:val="24"/>
          <w:szCs w:val="24"/>
          <w:highlight w:val="white"/>
        </w:rPr>
        <w:t>供应商名称（公章）：</w:t>
      </w:r>
      <w:r>
        <w:rPr>
          <w:rFonts w:hint="eastAsia" w:ascii="宋体" w:hAnsi="宋体" w:eastAsia="宋体" w:cs="宋体"/>
          <w:color w:val="auto"/>
          <w:sz w:val="24"/>
          <w:szCs w:val="24"/>
          <w:highlight w:val="white"/>
          <w:u w:val="single"/>
        </w:rPr>
        <w:t xml:space="preserve">                         </w:t>
      </w:r>
    </w:p>
    <w:p w14:paraId="2978E327">
      <w:pPr>
        <w:spacing w:line="480" w:lineRule="auto"/>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法定代表人或其授权代表（签字）：</w:t>
      </w:r>
      <w:r>
        <w:rPr>
          <w:rFonts w:hint="eastAsia" w:ascii="宋体" w:hAnsi="宋体" w:eastAsia="宋体" w:cs="宋体"/>
          <w:color w:val="auto"/>
          <w:sz w:val="24"/>
          <w:szCs w:val="24"/>
          <w:highlight w:val="white"/>
          <w:u w:val="single"/>
        </w:rPr>
        <w:t xml:space="preserve">             </w:t>
      </w:r>
    </w:p>
    <w:p w14:paraId="42219D76">
      <w:pPr>
        <w:spacing w:line="480" w:lineRule="auto"/>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日期：</w:t>
      </w:r>
      <w:r>
        <w:rPr>
          <w:rFonts w:hint="eastAsia" w:ascii="宋体" w:hAnsi="宋体" w:eastAsia="宋体" w:cs="宋体"/>
          <w:color w:val="auto"/>
          <w:sz w:val="24"/>
          <w:szCs w:val="24"/>
          <w:highlight w:val="white"/>
          <w:u w:val="single"/>
        </w:rPr>
        <w:t xml:space="preserve">      </w:t>
      </w:r>
      <w:r>
        <w:rPr>
          <w:rFonts w:hint="eastAsia" w:ascii="宋体" w:hAnsi="宋体" w:eastAsia="宋体" w:cs="宋体"/>
          <w:color w:val="auto"/>
          <w:sz w:val="24"/>
          <w:szCs w:val="24"/>
          <w:highlight w:val="white"/>
        </w:rPr>
        <w:t>年</w:t>
      </w:r>
      <w:r>
        <w:rPr>
          <w:rFonts w:hint="eastAsia" w:ascii="宋体" w:hAnsi="宋体" w:eastAsia="宋体" w:cs="宋体"/>
          <w:color w:val="auto"/>
          <w:sz w:val="24"/>
          <w:szCs w:val="24"/>
          <w:highlight w:val="white"/>
          <w:u w:val="single"/>
        </w:rPr>
        <w:t xml:space="preserve">    </w:t>
      </w:r>
      <w:r>
        <w:rPr>
          <w:rFonts w:hint="eastAsia" w:ascii="宋体" w:hAnsi="宋体" w:eastAsia="宋体" w:cs="宋体"/>
          <w:color w:val="auto"/>
          <w:sz w:val="24"/>
          <w:szCs w:val="24"/>
          <w:highlight w:val="white"/>
        </w:rPr>
        <w:t>月</w:t>
      </w:r>
      <w:r>
        <w:rPr>
          <w:rFonts w:hint="eastAsia" w:ascii="宋体" w:hAnsi="宋体" w:eastAsia="宋体" w:cs="宋体"/>
          <w:color w:val="auto"/>
          <w:sz w:val="24"/>
          <w:szCs w:val="24"/>
          <w:highlight w:val="white"/>
          <w:u w:val="single"/>
        </w:rPr>
        <w:t xml:space="preserve">    </w:t>
      </w:r>
      <w:r>
        <w:rPr>
          <w:rFonts w:hint="eastAsia" w:ascii="宋体" w:hAnsi="宋体" w:eastAsia="宋体" w:cs="宋体"/>
          <w:color w:val="auto"/>
          <w:sz w:val="24"/>
          <w:szCs w:val="24"/>
          <w:highlight w:val="white"/>
        </w:rPr>
        <w:t>日</w:t>
      </w:r>
    </w:p>
    <w:p w14:paraId="4D89E0F1">
      <w:pPr>
        <w:jc w:val="center"/>
        <w:rPr>
          <w:rFonts w:hint="eastAsia" w:ascii="宋体" w:hAnsi="宋体" w:eastAsia="宋体" w:cs="宋体"/>
          <w:color w:val="auto"/>
          <w:sz w:val="28"/>
          <w:szCs w:val="28"/>
        </w:rPr>
      </w:pPr>
      <w:r>
        <w:rPr>
          <w:rFonts w:hint="eastAsia" w:ascii="宋体" w:hAnsi="宋体" w:eastAsia="宋体" w:cs="宋体"/>
          <w:color w:val="auto"/>
          <w:sz w:val="24"/>
          <w:szCs w:val="24"/>
          <w:highlight w:val="white"/>
        </w:rPr>
        <w:br w:type="page"/>
      </w:r>
      <w:bookmarkStart w:id="147" w:name="_Toc256000022"/>
      <w:r>
        <w:rPr>
          <w:rFonts w:hint="eastAsia" w:ascii="宋体" w:hAnsi="宋体" w:eastAsia="宋体" w:cs="宋体"/>
          <w:b/>
          <w:bCs/>
          <w:color w:val="auto"/>
          <w:sz w:val="28"/>
          <w:szCs w:val="28"/>
          <w:highlight w:val="white"/>
        </w:rPr>
        <w:t>（3）分项报价及说明表</w:t>
      </w:r>
      <w:bookmarkEnd w:id="147"/>
    </w:p>
    <w:p w14:paraId="130F0A3D">
      <w:pPr>
        <w:rPr>
          <w:rFonts w:hint="eastAsia" w:ascii="宋体" w:hAnsi="宋体" w:eastAsia="宋体" w:cs="宋体"/>
          <w:color w:val="auto"/>
          <w:sz w:val="24"/>
          <w:szCs w:val="24"/>
          <w:u w:val="single"/>
        </w:rPr>
      </w:pPr>
      <w:r>
        <w:rPr>
          <w:rFonts w:hint="eastAsia" w:ascii="宋体" w:hAnsi="宋体" w:eastAsia="宋体" w:cs="宋体"/>
          <w:color w:val="auto"/>
          <w:sz w:val="24"/>
          <w:szCs w:val="24"/>
          <w:highlight w:val="white"/>
        </w:rPr>
        <w:t>项目名称：</w:t>
      </w:r>
      <w:r>
        <w:rPr>
          <w:rFonts w:hint="eastAsia" w:ascii="宋体" w:hAnsi="宋体" w:eastAsia="宋体" w:cs="宋体"/>
          <w:color w:val="auto"/>
          <w:sz w:val="24"/>
          <w:szCs w:val="24"/>
          <w:highlight w:val="white"/>
          <w:u w:val="single"/>
        </w:rPr>
        <w:t xml:space="preserve">                                   </w:t>
      </w:r>
    </w:p>
    <w:p w14:paraId="15DA6B6C">
      <w:pPr>
        <w:rPr>
          <w:rFonts w:hint="eastAsia" w:ascii="宋体" w:hAnsi="宋体" w:eastAsia="宋体" w:cs="宋体"/>
          <w:color w:val="auto"/>
          <w:sz w:val="24"/>
          <w:szCs w:val="24"/>
          <w:highlight w:val="white"/>
        </w:rPr>
      </w:pPr>
    </w:p>
    <w:p w14:paraId="3F8CEE38">
      <w:pPr>
        <w:rPr>
          <w:rFonts w:hint="eastAsia" w:ascii="宋体" w:hAnsi="宋体" w:eastAsia="宋体" w:cs="宋体"/>
          <w:color w:val="auto"/>
          <w:sz w:val="24"/>
          <w:szCs w:val="24"/>
          <w:highlight w:val="white"/>
        </w:rPr>
      </w:pPr>
      <w:r>
        <w:rPr>
          <w:rFonts w:hint="eastAsia" w:ascii="宋体" w:hAnsi="宋体" w:eastAsia="宋体" w:cs="宋体"/>
          <w:color w:val="auto"/>
          <w:sz w:val="24"/>
          <w:szCs w:val="24"/>
          <w:highlight w:val="white"/>
        </w:rPr>
        <w:t>单位：人民币•元</w:t>
      </w:r>
    </w:p>
    <w:tbl>
      <w:tblPr>
        <w:tblStyle w:val="67"/>
        <w:tblW w:w="5010"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580"/>
        <w:gridCol w:w="1666"/>
        <w:gridCol w:w="1715"/>
        <w:gridCol w:w="964"/>
        <w:gridCol w:w="1290"/>
        <w:gridCol w:w="831"/>
        <w:gridCol w:w="831"/>
        <w:gridCol w:w="1028"/>
        <w:gridCol w:w="868"/>
      </w:tblGrid>
      <w:tr w14:paraId="2A1522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2" w:hRule="atLeast"/>
        </w:trPr>
        <w:tc>
          <w:tcPr>
            <w:tcW w:w="297" w:type="pct"/>
            <w:noWrap w:val="0"/>
            <w:vAlign w:val="top"/>
          </w:tcPr>
          <w:p w14:paraId="18962AD5">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auto"/>
                <w:sz w:val="24"/>
                <w:szCs w:val="24"/>
              </w:rPr>
            </w:pPr>
            <w:r>
              <w:rPr>
                <w:rFonts w:hint="eastAsia" w:ascii="宋体" w:hAnsi="宋体" w:eastAsia="宋体" w:cs="宋体"/>
                <w:color w:val="auto"/>
                <w:spacing w:val="5"/>
                <w:sz w:val="24"/>
                <w:szCs w:val="24"/>
              </w:rPr>
              <w:t>序号</w:t>
            </w:r>
          </w:p>
        </w:tc>
        <w:tc>
          <w:tcPr>
            <w:tcW w:w="852" w:type="pct"/>
            <w:noWrap w:val="0"/>
            <w:vAlign w:val="top"/>
          </w:tcPr>
          <w:p w14:paraId="2F4A3C5D">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auto"/>
                <w:sz w:val="24"/>
                <w:szCs w:val="24"/>
                <w:lang w:val="en-US" w:eastAsia="zh-CN"/>
              </w:rPr>
            </w:pPr>
            <w:r>
              <w:rPr>
                <w:rFonts w:hint="eastAsia" w:ascii="宋体" w:hAnsi="宋体" w:cs="宋体"/>
                <w:color w:val="auto"/>
                <w:spacing w:val="-4"/>
                <w:sz w:val="24"/>
                <w:szCs w:val="24"/>
                <w:lang w:val="en-US" w:eastAsia="zh-CN"/>
              </w:rPr>
              <w:t>货物</w:t>
            </w:r>
            <w:r>
              <w:rPr>
                <w:rFonts w:hint="eastAsia" w:ascii="宋体" w:hAnsi="宋体" w:eastAsia="宋体" w:cs="宋体"/>
                <w:color w:val="auto"/>
                <w:spacing w:val="-4"/>
                <w:sz w:val="24"/>
                <w:szCs w:val="24"/>
                <w:lang w:val="en-US" w:eastAsia="zh-CN"/>
              </w:rPr>
              <w:t>名称</w:t>
            </w:r>
          </w:p>
        </w:tc>
        <w:tc>
          <w:tcPr>
            <w:tcW w:w="876" w:type="pct"/>
            <w:noWrap w:val="0"/>
            <w:vAlign w:val="top"/>
          </w:tcPr>
          <w:p w14:paraId="15F202B3">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pacing w:val="7"/>
                <w:sz w:val="24"/>
                <w:szCs w:val="24"/>
              </w:rPr>
              <w:t>规格</w:t>
            </w:r>
            <w:r>
              <w:rPr>
                <w:rFonts w:hint="eastAsia" w:ascii="宋体" w:hAnsi="宋体" w:cs="宋体"/>
                <w:color w:val="auto"/>
                <w:spacing w:val="7"/>
                <w:sz w:val="24"/>
                <w:szCs w:val="24"/>
                <w:lang w:val="en-US" w:eastAsia="zh-CN"/>
              </w:rPr>
              <w:t>型号</w:t>
            </w:r>
            <w:r>
              <w:rPr>
                <w:rFonts w:hint="eastAsia" w:ascii="宋体" w:hAnsi="宋体" w:eastAsia="宋体" w:cs="宋体"/>
                <w:color w:val="auto"/>
                <w:spacing w:val="7"/>
                <w:sz w:val="24"/>
                <w:szCs w:val="24"/>
              </w:rPr>
              <w:t>/</w:t>
            </w:r>
            <w:r>
              <w:rPr>
                <w:rFonts w:hint="eastAsia" w:ascii="宋体" w:hAnsi="宋体" w:cs="宋体"/>
                <w:color w:val="auto"/>
                <w:spacing w:val="7"/>
                <w:sz w:val="24"/>
                <w:szCs w:val="24"/>
                <w:lang w:val="en-US" w:eastAsia="zh-CN"/>
              </w:rPr>
              <w:t>参数要求</w:t>
            </w:r>
            <w:r>
              <w:rPr>
                <w:rFonts w:hint="eastAsia" w:ascii="宋体" w:hAnsi="宋体" w:cs="宋体"/>
                <w:color w:val="auto"/>
                <w:spacing w:val="7"/>
                <w:sz w:val="24"/>
                <w:szCs w:val="24"/>
                <w:lang w:eastAsia="zh-CN"/>
              </w:rPr>
              <w:t>、</w:t>
            </w:r>
            <w:r>
              <w:rPr>
                <w:rFonts w:hint="eastAsia" w:ascii="宋体" w:hAnsi="宋体" w:cs="宋体"/>
                <w:color w:val="auto"/>
                <w:spacing w:val="7"/>
                <w:sz w:val="24"/>
                <w:szCs w:val="24"/>
                <w:lang w:val="en-US" w:eastAsia="zh-CN"/>
              </w:rPr>
              <w:t>产地</w:t>
            </w:r>
          </w:p>
        </w:tc>
        <w:tc>
          <w:tcPr>
            <w:tcW w:w="493" w:type="pct"/>
            <w:noWrap w:val="0"/>
            <w:vAlign w:val="top"/>
          </w:tcPr>
          <w:p w14:paraId="1C7CCC2A">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auto"/>
                <w:spacing w:val="7"/>
                <w:sz w:val="24"/>
                <w:szCs w:val="24"/>
                <w:lang w:val="en-US" w:eastAsia="zh-CN"/>
              </w:rPr>
            </w:pPr>
            <w:r>
              <w:rPr>
                <w:rFonts w:hint="eastAsia" w:ascii="宋体" w:hAnsi="宋体" w:cs="宋体"/>
                <w:color w:val="auto"/>
                <w:spacing w:val="7"/>
                <w:sz w:val="24"/>
                <w:szCs w:val="24"/>
                <w:lang w:val="en-US" w:eastAsia="zh-CN"/>
              </w:rPr>
              <w:t>品牌</w:t>
            </w:r>
          </w:p>
        </w:tc>
        <w:tc>
          <w:tcPr>
            <w:tcW w:w="660" w:type="pct"/>
            <w:noWrap w:val="0"/>
            <w:vAlign w:val="top"/>
          </w:tcPr>
          <w:p w14:paraId="7D740C60">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auto"/>
                <w:sz w:val="24"/>
                <w:szCs w:val="24"/>
              </w:rPr>
            </w:pPr>
            <w:r>
              <w:rPr>
                <w:rFonts w:hint="eastAsia" w:ascii="宋体" w:hAnsi="宋体" w:eastAsia="宋体" w:cs="宋体"/>
                <w:color w:val="auto"/>
                <w:spacing w:val="3"/>
                <w:sz w:val="24"/>
                <w:szCs w:val="24"/>
              </w:rPr>
              <w:t>单位</w:t>
            </w:r>
          </w:p>
        </w:tc>
        <w:tc>
          <w:tcPr>
            <w:tcW w:w="425" w:type="pct"/>
            <w:noWrap w:val="0"/>
            <w:vAlign w:val="top"/>
          </w:tcPr>
          <w:p w14:paraId="73989368">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auto"/>
                <w:sz w:val="24"/>
                <w:szCs w:val="24"/>
              </w:rPr>
            </w:pPr>
            <w:r>
              <w:rPr>
                <w:rFonts w:hint="eastAsia" w:ascii="宋体" w:hAnsi="宋体" w:eastAsia="宋体" w:cs="宋体"/>
                <w:color w:val="auto"/>
                <w:spacing w:val="3"/>
                <w:sz w:val="24"/>
                <w:szCs w:val="24"/>
              </w:rPr>
              <w:t>数量</w:t>
            </w:r>
          </w:p>
        </w:tc>
        <w:tc>
          <w:tcPr>
            <w:tcW w:w="425" w:type="pct"/>
            <w:noWrap w:val="0"/>
            <w:vAlign w:val="top"/>
          </w:tcPr>
          <w:p w14:paraId="6C17927A">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auto"/>
                <w:sz w:val="24"/>
                <w:szCs w:val="24"/>
              </w:rPr>
            </w:pPr>
            <w:r>
              <w:rPr>
                <w:rFonts w:hint="eastAsia" w:ascii="宋体" w:hAnsi="宋体" w:eastAsia="宋体" w:cs="宋体"/>
                <w:color w:val="auto"/>
                <w:spacing w:val="-5"/>
                <w:sz w:val="24"/>
                <w:szCs w:val="24"/>
              </w:rPr>
              <w:t>单价（元）</w:t>
            </w:r>
          </w:p>
        </w:tc>
        <w:tc>
          <w:tcPr>
            <w:tcW w:w="526" w:type="pct"/>
            <w:noWrap w:val="0"/>
            <w:vAlign w:val="top"/>
          </w:tcPr>
          <w:p w14:paraId="5E281356">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auto"/>
                <w:sz w:val="24"/>
                <w:szCs w:val="24"/>
              </w:rPr>
            </w:pPr>
            <w:r>
              <w:rPr>
                <w:rFonts w:hint="eastAsia" w:ascii="宋体" w:hAnsi="宋体" w:eastAsia="宋体" w:cs="宋体"/>
                <w:color w:val="auto"/>
                <w:spacing w:val="5"/>
                <w:sz w:val="24"/>
                <w:szCs w:val="24"/>
              </w:rPr>
              <w:t>合计（元）</w:t>
            </w:r>
          </w:p>
        </w:tc>
        <w:tc>
          <w:tcPr>
            <w:tcW w:w="440" w:type="pct"/>
            <w:noWrap w:val="0"/>
            <w:vAlign w:val="top"/>
          </w:tcPr>
          <w:p w14:paraId="7ADE4130">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auto"/>
                <w:sz w:val="24"/>
                <w:szCs w:val="24"/>
              </w:rPr>
            </w:pPr>
            <w:r>
              <w:rPr>
                <w:rFonts w:hint="eastAsia" w:ascii="宋体" w:hAnsi="宋体" w:eastAsia="宋体" w:cs="宋体"/>
                <w:color w:val="auto"/>
                <w:spacing w:val="3"/>
                <w:sz w:val="24"/>
                <w:szCs w:val="24"/>
              </w:rPr>
              <w:t>备注</w:t>
            </w:r>
          </w:p>
        </w:tc>
      </w:tr>
      <w:tr w14:paraId="06DA27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0" w:hRule="atLeast"/>
        </w:trPr>
        <w:tc>
          <w:tcPr>
            <w:tcW w:w="297" w:type="pct"/>
            <w:noWrap w:val="0"/>
            <w:vAlign w:val="top"/>
          </w:tcPr>
          <w:p w14:paraId="7BCF0699">
            <w:pPr>
              <w:pStyle w:val="68"/>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auto"/>
                <w:sz w:val="24"/>
                <w:szCs w:val="24"/>
              </w:rPr>
            </w:pPr>
          </w:p>
          <w:p w14:paraId="5AF522BB">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852" w:type="pct"/>
            <w:noWrap w:val="0"/>
            <w:vAlign w:val="top"/>
          </w:tcPr>
          <w:p w14:paraId="55650C97">
            <w:pPr>
              <w:pStyle w:val="68"/>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auto"/>
                <w:sz w:val="24"/>
                <w:szCs w:val="24"/>
              </w:rPr>
            </w:pPr>
          </w:p>
        </w:tc>
        <w:tc>
          <w:tcPr>
            <w:tcW w:w="876" w:type="pct"/>
            <w:noWrap w:val="0"/>
            <w:vAlign w:val="top"/>
          </w:tcPr>
          <w:p w14:paraId="54293E0C">
            <w:pPr>
              <w:pStyle w:val="68"/>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auto"/>
                <w:sz w:val="24"/>
                <w:szCs w:val="24"/>
              </w:rPr>
            </w:pPr>
          </w:p>
        </w:tc>
        <w:tc>
          <w:tcPr>
            <w:tcW w:w="493" w:type="pct"/>
            <w:noWrap w:val="0"/>
            <w:vAlign w:val="top"/>
          </w:tcPr>
          <w:p w14:paraId="2269FE67">
            <w:pPr>
              <w:pStyle w:val="68"/>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auto"/>
                <w:sz w:val="24"/>
                <w:szCs w:val="24"/>
              </w:rPr>
            </w:pPr>
          </w:p>
        </w:tc>
        <w:tc>
          <w:tcPr>
            <w:tcW w:w="660" w:type="pct"/>
            <w:noWrap w:val="0"/>
            <w:vAlign w:val="top"/>
          </w:tcPr>
          <w:p w14:paraId="04D47470">
            <w:pPr>
              <w:pStyle w:val="68"/>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auto"/>
                <w:sz w:val="24"/>
                <w:szCs w:val="24"/>
              </w:rPr>
            </w:pPr>
          </w:p>
        </w:tc>
        <w:tc>
          <w:tcPr>
            <w:tcW w:w="425" w:type="pct"/>
            <w:noWrap w:val="0"/>
            <w:vAlign w:val="top"/>
          </w:tcPr>
          <w:p w14:paraId="323F9EAD">
            <w:pPr>
              <w:pStyle w:val="68"/>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auto"/>
                <w:sz w:val="24"/>
                <w:szCs w:val="24"/>
              </w:rPr>
            </w:pPr>
          </w:p>
        </w:tc>
        <w:tc>
          <w:tcPr>
            <w:tcW w:w="425" w:type="pct"/>
            <w:noWrap w:val="0"/>
            <w:vAlign w:val="top"/>
          </w:tcPr>
          <w:p w14:paraId="306D5AC4">
            <w:pPr>
              <w:pStyle w:val="68"/>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auto"/>
                <w:sz w:val="24"/>
                <w:szCs w:val="24"/>
              </w:rPr>
            </w:pPr>
          </w:p>
        </w:tc>
        <w:tc>
          <w:tcPr>
            <w:tcW w:w="526" w:type="pct"/>
            <w:noWrap w:val="0"/>
            <w:vAlign w:val="top"/>
          </w:tcPr>
          <w:p w14:paraId="4DA51268">
            <w:pPr>
              <w:pStyle w:val="68"/>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auto"/>
                <w:sz w:val="24"/>
                <w:szCs w:val="24"/>
              </w:rPr>
            </w:pPr>
          </w:p>
        </w:tc>
        <w:tc>
          <w:tcPr>
            <w:tcW w:w="440" w:type="pct"/>
            <w:noWrap w:val="0"/>
            <w:vAlign w:val="top"/>
          </w:tcPr>
          <w:p w14:paraId="6DE085D3">
            <w:pPr>
              <w:pStyle w:val="68"/>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auto"/>
                <w:sz w:val="24"/>
                <w:szCs w:val="24"/>
              </w:rPr>
            </w:pPr>
          </w:p>
        </w:tc>
      </w:tr>
      <w:tr w14:paraId="4601D9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3" w:hRule="atLeast"/>
        </w:trPr>
        <w:tc>
          <w:tcPr>
            <w:tcW w:w="297" w:type="pct"/>
            <w:noWrap w:val="0"/>
            <w:vAlign w:val="top"/>
          </w:tcPr>
          <w:p w14:paraId="71062A0C">
            <w:pPr>
              <w:pStyle w:val="68"/>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auto"/>
                <w:sz w:val="24"/>
                <w:szCs w:val="24"/>
              </w:rPr>
            </w:pPr>
          </w:p>
          <w:p w14:paraId="2C2B6EEB">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852" w:type="pct"/>
            <w:noWrap w:val="0"/>
            <w:vAlign w:val="top"/>
          </w:tcPr>
          <w:p w14:paraId="22F2577D">
            <w:pPr>
              <w:pStyle w:val="68"/>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auto"/>
                <w:sz w:val="24"/>
                <w:szCs w:val="24"/>
              </w:rPr>
            </w:pPr>
          </w:p>
        </w:tc>
        <w:tc>
          <w:tcPr>
            <w:tcW w:w="876" w:type="pct"/>
            <w:noWrap w:val="0"/>
            <w:vAlign w:val="top"/>
          </w:tcPr>
          <w:p w14:paraId="3ADF433D">
            <w:pPr>
              <w:pStyle w:val="68"/>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auto"/>
                <w:sz w:val="24"/>
                <w:szCs w:val="24"/>
              </w:rPr>
            </w:pPr>
          </w:p>
        </w:tc>
        <w:tc>
          <w:tcPr>
            <w:tcW w:w="493" w:type="pct"/>
            <w:noWrap w:val="0"/>
            <w:vAlign w:val="top"/>
          </w:tcPr>
          <w:p w14:paraId="293F43A5">
            <w:pPr>
              <w:pStyle w:val="68"/>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auto"/>
                <w:sz w:val="24"/>
                <w:szCs w:val="24"/>
              </w:rPr>
            </w:pPr>
          </w:p>
        </w:tc>
        <w:tc>
          <w:tcPr>
            <w:tcW w:w="660" w:type="pct"/>
            <w:noWrap w:val="0"/>
            <w:vAlign w:val="top"/>
          </w:tcPr>
          <w:p w14:paraId="06E2BA95">
            <w:pPr>
              <w:pStyle w:val="68"/>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auto"/>
                <w:sz w:val="24"/>
                <w:szCs w:val="24"/>
              </w:rPr>
            </w:pPr>
          </w:p>
        </w:tc>
        <w:tc>
          <w:tcPr>
            <w:tcW w:w="425" w:type="pct"/>
            <w:noWrap w:val="0"/>
            <w:vAlign w:val="top"/>
          </w:tcPr>
          <w:p w14:paraId="052C261D">
            <w:pPr>
              <w:pStyle w:val="68"/>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auto"/>
                <w:sz w:val="24"/>
                <w:szCs w:val="24"/>
              </w:rPr>
            </w:pPr>
          </w:p>
        </w:tc>
        <w:tc>
          <w:tcPr>
            <w:tcW w:w="425" w:type="pct"/>
            <w:noWrap w:val="0"/>
            <w:vAlign w:val="top"/>
          </w:tcPr>
          <w:p w14:paraId="70837F44">
            <w:pPr>
              <w:pStyle w:val="68"/>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auto"/>
                <w:sz w:val="24"/>
                <w:szCs w:val="24"/>
              </w:rPr>
            </w:pPr>
          </w:p>
        </w:tc>
        <w:tc>
          <w:tcPr>
            <w:tcW w:w="526" w:type="pct"/>
            <w:noWrap w:val="0"/>
            <w:vAlign w:val="top"/>
          </w:tcPr>
          <w:p w14:paraId="15366A28">
            <w:pPr>
              <w:pStyle w:val="68"/>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auto"/>
                <w:sz w:val="24"/>
                <w:szCs w:val="24"/>
              </w:rPr>
            </w:pPr>
          </w:p>
        </w:tc>
        <w:tc>
          <w:tcPr>
            <w:tcW w:w="440" w:type="pct"/>
            <w:noWrap w:val="0"/>
            <w:vAlign w:val="top"/>
          </w:tcPr>
          <w:p w14:paraId="776E2229">
            <w:pPr>
              <w:pStyle w:val="68"/>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auto"/>
                <w:sz w:val="24"/>
                <w:szCs w:val="24"/>
              </w:rPr>
            </w:pPr>
          </w:p>
        </w:tc>
      </w:tr>
      <w:tr w14:paraId="65348E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8" w:hRule="atLeast"/>
        </w:trPr>
        <w:tc>
          <w:tcPr>
            <w:tcW w:w="297" w:type="pct"/>
            <w:noWrap w:val="0"/>
            <w:vAlign w:val="top"/>
          </w:tcPr>
          <w:p w14:paraId="46A3A325">
            <w:pPr>
              <w:pStyle w:val="68"/>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auto"/>
                <w:sz w:val="24"/>
                <w:szCs w:val="24"/>
              </w:rPr>
            </w:pPr>
          </w:p>
          <w:p w14:paraId="73E1F4F0">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p>
        </w:tc>
        <w:tc>
          <w:tcPr>
            <w:tcW w:w="852" w:type="pct"/>
            <w:noWrap w:val="0"/>
            <w:vAlign w:val="top"/>
          </w:tcPr>
          <w:p w14:paraId="3E5FBE4C">
            <w:pPr>
              <w:pStyle w:val="68"/>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auto"/>
                <w:sz w:val="24"/>
                <w:szCs w:val="24"/>
              </w:rPr>
            </w:pPr>
          </w:p>
        </w:tc>
        <w:tc>
          <w:tcPr>
            <w:tcW w:w="876" w:type="pct"/>
            <w:noWrap w:val="0"/>
            <w:vAlign w:val="top"/>
          </w:tcPr>
          <w:p w14:paraId="66F2AAC0">
            <w:pPr>
              <w:pStyle w:val="68"/>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auto"/>
                <w:sz w:val="24"/>
                <w:szCs w:val="24"/>
              </w:rPr>
            </w:pPr>
          </w:p>
        </w:tc>
        <w:tc>
          <w:tcPr>
            <w:tcW w:w="493" w:type="pct"/>
            <w:noWrap w:val="0"/>
            <w:vAlign w:val="top"/>
          </w:tcPr>
          <w:p w14:paraId="13B673CC">
            <w:pPr>
              <w:pStyle w:val="68"/>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auto"/>
                <w:sz w:val="24"/>
                <w:szCs w:val="24"/>
              </w:rPr>
            </w:pPr>
          </w:p>
        </w:tc>
        <w:tc>
          <w:tcPr>
            <w:tcW w:w="660" w:type="pct"/>
            <w:noWrap w:val="0"/>
            <w:vAlign w:val="top"/>
          </w:tcPr>
          <w:p w14:paraId="0C205417">
            <w:pPr>
              <w:pStyle w:val="68"/>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auto"/>
                <w:sz w:val="24"/>
                <w:szCs w:val="24"/>
              </w:rPr>
            </w:pPr>
          </w:p>
        </w:tc>
        <w:tc>
          <w:tcPr>
            <w:tcW w:w="425" w:type="pct"/>
            <w:noWrap w:val="0"/>
            <w:vAlign w:val="top"/>
          </w:tcPr>
          <w:p w14:paraId="17270D51">
            <w:pPr>
              <w:pStyle w:val="68"/>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auto"/>
                <w:sz w:val="24"/>
                <w:szCs w:val="24"/>
              </w:rPr>
            </w:pPr>
          </w:p>
        </w:tc>
        <w:tc>
          <w:tcPr>
            <w:tcW w:w="425" w:type="pct"/>
            <w:noWrap w:val="0"/>
            <w:vAlign w:val="top"/>
          </w:tcPr>
          <w:p w14:paraId="4FA22801">
            <w:pPr>
              <w:pStyle w:val="68"/>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auto"/>
                <w:sz w:val="24"/>
                <w:szCs w:val="24"/>
              </w:rPr>
            </w:pPr>
          </w:p>
        </w:tc>
        <w:tc>
          <w:tcPr>
            <w:tcW w:w="526" w:type="pct"/>
            <w:noWrap w:val="0"/>
            <w:vAlign w:val="top"/>
          </w:tcPr>
          <w:p w14:paraId="69A17F2B">
            <w:pPr>
              <w:pStyle w:val="68"/>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auto"/>
                <w:sz w:val="24"/>
                <w:szCs w:val="24"/>
              </w:rPr>
            </w:pPr>
          </w:p>
        </w:tc>
        <w:tc>
          <w:tcPr>
            <w:tcW w:w="440" w:type="pct"/>
            <w:noWrap w:val="0"/>
            <w:vAlign w:val="top"/>
          </w:tcPr>
          <w:p w14:paraId="0E6A4BDE">
            <w:pPr>
              <w:pStyle w:val="68"/>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auto"/>
                <w:sz w:val="24"/>
                <w:szCs w:val="24"/>
              </w:rPr>
            </w:pPr>
          </w:p>
        </w:tc>
      </w:tr>
      <w:tr w14:paraId="69EE48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7" w:hRule="atLeast"/>
        </w:trPr>
        <w:tc>
          <w:tcPr>
            <w:tcW w:w="297" w:type="pct"/>
            <w:noWrap w:val="0"/>
            <w:vAlign w:val="top"/>
          </w:tcPr>
          <w:p w14:paraId="66B65E8E">
            <w:pPr>
              <w:pStyle w:val="68"/>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auto"/>
                <w:sz w:val="24"/>
                <w:szCs w:val="24"/>
              </w:rPr>
            </w:pPr>
          </w:p>
          <w:p w14:paraId="7D22685C">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p>
        </w:tc>
        <w:tc>
          <w:tcPr>
            <w:tcW w:w="852" w:type="pct"/>
            <w:noWrap w:val="0"/>
            <w:vAlign w:val="top"/>
          </w:tcPr>
          <w:p w14:paraId="1585F1EF">
            <w:pPr>
              <w:pStyle w:val="68"/>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auto"/>
                <w:sz w:val="24"/>
                <w:szCs w:val="24"/>
              </w:rPr>
            </w:pPr>
          </w:p>
        </w:tc>
        <w:tc>
          <w:tcPr>
            <w:tcW w:w="876" w:type="pct"/>
            <w:noWrap w:val="0"/>
            <w:vAlign w:val="top"/>
          </w:tcPr>
          <w:p w14:paraId="289A4789">
            <w:pPr>
              <w:pStyle w:val="68"/>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auto"/>
                <w:sz w:val="24"/>
                <w:szCs w:val="24"/>
              </w:rPr>
            </w:pPr>
          </w:p>
        </w:tc>
        <w:tc>
          <w:tcPr>
            <w:tcW w:w="493" w:type="pct"/>
            <w:noWrap w:val="0"/>
            <w:vAlign w:val="top"/>
          </w:tcPr>
          <w:p w14:paraId="62BAE9F3">
            <w:pPr>
              <w:pStyle w:val="68"/>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auto"/>
                <w:sz w:val="24"/>
                <w:szCs w:val="24"/>
              </w:rPr>
            </w:pPr>
          </w:p>
        </w:tc>
        <w:tc>
          <w:tcPr>
            <w:tcW w:w="660" w:type="pct"/>
            <w:noWrap w:val="0"/>
            <w:vAlign w:val="top"/>
          </w:tcPr>
          <w:p w14:paraId="3990EE46">
            <w:pPr>
              <w:pStyle w:val="68"/>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auto"/>
                <w:sz w:val="24"/>
                <w:szCs w:val="24"/>
              </w:rPr>
            </w:pPr>
          </w:p>
        </w:tc>
        <w:tc>
          <w:tcPr>
            <w:tcW w:w="425" w:type="pct"/>
            <w:noWrap w:val="0"/>
            <w:vAlign w:val="top"/>
          </w:tcPr>
          <w:p w14:paraId="1E04BF14">
            <w:pPr>
              <w:pStyle w:val="68"/>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auto"/>
                <w:sz w:val="24"/>
                <w:szCs w:val="24"/>
              </w:rPr>
            </w:pPr>
          </w:p>
        </w:tc>
        <w:tc>
          <w:tcPr>
            <w:tcW w:w="425" w:type="pct"/>
            <w:noWrap w:val="0"/>
            <w:vAlign w:val="top"/>
          </w:tcPr>
          <w:p w14:paraId="4185C051">
            <w:pPr>
              <w:pStyle w:val="68"/>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auto"/>
                <w:sz w:val="24"/>
                <w:szCs w:val="24"/>
              </w:rPr>
            </w:pPr>
          </w:p>
        </w:tc>
        <w:tc>
          <w:tcPr>
            <w:tcW w:w="526" w:type="pct"/>
            <w:noWrap w:val="0"/>
            <w:vAlign w:val="top"/>
          </w:tcPr>
          <w:p w14:paraId="2DA40A3D">
            <w:pPr>
              <w:pStyle w:val="68"/>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auto"/>
                <w:sz w:val="24"/>
                <w:szCs w:val="24"/>
              </w:rPr>
            </w:pPr>
          </w:p>
        </w:tc>
        <w:tc>
          <w:tcPr>
            <w:tcW w:w="440" w:type="pct"/>
            <w:noWrap w:val="0"/>
            <w:vAlign w:val="top"/>
          </w:tcPr>
          <w:p w14:paraId="509A8ED2">
            <w:pPr>
              <w:pStyle w:val="68"/>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auto"/>
                <w:sz w:val="24"/>
                <w:szCs w:val="24"/>
              </w:rPr>
            </w:pPr>
          </w:p>
        </w:tc>
      </w:tr>
      <w:tr w14:paraId="25AB64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7" w:hRule="atLeast"/>
        </w:trPr>
        <w:tc>
          <w:tcPr>
            <w:tcW w:w="297" w:type="pct"/>
            <w:noWrap w:val="0"/>
            <w:vAlign w:val="top"/>
          </w:tcPr>
          <w:p w14:paraId="6986A0CF">
            <w:pPr>
              <w:pStyle w:val="68"/>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auto"/>
                <w:sz w:val="24"/>
                <w:szCs w:val="24"/>
              </w:rPr>
            </w:pPr>
          </w:p>
          <w:p w14:paraId="1607CBB8">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w:t>
            </w:r>
          </w:p>
        </w:tc>
        <w:tc>
          <w:tcPr>
            <w:tcW w:w="852" w:type="pct"/>
            <w:noWrap w:val="0"/>
            <w:vAlign w:val="top"/>
          </w:tcPr>
          <w:p w14:paraId="039C1AC6">
            <w:pPr>
              <w:pStyle w:val="68"/>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auto"/>
                <w:sz w:val="24"/>
                <w:szCs w:val="24"/>
              </w:rPr>
            </w:pPr>
          </w:p>
        </w:tc>
        <w:tc>
          <w:tcPr>
            <w:tcW w:w="876" w:type="pct"/>
            <w:noWrap w:val="0"/>
            <w:vAlign w:val="top"/>
          </w:tcPr>
          <w:p w14:paraId="2FA9A9DA">
            <w:pPr>
              <w:pStyle w:val="68"/>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auto"/>
                <w:sz w:val="24"/>
                <w:szCs w:val="24"/>
              </w:rPr>
            </w:pPr>
          </w:p>
        </w:tc>
        <w:tc>
          <w:tcPr>
            <w:tcW w:w="493" w:type="pct"/>
            <w:noWrap w:val="0"/>
            <w:vAlign w:val="top"/>
          </w:tcPr>
          <w:p w14:paraId="3A810A5D">
            <w:pPr>
              <w:pStyle w:val="68"/>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auto"/>
                <w:sz w:val="24"/>
                <w:szCs w:val="24"/>
              </w:rPr>
            </w:pPr>
          </w:p>
        </w:tc>
        <w:tc>
          <w:tcPr>
            <w:tcW w:w="660" w:type="pct"/>
            <w:noWrap w:val="0"/>
            <w:vAlign w:val="top"/>
          </w:tcPr>
          <w:p w14:paraId="2D1BC9C9">
            <w:pPr>
              <w:pStyle w:val="68"/>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auto"/>
                <w:sz w:val="24"/>
                <w:szCs w:val="24"/>
              </w:rPr>
            </w:pPr>
          </w:p>
        </w:tc>
        <w:tc>
          <w:tcPr>
            <w:tcW w:w="425" w:type="pct"/>
            <w:noWrap w:val="0"/>
            <w:vAlign w:val="top"/>
          </w:tcPr>
          <w:p w14:paraId="7660A819">
            <w:pPr>
              <w:pStyle w:val="68"/>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auto"/>
                <w:sz w:val="24"/>
                <w:szCs w:val="24"/>
              </w:rPr>
            </w:pPr>
          </w:p>
        </w:tc>
        <w:tc>
          <w:tcPr>
            <w:tcW w:w="425" w:type="pct"/>
            <w:noWrap w:val="0"/>
            <w:vAlign w:val="top"/>
          </w:tcPr>
          <w:p w14:paraId="7C5F6A73">
            <w:pPr>
              <w:pStyle w:val="68"/>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auto"/>
                <w:sz w:val="24"/>
                <w:szCs w:val="24"/>
              </w:rPr>
            </w:pPr>
          </w:p>
        </w:tc>
        <w:tc>
          <w:tcPr>
            <w:tcW w:w="526" w:type="pct"/>
            <w:noWrap w:val="0"/>
            <w:vAlign w:val="top"/>
          </w:tcPr>
          <w:p w14:paraId="7CF0B7CE">
            <w:pPr>
              <w:pStyle w:val="68"/>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auto"/>
                <w:sz w:val="24"/>
                <w:szCs w:val="24"/>
              </w:rPr>
            </w:pPr>
          </w:p>
        </w:tc>
        <w:tc>
          <w:tcPr>
            <w:tcW w:w="440" w:type="pct"/>
            <w:noWrap w:val="0"/>
            <w:vAlign w:val="top"/>
          </w:tcPr>
          <w:p w14:paraId="39303E12">
            <w:pPr>
              <w:pStyle w:val="68"/>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auto"/>
                <w:sz w:val="24"/>
                <w:szCs w:val="24"/>
              </w:rPr>
            </w:pPr>
          </w:p>
        </w:tc>
      </w:tr>
      <w:tr w14:paraId="5917B9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9" w:hRule="atLeast"/>
        </w:trPr>
        <w:tc>
          <w:tcPr>
            <w:tcW w:w="2026" w:type="pct"/>
            <w:gridSpan w:val="3"/>
            <w:vMerge w:val="restart"/>
            <w:tcBorders>
              <w:bottom w:val="nil"/>
            </w:tcBorders>
            <w:noWrap w:val="0"/>
            <w:vAlign w:val="top"/>
          </w:tcPr>
          <w:p w14:paraId="538ABDF3">
            <w:pPr>
              <w:pStyle w:val="68"/>
              <w:keepNext w:val="0"/>
              <w:keepLines w:val="0"/>
              <w:pageBreakBefore w:val="0"/>
              <w:widowControl w:val="0"/>
              <w:kinsoku/>
              <w:wordWrap/>
              <w:overflowPunct/>
              <w:topLinePunct w:val="0"/>
              <w:autoSpaceDE/>
              <w:autoSpaceDN/>
              <w:bidi w:val="0"/>
              <w:adjustRightInd/>
              <w:snapToGrid/>
              <w:spacing w:line="240" w:lineRule="auto"/>
              <w:ind w:left="0" w:right="0"/>
              <w:textAlignment w:val="auto"/>
              <w:rPr>
                <w:rFonts w:hint="eastAsia" w:ascii="宋体" w:hAnsi="宋体" w:eastAsia="宋体" w:cs="宋体"/>
                <w:color w:val="auto"/>
                <w:sz w:val="24"/>
                <w:szCs w:val="24"/>
              </w:rPr>
            </w:pPr>
          </w:p>
          <w:p w14:paraId="7F462349">
            <w:pPr>
              <w:keepNext w:val="0"/>
              <w:keepLines w:val="0"/>
              <w:pageBreakBefore w:val="0"/>
              <w:widowControl w:val="0"/>
              <w:kinsoku/>
              <w:wordWrap/>
              <w:overflowPunct/>
              <w:topLinePunct w:val="0"/>
              <w:autoSpaceDE/>
              <w:autoSpaceDN/>
              <w:bidi w:val="0"/>
              <w:adjustRightInd/>
              <w:snapToGrid/>
              <w:spacing w:line="240" w:lineRule="auto"/>
              <w:ind w:left="0" w:right="0"/>
              <w:textAlignment w:val="auto"/>
              <w:rPr>
                <w:rFonts w:hint="eastAsia" w:ascii="宋体" w:hAnsi="宋体" w:eastAsia="宋体" w:cs="宋体"/>
                <w:color w:val="auto"/>
                <w:sz w:val="24"/>
                <w:szCs w:val="24"/>
              </w:rPr>
            </w:pPr>
            <w:r>
              <w:rPr>
                <w:rFonts w:hint="eastAsia" w:ascii="宋体" w:hAnsi="宋体" w:eastAsia="宋体" w:cs="宋体"/>
                <w:color w:val="auto"/>
                <w:spacing w:val="-3"/>
                <w:sz w:val="24"/>
                <w:szCs w:val="24"/>
              </w:rPr>
              <w:t>总合计（元）</w:t>
            </w:r>
          </w:p>
        </w:tc>
        <w:tc>
          <w:tcPr>
            <w:tcW w:w="2973" w:type="pct"/>
            <w:gridSpan w:val="6"/>
            <w:noWrap w:val="0"/>
            <w:vAlign w:val="top"/>
          </w:tcPr>
          <w:p w14:paraId="7693EF6F">
            <w:pPr>
              <w:pStyle w:val="68"/>
              <w:keepNext w:val="0"/>
              <w:keepLines w:val="0"/>
              <w:pageBreakBefore w:val="0"/>
              <w:widowControl w:val="0"/>
              <w:kinsoku/>
              <w:wordWrap/>
              <w:overflowPunct/>
              <w:topLinePunct w:val="0"/>
              <w:autoSpaceDE/>
              <w:autoSpaceDN/>
              <w:bidi w:val="0"/>
              <w:adjustRightInd/>
              <w:snapToGrid/>
              <w:spacing w:line="240" w:lineRule="auto"/>
              <w:ind w:left="0" w:right="0"/>
              <w:textAlignment w:val="auto"/>
              <w:rPr>
                <w:rFonts w:hint="eastAsia" w:ascii="宋体" w:hAnsi="宋体" w:eastAsia="宋体" w:cs="宋体"/>
                <w:color w:val="auto"/>
                <w:sz w:val="24"/>
                <w:szCs w:val="24"/>
              </w:rPr>
            </w:pPr>
            <w:r>
              <w:rPr>
                <w:rFonts w:hint="eastAsia" w:ascii="宋体" w:hAnsi="宋体" w:eastAsia="宋体" w:cs="宋体"/>
                <w:color w:val="auto"/>
                <w:spacing w:val="-7"/>
                <w:sz w:val="24"/>
                <w:szCs w:val="24"/>
              </w:rPr>
              <w:t>小写：</w:t>
            </w:r>
          </w:p>
        </w:tc>
      </w:tr>
      <w:tr w14:paraId="65CC4E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4" w:hRule="atLeast"/>
        </w:trPr>
        <w:tc>
          <w:tcPr>
            <w:tcW w:w="2026" w:type="pct"/>
            <w:gridSpan w:val="3"/>
            <w:vMerge w:val="continue"/>
            <w:tcBorders>
              <w:top w:val="nil"/>
            </w:tcBorders>
            <w:noWrap w:val="0"/>
            <w:vAlign w:val="top"/>
          </w:tcPr>
          <w:p w14:paraId="0741C232">
            <w:pPr>
              <w:pStyle w:val="68"/>
              <w:keepNext w:val="0"/>
              <w:keepLines w:val="0"/>
              <w:pageBreakBefore w:val="0"/>
              <w:widowControl w:val="0"/>
              <w:kinsoku/>
              <w:wordWrap/>
              <w:overflowPunct/>
              <w:topLinePunct w:val="0"/>
              <w:autoSpaceDE/>
              <w:autoSpaceDN/>
              <w:bidi w:val="0"/>
              <w:adjustRightInd/>
              <w:snapToGrid/>
              <w:spacing w:line="240" w:lineRule="auto"/>
              <w:ind w:left="0" w:right="0"/>
              <w:textAlignment w:val="auto"/>
              <w:rPr>
                <w:rFonts w:hint="eastAsia" w:ascii="宋体" w:hAnsi="宋体" w:eastAsia="宋体" w:cs="宋体"/>
                <w:color w:val="auto"/>
                <w:sz w:val="24"/>
                <w:szCs w:val="24"/>
              </w:rPr>
            </w:pPr>
          </w:p>
        </w:tc>
        <w:tc>
          <w:tcPr>
            <w:tcW w:w="2973" w:type="pct"/>
            <w:gridSpan w:val="6"/>
            <w:noWrap w:val="0"/>
            <w:vAlign w:val="top"/>
          </w:tcPr>
          <w:p w14:paraId="0F673FB0">
            <w:pPr>
              <w:pStyle w:val="68"/>
              <w:keepNext w:val="0"/>
              <w:keepLines w:val="0"/>
              <w:pageBreakBefore w:val="0"/>
              <w:widowControl w:val="0"/>
              <w:kinsoku/>
              <w:wordWrap/>
              <w:overflowPunct/>
              <w:topLinePunct w:val="0"/>
              <w:autoSpaceDE/>
              <w:autoSpaceDN/>
              <w:bidi w:val="0"/>
              <w:adjustRightInd/>
              <w:snapToGrid/>
              <w:spacing w:line="240" w:lineRule="auto"/>
              <w:ind w:left="0" w:right="0"/>
              <w:textAlignment w:val="auto"/>
              <w:rPr>
                <w:rFonts w:hint="eastAsia" w:ascii="宋体" w:hAnsi="宋体" w:eastAsia="宋体" w:cs="宋体"/>
                <w:color w:val="auto"/>
                <w:sz w:val="24"/>
                <w:szCs w:val="24"/>
              </w:rPr>
            </w:pPr>
            <w:r>
              <w:rPr>
                <w:rFonts w:hint="eastAsia" w:ascii="宋体" w:hAnsi="宋体" w:eastAsia="宋体" w:cs="宋体"/>
                <w:color w:val="auto"/>
                <w:spacing w:val="-6"/>
                <w:sz w:val="24"/>
                <w:szCs w:val="24"/>
              </w:rPr>
              <w:t>大写：</w:t>
            </w:r>
          </w:p>
        </w:tc>
      </w:tr>
    </w:tbl>
    <w:p w14:paraId="4CCC79C5">
      <w:pPr>
        <w:spacing w:line="360" w:lineRule="auto"/>
        <w:rPr>
          <w:rFonts w:hint="eastAsia" w:ascii="宋体" w:hAnsi="宋体" w:eastAsia="宋体" w:cs="宋体"/>
          <w:color w:val="auto"/>
          <w:sz w:val="24"/>
          <w:szCs w:val="24"/>
          <w:highlight w:val="white"/>
        </w:rPr>
      </w:pPr>
    </w:p>
    <w:p w14:paraId="5C226E08">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注：供应商的报价应含有所供货物费用、税费及包装、运至最终目的地的运输、保险和交付等工作所发生的费用等。除非合同条款中另有规定，否则，供应商所报价格在合同实施期间不因市场变化因素而变动。如果因供应商原因引起的报价失误，同时又被评审时所接受，其后果由供应商自行负责。</w:t>
      </w:r>
    </w:p>
    <w:p w14:paraId="57374D47">
      <w:pPr>
        <w:rPr>
          <w:rFonts w:hint="eastAsia" w:ascii="宋体" w:hAnsi="宋体" w:eastAsia="宋体" w:cs="宋体"/>
          <w:color w:val="auto"/>
          <w:sz w:val="24"/>
          <w:szCs w:val="24"/>
        </w:rPr>
      </w:pPr>
    </w:p>
    <w:p w14:paraId="7EE6FE9B">
      <w:pPr>
        <w:rPr>
          <w:rFonts w:hint="eastAsia" w:ascii="宋体" w:hAnsi="宋体" w:eastAsia="宋体" w:cs="宋体"/>
          <w:color w:val="auto"/>
          <w:sz w:val="24"/>
          <w:szCs w:val="24"/>
        </w:rPr>
      </w:pPr>
    </w:p>
    <w:p w14:paraId="75688890">
      <w:pPr>
        <w:rPr>
          <w:rFonts w:hint="eastAsia" w:ascii="宋体" w:hAnsi="宋体" w:eastAsia="宋体" w:cs="宋体"/>
          <w:color w:val="auto"/>
          <w:sz w:val="24"/>
          <w:szCs w:val="24"/>
        </w:rPr>
      </w:pPr>
    </w:p>
    <w:p w14:paraId="1C507EBC">
      <w:pPr>
        <w:spacing w:line="480" w:lineRule="auto"/>
        <w:rPr>
          <w:rFonts w:hint="eastAsia" w:ascii="宋体" w:hAnsi="宋体" w:eastAsia="宋体" w:cs="宋体"/>
          <w:color w:val="auto"/>
          <w:sz w:val="24"/>
          <w:szCs w:val="24"/>
          <w:u w:val="single"/>
        </w:rPr>
      </w:pPr>
      <w:r>
        <w:rPr>
          <w:rFonts w:hint="eastAsia" w:ascii="宋体" w:hAnsi="宋体" w:eastAsia="宋体" w:cs="宋体"/>
          <w:color w:val="auto"/>
          <w:sz w:val="24"/>
          <w:szCs w:val="24"/>
          <w:highlight w:val="white"/>
        </w:rPr>
        <w:t>供应商名称（公章）：</w:t>
      </w:r>
      <w:r>
        <w:rPr>
          <w:rFonts w:hint="eastAsia" w:ascii="宋体" w:hAnsi="宋体" w:eastAsia="宋体" w:cs="宋体"/>
          <w:color w:val="auto"/>
          <w:sz w:val="24"/>
          <w:szCs w:val="24"/>
          <w:highlight w:val="white"/>
          <w:u w:val="single"/>
        </w:rPr>
        <w:t xml:space="preserve">                         </w:t>
      </w:r>
    </w:p>
    <w:p w14:paraId="430A0FED">
      <w:pPr>
        <w:spacing w:line="480" w:lineRule="auto"/>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法定代表人或其授权代表（签字）：</w:t>
      </w:r>
      <w:r>
        <w:rPr>
          <w:rFonts w:hint="eastAsia" w:ascii="宋体" w:hAnsi="宋体" w:eastAsia="宋体" w:cs="宋体"/>
          <w:color w:val="auto"/>
          <w:sz w:val="24"/>
          <w:szCs w:val="24"/>
          <w:highlight w:val="white"/>
          <w:u w:val="single"/>
        </w:rPr>
        <w:t xml:space="preserve">             </w:t>
      </w:r>
    </w:p>
    <w:p w14:paraId="63B0718F">
      <w:pPr>
        <w:spacing w:line="480" w:lineRule="auto"/>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日期：</w:t>
      </w:r>
      <w:r>
        <w:rPr>
          <w:rFonts w:hint="eastAsia" w:ascii="宋体" w:hAnsi="宋体" w:eastAsia="宋体" w:cs="宋体"/>
          <w:color w:val="auto"/>
          <w:sz w:val="24"/>
          <w:szCs w:val="24"/>
          <w:highlight w:val="white"/>
          <w:u w:val="single"/>
        </w:rPr>
        <w:t xml:space="preserve">      </w:t>
      </w:r>
      <w:r>
        <w:rPr>
          <w:rFonts w:hint="eastAsia" w:ascii="宋体" w:hAnsi="宋体" w:eastAsia="宋体" w:cs="宋体"/>
          <w:color w:val="auto"/>
          <w:sz w:val="24"/>
          <w:szCs w:val="24"/>
          <w:highlight w:val="white"/>
        </w:rPr>
        <w:t>年</w:t>
      </w:r>
      <w:r>
        <w:rPr>
          <w:rFonts w:hint="eastAsia" w:ascii="宋体" w:hAnsi="宋体" w:eastAsia="宋体" w:cs="宋体"/>
          <w:color w:val="auto"/>
          <w:sz w:val="24"/>
          <w:szCs w:val="24"/>
          <w:highlight w:val="white"/>
          <w:u w:val="single"/>
        </w:rPr>
        <w:t xml:space="preserve">    </w:t>
      </w:r>
      <w:r>
        <w:rPr>
          <w:rFonts w:hint="eastAsia" w:ascii="宋体" w:hAnsi="宋体" w:eastAsia="宋体" w:cs="宋体"/>
          <w:color w:val="auto"/>
          <w:sz w:val="24"/>
          <w:szCs w:val="24"/>
          <w:highlight w:val="white"/>
        </w:rPr>
        <w:t>月</w:t>
      </w:r>
      <w:r>
        <w:rPr>
          <w:rFonts w:hint="eastAsia" w:ascii="宋体" w:hAnsi="宋体" w:eastAsia="宋体" w:cs="宋体"/>
          <w:color w:val="auto"/>
          <w:sz w:val="24"/>
          <w:szCs w:val="24"/>
          <w:highlight w:val="white"/>
          <w:u w:val="single"/>
        </w:rPr>
        <w:t xml:space="preserve">    </w:t>
      </w:r>
      <w:r>
        <w:rPr>
          <w:rFonts w:hint="eastAsia" w:ascii="宋体" w:hAnsi="宋体" w:eastAsia="宋体" w:cs="宋体"/>
          <w:color w:val="auto"/>
          <w:sz w:val="24"/>
          <w:szCs w:val="24"/>
          <w:highlight w:val="white"/>
        </w:rPr>
        <w:t>日</w:t>
      </w:r>
    </w:p>
    <w:p w14:paraId="0FC5362B">
      <w:pPr>
        <w:jc w:val="center"/>
        <w:rPr>
          <w:rFonts w:hint="eastAsia" w:ascii="宋体" w:hAnsi="宋体" w:eastAsia="宋体" w:cs="宋体"/>
          <w:color w:val="auto"/>
        </w:rPr>
      </w:pPr>
      <w:r>
        <w:rPr>
          <w:rFonts w:hint="eastAsia" w:ascii="宋体" w:hAnsi="宋体" w:eastAsia="宋体" w:cs="宋体"/>
          <w:color w:val="auto"/>
          <w:sz w:val="24"/>
          <w:szCs w:val="24"/>
          <w:highlight w:val="white"/>
        </w:rPr>
        <w:br w:type="page"/>
      </w:r>
      <w:bookmarkStart w:id="148" w:name="_Toc256000023"/>
      <w:r>
        <w:rPr>
          <w:rFonts w:hint="eastAsia" w:ascii="宋体" w:hAnsi="宋体" w:eastAsia="宋体" w:cs="宋体"/>
          <w:b/>
          <w:bCs/>
          <w:color w:val="auto"/>
          <w:sz w:val="28"/>
          <w:szCs w:val="28"/>
          <w:highlight w:val="white"/>
        </w:rPr>
        <w:t>（4）</w:t>
      </w:r>
      <w:r>
        <w:rPr>
          <w:rFonts w:hint="eastAsia" w:ascii="宋体" w:hAnsi="宋体" w:eastAsia="宋体" w:cs="宋体"/>
          <w:b/>
          <w:bCs/>
          <w:color w:val="auto"/>
          <w:sz w:val="28"/>
          <w:szCs w:val="28"/>
          <w:highlight w:val="white"/>
          <w:lang w:val="en-US" w:eastAsia="zh-CN"/>
        </w:rPr>
        <w:t>技术、</w:t>
      </w:r>
      <w:r>
        <w:rPr>
          <w:rFonts w:hint="eastAsia" w:ascii="宋体" w:hAnsi="宋体" w:eastAsia="宋体" w:cs="宋体"/>
          <w:b/>
          <w:bCs/>
          <w:color w:val="auto"/>
          <w:sz w:val="28"/>
          <w:szCs w:val="28"/>
          <w:highlight w:val="white"/>
        </w:rPr>
        <w:t>商务响应表</w:t>
      </w:r>
      <w:bookmarkEnd w:id="148"/>
    </w:p>
    <w:p w14:paraId="16280CAF">
      <w:pPr>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项目名称：</w:t>
      </w:r>
      <w:r>
        <w:rPr>
          <w:rFonts w:hint="eastAsia" w:ascii="宋体" w:hAnsi="宋体" w:eastAsia="宋体" w:cs="宋体"/>
          <w:color w:val="auto"/>
          <w:sz w:val="24"/>
          <w:highlight w:val="none"/>
          <w:u w:val="single"/>
        </w:rPr>
        <w:t xml:space="preserve">                                   </w:t>
      </w:r>
    </w:p>
    <w:p w14:paraId="29C698F3">
      <w:pPr>
        <w:rPr>
          <w:rFonts w:hint="eastAsia" w:ascii="宋体" w:hAnsi="宋体" w:eastAsia="宋体" w:cs="宋体"/>
          <w:color w:val="auto"/>
          <w:highlight w:val="yellow"/>
        </w:rPr>
      </w:pPr>
    </w:p>
    <w:tbl>
      <w:tblPr>
        <w:tblStyle w:val="67"/>
        <w:tblW w:w="993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5"/>
        <w:gridCol w:w="1364"/>
        <w:gridCol w:w="2615"/>
        <w:gridCol w:w="3069"/>
        <w:gridCol w:w="2154"/>
      </w:tblGrid>
      <w:tr w14:paraId="3F4C14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9" w:hRule="atLeast"/>
        </w:trPr>
        <w:tc>
          <w:tcPr>
            <w:tcW w:w="735" w:type="dxa"/>
            <w:noWrap w:val="0"/>
            <w:textDirection w:val="tbRlV"/>
            <w:vAlign w:val="top"/>
          </w:tcPr>
          <w:p w14:paraId="5998686E">
            <w:pPr>
              <w:spacing w:before="195" w:line="211" w:lineRule="auto"/>
              <w:ind w:left="226"/>
              <w:rPr>
                <w:rFonts w:hint="eastAsia" w:ascii="宋体" w:hAnsi="宋体" w:eastAsia="宋体" w:cs="宋体"/>
                <w:color w:val="auto"/>
                <w:sz w:val="24"/>
                <w:szCs w:val="24"/>
              </w:rPr>
            </w:pPr>
            <w:r>
              <w:rPr>
                <w:rFonts w:hint="eastAsia" w:ascii="宋体" w:hAnsi="宋体" w:eastAsia="宋体" w:cs="宋体"/>
                <w:color w:val="auto"/>
                <w:spacing w:val="42"/>
                <w:sz w:val="24"/>
                <w:szCs w:val="24"/>
              </w:rPr>
              <w:t>序号</w:t>
            </w:r>
          </w:p>
        </w:tc>
        <w:tc>
          <w:tcPr>
            <w:tcW w:w="1364" w:type="dxa"/>
            <w:noWrap w:val="0"/>
            <w:vAlign w:val="top"/>
          </w:tcPr>
          <w:p w14:paraId="42E89166">
            <w:pPr>
              <w:spacing w:before="46" w:line="230" w:lineRule="auto"/>
              <w:ind w:left="494" w:right="207" w:hanging="276"/>
              <w:rPr>
                <w:rFonts w:hint="eastAsia" w:ascii="宋体" w:hAnsi="宋体" w:eastAsia="宋体" w:cs="宋体"/>
                <w:color w:val="auto"/>
                <w:sz w:val="24"/>
                <w:szCs w:val="24"/>
              </w:rPr>
            </w:pPr>
            <w:r>
              <w:rPr>
                <w:rFonts w:hint="eastAsia" w:ascii="宋体" w:hAnsi="宋体" w:eastAsia="宋体" w:cs="宋体"/>
                <w:color w:val="auto"/>
                <w:spacing w:val="-4"/>
                <w:sz w:val="24"/>
                <w:szCs w:val="24"/>
              </w:rPr>
              <w:t>招标文</w:t>
            </w:r>
            <w:r>
              <w:rPr>
                <w:rFonts w:hint="eastAsia" w:ascii="宋体" w:hAnsi="宋体" w:eastAsia="宋体" w:cs="宋体"/>
                <w:color w:val="auto"/>
                <w:sz w:val="24"/>
                <w:szCs w:val="24"/>
              </w:rPr>
              <w:t xml:space="preserve"> 件</w:t>
            </w:r>
          </w:p>
          <w:p w14:paraId="66669440">
            <w:pPr>
              <w:spacing w:before="27" w:line="208" w:lineRule="auto"/>
              <w:ind w:left="219"/>
              <w:rPr>
                <w:rFonts w:hint="eastAsia" w:ascii="宋体" w:hAnsi="宋体" w:eastAsia="宋体" w:cs="宋体"/>
                <w:color w:val="auto"/>
                <w:sz w:val="24"/>
                <w:szCs w:val="24"/>
              </w:rPr>
            </w:pPr>
            <w:r>
              <w:rPr>
                <w:rFonts w:hint="eastAsia" w:ascii="宋体" w:hAnsi="宋体" w:eastAsia="宋体" w:cs="宋体"/>
                <w:color w:val="auto"/>
                <w:spacing w:val="-4"/>
                <w:sz w:val="24"/>
                <w:szCs w:val="24"/>
              </w:rPr>
              <w:t>条目号</w:t>
            </w:r>
          </w:p>
        </w:tc>
        <w:tc>
          <w:tcPr>
            <w:tcW w:w="2615" w:type="dxa"/>
            <w:noWrap w:val="0"/>
            <w:vAlign w:val="top"/>
          </w:tcPr>
          <w:p w14:paraId="7AD34763">
            <w:pPr>
              <w:spacing w:before="226" w:line="230" w:lineRule="auto"/>
              <w:ind w:left="935" w:right="223" w:hanging="699"/>
              <w:rPr>
                <w:rFonts w:hint="eastAsia" w:ascii="宋体" w:hAnsi="宋体" w:eastAsia="宋体" w:cs="宋体"/>
                <w:color w:val="auto"/>
                <w:sz w:val="24"/>
                <w:szCs w:val="24"/>
              </w:rPr>
            </w:pPr>
            <w:r>
              <w:rPr>
                <w:rFonts w:hint="eastAsia" w:ascii="宋体" w:hAnsi="宋体" w:eastAsia="宋体" w:cs="宋体"/>
                <w:color w:val="auto"/>
                <w:spacing w:val="-2"/>
                <w:sz w:val="24"/>
                <w:szCs w:val="24"/>
              </w:rPr>
              <w:t>招标文件的</w:t>
            </w:r>
            <w:r>
              <w:rPr>
                <w:rFonts w:hint="eastAsia" w:ascii="宋体" w:hAnsi="宋体" w:eastAsia="宋体" w:cs="宋体"/>
                <w:color w:val="auto"/>
                <w:spacing w:val="-2"/>
                <w:sz w:val="24"/>
                <w:szCs w:val="24"/>
                <w:lang w:val="en-US" w:eastAsia="zh-CN"/>
              </w:rPr>
              <w:t>技术、</w:t>
            </w:r>
            <w:r>
              <w:rPr>
                <w:rFonts w:hint="eastAsia" w:ascii="宋体" w:hAnsi="宋体" w:eastAsia="宋体" w:cs="宋体"/>
                <w:color w:val="auto"/>
                <w:spacing w:val="-2"/>
                <w:sz w:val="24"/>
                <w:szCs w:val="24"/>
              </w:rPr>
              <w:t>商务</w:t>
            </w:r>
            <w:r>
              <w:rPr>
                <w:rFonts w:hint="eastAsia" w:ascii="宋体" w:hAnsi="宋体" w:eastAsia="宋体" w:cs="宋体"/>
                <w:color w:val="auto"/>
                <w:spacing w:val="-6"/>
                <w:sz w:val="24"/>
                <w:szCs w:val="24"/>
              </w:rPr>
              <w:t>条款</w:t>
            </w:r>
          </w:p>
        </w:tc>
        <w:tc>
          <w:tcPr>
            <w:tcW w:w="3069" w:type="dxa"/>
            <w:noWrap w:val="0"/>
            <w:vAlign w:val="top"/>
          </w:tcPr>
          <w:p w14:paraId="338DD332">
            <w:pPr>
              <w:pStyle w:val="68"/>
              <w:spacing w:line="313" w:lineRule="auto"/>
              <w:rPr>
                <w:rFonts w:hint="eastAsia" w:ascii="宋体" w:hAnsi="宋体" w:eastAsia="宋体" w:cs="宋体"/>
                <w:color w:val="auto"/>
                <w:sz w:val="24"/>
                <w:szCs w:val="24"/>
              </w:rPr>
            </w:pPr>
          </w:p>
          <w:p w14:paraId="7392B663">
            <w:pPr>
              <w:spacing w:before="91" w:line="221" w:lineRule="auto"/>
              <w:ind w:left="169"/>
              <w:rPr>
                <w:rFonts w:hint="eastAsia" w:ascii="宋体" w:hAnsi="宋体" w:eastAsia="宋体" w:cs="宋体"/>
                <w:color w:val="auto"/>
                <w:sz w:val="24"/>
                <w:szCs w:val="24"/>
              </w:rPr>
            </w:pPr>
            <w:r>
              <w:rPr>
                <w:rFonts w:hint="eastAsia" w:ascii="宋体" w:hAnsi="宋体" w:eastAsia="宋体" w:cs="宋体"/>
                <w:color w:val="auto"/>
                <w:spacing w:val="-2"/>
                <w:sz w:val="24"/>
                <w:szCs w:val="24"/>
              </w:rPr>
              <w:t>投标文件的</w:t>
            </w:r>
            <w:r>
              <w:rPr>
                <w:rFonts w:hint="eastAsia" w:ascii="宋体" w:hAnsi="宋体" w:eastAsia="宋体" w:cs="宋体"/>
                <w:color w:val="auto"/>
                <w:spacing w:val="-2"/>
                <w:sz w:val="24"/>
                <w:szCs w:val="24"/>
                <w:lang w:val="en-US" w:eastAsia="zh-CN"/>
              </w:rPr>
              <w:t>技术、</w:t>
            </w:r>
            <w:r>
              <w:rPr>
                <w:rFonts w:hint="eastAsia" w:ascii="宋体" w:hAnsi="宋体" w:eastAsia="宋体" w:cs="宋体"/>
                <w:color w:val="auto"/>
                <w:spacing w:val="-2"/>
                <w:sz w:val="24"/>
                <w:szCs w:val="24"/>
              </w:rPr>
              <w:t>商务条款</w:t>
            </w:r>
          </w:p>
        </w:tc>
        <w:tc>
          <w:tcPr>
            <w:tcW w:w="2154" w:type="dxa"/>
            <w:noWrap w:val="0"/>
            <w:vAlign w:val="top"/>
          </w:tcPr>
          <w:p w14:paraId="5B62464D">
            <w:pPr>
              <w:pStyle w:val="68"/>
              <w:spacing w:line="313" w:lineRule="auto"/>
              <w:rPr>
                <w:rFonts w:hint="eastAsia" w:ascii="宋体" w:hAnsi="宋体" w:eastAsia="宋体" w:cs="宋体"/>
                <w:color w:val="auto"/>
                <w:sz w:val="24"/>
                <w:szCs w:val="24"/>
              </w:rPr>
            </w:pPr>
          </w:p>
          <w:p w14:paraId="3783D656">
            <w:pPr>
              <w:spacing w:before="91" w:line="221" w:lineRule="auto"/>
              <w:ind w:left="725"/>
              <w:rPr>
                <w:rFonts w:hint="eastAsia" w:ascii="宋体" w:hAnsi="宋体" w:eastAsia="宋体" w:cs="宋体"/>
                <w:color w:val="auto"/>
                <w:sz w:val="24"/>
                <w:szCs w:val="24"/>
              </w:rPr>
            </w:pPr>
            <w:r>
              <w:rPr>
                <w:rFonts w:hint="eastAsia" w:ascii="宋体" w:hAnsi="宋体" w:eastAsia="宋体" w:cs="宋体"/>
                <w:color w:val="auto"/>
                <w:spacing w:val="-7"/>
                <w:sz w:val="24"/>
                <w:szCs w:val="24"/>
              </w:rPr>
              <w:t>说明</w:t>
            </w:r>
          </w:p>
        </w:tc>
      </w:tr>
      <w:tr w14:paraId="342526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7" w:hRule="atLeast"/>
        </w:trPr>
        <w:tc>
          <w:tcPr>
            <w:tcW w:w="735" w:type="dxa"/>
            <w:noWrap w:val="0"/>
            <w:vAlign w:val="top"/>
          </w:tcPr>
          <w:p w14:paraId="1D17E641">
            <w:pPr>
              <w:spacing w:before="87" w:line="184" w:lineRule="auto"/>
              <w:ind w:left="139"/>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1364" w:type="dxa"/>
            <w:noWrap w:val="0"/>
            <w:vAlign w:val="top"/>
          </w:tcPr>
          <w:p w14:paraId="6A235012">
            <w:pPr>
              <w:pStyle w:val="68"/>
              <w:rPr>
                <w:rFonts w:hint="eastAsia" w:ascii="宋体" w:hAnsi="宋体" w:eastAsia="宋体" w:cs="宋体"/>
                <w:color w:val="auto"/>
                <w:sz w:val="24"/>
                <w:szCs w:val="24"/>
              </w:rPr>
            </w:pPr>
          </w:p>
        </w:tc>
        <w:tc>
          <w:tcPr>
            <w:tcW w:w="2615" w:type="dxa"/>
            <w:noWrap w:val="0"/>
            <w:vAlign w:val="top"/>
          </w:tcPr>
          <w:p w14:paraId="13FB574A">
            <w:pPr>
              <w:pStyle w:val="68"/>
              <w:rPr>
                <w:rFonts w:hint="eastAsia" w:ascii="宋体" w:hAnsi="宋体" w:eastAsia="宋体" w:cs="宋体"/>
                <w:color w:val="auto"/>
                <w:sz w:val="24"/>
                <w:szCs w:val="24"/>
              </w:rPr>
            </w:pPr>
          </w:p>
        </w:tc>
        <w:tc>
          <w:tcPr>
            <w:tcW w:w="3069" w:type="dxa"/>
            <w:noWrap w:val="0"/>
            <w:vAlign w:val="top"/>
          </w:tcPr>
          <w:p w14:paraId="42B64912">
            <w:pPr>
              <w:pStyle w:val="68"/>
              <w:rPr>
                <w:rFonts w:hint="eastAsia" w:ascii="宋体" w:hAnsi="宋体" w:eastAsia="宋体" w:cs="宋体"/>
                <w:color w:val="auto"/>
                <w:sz w:val="24"/>
                <w:szCs w:val="24"/>
              </w:rPr>
            </w:pPr>
          </w:p>
        </w:tc>
        <w:tc>
          <w:tcPr>
            <w:tcW w:w="2154" w:type="dxa"/>
            <w:noWrap w:val="0"/>
            <w:vAlign w:val="top"/>
          </w:tcPr>
          <w:p w14:paraId="6A1E438E">
            <w:pPr>
              <w:pStyle w:val="68"/>
              <w:rPr>
                <w:rFonts w:hint="eastAsia" w:ascii="宋体" w:hAnsi="宋体" w:eastAsia="宋体" w:cs="宋体"/>
                <w:color w:val="auto"/>
                <w:sz w:val="24"/>
                <w:szCs w:val="24"/>
              </w:rPr>
            </w:pPr>
          </w:p>
        </w:tc>
      </w:tr>
      <w:tr w14:paraId="09484B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6" w:hRule="atLeast"/>
        </w:trPr>
        <w:tc>
          <w:tcPr>
            <w:tcW w:w="735" w:type="dxa"/>
            <w:noWrap w:val="0"/>
            <w:vAlign w:val="top"/>
          </w:tcPr>
          <w:p w14:paraId="75B00A3A">
            <w:pPr>
              <w:spacing w:before="89" w:line="183" w:lineRule="auto"/>
              <w:ind w:left="122"/>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1364" w:type="dxa"/>
            <w:noWrap w:val="0"/>
            <w:vAlign w:val="top"/>
          </w:tcPr>
          <w:p w14:paraId="378DA89F">
            <w:pPr>
              <w:pStyle w:val="68"/>
              <w:rPr>
                <w:rFonts w:hint="eastAsia" w:ascii="宋体" w:hAnsi="宋体" w:eastAsia="宋体" w:cs="宋体"/>
                <w:color w:val="auto"/>
                <w:sz w:val="24"/>
                <w:szCs w:val="24"/>
              </w:rPr>
            </w:pPr>
          </w:p>
        </w:tc>
        <w:tc>
          <w:tcPr>
            <w:tcW w:w="2615" w:type="dxa"/>
            <w:noWrap w:val="0"/>
            <w:vAlign w:val="top"/>
          </w:tcPr>
          <w:p w14:paraId="02D8DF9F">
            <w:pPr>
              <w:pStyle w:val="68"/>
              <w:rPr>
                <w:rFonts w:hint="eastAsia" w:ascii="宋体" w:hAnsi="宋体" w:eastAsia="宋体" w:cs="宋体"/>
                <w:color w:val="auto"/>
                <w:sz w:val="24"/>
                <w:szCs w:val="24"/>
              </w:rPr>
            </w:pPr>
          </w:p>
        </w:tc>
        <w:tc>
          <w:tcPr>
            <w:tcW w:w="3069" w:type="dxa"/>
            <w:noWrap w:val="0"/>
            <w:vAlign w:val="top"/>
          </w:tcPr>
          <w:p w14:paraId="150D2570">
            <w:pPr>
              <w:pStyle w:val="68"/>
              <w:rPr>
                <w:rFonts w:hint="eastAsia" w:ascii="宋体" w:hAnsi="宋体" w:eastAsia="宋体" w:cs="宋体"/>
                <w:color w:val="auto"/>
                <w:sz w:val="24"/>
                <w:szCs w:val="24"/>
              </w:rPr>
            </w:pPr>
          </w:p>
        </w:tc>
        <w:tc>
          <w:tcPr>
            <w:tcW w:w="2154" w:type="dxa"/>
            <w:noWrap w:val="0"/>
            <w:vAlign w:val="top"/>
          </w:tcPr>
          <w:p w14:paraId="2F19DB4C">
            <w:pPr>
              <w:pStyle w:val="68"/>
              <w:rPr>
                <w:rFonts w:hint="eastAsia" w:ascii="宋体" w:hAnsi="宋体" w:eastAsia="宋体" w:cs="宋体"/>
                <w:color w:val="auto"/>
                <w:sz w:val="24"/>
                <w:szCs w:val="24"/>
              </w:rPr>
            </w:pPr>
          </w:p>
        </w:tc>
      </w:tr>
      <w:tr w14:paraId="6F3E63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6" w:hRule="atLeast"/>
        </w:trPr>
        <w:tc>
          <w:tcPr>
            <w:tcW w:w="735" w:type="dxa"/>
            <w:noWrap w:val="0"/>
            <w:vAlign w:val="top"/>
          </w:tcPr>
          <w:p w14:paraId="65BA1F98">
            <w:pPr>
              <w:spacing w:before="89" w:line="183" w:lineRule="auto"/>
              <w:ind w:left="124"/>
              <w:rPr>
                <w:rFonts w:hint="eastAsia" w:ascii="宋体" w:hAnsi="宋体" w:eastAsia="宋体" w:cs="宋体"/>
                <w:color w:val="auto"/>
                <w:sz w:val="24"/>
                <w:szCs w:val="24"/>
              </w:rPr>
            </w:pPr>
            <w:r>
              <w:rPr>
                <w:rFonts w:hint="eastAsia" w:ascii="宋体" w:hAnsi="宋体" w:eastAsia="宋体" w:cs="宋体"/>
                <w:color w:val="auto"/>
                <w:sz w:val="24"/>
                <w:szCs w:val="24"/>
              </w:rPr>
              <w:t>3</w:t>
            </w:r>
          </w:p>
        </w:tc>
        <w:tc>
          <w:tcPr>
            <w:tcW w:w="1364" w:type="dxa"/>
            <w:noWrap w:val="0"/>
            <w:vAlign w:val="top"/>
          </w:tcPr>
          <w:p w14:paraId="081FD8E6">
            <w:pPr>
              <w:pStyle w:val="68"/>
              <w:rPr>
                <w:rFonts w:hint="eastAsia" w:ascii="宋体" w:hAnsi="宋体" w:eastAsia="宋体" w:cs="宋体"/>
                <w:color w:val="auto"/>
                <w:sz w:val="24"/>
                <w:szCs w:val="24"/>
              </w:rPr>
            </w:pPr>
          </w:p>
        </w:tc>
        <w:tc>
          <w:tcPr>
            <w:tcW w:w="2615" w:type="dxa"/>
            <w:noWrap w:val="0"/>
            <w:vAlign w:val="top"/>
          </w:tcPr>
          <w:p w14:paraId="4D561457">
            <w:pPr>
              <w:pStyle w:val="68"/>
              <w:rPr>
                <w:rFonts w:hint="eastAsia" w:ascii="宋体" w:hAnsi="宋体" w:eastAsia="宋体" w:cs="宋体"/>
                <w:color w:val="auto"/>
                <w:sz w:val="24"/>
                <w:szCs w:val="24"/>
              </w:rPr>
            </w:pPr>
          </w:p>
        </w:tc>
        <w:tc>
          <w:tcPr>
            <w:tcW w:w="3069" w:type="dxa"/>
            <w:noWrap w:val="0"/>
            <w:vAlign w:val="top"/>
          </w:tcPr>
          <w:p w14:paraId="06C2FC95">
            <w:pPr>
              <w:pStyle w:val="68"/>
              <w:rPr>
                <w:rFonts w:hint="eastAsia" w:ascii="宋体" w:hAnsi="宋体" w:eastAsia="宋体" w:cs="宋体"/>
                <w:color w:val="auto"/>
                <w:sz w:val="24"/>
                <w:szCs w:val="24"/>
              </w:rPr>
            </w:pPr>
          </w:p>
        </w:tc>
        <w:tc>
          <w:tcPr>
            <w:tcW w:w="2154" w:type="dxa"/>
            <w:noWrap w:val="0"/>
            <w:vAlign w:val="top"/>
          </w:tcPr>
          <w:p w14:paraId="72103033">
            <w:pPr>
              <w:pStyle w:val="68"/>
              <w:rPr>
                <w:rFonts w:hint="eastAsia" w:ascii="宋体" w:hAnsi="宋体" w:eastAsia="宋体" w:cs="宋体"/>
                <w:color w:val="auto"/>
                <w:sz w:val="24"/>
                <w:szCs w:val="24"/>
              </w:rPr>
            </w:pPr>
          </w:p>
        </w:tc>
      </w:tr>
      <w:tr w14:paraId="7BA5B9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7" w:hRule="atLeast"/>
        </w:trPr>
        <w:tc>
          <w:tcPr>
            <w:tcW w:w="735" w:type="dxa"/>
            <w:noWrap w:val="0"/>
            <w:vAlign w:val="top"/>
          </w:tcPr>
          <w:p w14:paraId="75055116">
            <w:pPr>
              <w:spacing w:before="45" w:line="443" w:lineRule="exact"/>
              <w:ind w:left="136"/>
              <w:rPr>
                <w:rFonts w:hint="eastAsia" w:ascii="宋体" w:hAnsi="宋体" w:eastAsia="宋体" w:cs="宋体"/>
                <w:color w:val="auto"/>
                <w:sz w:val="24"/>
                <w:szCs w:val="24"/>
              </w:rPr>
            </w:pPr>
            <w:r>
              <w:rPr>
                <w:rFonts w:hint="eastAsia" w:ascii="宋体" w:hAnsi="宋体" w:eastAsia="宋体" w:cs="宋体"/>
                <w:color w:val="auto"/>
                <w:position w:val="3"/>
                <w:sz w:val="24"/>
                <w:szCs w:val="24"/>
              </w:rPr>
              <w:t>…</w:t>
            </w:r>
          </w:p>
        </w:tc>
        <w:tc>
          <w:tcPr>
            <w:tcW w:w="1364" w:type="dxa"/>
            <w:noWrap w:val="0"/>
            <w:vAlign w:val="top"/>
          </w:tcPr>
          <w:p w14:paraId="3117D7B7">
            <w:pPr>
              <w:pStyle w:val="68"/>
              <w:rPr>
                <w:rFonts w:hint="eastAsia" w:ascii="宋体" w:hAnsi="宋体" w:eastAsia="宋体" w:cs="宋体"/>
                <w:color w:val="auto"/>
                <w:sz w:val="24"/>
                <w:szCs w:val="24"/>
              </w:rPr>
            </w:pPr>
          </w:p>
        </w:tc>
        <w:tc>
          <w:tcPr>
            <w:tcW w:w="2615" w:type="dxa"/>
            <w:noWrap w:val="0"/>
            <w:vAlign w:val="top"/>
          </w:tcPr>
          <w:p w14:paraId="34F472C4">
            <w:pPr>
              <w:pStyle w:val="68"/>
              <w:rPr>
                <w:rFonts w:hint="eastAsia" w:ascii="宋体" w:hAnsi="宋体" w:eastAsia="宋体" w:cs="宋体"/>
                <w:color w:val="auto"/>
                <w:sz w:val="24"/>
                <w:szCs w:val="24"/>
              </w:rPr>
            </w:pPr>
          </w:p>
        </w:tc>
        <w:tc>
          <w:tcPr>
            <w:tcW w:w="3069" w:type="dxa"/>
            <w:noWrap w:val="0"/>
            <w:vAlign w:val="top"/>
          </w:tcPr>
          <w:p w14:paraId="71E3F51F">
            <w:pPr>
              <w:pStyle w:val="68"/>
              <w:rPr>
                <w:rFonts w:hint="eastAsia" w:ascii="宋体" w:hAnsi="宋体" w:eastAsia="宋体" w:cs="宋体"/>
                <w:color w:val="auto"/>
                <w:sz w:val="24"/>
                <w:szCs w:val="24"/>
              </w:rPr>
            </w:pPr>
          </w:p>
        </w:tc>
        <w:tc>
          <w:tcPr>
            <w:tcW w:w="2154" w:type="dxa"/>
            <w:noWrap w:val="0"/>
            <w:vAlign w:val="top"/>
          </w:tcPr>
          <w:p w14:paraId="1B0697ED">
            <w:pPr>
              <w:pStyle w:val="68"/>
              <w:rPr>
                <w:rFonts w:hint="eastAsia" w:ascii="宋体" w:hAnsi="宋体" w:eastAsia="宋体" w:cs="宋体"/>
                <w:color w:val="auto"/>
                <w:sz w:val="24"/>
                <w:szCs w:val="24"/>
              </w:rPr>
            </w:pPr>
          </w:p>
        </w:tc>
      </w:tr>
    </w:tbl>
    <w:p w14:paraId="1BCD25F2">
      <w:pPr>
        <w:rPr>
          <w:rFonts w:hint="eastAsia" w:ascii="宋体" w:hAnsi="宋体" w:eastAsia="宋体" w:cs="宋体"/>
          <w:color w:val="auto"/>
          <w:highlight w:val="yellow"/>
        </w:rPr>
      </w:pPr>
    </w:p>
    <w:p w14:paraId="7B463E60">
      <w:pPr>
        <w:adjustRightInd w:val="0"/>
        <w:snapToGrid w:val="0"/>
        <w:spacing w:line="360" w:lineRule="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说明：</w:t>
      </w:r>
    </w:p>
    <w:p w14:paraId="45DD294C">
      <w:pPr>
        <w:pStyle w:val="52"/>
        <w:numPr>
          <w:ilvl w:val="0"/>
          <w:numId w:val="2"/>
        </w:numPr>
        <w:snapToGrid w:val="0"/>
        <w:spacing w:line="360" w:lineRule="auto"/>
        <w:ind w:firstLineChars="0"/>
        <w:rPr>
          <w:rFonts w:hint="eastAsia" w:ascii="宋体" w:hAnsi="宋体" w:eastAsia="宋体" w:cs="宋体"/>
          <w:color w:val="auto"/>
          <w:sz w:val="24"/>
          <w:highlight w:val="none"/>
        </w:rPr>
      </w:pPr>
      <w:r>
        <w:rPr>
          <w:rFonts w:hint="eastAsia" w:ascii="宋体" w:hAnsi="宋体" w:eastAsia="宋体" w:cs="宋体"/>
          <w:color w:val="auto"/>
          <w:sz w:val="24"/>
          <w:highlight w:val="none"/>
        </w:rPr>
        <w:t>投标人必须对应</w:t>
      </w:r>
      <w:r>
        <w:rPr>
          <w:rFonts w:hint="eastAsia" w:ascii="宋体" w:hAnsi="宋体" w:eastAsia="宋体" w:cs="宋体"/>
          <w:color w:val="auto"/>
          <w:sz w:val="24"/>
          <w:highlight w:val="none"/>
          <w:lang w:val="en-US" w:eastAsia="zh-CN"/>
        </w:rPr>
        <w:t>采购需求</w:t>
      </w:r>
      <w:r>
        <w:rPr>
          <w:rFonts w:hint="eastAsia" w:ascii="宋体" w:hAnsi="宋体" w:eastAsia="宋体" w:cs="宋体"/>
          <w:color w:val="auto"/>
          <w:sz w:val="24"/>
          <w:highlight w:val="none"/>
        </w:rPr>
        <w:t>条款逐条应答并按要求填写下表。</w:t>
      </w:r>
    </w:p>
    <w:p w14:paraId="5E8FB2A8">
      <w:pPr>
        <w:pStyle w:val="52"/>
        <w:numPr>
          <w:ilvl w:val="0"/>
          <w:numId w:val="2"/>
        </w:numPr>
        <w:snapToGrid w:val="0"/>
        <w:spacing w:line="360" w:lineRule="auto"/>
        <w:ind w:firstLineChars="0"/>
        <w:rPr>
          <w:rFonts w:hint="eastAsia" w:ascii="宋体" w:hAnsi="宋体" w:eastAsia="宋体" w:cs="宋体"/>
          <w:color w:val="auto"/>
          <w:sz w:val="24"/>
          <w:highlight w:val="none"/>
        </w:rPr>
      </w:pPr>
      <w:r>
        <w:rPr>
          <w:rFonts w:hint="eastAsia" w:ascii="宋体" w:hAnsi="宋体" w:eastAsia="宋体" w:cs="宋体"/>
          <w:color w:val="auto"/>
          <w:sz w:val="24"/>
          <w:highlight w:val="none"/>
        </w:rPr>
        <w:t>投标人响应描述：</w:t>
      </w:r>
      <w:r>
        <w:rPr>
          <w:rFonts w:hint="eastAsia" w:ascii="宋体" w:hAnsi="宋体" w:eastAsia="宋体" w:cs="宋体"/>
          <w:bCs/>
          <w:color w:val="auto"/>
          <w:sz w:val="24"/>
          <w:highlight w:val="none"/>
        </w:rPr>
        <w:t>投标人按响应货物</w:t>
      </w:r>
      <w:r>
        <w:rPr>
          <w:rFonts w:hint="eastAsia" w:ascii="宋体" w:hAnsi="宋体" w:eastAsia="宋体" w:cs="宋体"/>
          <w:bCs/>
          <w:color w:val="auto"/>
          <w:sz w:val="24"/>
          <w:highlight w:val="none"/>
          <w:lang w:val="en-US" w:eastAsia="zh-CN"/>
        </w:rPr>
        <w:t>或服务</w:t>
      </w:r>
      <w:r>
        <w:rPr>
          <w:rFonts w:hint="eastAsia" w:ascii="宋体" w:hAnsi="宋体" w:eastAsia="宋体" w:cs="宋体"/>
          <w:bCs/>
          <w:color w:val="auto"/>
          <w:sz w:val="24"/>
          <w:highlight w:val="none"/>
        </w:rPr>
        <w:t>实际数据填写</w:t>
      </w:r>
      <w:r>
        <w:rPr>
          <w:rFonts w:hint="eastAsia" w:ascii="宋体" w:hAnsi="宋体" w:eastAsia="宋体" w:cs="宋体"/>
          <w:bCs/>
          <w:color w:val="auto"/>
          <w:sz w:val="24"/>
          <w:highlight w:val="none"/>
          <w:lang w:eastAsia="zh-CN"/>
        </w:rPr>
        <w:t>，</w:t>
      </w:r>
      <w:r>
        <w:rPr>
          <w:rFonts w:hint="eastAsia" w:ascii="宋体" w:hAnsi="宋体" w:eastAsia="宋体" w:cs="宋体"/>
          <w:bCs/>
          <w:color w:val="auto"/>
          <w:sz w:val="24"/>
          <w:highlight w:val="none"/>
          <w:lang w:val="en-US" w:eastAsia="zh-CN"/>
        </w:rPr>
        <w:t>逐条应答，否则视为未响应。</w:t>
      </w:r>
    </w:p>
    <w:p w14:paraId="2036EE5C">
      <w:pPr>
        <w:pStyle w:val="52"/>
        <w:numPr>
          <w:ilvl w:val="0"/>
          <w:numId w:val="2"/>
        </w:numPr>
        <w:snapToGrid w:val="0"/>
        <w:spacing w:line="360" w:lineRule="auto"/>
        <w:ind w:firstLineChars="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投标人应按招标文件要求附相关证明文件，如有任何一项不响应或不满足的视为负偏离。</w:t>
      </w:r>
    </w:p>
    <w:p w14:paraId="65548126">
      <w:pPr>
        <w:pStyle w:val="52"/>
        <w:numPr>
          <w:ilvl w:val="0"/>
          <w:numId w:val="2"/>
        </w:numPr>
        <w:snapToGrid w:val="0"/>
        <w:spacing w:line="360" w:lineRule="auto"/>
        <w:ind w:firstLineChars="0"/>
        <w:rPr>
          <w:rFonts w:hint="eastAsia" w:ascii="宋体" w:hAnsi="宋体" w:eastAsia="宋体" w:cs="宋体"/>
          <w:bCs/>
          <w:snapToGrid w:val="0"/>
          <w:color w:val="auto"/>
          <w:sz w:val="24"/>
          <w:highlight w:val="none"/>
        </w:rPr>
      </w:pPr>
      <w:r>
        <w:rPr>
          <w:rFonts w:hint="eastAsia" w:ascii="宋体" w:hAnsi="宋体" w:eastAsia="宋体" w:cs="宋体"/>
          <w:snapToGrid w:val="0"/>
          <w:color w:val="auto"/>
          <w:sz w:val="24"/>
          <w:highlight w:val="none"/>
        </w:rPr>
        <w:t>偏离情况说明：投标人根据投标人实际情况填写“正偏离”“完全响应”或“负偏离”。</w:t>
      </w:r>
    </w:p>
    <w:p w14:paraId="60425279">
      <w:pPr>
        <w:rPr>
          <w:rFonts w:hint="eastAsia" w:ascii="宋体" w:hAnsi="宋体" w:eastAsia="宋体" w:cs="宋体"/>
          <w:color w:val="auto"/>
          <w:highlight w:val="yellow"/>
        </w:rPr>
      </w:pPr>
    </w:p>
    <w:p w14:paraId="4A5DC4A8">
      <w:pPr>
        <w:rPr>
          <w:rFonts w:hint="eastAsia" w:ascii="宋体" w:hAnsi="宋体" w:eastAsia="宋体" w:cs="宋体"/>
          <w:color w:val="auto"/>
          <w:highlight w:val="yellow"/>
        </w:rPr>
      </w:pPr>
    </w:p>
    <w:p w14:paraId="771FFDBA">
      <w:pPr>
        <w:rPr>
          <w:rFonts w:hint="eastAsia" w:ascii="宋体" w:hAnsi="宋体" w:eastAsia="宋体" w:cs="宋体"/>
          <w:color w:val="auto"/>
        </w:rPr>
      </w:pPr>
    </w:p>
    <w:p w14:paraId="1F5C54F3">
      <w:pPr>
        <w:rPr>
          <w:rFonts w:hint="eastAsia" w:ascii="宋体" w:hAnsi="宋体" w:eastAsia="宋体" w:cs="宋体"/>
          <w:color w:val="auto"/>
        </w:rPr>
      </w:pPr>
    </w:p>
    <w:p w14:paraId="69491A27">
      <w:pPr>
        <w:rPr>
          <w:rFonts w:hint="eastAsia" w:ascii="宋体" w:hAnsi="宋体" w:eastAsia="宋体" w:cs="宋体"/>
          <w:color w:val="auto"/>
        </w:rPr>
      </w:pPr>
    </w:p>
    <w:p w14:paraId="17E00991">
      <w:pPr>
        <w:spacing w:line="480" w:lineRule="auto"/>
        <w:rPr>
          <w:rFonts w:hint="eastAsia" w:ascii="宋体" w:hAnsi="宋体" w:eastAsia="宋体" w:cs="宋体"/>
          <w:color w:val="auto"/>
          <w:sz w:val="24"/>
          <w:szCs w:val="24"/>
          <w:u w:val="single"/>
        </w:rPr>
      </w:pPr>
      <w:r>
        <w:rPr>
          <w:rFonts w:hint="eastAsia" w:ascii="宋体" w:hAnsi="宋体" w:eastAsia="宋体" w:cs="宋体"/>
          <w:color w:val="auto"/>
          <w:sz w:val="24"/>
          <w:szCs w:val="24"/>
          <w:highlight w:val="white"/>
        </w:rPr>
        <w:t>供应商名称（公章）：</w:t>
      </w:r>
      <w:r>
        <w:rPr>
          <w:rFonts w:hint="eastAsia" w:ascii="宋体" w:hAnsi="宋体" w:eastAsia="宋体" w:cs="宋体"/>
          <w:color w:val="auto"/>
          <w:sz w:val="24"/>
          <w:szCs w:val="24"/>
          <w:highlight w:val="white"/>
          <w:u w:val="single"/>
        </w:rPr>
        <w:t xml:space="preserve">                         </w:t>
      </w:r>
    </w:p>
    <w:p w14:paraId="18362929">
      <w:pPr>
        <w:spacing w:line="480" w:lineRule="auto"/>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法定代表人或其授权代表（签字）：</w:t>
      </w:r>
      <w:r>
        <w:rPr>
          <w:rFonts w:hint="eastAsia" w:ascii="宋体" w:hAnsi="宋体" w:eastAsia="宋体" w:cs="宋体"/>
          <w:color w:val="auto"/>
          <w:sz w:val="24"/>
          <w:szCs w:val="24"/>
          <w:highlight w:val="white"/>
          <w:u w:val="single"/>
        </w:rPr>
        <w:t xml:space="preserve">             </w:t>
      </w:r>
    </w:p>
    <w:p w14:paraId="62CCCE3B">
      <w:pPr>
        <w:spacing w:line="480" w:lineRule="auto"/>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日期：</w:t>
      </w:r>
      <w:r>
        <w:rPr>
          <w:rFonts w:hint="eastAsia" w:ascii="宋体" w:hAnsi="宋体" w:eastAsia="宋体" w:cs="宋体"/>
          <w:color w:val="auto"/>
          <w:sz w:val="24"/>
          <w:szCs w:val="24"/>
          <w:highlight w:val="white"/>
          <w:u w:val="single"/>
        </w:rPr>
        <w:t xml:space="preserve">      </w:t>
      </w:r>
      <w:r>
        <w:rPr>
          <w:rFonts w:hint="eastAsia" w:ascii="宋体" w:hAnsi="宋体" w:eastAsia="宋体" w:cs="宋体"/>
          <w:color w:val="auto"/>
          <w:sz w:val="24"/>
          <w:szCs w:val="24"/>
          <w:highlight w:val="white"/>
        </w:rPr>
        <w:t>年</w:t>
      </w:r>
      <w:r>
        <w:rPr>
          <w:rFonts w:hint="eastAsia" w:ascii="宋体" w:hAnsi="宋体" w:eastAsia="宋体" w:cs="宋体"/>
          <w:color w:val="auto"/>
          <w:sz w:val="24"/>
          <w:szCs w:val="24"/>
          <w:highlight w:val="white"/>
          <w:u w:val="single"/>
        </w:rPr>
        <w:t xml:space="preserve">    </w:t>
      </w:r>
      <w:r>
        <w:rPr>
          <w:rFonts w:hint="eastAsia" w:ascii="宋体" w:hAnsi="宋体" w:eastAsia="宋体" w:cs="宋体"/>
          <w:color w:val="auto"/>
          <w:sz w:val="24"/>
          <w:szCs w:val="24"/>
          <w:highlight w:val="white"/>
        </w:rPr>
        <w:t>月</w:t>
      </w:r>
      <w:r>
        <w:rPr>
          <w:rFonts w:hint="eastAsia" w:ascii="宋体" w:hAnsi="宋体" w:eastAsia="宋体" w:cs="宋体"/>
          <w:color w:val="auto"/>
          <w:sz w:val="24"/>
          <w:szCs w:val="24"/>
          <w:highlight w:val="white"/>
          <w:u w:val="single"/>
        </w:rPr>
        <w:t xml:space="preserve">    </w:t>
      </w:r>
      <w:r>
        <w:rPr>
          <w:rFonts w:hint="eastAsia" w:ascii="宋体" w:hAnsi="宋体" w:eastAsia="宋体" w:cs="宋体"/>
          <w:color w:val="auto"/>
          <w:sz w:val="24"/>
          <w:szCs w:val="24"/>
          <w:highlight w:val="white"/>
        </w:rPr>
        <w:t>日</w:t>
      </w:r>
    </w:p>
    <w:p w14:paraId="2427A8DD">
      <w:pPr>
        <w:spacing w:line="480" w:lineRule="auto"/>
        <w:rPr>
          <w:rFonts w:hint="eastAsia" w:ascii="宋体" w:hAnsi="宋体" w:eastAsia="宋体" w:cs="宋体"/>
          <w:color w:val="auto"/>
          <w:sz w:val="28"/>
          <w:szCs w:val="28"/>
        </w:rPr>
      </w:pPr>
      <w:r>
        <w:rPr>
          <w:rFonts w:hint="eastAsia" w:ascii="宋体" w:hAnsi="宋体" w:eastAsia="宋体" w:cs="宋体"/>
          <w:color w:val="auto"/>
          <w:highlight w:val="white"/>
        </w:rPr>
        <w:br w:type="page"/>
      </w:r>
      <w:bookmarkStart w:id="149" w:name="_Toc256000025"/>
      <w:r>
        <w:rPr>
          <w:rFonts w:hint="eastAsia" w:ascii="宋体" w:hAnsi="宋体" w:eastAsia="宋体" w:cs="宋体"/>
          <w:color w:val="auto"/>
          <w:sz w:val="28"/>
          <w:szCs w:val="28"/>
          <w:highlight w:val="white"/>
        </w:rPr>
        <w:t>（</w:t>
      </w:r>
      <w:r>
        <w:rPr>
          <w:rFonts w:hint="eastAsia" w:ascii="宋体" w:hAnsi="宋体" w:eastAsia="宋体" w:cs="宋体"/>
          <w:color w:val="auto"/>
          <w:sz w:val="28"/>
          <w:szCs w:val="28"/>
          <w:highlight w:val="white"/>
          <w:lang w:val="en-US" w:eastAsia="zh-CN"/>
        </w:rPr>
        <w:t>5</w:t>
      </w:r>
      <w:r>
        <w:rPr>
          <w:rFonts w:hint="eastAsia" w:ascii="宋体" w:hAnsi="宋体" w:eastAsia="宋体" w:cs="宋体"/>
          <w:color w:val="auto"/>
          <w:sz w:val="28"/>
          <w:szCs w:val="28"/>
          <w:highlight w:val="white"/>
        </w:rPr>
        <w:t>）供应商业绩一览表</w:t>
      </w:r>
      <w:bookmarkEnd w:id="149"/>
    </w:p>
    <w:tbl>
      <w:tblPr>
        <w:tblStyle w:val="29"/>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985"/>
        <w:gridCol w:w="1547"/>
        <w:gridCol w:w="1975"/>
        <w:gridCol w:w="1975"/>
        <w:gridCol w:w="1975"/>
      </w:tblGrid>
      <w:tr w14:paraId="3F54A5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68" w:hRule="atLeast"/>
        </w:trPr>
        <w:tc>
          <w:tcPr>
            <w:tcW w:w="1985" w:type="dxa"/>
            <w:noWrap w:val="0"/>
            <w:vAlign w:val="center"/>
          </w:tcPr>
          <w:p w14:paraId="77516213">
            <w:pPr>
              <w:jc w:val="center"/>
              <w:rPr>
                <w:rFonts w:hint="eastAsia" w:ascii="宋体" w:hAnsi="宋体" w:eastAsia="宋体" w:cs="宋体"/>
                <w:b/>
                <w:color w:val="auto"/>
                <w:sz w:val="24"/>
                <w:szCs w:val="24"/>
              </w:rPr>
            </w:pPr>
            <w:r>
              <w:rPr>
                <w:rFonts w:hint="eastAsia" w:ascii="宋体" w:hAnsi="宋体" w:eastAsia="宋体" w:cs="宋体"/>
                <w:b/>
                <w:color w:val="auto"/>
                <w:sz w:val="24"/>
                <w:szCs w:val="24"/>
                <w:highlight w:val="white"/>
              </w:rPr>
              <w:t>项目序号</w:t>
            </w:r>
          </w:p>
        </w:tc>
        <w:tc>
          <w:tcPr>
            <w:tcW w:w="1547" w:type="dxa"/>
            <w:noWrap w:val="0"/>
            <w:vAlign w:val="center"/>
          </w:tcPr>
          <w:p w14:paraId="76DC9B1E">
            <w:pPr>
              <w:jc w:val="center"/>
              <w:rPr>
                <w:rFonts w:hint="eastAsia" w:ascii="宋体" w:hAnsi="宋体" w:eastAsia="宋体" w:cs="宋体"/>
                <w:b/>
                <w:color w:val="auto"/>
                <w:sz w:val="24"/>
                <w:szCs w:val="24"/>
              </w:rPr>
            </w:pPr>
            <w:r>
              <w:rPr>
                <w:rFonts w:hint="eastAsia" w:ascii="宋体" w:hAnsi="宋体" w:eastAsia="宋体" w:cs="宋体"/>
                <w:b/>
                <w:color w:val="auto"/>
                <w:sz w:val="24"/>
                <w:szCs w:val="24"/>
                <w:highlight w:val="white"/>
              </w:rPr>
              <w:t>1</w:t>
            </w:r>
          </w:p>
        </w:tc>
        <w:tc>
          <w:tcPr>
            <w:tcW w:w="1975" w:type="dxa"/>
            <w:noWrap w:val="0"/>
            <w:vAlign w:val="center"/>
          </w:tcPr>
          <w:p w14:paraId="6A3FFC0C">
            <w:pPr>
              <w:jc w:val="center"/>
              <w:rPr>
                <w:rFonts w:hint="eastAsia" w:ascii="宋体" w:hAnsi="宋体" w:eastAsia="宋体" w:cs="宋体"/>
                <w:b/>
                <w:color w:val="auto"/>
                <w:sz w:val="24"/>
                <w:szCs w:val="24"/>
              </w:rPr>
            </w:pPr>
            <w:r>
              <w:rPr>
                <w:rFonts w:hint="eastAsia" w:ascii="宋体" w:hAnsi="宋体" w:eastAsia="宋体" w:cs="宋体"/>
                <w:b/>
                <w:color w:val="auto"/>
                <w:sz w:val="24"/>
                <w:szCs w:val="24"/>
                <w:highlight w:val="white"/>
              </w:rPr>
              <w:t>2</w:t>
            </w:r>
          </w:p>
        </w:tc>
        <w:tc>
          <w:tcPr>
            <w:tcW w:w="1975" w:type="dxa"/>
            <w:noWrap w:val="0"/>
            <w:vAlign w:val="center"/>
          </w:tcPr>
          <w:p w14:paraId="66094C24">
            <w:pPr>
              <w:jc w:val="center"/>
              <w:rPr>
                <w:rFonts w:hint="eastAsia" w:ascii="宋体" w:hAnsi="宋体" w:eastAsia="宋体" w:cs="宋体"/>
                <w:b/>
                <w:color w:val="auto"/>
                <w:sz w:val="24"/>
                <w:szCs w:val="24"/>
              </w:rPr>
            </w:pPr>
            <w:r>
              <w:rPr>
                <w:rFonts w:hint="eastAsia" w:ascii="宋体" w:hAnsi="宋体" w:eastAsia="宋体" w:cs="宋体"/>
                <w:b/>
                <w:color w:val="auto"/>
                <w:sz w:val="24"/>
                <w:szCs w:val="24"/>
                <w:highlight w:val="white"/>
              </w:rPr>
              <w:t>3</w:t>
            </w:r>
          </w:p>
        </w:tc>
        <w:tc>
          <w:tcPr>
            <w:tcW w:w="1975" w:type="dxa"/>
            <w:noWrap w:val="0"/>
            <w:vAlign w:val="center"/>
          </w:tcPr>
          <w:p w14:paraId="1AC1B86C">
            <w:pPr>
              <w:jc w:val="center"/>
              <w:rPr>
                <w:rFonts w:hint="eastAsia" w:ascii="宋体" w:hAnsi="宋体" w:eastAsia="宋体" w:cs="宋体"/>
                <w:b/>
                <w:color w:val="auto"/>
                <w:sz w:val="24"/>
                <w:szCs w:val="24"/>
              </w:rPr>
            </w:pPr>
            <w:r>
              <w:rPr>
                <w:rFonts w:hint="eastAsia" w:ascii="宋体" w:hAnsi="宋体" w:eastAsia="宋体" w:cs="宋体"/>
                <w:b/>
                <w:color w:val="auto"/>
                <w:sz w:val="24"/>
                <w:szCs w:val="24"/>
                <w:highlight w:val="white"/>
              </w:rPr>
              <w:t>......</w:t>
            </w:r>
          </w:p>
        </w:tc>
      </w:tr>
      <w:tr w14:paraId="52D630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58" w:hRule="atLeast"/>
        </w:trPr>
        <w:tc>
          <w:tcPr>
            <w:tcW w:w="1985" w:type="dxa"/>
            <w:noWrap w:val="0"/>
            <w:vAlign w:val="center"/>
          </w:tcPr>
          <w:p w14:paraId="7F1E5C03">
            <w:pPr>
              <w:jc w:val="center"/>
              <w:rPr>
                <w:rFonts w:hint="eastAsia" w:ascii="宋体" w:hAnsi="宋体" w:eastAsia="宋体" w:cs="宋体"/>
                <w:b/>
                <w:color w:val="auto"/>
                <w:sz w:val="24"/>
                <w:szCs w:val="24"/>
              </w:rPr>
            </w:pPr>
            <w:r>
              <w:rPr>
                <w:rFonts w:hint="eastAsia" w:ascii="宋体" w:hAnsi="宋体" w:eastAsia="宋体" w:cs="宋体"/>
                <w:b/>
                <w:color w:val="auto"/>
                <w:sz w:val="24"/>
                <w:szCs w:val="24"/>
                <w:highlight w:val="white"/>
              </w:rPr>
              <w:t>项目名称</w:t>
            </w:r>
          </w:p>
        </w:tc>
        <w:tc>
          <w:tcPr>
            <w:tcW w:w="1547" w:type="dxa"/>
            <w:noWrap w:val="0"/>
            <w:vAlign w:val="center"/>
          </w:tcPr>
          <w:p w14:paraId="750CF028">
            <w:pPr>
              <w:jc w:val="center"/>
              <w:rPr>
                <w:rFonts w:hint="eastAsia" w:ascii="宋体" w:hAnsi="宋体" w:eastAsia="宋体" w:cs="宋体"/>
                <w:color w:val="auto"/>
                <w:sz w:val="24"/>
                <w:szCs w:val="24"/>
              </w:rPr>
            </w:pPr>
          </w:p>
        </w:tc>
        <w:tc>
          <w:tcPr>
            <w:tcW w:w="1975" w:type="dxa"/>
            <w:noWrap w:val="0"/>
            <w:vAlign w:val="center"/>
          </w:tcPr>
          <w:p w14:paraId="78F694C1">
            <w:pPr>
              <w:jc w:val="center"/>
              <w:rPr>
                <w:rFonts w:hint="eastAsia" w:ascii="宋体" w:hAnsi="宋体" w:eastAsia="宋体" w:cs="宋体"/>
                <w:color w:val="auto"/>
                <w:sz w:val="24"/>
                <w:szCs w:val="24"/>
              </w:rPr>
            </w:pPr>
          </w:p>
        </w:tc>
        <w:tc>
          <w:tcPr>
            <w:tcW w:w="1975" w:type="dxa"/>
            <w:noWrap w:val="0"/>
            <w:vAlign w:val="center"/>
          </w:tcPr>
          <w:p w14:paraId="54310201">
            <w:pPr>
              <w:jc w:val="center"/>
              <w:rPr>
                <w:rFonts w:hint="eastAsia" w:ascii="宋体" w:hAnsi="宋体" w:eastAsia="宋体" w:cs="宋体"/>
                <w:color w:val="auto"/>
                <w:sz w:val="24"/>
                <w:szCs w:val="24"/>
              </w:rPr>
            </w:pPr>
          </w:p>
        </w:tc>
        <w:tc>
          <w:tcPr>
            <w:tcW w:w="1975" w:type="dxa"/>
            <w:noWrap w:val="0"/>
            <w:vAlign w:val="center"/>
          </w:tcPr>
          <w:p w14:paraId="13E4F151">
            <w:pPr>
              <w:jc w:val="center"/>
              <w:rPr>
                <w:rFonts w:hint="eastAsia" w:ascii="宋体" w:hAnsi="宋体" w:eastAsia="宋体" w:cs="宋体"/>
                <w:color w:val="auto"/>
                <w:sz w:val="24"/>
                <w:szCs w:val="24"/>
              </w:rPr>
            </w:pPr>
          </w:p>
        </w:tc>
      </w:tr>
      <w:tr w14:paraId="086AEF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58" w:hRule="atLeast"/>
        </w:trPr>
        <w:tc>
          <w:tcPr>
            <w:tcW w:w="1985" w:type="dxa"/>
            <w:noWrap w:val="0"/>
            <w:vAlign w:val="center"/>
          </w:tcPr>
          <w:p w14:paraId="199A5867">
            <w:pPr>
              <w:jc w:val="center"/>
              <w:rPr>
                <w:rFonts w:hint="eastAsia" w:ascii="宋体" w:hAnsi="宋体" w:eastAsia="宋体" w:cs="宋体"/>
                <w:b/>
                <w:color w:val="auto"/>
                <w:sz w:val="24"/>
                <w:szCs w:val="24"/>
              </w:rPr>
            </w:pPr>
            <w:r>
              <w:rPr>
                <w:rFonts w:hint="eastAsia" w:ascii="宋体" w:hAnsi="宋体" w:eastAsia="宋体" w:cs="宋体"/>
                <w:b/>
                <w:color w:val="auto"/>
                <w:sz w:val="24"/>
                <w:szCs w:val="24"/>
                <w:highlight w:val="white"/>
              </w:rPr>
              <w:t>项目所在地</w:t>
            </w:r>
          </w:p>
        </w:tc>
        <w:tc>
          <w:tcPr>
            <w:tcW w:w="1547" w:type="dxa"/>
            <w:noWrap w:val="0"/>
            <w:vAlign w:val="center"/>
          </w:tcPr>
          <w:p w14:paraId="0133DBFA">
            <w:pPr>
              <w:jc w:val="center"/>
              <w:rPr>
                <w:rFonts w:hint="eastAsia" w:ascii="宋体" w:hAnsi="宋体" w:eastAsia="宋体" w:cs="宋体"/>
                <w:color w:val="auto"/>
                <w:sz w:val="24"/>
                <w:szCs w:val="24"/>
              </w:rPr>
            </w:pPr>
          </w:p>
        </w:tc>
        <w:tc>
          <w:tcPr>
            <w:tcW w:w="1975" w:type="dxa"/>
            <w:noWrap w:val="0"/>
            <w:vAlign w:val="center"/>
          </w:tcPr>
          <w:p w14:paraId="710A88FE">
            <w:pPr>
              <w:jc w:val="center"/>
              <w:rPr>
                <w:rFonts w:hint="eastAsia" w:ascii="宋体" w:hAnsi="宋体" w:eastAsia="宋体" w:cs="宋体"/>
                <w:color w:val="auto"/>
                <w:sz w:val="24"/>
                <w:szCs w:val="24"/>
              </w:rPr>
            </w:pPr>
          </w:p>
        </w:tc>
        <w:tc>
          <w:tcPr>
            <w:tcW w:w="1975" w:type="dxa"/>
            <w:noWrap w:val="0"/>
            <w:vAlign w:val="center"/>
          </w:tcPr>
          <w:p w14:paraId="53BA8FBE">
            <w:pPr>
              <w:jc w:val="center"/>
              <w:rPr>
                <w:rFonts w:hint="eastAsia" w:ascii="宋体" w:hAnsi="宋体" w:eastAsia="宋体" w:cs="宋体"/>
                <w:color w:val="auto"/>
                <w:sz w:val="24"/>
                <w:szCs w:val="24"/>
              </w:rPr>
            </w:pPr>
          </w:p>
        </w:tc>
        <w:tc>
          <w:tcPr>
            <w:tcW w:w="1975" w:type="dxa"/>
            <w:noWrap w:val="0"/>
            <w:vAlign w:val="center"/>
          </w:tcPr>
          <w:p w14:paraId="05645329">
            <w:pPr>
              <w:jc w:val="center"/>
              <w:rPr>
                <w:rFonts w:hint="eastAsia" w:ascii="宋体" w:hAnsi="宋体" w:eastAsia="宋体" w:cs="宋体"/>
                <w:color w:val="auto"/>
                <w:sz w:val="24"/>
                <w:szCs w:val="24"/>
              </w:rPr>
            </w:pPr>
          </w:p>
        </w:tc>
      </w:tr>
      <w:tr w14:paraId="41E67C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58" w:hRule="atLeast"/>
        </w:trPr>
        <w:tc>
          <w:tcPr>
            <w:tcW w:w="1985" w:type="dxa"/>
            <w:noWrap w:val="0"/>
            <w:vAlign w:val="center"/>
          </w:tcPr>
          <w:p w14:paraId="2831B6E9">
            <w:pPr>
              <w:jc w:val="center"/>
              <w:rPr>
                <w:rFonts w:hint="eastAsia" w:ascii="宋体" w:hAnsi="宋体" w:eastAsia="宋体" w:cs="宋体"/>
                <w:b/>
                <w:color w:val="auto"/>
                <w:sz w:val="24"/>
                <w:szCs w:val="24"/>
              </w:rPr>
            </w:pPr>
            <w:r>
              <w:rPr>
                <w:rFonts w:hint="eastAsia" w:ascii="宋体" w:hAnsi="宋体" w:eastAsia="宋体" w:cs="宋体"/>
                <w:b/>
                <w:color w:val="auto"/>
                <w:sz w:val="24"/>
                <w:szCs w:val="24"/>
                <w:highlight w:val="white"/>
              </w:rPr>
              <w:t>用户单位</w:t>
            </w:r>
          </w:p>
        </w:tc>
        <w:tc>
          <w:tcPr>
            <w:tcW w:w="1547" w:type="dxa"/>
            <w:noWrap w:val="0"/>
            <w:vAlign w:val="center"/>
          </w:tcPr>
          <w:p w14:paraId="53F08560">
            <w:pPr>
              <w:jc w:val="center"/>
              <w:rPr>
                <w:rFonts w:hint="eastAsia" w:ascii="宋体" w:hAnsi="宋体" w:eastAsia="宋体" w:cs="宋体"/>
                <w:color w:val="auto"/>
                <w:sz w:val="24"/>
                <w:szCs w:val="24"/>
              </w:rPr>
            </w:pPr>
          </w:p>
        </w:tc>
        <w:tc>
          <w:tcPr>
            <w:tcW w:w="1975" w:type="dxa"/>
            <w:noWrap w:val="0"/>
            <w:vAlign w:val="center"/>
          </w:tcPr>
          <w:p w14:paraId="2E093555">
            <w:pPr>
              <w:jc w:val="center"/>
              <w:rPr>
                <w:rFonts w:hint="eastAsia" w:ascii="宋体" w:hAnsi="宋体" w:eastAsia="宋体" w:cs="宋体"/>
                <w:color w:val="auto"/>
                <w:sz w:val="24"/>
                <w:szCs w:val="24"/>
              </w:rPr>
            </w:pPr>
          </w:p>
        </w:tc>
        <w:tc>
          <w:tcPr>
            <w:tcW w:w="1975" w:type="dxa"/>
            <w:noWrap w:val="0"/>
            <w:vAlign w:val="center"/>
          </w:tcPr>
          <w:p w14:paraId="2E10BAD2">
            <w:pPr>
              <w:jc w:val="center"/>
              <w:rPr>
                <w:rFonts w:hint="eastAsia" w:ascii="宋体" w:hAnsi="宋体" w:eastAsia="宋体" w:cs="宋体"/>
                <w:color w:val="auto"/>
                <w:sz w:val="24"/>
                <w:szCs w:val="24"/>
              </w:rPr>
            </w:pPr>
          </w:p>
        </w:tc>
        <w:tc>
          <w:tcPr>
            <w:tcW w:w="1975" w:type="dxa"/>
            <w:noWrap w:val="0"/>
            <w:vAlign w:val="center"/>
          </w:tcPr>
          <w:p w14:paraId="392DACC9">
            <w:pPr>
              <w:jc w:val="center"/>
              <w:rPr>
                <w:rFonts w:hint="eastAsia" w:ascii="宋体" w:hAnsi="宋体" w:eastAsia="宋体" w:cs="宋体"/>
                <w:color w:val="auto"/>
                <w:sz w:val="24"/>
                <w:szCs w:val="24"/>
              </w:rPr>
            </w:pPr>
          </w:p>
        </w:tc>
      </w:tr>
      <w:tr w14:paraId="511A3D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58" w:hRule="atLeast"/>
        </w:trPr>
        <w:tc>
          <w:tcPr>
            <w:tcW w:w="1985" w:type="dxa"/>
            <w:noWrap w:val="0"/>
            <w:vAlign w:val="center"/>
          </w:tcPr>
          <w:p w14:paraId="43E36872">
            <w:pPr>
              <w:jc w:val="center"/>
              <w:rPr>
                <w:rFonts w:hint="eastAsia" w:ascii="宋体" w:hAnsi="宋体" w:eastAsia="宋体" w:cs="宋体"/>
                <w:b/>
                <w:color w:val="auto"/>
                <w:sz w:val="24"/>
                <w:szCs w:val="24"/>
              </w:rPr>
            </w:pPr>
            <w:r>
              <w:rPr>
                <w:rFonts w:hint="eastAsia" w:ascii="宋体" w:hAnsi="宋体" w:eastAsia="宋体" w:cs="宋体"/>
                <w:b/>
                <w:color w:val="auto"/>
                <w:sz w:val="24"/>
                <w:szCs w:val="24"/>
                <w:highlight w:val="white"/>
              </w:rPr>
              <w:t>用户地址</w:t>
            </w:r>
          </w:p>
        </w:tc>
        <w:tc>
          <w:tcPr>
            <w:tcW w:w="1547" w:type="dxa"/>
            <w:noWrap w:val="0"/>
            <w:vAlign w:val="center"/>
          </w:tcPr>
          <w:p w14:paraId="321B4D26">
            <w:pPr>
              <w:jc w:val="center"/>
              <w:rPr>
                <w:rFonts w:hint="eastAsia" w:ascii="宋体" w:hAnsi="宋体" w:eastAsia="宋体" w:cs="宋体"/>
                <w:color w:val="auto"/>
                <w:sz w:val="24"/>
                <w:szCs w:val="24"/>
              </w:rPr>
            </w:pPr>
          </w:p>
        </w:tc>
        <w:tc>
          <w:tcPr>
            <w:tcW w:w="1975" w:type="dxa"/>
            <w:noWrap w:val="0"/>
            <w:vAlign w:val="center"/>
          </w:tcPr>
          <w:p w14:paraId="6488D1D7">
            <w:pPr>
              <w:jc w:val="center"/>
              <w:rPr>
                <w:rFonts w:hint="eastAsia" w:ascii="宋体" w:hAnsi="宋体" w:eastAsia="宋体" w:cs="宋体"/>
                <w:color w:val="auto"/>
                <w:sz w:val="24"/>
                <w:szCs w:val="24"/>
              </w:rPr>
            </w:pPr>
          </w:p>
        </w:tc>
        <w:tc>
          <w:tcPr>
            <w:tcW w:w="1975" w:type="dxa"/>
            <w:noWrap w:val="0"/>
            <w:vAlign w:val="center"/>
          </w:tcPr>
          <w:p w14:paraId="0ADEA544">
            <w:pPr>
              <w:jc w:val="center"/>
              <w:rPr>
                <w:rFonts w:hint="eastAsia" w:ascii="宋体" w:hAnsi="宋体" w:eastAsia="宋体" w:cs="宋体"/>
                <w:color w:val="auto"/>
                <w:sz w:val="24"/>
                <w:szCs w:val="24"/>
              </w:rPr>
            </w:pPr>
          </w:p>
        </w:tc>
        <w:tc>
          <w:tcPr>
            <w:tcW w:w="1975" w:type="dxa"/>
            <w:noWrap w:val="0"/>
            <w:vAlign w:val="center"/>
          </w:tcPr>
          <w:p w14:paraId="3C37A8BB">
            <w:pPr>
              <w:jc w:val="center"/>
              <w:rPr>
                <w:rFonts w:hint="eastAsia" w:ascii="宋体" w:hAnsi="宋体" w:eastAsia="宋体" w:cs="宋体"/>
                <w:color w:val="auto"/>
                <w:sz w:val="24"/>
                <w:szCs w:val="24"/>
              </w:rPr>
            </w:pPr>
          </w:p>
        </w:tc>
      </w:tr>
      <w:tr w14:paraId="301A51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58" w:hRule="atLeast"/>
        </w:trPr>
        <w:tc>
          <w:tcPr>
            <w:tcW w:w="1985" w:type="dxa"/>
            <w:noWrap w:val="0"/>
            <w:vAlign w:val="center"/>
          </w:tcPr>
          <w:p w14:paraId="5BD9F16D">
            <w:pPr>
              <w:jc w:val="center"/>
              <w:rPr>
                <w:rFonts w:hint="eastAsia" w:ascii="宋体" w:hAnsi="宋体" w:eastAsia="宋体" w:cs="宋体"/>
                <w:b/>
                <w:color w:val="auto"/>
                <w:sz w:val="24"/>
                <w:szCs w:val="24"/>
              </w:rPr>
            </w:pPr>
            <w:r>
              <w:rPr>
                <w:rFonts w:hint="eastAsia" w:ascii="宋体" w:hAnsi="宋体" w:eastAsia="宋体" w:cs="宋体"/>
                <w:b/>
                <w:color w:val="auto"/>
                <w:sz w:val="24"/>
                <w:szCs w:val="24"/>
                <w:highlight w:val="white"/>
              </w:rPr>
              <w:t>用户联系人电话</w:t>
            </w:r>
          </w:p>
        </w:tc>
        <w:tc>
          <w:tcPr>
            <w:tcW w:w="1547" w:type="dxa"/>
            <w:noWrap w:val="0"/>
            <w:vAlign w:val="center"/>
          </w:tcPr>
          <w:p w14:paraId="5DCDE5D8">
            <w:pPr>
              <w:jc w:val="center"/>
              <w:rPr>
                <w:rFonts w:hint="eastAsia" w:ascii="宋体" w:hAnsi="宋体" w:eastAsia="宋体" w:cs="宋体"/>
                <w:color w:val="auto"/>
                <w:sz w:val="24"/>
                <w:szCs w:val="24"/>
              </w:rPr>
            </w:pPr>
          </w:p>
        </w:tc>
        <w:tc>
          <w:tcPr>
            <w:tcW w:w="1975" w:type="dxa"/>
            <w:noWrap w:val="0"/>
            <w:vAlign w:val="center"/>
          </w:tcPr>
          <w:p w14:paraId="45EDDFDA">
            <w:pPr>
              <w:jc w:val="center"/>
              <w:rPr>
                <w:rFonts w:hint="eastAsia" w:ascii="宋体" w:hAnsi="宋体" w:eastAsia="宋体" w:cs="宋体"/>
                <w:color w:val="auto"/>
                <w:sz w:val="24"/>
                <w:szCs w:val="24"/>
              </w:rPr>
            </w:pPr>
          </w:p>
        </w:tc>
        <w:tc>
          <w:tcPr>
            <w:tcW w:w="1975" w:type="dxa"/>
            <w:noWrap w:val="0"/>
            <w:vAlign w:val="center"/>
          </w:tcPr>
          <w:p w14:paraId="478A2870">
            <w:pPr>
              <w:jc w:val="center"/>
              <w:rPr>
                <w:rFonts w:hint="eastAsia" w:ascii="宋体" w:hAnsi="宋体" w:eastAsia="宋体" w:cs="宋体"/>
                <w:color w:val="auto"/>
                <w:sz w:val="24"/>
                <w:szCs w:val="24"/>
              </w:rPr>
            </w:pPr>
          </w:p>
        </w:tc>
        <w:tc>
          <w:tcPr>
            <w:tcW w:w="1975" w:type="dxa"/>
            <w:noWrap w:val="0"/>
            <w:vAlign w:val="center"/>
          </w:tcPr>
          <w:p w14:paraId="59614705">
            <w:pPr>
              <w:jc w:val="center"/>
              <w:rPr>
                <w:rFonts w:hint="eastAsia" w:ascii="宋体" w:hAnsi="宋体" w:eastAsia="宋体" w:cs="宋体"/>
                <w:color w:val="auto"/>
                <w:sz w:val="24"/>
                <w:szCs w:val="24"/>
              </w:rPr>
            </w:pPr>
          </w:p>
        </w:tc>
      </w:tr>
      <w:tr w14:paraId="027DB2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58" w:hRule="atLeast"/>
        </w:trPr>
        <w:tc>
          <w:tcPr>
            <w:tcW w:w="1985" w:type="dxa"/>
            <w:noWrap w:val="0"/>
            <w:vAlign w:val="center"/>
          </w:tcPr>
          <w:p w14:paraId="18BFB5F2">
            <w:pPr>
              <w:jc w:val="center"/>
              <w:rPr>
                <w:rFonts w:hint="eastAsia" w:ascii="宋体" w:hAnsi="宋体" w:eastAsia="宋体" w:cs="宋体"/>
                <w:b/>
                <w:color w:val="auto"/>
                <w:sz w:val="24"/>
                <w:szCs w:val="24"/>
              </w:rPr>
            </w:pPr>
            <w:r>
              <w:rPr>
                <w:rFonts w:hint="eastAsia" w:ascii="宋体" w:hAnsi="宋体" w:eastAsia="宋体" w:cs="宋体"/>
                <w:b/>
                <w:color w:val="auto"/>
                <w:sz w:val="24"/>
                <w:szCs w:val="24"/>
                <w:highlight w:val="white"/>
              </w:rPr>
              <w:t>合同价格</w:t>
            </w:r>
          </w:p>
        </w:tc>
        <w:tc>
          <w:tcPr>
            <w:tcW w:w="1547" w:type="dxa"/>
            <w:noWrap w:val="0"/>
            <w:vAlign w:val="center"/>
          </w:tcPr>
          <w:p w14:paraId="28456FD4">
            <w:pPr>
              <w:jc w:val="center"/>
              <w:rPr>
                <w:rFonts w:hint="eastAsia" w:ascii="宋体" w:hAnsi="宋体" w:eastAsia="宋体" w:cs="宋体"/>
                <w:color w:val="auto"/>
                <w:sz w:val="24"/>
                <w:szCs w:val="24"/>
              </w:rPr>
            </w:pPr>
          </w:p>
        </w:tc>
        <w:tc>
          <w:tcPr>
            <w:tcW w:w="1975" w:type="dxa"/>
            <w:noWrap w:val="0"/>
            <w:vAlign w:val="center"/>
          </w:tcPr>
          <w:p w14:paraId="7952BA97">
            <w:pPr>
              <w:jc w:val="center"/>
              <w:rPr>
                <w:rFonts w:hint="eastAsia" w:ascii="宋体" w:hAnsi="宋体" w:eastAsia="宋体" w:cs="宋体"/>
                <w:color w:val="auto"/>
                <w:sz w:val="24"/>
                <w:szCs w:val="24"/>
              </w:rPr>
            </w:pPr>
          </w:p>
        </w:tc>
        <w:tc>
          <w:tcPr>
            <w:tcW w:w="1975" w:type="dxa"/>
            <w:noWrap w:val="0"/>
            <w:vAlign w:val="center"/>
          </w:tcPr>
          <w:p w14:paraId="70B4B75B">
            <w:pPr>
              <w:jc w:val="center"/>
              <w:rPr>
                <w:rFonts w:hint="eastAsia" w:ascii="宋体" w:hAnsi="宋体" w:eastAsia="宋体" w:cs="宋体"/>
                <w:color w:val="auto"/>
                <w:sz w:val="24"/>
                <w:szCs w:val="24"/>
              </w:rPr>
            </w:pPr>
          </w:p>
        </w:tc>
        <w:tc>
          <w:tcPr>
            <w:tcW w:w="1975" w:type="dxa"/>
            <w:noWrap w:val="0"/>
            <w:vAlign w:val="center"/>
          </w:tcPr>
          <w:p w14:paraId="39D581D4">
            <w:pPr>
              <w:jc w:val="center"/>
              <w:rPr>
                <w:rFonts w:hint="eastAsia" w:ascii="宋体" w:hAnsi="宋体" w:eastAsia="宋体" w:cs="宋体"/>
                <w:color w:val="auto"/>
                <w:sz w:val="24"/>
                <w:szCs w:val="24"/>
              </w:rPr>
            </w:pPr>
          </w:p>
        </w:tc>
      </w:tr>
      <w:tr w14:paraId="5B1460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58" w:hRule="atLeast"/>
        </w:trPr>
        <w:tc>
          <w:tcPr>
            <w:tcW w:w="1985" w:type="dxa"/>
            <w:noWrap w:val="0"/>
            <w:vAlign w:val="center"/>
          </w:tcPr>
          <w:p w14:paraId="7E8F8B38">
            <w:pPr>
              <w:jc w:val="center"/>
              <w:rPr>
                <w:rFonts w:hint="eastAsia" w:ascii="宋体" w:hAnsi="宋体" w:eastAsia="宋体" w:cs="宋体"/>
                <w:b/>
                <w:color w:val="auto"/>
                <w:sz w:val="24"/>
                <w:szCs w:val="24"/>
              </w:rPr>
            </w:pPr>
            <w:r>
              <w:rPr>
                <w:rFonts w:hint="eastAsia" w:ascii="宋体" w:hAnsi="宋体" w:eastAsia="宋体" w:cs="宋体"/>
                <w:b/>
                <w:color w:val="auto"/>
                <w:sz w:val="24"/>
                <w:szCs w:val="24"/>
                <w:highlight w:val="white"/>
              </w:rPr>
              <w:t>服务日期</w:t>
            </w:r>
          </w:p>
        </w:tc>
        <w:tc>
          <w:tcPr>
            <w:tcW w:w="1547" w:type="dxa"/>
            <w:noWrap w:val="0"/>
            <w:vAlign w:val="center"/>
          </w:tcPr>
          <w:p w14:paraId="21A6A5FB">
            <w:pPr>
              <w:jc w:val="center"/>
              <w:rPr>
                <w:rFonts w:hint="eastAsia" w:ascii="宋体" w:hAnsi="宋体" w:eastAsia="宋体" w:cs="宋体"/>
                <w:color w:val="auto"/>
                <w:sz w:val="24"/>
                <w:szCs w:val="24"/>
              </w:rPr>
            </w:pPr>
          </w:p>
        </w:tc>
        <w:tc>
          <w:tcPr>
            <w:tcW w:w="1975" w:type="dxa"/>
            <w:noWrap w:val="0"/>
            <w:vAlign w:val="center"/>
          </w:tcPr>
          <w:p w14:paraId="2CF6BE4D">
            <w:pPr>
              <w:jc w:val="center"/>
              <w:rPr>
                <w:rFonts w:hint="eastAsia" w:ascii="宋体" w:hAnsi="宋体" w:eastAsia="宋体" w:cs="宋体"/>
                <w:color w:val="auto"/>
                <w:sz w:val="24"/>
                <w:szCs w:val="24"/>
              </w:rPr>
            </w:pPr>
          </w:p>
        </w:tc>
        <w:tc>
          <w:tcPr>
            <w:tcW w:w="1975" w:type="dxa"/>
            <w:noWrap w:val="0"/>
            <w:vAlign w:val="center"/>
          </w:tcPr>
          <w:p w14:paraId="598212B6">
            <w:pPr>
              <w:jc w:val="center"/>
              <w:rPr>
                <w:rFonts w:hint="eastAsia" w:ascii="宋体" w:hAnsi="宋体" w:eastAsia="宋体" w:cs="宋体"/>
                <w:color w:val="auto"/>
                <w:sz w:val="24"/>
                <w:szCs w:val="24"/>
              </w:rPr>
            </w:pPr>
          </w:p>
        </w:tc>
        <w:tc>
          <w:tcPr>
            <w:tcW w:w="1975" w:type="dxa"/>
            <w:noWrap w:val="0"/>
            <w:vAlign w:val="center"/>
          </w:tcPr>
          <w:p w14:paraId="50960DC6">
            <w:pPr>
              <w:jc w:val="center"/>
              <w:rPr>
                <w:rFonts w:hint="eastAsia" w:ascii="宋体" w:hAnsi="宋体" w:eastAsia="宋体" w:cs="宋体"/>
                <w:color w:val="auto"/>
                <w:sz w:val="24"/>
                <w:szCs w:val="24"/>
              </w:rPr>
            </w:pPr>
          </w:p>
        </w:tc>
      </w:tr>
      <w:tr w14:paraId="4123F6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58" w:hRule="atLeast"/>
        </w:trPr>
        <w:tc>
          <w:tcPr>
            <w:tcW w:w="1985" w:type="dxa"/>
            <w:noWrap w:val="0"/>
            <w:vAlign w:val="center"/>
          </w:tcPr>
          <w:p w14:paraId="166A60FB">
            <w:pPr>
              <w:jc w:val="center"/>
              <w:rPr>
                <w:rFonts w:hint="eastAsia" w:ascii="宋体" w:hAnsi="宋体" w:eastAsia="宋体" w:cs="宋体"/>
                <w:b/>
                <w:color w:val="auto"/>
                <w:sz w:val="24"/>
                <w:szCs w:val="24"/>
              </w:rPr>
            </w:pPr>
            <w:r>
              <w:rPr>
                <w:rFonts w:hint="eastAsia" w:ascii="宋体" w:hAnsi="宋体" w:eastAsia="宋体" w:cs="宋体"/>
                <w:b/>
                <w:color w:val="auto"/>
                <w:sz w:val="24"/>
                <w:szCs w:val="24"/>
                <w:highlight w:val="white"/>
              </w:rPr>
              <w:t>项目负责人</w:t>
            </w:r>
          </w:p>
        </w:tc>
        <w:tc>
          <w:tcPr>
            <w:tcW w:w="1547" w:type="dxa"/>
            <w:noWrap w:val="0"/>
            <w:vAlign w:val="center"/>
          </w:tcPr>
          <w:p w14:paraId="75860054">
            <w:pPr>
              <w:jc w:val="center"/>
              <w:rPr>
                <w:rFonts w:hint="eastAsia" w:ascii="宋体" w:hAnsi="宋体" w:eastAsia="宋体" w:cs="宋体"/>
                <w:color w:val="auto"/>
                <w:sz w:val="24"/>
                <w:szCs w:val="24"/>
              </w:rPr>
            </w:pPr>
          </w:p>
        </w:tc>
        <w:tc>
          <w:tcPr>
            <w:tcW w:w="1975" w:type="dxa"/>
            <w:noWrap w:val="0"/>
            <w:vAlign w:val="center"/>
          </w:tcPr>
          <w:p w14:paraId="47FB55A0">
            <w:pPr>
              <w:jc w:val="center"/>
              <w:rPr>
                <w:rFonts w:hint="eastAsia" w:ascii="宋体" w:hAnsi="宋体" w:eastAsia="宋体" w:cs="宋体"/>
                <w:color w:val="auto"/>
                <w:sz w:val="24"/>
                <w:szCs w:val="24"/>
              </w:rPr>
            </w:pPr>
          </w:p>
        </w:tc>
        <w:tc>
          <w:tcPr>
            <w:tcW w:w="1975" w:type="dxa"/>
            <w:noWrap w:val="0"/>
            <w:vAlign w:val="center"/>
          </w:tcPr>
          <w:p w14:paraId="4894CEBE">
            <w:pPr>
              <w:jc w:val="center"/>
              <w:rPr>
                <w:rFonts w:hint="eastAsia" w:ascii="宋体" w:hAnsi="宋体" w:eastAsia="宋体" w:cs="宋体"/>
                <w:color w:val="auto"/>
                <w:sz w:val="24"/>
                <w:szCs w:val="24"/>
              </w:rPr>
            </w:pPr>
          </w:p>
        </w:tc>
        <w:tc>
          <w:tcPr>
            <w:tcW w:w="1975" w:type="dxa"/>
            <w:noWrap w:val="0"/>
            <w:vAlign w:val="center"/>
          </w:tcPr>
          <w:p w14:paraId="1162C3A3">
            <w:pPr>
              <w:jc w:val="center"/>
              <w:rPr>
                <w:rFonts w:hint="eastAsia" w:ascii="宋体" w:hAnsi="宋体" w:eastAsia="宋体" w:cs="宋体"/>
                <w:color w:val="auto"/>
                <w:sz w:val="24"/>
                <w:szCs w:val="24"/>
              </w:rPr>
            </w:pPr>
          </w:p>
        </w:tc>
      </w:tr>
      <w:tr w14:paraId="6890AE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58" w:hRule="atLeast"/>
        </w:trPr>
        <w:tc>
          <w:tcPr>
            <w:tcW w:w="1985" w:type="dxa"/>
            <w:noWrap w:val="0"/>
            <w:vAlign w:val="center"/>
          </w:tcPr>
          <w:p w14:paraId="6050E5F3">
            <w:pPr>
              <w:jc w:val="center"/>
              <w:rPr>
                <w:rFonts w:hint="eastAsia" w:ascii="宋体" w:hAnsi="宋体" w:eastAsia="宋体" w:cs="宋体"/>
                <w:b/>
                <w:color w:val="auto"/>
                <w:sz w:val="24"/>
                <w:szCs w:val="24"/>
              </w:rPr>
            </w:pPr>
            <w:r>
              <w:rPr>
                <w:rFonts w:hint="eastAsia" w:ascii="宋体" w:hAnsi="宋体" w:eastAsia="宋体" w:cs="宋体"/>
                <w:b/>
                <w:color w:val="auto"/>
                <w:sz w:val="24"/>
                <w:szCs w:val="24"/>
                <w:highlight w:val="white"/>
              </w:rPr>
              <w:t>项目描述</w:t>
            </w:r>
          </w:p>
        </w:tc>
        <w:tc>
          <w:tcPr>
            <w:tcW w:w="1547" w:type="dxa"/>
            <w:noWrap w:val="0"/>
            <w:vAlign w:val="center"/>
          </w:tcPr>
          <w:p w14:paraId="66AA0BE7">
            <w:pPr>
              <w:jc w:val="center"/>
              <w:rPr>
                <w:rFonts w:hint="eastAsia" w:ascii="宋体" w:hAnsi="宋体" w:eastAsia="宋体" w:cs="宋体"/>
                <w:color w:val="auto"/>
                <w:sz w:val="24"/>
                <w:szCs w:val="24"/>
              </w:rPr>
            </w:pPr>
          </w:p>
        </w:tc>
        <w:tc>
          <w:tcPr>
            <w:tcW w:w="1975" w:type="dxa"/>
            <w:noWrap w:val="0"/>
            <w:vAlign w:val="center"/>
          </w:tcPr>
          <w:p w14:paraId="4B2F4460">
            <w:pPr>
              <w:jc w:val="center"/>
              <w:rPr>
                <w:rFonts w:hint="eastAsia" w:ascii="宋体" w:hAnsi="宋体" w:eastAsia="宋体" w:cs="宋体"/>
                <w:color w:val="auto"/>
                <w:sz w:val="24"/>
                <w:szCs w:val="24"/>
              </w:rPr>
            </w:pPr>
          </w:p>
        </w:tc>
        <w:tc>
          <w:tcPr>
            <w:tcW w:w="1975" w:type="dxa"/>
            <w:noWrap w:val="0"/>
            <w:vAlign w:val="center"/>
          </w:tcPr>
          <w:p w14:paraId="5428DA64">
            <w:pPr>
              <w:jc w:val="center"/>
              <w:rPr>
                <w:rFonts w:hint="eastAsia" w:ascii="宋体" w:hAnsi="宋体" w:eastAsia="宋体" w:cs="宋体"/>
                <w:color w:val="auto"/>
                <w:sz w:val="24"/>
                <w:szCs w:val="24"/>
              </w:rPr>
            </w:pPr>
          </w:p>
        </w:tc>
        <w:tc>
          <w:tcPr>
            <w:tcW w:w="1975" w:type="dxa"/>
            <w:noWrap w:val="0"/>
            <w:vAlign w:val="center"/>
          </w:tcPr>
          <w:p w14:paraId="43CA35B4">
            <w:pPr>
              <w:jc w:val="center"/>
              <w:rPr>
                <w:rFonts w:hint="eastAsia" w:ascii="宋体" w:hAnsi="宋体" w:eastAsia="宋体" w:cs="宋体"/>
                <w:color w:val="auto"/>
                <w:sz w:val="24"/>
                <w:szCs w:val="24"/>
              </w:rPr>
            </w:pPr>
          </w:p>
        </w:tc>
      </w:tr>
      <w:tr w14:paraId="4B28032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758" w:hRule="atLeast"/>
        </w:trPr>
        <w:tc>
          <w:tcPr>
            <w:tcW w:w="1985" w:type="dxa"/>
            <w:noWrap w:val="0"/>
            <w:vAlign w:val="center"/>
          </w:tcPr>
          <w:p w14:paraId="0DB69C7A">
            <w:pPr>
              <w:jc w:val="center"/>
              <w:rPr>
                <w:rFonts w:hint="eastAsia" w:ascii="宋体" w:hAnsi="宋体" w:eastAsia="宋体" w:cs="宋体"/>
                <w:b/>
                <w:color w:val="auto"/>
                <w:sz w:val="24"/>
                <w:szCs w:val="24"/>
              </w:rPr>
            </w:pPr>
            <w:r>
              <w:rPr>
                <w:rFonts w:hint="eastAsia" w:ascii="宋体" w:hAnsi="宋体" w:eastAsia="宋体" w:cs="宋体"/>
                <w:b/>
                <w:color w:val="auto"/>
                <w:sz w:val="24"/>
                <w:szCs w:val="24"/>
                <w:highlight w:val="white"/>
              </w:rPr>
              <w:t>备注（用户反映）</w:t>
            </w:r>
          </w:p>
        </w:tc>
        <w:tc>
          <w:tcPr>
            <w:tcW w:w="1547" w:type="dxa"/>
            <w:noWrap w:val="0"/>
            <w:vAlign w:val="center"/>
          </w:tcPr>
          <w:p w14:paraId="23E6E8EA">
            <w:pPr>
              <w:jc w:val="center"/>
              <w:rPr>
                <w:rFonts w:hint="eastAsia" w:ascii="宋体" w:hAnsi="宋体" w:eastAsia="宋体" w:cs="宋体"/>
                <w:color w:val="auto"/>
                <w:sz w:val="24"/>
                <w:szCs w:val="24"/>
              </w:rPr>
            </w:pPr>
          </w:p>
        </w:tc>
        <w:tc>
          <w:tcPr>
            <w:tcW w:w="1975" w:type="dxa"/>
            <w:noWrap w:val="0"/>
            <w:vAlign w:val="center"/>
          </w:tcPr>
          <w:p w14:paraId="03AACEB6">
            <w:pPr>
              <w:jc w:val="center"/>
              <w:rPr>
                <w:rFonts w:hint="eastAsia" w:ascii="宋体" w:hAnsi="宋体" w:eastAsia="宋体" w:cs="宋体"/>
                <w:color w:val="auto"/>
                <w:sz w:val="24"/>
                <w:szCs w:val="24"/>
              </w:rPr>
            </w:pPr>
          </w:p>
        </w:tc>
        <w:tc>
          <w:tcPr>
            <w:tcW w:w="1975" w:type="dxa"/>
            <w:noWrap w:val="0"/>
            <w:vAlign w:val="center"/>
          </w:tcPr>
          <w:p w14:paraId="2A640E68">
            <w:pPr>
              <w:jc w:val="center"/>
              <w:rPr>
                <w:rFonts w:hint="eastAsia" w:ascii="宋体" w:hAnsi="宋体" w:eastAsia="宋体" w:cs="宋体"/>
                <w:color w:val="auto"/>
                <w:sz w:val="24"/>
                <w:szCs w:val="24"/>
              </w:rPr>
            </w:pPr>
          </w:p>
        </w:tc>
        <w:tc>
          <w:tcPr>
            <w:tcW w:w="1975" w:type="dxa"/>
            <w:noWrap w:val="0"/>
            <w:vAlign w:val="center"/>
          </w:tcPr>
          <w:p w14:paraId="1E35C19D">
            <w:pPr>
              <w:jc w:val="center"/>
              <w:rPr>
                <w:rFonts w:hint="eastAsia" w:ascii="宋体" w:hAnsi="宋体" w:eastAsia="宋体" w:cs="宋体"/>
                <w:color w:val="auto"/>
                <w:sz w:val="24"/>
                <w:szCs w:val="24"/>
              </w:rPr>
            </w:pPr>
          </w:p>
        </w:tc>
      </w:tr>
      <w:tr w14:paraId="26D445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8" w:hRule="atLeast"/>
        </w:trPr>
        <w:tc>
          <w:tcPr>
            <w:tcW w:w="1985" w:type="dxa"/>
            <w:noWrap w:val="0"/>
            <w:vAlign w:val="center"/>
          </w:tcPr>
          <w:p w14:paraId="422B9BEA">
            <w:pPr>
              <w:jc w:val="center"/>
              <w:rPr>
                <w:rFonts w:hint="eastAsia" w:ascii="宋体" w:hAnsi="宋体" w:eastAsia="宋体" w:cs="宋体"/>
                <w:b/>
                <w:color w:val="auto"/>
                <w:sz w:val="24"/>
                <w:szCs w:val="24"/>
              </w:rPr>
            </w:pPr>
            <w:r>
              <w:rPr>
                <w:rFonts w:hint="eastAsia" w:ascii="宋体" w:hAnsi="宋体" w:eastAsia="宋体" w:cs="宋体"/>
                <w:b/>
                <w:color w:val="auto"/>
                <w:sz w:val="24"/>
                <w:szCs w:val="24"/>
                <w:highlight w:val="white"/>
              </w:rPr>
              <w:t>履约情况及获奖情况</w:t>
            </w:r>
          </w:p>
        </w:tc>
        <w:tc>
          <w:tcPr>
            <w:tcW w:w="1547" w:type="dxa"/>
            <w:noWrap w:val="0"/>
            <w:vAlign w:val="center"/>
          </w:tcPr>
          <w:p w14:paraId="369E4C68">
            <w:pPr>
              <w:jc w:val="center"/>
              <w:rPr>
                <w:rFonts w:hint="eastAsia" w:ascii="宋体" w:hAnsi="宋体" w:eastAsia="宋体" w:cs="宋体"/>
                <w:color w:val="auto"/>
                <w:sz w:val="24"/>
                <w:szCs w:val="24"/>
              </w:rPr>
            </w:pPr>
          </w:p>
        </w:tc>
        <w:tc>
          <w:tcPr>
            <w:tcW w:w="1975" w:type="dxa"/>
            <w:noWrap w:val="0"/>
            <w:vAlign w:val="center"/>
          </w:tcPr>
          <w:p w14:paraId="119E7B89">
            <w:pPr>
              <w:jc w:val="center"/>
              <w:rPr>
                <w:rFonts w:hint="eastAsia" w:ascii="宋体" w:hAnsi="宋体" w:eastAsia="宋体" w:cs="宋体"/>
                <w:color w:val="auto"/>
                <w:sz w:val="24"/>
                <w:szCs w:val="24"/>
              </w:rPr>
            </w:pPr>
          </w:p>
        </w:tc>
        <w:tc>
          <w:tcPr>
            <w:tcW w:w="1975" w:type="dxa"/>
            <w:noWrap w:val="0"/>
            <w:vAlign w:val="center"/>
          </w:tcPr>
          <w:p w14:paraId="7448B022">
            <w:pPr>
              <w:jc w:val="center"/>
              <w:rPr>
                <w:rFonts w:hint="eastAsia" w:ascii="宋体" w:hAnsi="宋体" w:eastAsia="宋体" w:cs="宋体"/>
                <w:color w:val="auto"/>
                <w:sz w:val="24"/>
                <w:szCs w:val="24"/>
              </w:rPr>
            </w:pPr>
          </w:p>
        </w:tc>
        <w:tc>
          <w:tcPr>
            <w:tcW w:w="1975" w:type="dxa"/>
            <w:noWrap w:val="0"/>
            <w:vAlign w:val="center"/>
          </w:tcPr>
          <w:p w14:paraId="3A1488FD">
            <w:pPr>
              <w:jc w:val="center"/>
              <w:rPr>
                <w:rFonts w:hint="eastAsia" w:ascii="宋体" w:hAnsi="宋体" w:eastAsia="宋体" w:cs="宋体"/>
                <w:color w:val="auto"/>
                <w:sz w:val="24"/>
                <w:szCs w:val="24"/>
              </w:rPr>
            </w:pPr>
          </w:p>
        </w:tc>
      </w:tr>
    </w:tbl>
    <w:p w14:paraId="5E6D9594">
      <w:pPr>
        <w:rPr>
          <w:rFonts w:hint="eastAsia" w:ascii="宋体" w:hAnsi="宋体" w:eastAsia="宋体" w:cs="宋体"/>
          <w:b/>
          <w:bCs/>
          <w:color w:val="auto"/>
          <w:sz w:val="22"/>
        </w:rPr>
      </w:pPr>
      <w:r>
        <w:rPr>
          <w:rFonts w:hint="eastAsia" w:ascii="宋体" w:hAnsi="宋体" w:eastAsia="宋体" w:cs="宋体"/>
          <w:b/>
          <w:color w:val="auto"/>
          <w:sz w:val="22"/>
          <w:highlight w:val="white"/>
        </w:rPr>
        <w:t>备注：供应商可根据各自的项目数量，调整表单的列数</w:t>
      </w:r>
      <w:r>
        <w:rPr>
          <w:rFonts w:hint="eastAsia" w:ascii="宋体" w:hAnsi="宋体" w:eastAsia="宋体" w:cs="宋体"/>
          <w:b/>
          <w:bCs/>
          <w:color w:val="auto"/>
          <w:sz w:val="22"/>
          <w:highlight w:val="white"/>
        </w:rPr>
        <w:t>。</w:t>
      </w:r>
    </w:p>
    <w:p w14:paraId="5C4D4E69">
      <w:pPr>
        <w:rPr>
          <w:rFonts w:hint="eastAsia" w:ascii="宋体" w:hAnsi="宋体" w:eastAsia="宋体" w:cs="宋体"/>
          <w:b/>
          <w:bCs/>
          <w:color w:val="auto"/>
          <w:szCs w:val="21"/>
        </w:rPr>
      </w:pPr>
    </w:p>
    <w:p w14:paraId="3B0EAB8B">
      <w:pPr>
        <w:rPr>
          <w:rFonts w:hint="eastAsia" w:ascii="宋体" w:hAnsi="宋体" w:eastAsia="宋体" w:cs="宋体"/>
          <w:b/>
          <w:bCs/>
          <w:color w:val="auto"/>
          <w:szCs w:val="21"/>
        </w:rPr>
      </w:pPr>
    </w:p>
    <w:p w14:paraId="0EBF04E1">
      <w:pPr>
        <w:spacing w:line="480" w:lineRule="auto"/>
        <w:rPr>
          <w:rFonts w:hint="eastAsia" w:ascii="宋体" w:hAnsi="宋体" w:eastAsia="宋体" w:cs="宋体"/>
          <w:color w:val="auto"/>
          <w:sz w:val="24"/>
          <w:szCs w:val="24"/>
          <w:u w:val="single"/>
        </w:rPr>
      </w:pPr>
      <w:r>
        <w:rPr>
          <w:rFonts w:hint="eastAsia" w:ascii="宋体" w:hAnsi="宋体" w:eastAsia="宋体" w:cs="宋体"/>
          <w:color w:val="auto"/>
          <w:sz w:val="24"/>
          <w:szCs w:val="24"/>
          <w:highlight w:val="white"/>
        </w:rPr>
        <w:t>供应商名称（公章）：</w:t>
      </w:r>
      <w:r>
        <w:rPr>
          <w:rFonts w:hint="eastAsia" w:ascii="宋体" w:hAnsi="宋体" w:eastAsia="宋体" w:cs="宋体"/>
          <w:color w:val="auto"/>
          <w:sz w:val="24"/>
          <w:szCs w:val="24"/>
          <w:highlight w:val="white"/>
          <w:u w:val="single"/>
        </w:rPr>
        <w:t xml:space="preserve">                         </w:t>
      </w:r>
    </w:p>
    <w:p w14:paraId="010238B0">
      <w:pPr>
        <w:spacing w:line="480" w:lineRule="auto"/>
        <w:rPr>
          <w:rFonts w:hint="eastAsia" w:ascii="宋体" w:hAnsi="宋体" w:eastAsia="宋体" w:cs="宋体"/>
          <w:color w:val="auto"/>
          <w:sz w:val="24"/>
          <w:szCs w:val="24"/>
          <w:highlight w:val="white"/>
          <w:u w:val="single"/>
        </w:rPr>
      </w:pPr>
      <w:r>
        <w:rPr>
          <w:rFonts w:hint="eastAsia" w:ascii="宋体" w:hAnsi="宋体" w:eastAsia="宋体" w:cs="宋体"/>
          <w:color w:val="auto"/>
          <w:sz w:val="24"/>
          <w:szCs w:val="24"/>
          <w:highlight w:val="white"/>
        </w:rPr>
        <w:t>法定代表人或其授权代表（签字）：</w:t>
      </w:r>
      <w:r>
        <w:rPr>
          <w:rFonts w:hint="eastAsia" w:ascii="宋体" w:hAnsi="宋体" w:eastAsia="宋体" w:cs="宋体"/>
          <w:color w:val="auto"/>
          <w:sz w:val="24"/>
          <w:szCs w:val="24"/>
          <w:highlight w:val="white"/>
          <w:u w:val="single"/>
        </w:rPr>
        <w:t xml:space="preserve">             </w:t>
      </w:r>
    </w:p>
    <w:p w14:paraId="36CB4822">
      <w:pPr>
        <w:spacing w:line="480" w:lineRule="auto"/>
        <w:rPr>
          <w:rFonts w:hint="eastAsia" w:ascii="宋体" w:hAnsi="宋体" w:eastAsia="宋体" w:cs="宋体"/>
          <w:color w:val="auto"/>
          <w:sz w:val="24"/>
          <w:szCs w:val="24"/>
          <w:highlight w:val="white"/>
        </w:rPr>
      </w:pPr>
      <w:r>
        <w:rPr>
          <w:rFonts w:hint="eastAsia" w:ascii="宋体" w:hAnsi="宋体" w:eastAsia="宋体" w:cs="宋体"/>
          <w:color w:val="auto"/>
          <w:sz w:val="24"/>
          <w:szCs w:val="24"/>
          <w:highlight w:val="white"/>
        </w:rPr>
        <w:t>日期：</w:t>
      </w:r>
      <w:r>
        <w:rPr>
          <w:rFonts w:hint="eastAsia" w:ascii="宋体" w:hAnsi="宋体" w:eastAsia="宋体" w:cs="宋体"/>
          <w:color w:val="auto"/>
          <w:sz w:val="24"/>
          <w:szCs w:val="24"/>
          <w:highlight w:val="white"/>
          <w:u w:val="single"/>
        </w:rPr>
        <w:t xml:space="preserve">      </w:t>
      </w:r>
      <w:r>
        <w:rPr>
          <w:rFonts w:hint="eastAsia" w:ascii="宋体" w:hAnsi="宋体" w:eastAsia="宋体" w:cs="宋体"/>
          <w:color w:val="auto"/>
          <w:sz w:val="24"/>
          <w:szCs w:val="24"/>
          <w:highlight w:val="white"/>
        </w:rPr>
        <w:t>年</w:t>
      </w:r>
      <w:r>
        <w:rPr>
          <w:rFonts w:hint="eastAsia" w:ascii="宋体" w:hAnsi="宋体" w:eastAsia="宋体" w:cs="宋体"/>
          <w:color w:val="auto"/>
          <w:sz w:val="24"/>
          <w:szCs w:val="24"/>
          <w:highlight w:val="white"/>
          <w:u w:val="single"/>
        </w:rPr>
        <w:t xml:space="preserve">    </w:t>
      </w:r>
      <w:r>
        <w:rPr>
          <w:rFonts w:hint="eastAsia" w:ascii="宋体" w:hAnsi="宋体" w:eastAsia="宋体" w:cs="宋体"/>
          <w:color w:val="auto"/>
          <w:sz w:val="24"/>
          <w:szCs w:val="24"/>
          <w:highlight w:val="white"/>
        </w:rPr>
        <w:t>月</w:t>
      </w:r>
      <w:r>
        <w:rPr>
          <w:rFonts w:hint="eastAsia" w:ascii="宋体" w:hAnsi="宋体" w:eastAsia="宋体" w:cs="宋体"/>
          <w:color w:val="auto"/>
          <w:sz w:val="24"/>
          <w:szCs w:val="24"/>
          <w:highlight w:val="white"/>
          <w:u w:val="single"/>
        </w:rPr>
        <w:t xml:space="preserve">    </w:t>
      </w:r>
      <w:r>
        <w:rPr>
          <w:rFonts w:hint="eastAsia" w:ascii="宋体" w:hAnsi="宋体" w:eastAsia="宋体" w:cs="宋体"/>
          <w:color w:val="auto"/>
          <w:sz w:val="24"/>
          <w:szCs w:val="24"/>
          <w:highlight w:val="white"/>
        </w:rPr>
        <w:t>日</w:t>
      </w:r>
      <w:bookmarkStart w:id="150" w:name="_Toc256000030"/>
    </w:p>
    <w:p w14:paraId="0B03B502">
      <w:pPr>
        <w:pStyle w:val="4"/>
        <w:numPr>
          <w:ilvl w:val="0"/>
          <w:numId w:val="0"/>
        </w:numPr>
        <w:rPr>
          <w:rFonts w:hint="eastAsia" w:ascii="宋体" w:hAnsi="宋体" w:eastAsia="宋体" w:cs="宋体"/>
          <w:color w:val="auto"/>
          <w:sz w:val="28"/>
          <w:szCs w:val="28"/>
        </w:rPr>
      </w:pPr>
      <w:r>
        <w:rPr>
          <w:rFonts w:hint="eastAsia" w:ascii="宋体" w:hAnsi="宋体" w:eastAsia="宋体" w:cs="宋体"/>
          <w:color w:val="auto"/>
          <w:sz w:val="28"/>
          <w:szCs w:val="28"/>
          <w:highlight w:val="white"/>
        </w:rPr>
        <w:t>（</w:t>
      </w:r>
      <w:r>
        <w:rPr>
          <w:rFonts w:hint="eastAsia" w:ascii="宋体" w:hAnsi="宋体" w:eastAsia="宋体" w:cs="宋体"/>
          <w:color w:val="auto"/>
          <w:sz w:val="28"/>
          <w:szCs w:val="28"/>
          <w:highlight w:val="white"/>
          <w:lang w:val="en-US" w:eastAsia="zh-CN"/>
        </w:rPr>
        <w:t>6</w:t>
      </w:r>
      <w:r>
        <w:rPr>
          <w:rFonts w:hint="eastAsia" w:ascii="宋体" w:hAnsi="宋体" w:eastAsia="宋体" w:cs="宋体"/>
          <w:color w:val="auto"/>
          <w:sz w:val="28"/>
          <w:szCs w:val="28"/>
          <w:highlight w:val="white"/>
        </w:rPr>
        <w:t>）售后服务承诺</w:t>
      </w:r>
      <w:bookmarkEnd w:id="150"/>
    </w:p>
    <w:p w14:paraId="24518548">
      <w:pPr>
        <w:keepNext w:val="0"/>
        <w:keepLines w:val="0"/>
        <w:widowControl/>
        <w:suppressLineNumbers w:val="0"/>
        <w:jc w:val="left"/>
        <w:rPr>
          <w:rFonts w:hint="eastAsia" w:ascii="宋体" w:hAnsi="宋体" w:eastAsia="宋体" w:cs="宋体"/>
          <w:color w:val="auto"/>
        </w:rPr>
      </w:pPr>
      <w:r>
        <w:rPr>
          <w:rFonts w:hint="eastAsia" w:ascii="宋体" w:hAnsi="宋体" w:eastAsia="宋体" w:cs="宋体"/>
          <w:color w:val="auto"/>
          <w:kern w:val="0"/>
          <w:sz w:val="24"/>
          <w:szCs w:val="24"/>
          <w:lang w:val="en-US" w:eastAsia="zh-CN" w:bidi="ar"/>
        </w:rPr>
        <w:t xml:space="preserve">售后服务须包括但不限于以下内容，主要根据招标文件的要求（格式自拟）： </w:t>
      </w:r>
    </w:p>
    <w:p w14:paraId="2285D664">
      <w:pPr>
        <w:keepNext w:val="0"/>
        <w:keepLines w:val="0"/>
        <w:widowControl/>
        <w:suppressLineNumbers w:val="0"/>
        <w:jc w:val="left"/>
        <w:rPr>
          <w:rFonts w:hint="eastAsia" w:ascii="宋体" w:hAnsi="宋体" w:eastAsia="宋体" w:cs="宋体"/>
          <w:color w:val="auto"/>
        </w:rPr>
      </w:pPr>
      <w:r>
        <w:rPr>
          <w:rFonts w:hint="eastAsia" w:ascii="宋体" w:hAnsi="宋体" w:eastAsia="宋体" w:cs="宋体"/>
          <w:color w:val="auto"/>
          <w:kern w:val="0"/>
          <w:sz w:val="24"/>
          <w:szCs w:val="24"/>
          <w:lang w:val="en-US" w:eastAsia="zh-CN" w:bidi="ar"/>
        </w:rPr>
        <w:t xml:space="preserve">1、其它服务承诺。 </w:t>
      </w:r>
    </w:p>
    <w:p w14:paraId="1C8E56BE">
      <w:pPr>
        <w:keepNext w:val="0"/>
        <w:keepLines w:val="0"/>
        <w:widowControl/>
        <w:suppressLineNumbers w:val="0"/>
        <w:jc w:val="left"/>
        <w:rPr>
          <w:rFonts w:hint="eastAsia" w:ascii="宋体" w:hAnsi="宋体" w:eastAsia="宋体" w:cs="宋体"/>
          <w:color w:val="auto"/>
        </w:rPr>
      </w:pPr>
      <w:r>
        <w:rPr>
          <w:rFonts w:hint="eastAsia" w:ascii="宋体" w:hAnsi="宋体" w:eastAsia="宋体" w:cs="宋体"/>
          <w:color w:val="auto"/>
          <w:kern w:val="0"/>
          <w:sz w:val="24"/>
          <w:szCs w:val="24"/>
          <w:lang w:val="en-US" w:eastAsia="zh-CN" w:bidi="ar"/>
        </w:rPr>
        <w:t>2、培训计划。</w:t>
      </w:r>
    </w:p>
    <w:p w14:paraId="4A7023F3">
      <w:pPr>
        <w:pStyle w:val="4"/>
        <w:numPr>
          <w:ilvl w:val="0"/>
          <w:numId w:val="0"/>
        </w:numPr>
        <w:tabs>
          <w:tab w:val="clear" w:pos="1260"/>
        </w:tabs>
        <w:ind w:left="840" w:leftChars="0"/>
        <w:rPr>
          <w:rFonts w:hint="eastAsia" w:ascii="宋体" w:hAnsi="宋体" w:eastAsia="宋体" w:cs="宋体"/>
          <w:color w:val="auto"/>
        </w:rPr>
      </w:pPr>
    </w:p>
    <w:p w14:paraId="1A2D4A07">
      <w:pPr>
        <w:rPr>
          <w:rFonts w:hint="eastAsia" w:ascii="宋体" w:hAnsi="宋体" w:eastAsia="宋体" w:cs="宋体"/>
          <w:color w:val="auto"/>
        </w:rPr>
      </w:pPr>
    </w:p>
    <w:p w14:paraId="169102B6">
      <w:pPr>
        <w:spacing w:line="480" w:lineRule="auto"/>
        <w:rPr>
          <w:rFonts w:hint="eastAsia" w:ascii="宋体" w:hAnsi="宋体" w:eastAsia="宋体" w:cs="宋体"/>
          <w:color w:val="auto"/>
          <w:sz w:val="24"/>
          <w:szCs w:val="24"/>
          <w:u w:val="single"/>
        </w:rPr>
      </w:pPr>
      <w:r>
        <w:rPr>
          <w:rFonts w:hint="eastAsia" w:ascii="宋体" w:hAnsi="宋体" w:eastAsia="宋体" w:cs="宋体"/>
          <w:color w:val="auto"/>
          <w:sz w:val="24"/>
          <w:szCs w:val="24"/>
          <w:highlight w:val="white"/>
        </w:rPr>
        <w:t>供应商名称（公章）：</w:t>
      </w:r>
      <w:r>
        <w:rPr>
          <w:rFonts w:hint="eastAsia" w:ascii="宋体" w:hAnsi="宋体" w:eastAsia="宋体" w:cs="宋体"/>
          <w:color w:val="auto"/>
          <w:sz w:val="24"/>
          <w:szCs w:val="24"/>
          <w:highlight w:val="white"/>
          <w:u w:val="single"/>
        </w:rPr>
        <w:t xml:space="preserve">                         </w:t>
      </w:r>
    </w:p>
    <w:p w14:paraId="71E3C852">
      <w:pPr>
        <w:spacing w:line="480" w:lineRule="auto"/>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法定代表人或其授权代表（签字）：</w:t>
      </w:r>
      <w:r>
        <w:rPr>
          <w:rFonts w:hint="eastAsia" w:ascii="宋体" w:hAnsi="宋体" w:eastAsia="宋体" w:cs="宋体"/>
          <w:color w:val="auto"/>
          <w:sz w:val="24"/>
          <w:szCs w:val="24"/>
          <w:highlight w:val="white"/>
          <w:u w:val="single"/>
        </w:rPr>
        <w:t xml:space="preserve">             </w:t>
      </w:r>
    </w:p>
    <w:p w14:paraId="7C172142">
      <w:pPr>
        <w:spacing w:line="480" w:lineRule="auto"/>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日期：</w:t>
      </w:r>
      <w:r>
        <w:rPr>
          <w:rFonts w:hint="eastAsia" w:ascii="宋体" w:hAnsi="宋体" w:eastAsia="宋体" w:cs="宋体"/>
          <w:color w:val="auto"/>
          <w:sz w:val="24"/>
          <w:szCs w:val="24"/>
          <w:highlight w:val="white"/>
          <w:u w:val="single"/>
        </w:rPr>
        <w:t xml:space="preserve">      </w:t>
      </w:r>
      <w:r>
        <w:rPr>
          <w:rFonts w:hint="eastAsia" w:ascii="宋体" w:hAnsi="宋体" w:eastAsia="宋体" w:cs="宋体"/>
          <w:color w:val="auto"/>
          <w:sz w:val="24"/>
          <w:szCs w:val="24"/>
          <w:highlight w:val="white"/>
        </w:rPr>
        <w:t>年</w:t>
      </w:r>
      <w:r>
        <w:rPr>
          <w:rFonts w:hint="eastAsia" w:ascii="宋体" w:hAnsi="宋体" w:eastAsia="宋体" w:cs="宋体"/>
          <w:color w:val="auto"/>
          <w:sz w:val="24"/>
          <w:szCs w:val="24"/>
          <w:highlight w:val="white"/>
          <w:u w:val="single"/>
        </w:rPr>
        <w:t xml:space="preserve">    </w:t>
      </w:r>
      <w:r>
        <w:rPr>
          <w:rFonts w:hint="eastAsia" w:ascii="宋体" w:hAnsi="宋体" w:eastAsia="宋体" w:cs="宋体"/>
          <w:color w:val="auto"/>
          <w:sz w:val="24"/>
          <w:szCs w:val="24"/>
          <w:highlight w:val="white"/>
        </w:rPr>
        <w:t>月</w:t>
      </w:r>
      <w:r>
        <w:rPr>
          <w:rFonts w:hint="eastAsia" w:ascii="宋体" w:hAnsi="宋体" w:eastAsia="宋体" w:cs="宋体"/>
          <w:color w:val="auto"/>
          <w:sz w:val="24"/>
          <w:szCs w:val="24"/>
          <w:highlight w:val="white"/>
          <w:u w:val="single"/>
        </w:rPr>
        <w:t xml:space="preserve">    </w:t>
      </w:r>
      <w:r>
        <w:rPr>
          <w:rFonts w:hint="eastAsia" w:ascii="宋体" w:hAnsi="宋体" w:eastAsia="宋体" w:cs="宋体"/>
          <w:color w:val="auto"/>
          <w:sz w:val="24"/>
          <w:szCs w:val="24"/>
          <w:highlight w:val="white"/>
        </w:rPr>
        <w:t>日</w:t>
      </w:r>
    </w:p>
    <w:p w14:paraId="58C16A86">
      <w:pPr>
        <w:pStyle w:val="3"/>
        <w:rPr>
          <w:rFonts w:hint="eastAsia" w:ascii="宋体" w:hAnsi="宋体" w:eastAsia="宋体" w:cs="宋体"/>
          <w:color w:val="auto"/>
        </w:rPr>
      </w:pPr>
    </w:p>
    <w:p w14:paraId="58115FDC">
      <w:pPr>
        <w:pStyle w:val="4"/>
        <w:pageBreakBefore/>
        <w:numPr>
          <w:ilvl w:val="0"/>
          <w:numId w:val="0"/>
        </w:numPr>
        <w:spacing w:line="415" w:lineRule="auto"/>
        <w:rPr>
          <w:rFonts w:hint="eastAsia" w:ascii="宋体" w:hAnsi="宋体" w:eastAsia="宋体" w:cs="宋体"/>
          <w:color w:val="auto"/>
          <w:sz w:val="28"/>
          <w:szCs w:val="28"/>
        </w:rPr>
      </w:pPr>
      <w:bookmarkStart w:id="151" w:name="_Toc256000031"/>
      <w:r>
        <w:rPr>
          <w:rFonts w:hint="eastAsia" w:ascii="宋体" w:hAnsi="宋体" w:eastAsia="宋体" w:cs="宋体"/>
          <w:color w:val="auto"/>
          <w:sz w:val="28"/>
          <w:szCs w:val="28"/>
          <w:highlight w:val="white"/>
        </w:rPr>
        <w:t>（</w:t>
      </w:r>
      <w:r>
        <w:rPr>
          <w:rFonts w:hint="eastAsia" w:ascii="宋体" w:hAnsi="宋体" w:eastAsia="宋体" w:cs="宋体"/>
          <w:color w:val="auto"/>
          <w:sz w:val="28"/>
          <w:szCs w:val="28"/>
          <w:highlight w:val="white"/>
          <w:lang w:val="en-US" w:eastAsia="zh-CN"/>
        </w:rPr>
        <w:t>7</w:t>
      </w:r>
      <w:r>
        <w:rPr>
          <w:rFonts w:hint="eastAsia" w:ascii="宋体" w:hAnsi="宋体" w:eastAsia="宋体" w:cs="宋体"/>
          <w:color w:val="auto"/>
          <w:sz w:val="28"/>
          <w:szCs w:val="28"/>
          <w:highlight w:val="white"/>
        </w:rPr>
        <w:t>）供应商认为需要提供的其他</w:t>
      </w:r>
      <w:r>
        <w:rPr>
          <w:rFonts w:hint="eastAsia" w:ascii="宋体" w:hAnsi="宋体" w:eastAsia="宋体" w:cs="宋体"/>
          <w:color w:val="auto"/>
          <w:sz w:val="28"/>
          <w:szCs w:val="28"/>
          <w:highlight w:val="white"/>
          <w:lang w:val="en-US" w:eastAsia="zh-CN"/>
        </w:rPr>
        <w:t>商务</w:t>
      </w:r>
      <w:r>
        <w:rPr>
          <w:rFonts w:hint="eastAsia" w:ascii="宋体" w:hAnsi="宋体" w:eastAsia="宋体" w:cs="宋体"/>
          <w:color w:val="auto"/>
          <w:sz w:val="28"/>
          <w:szCs w:val="28"/>
          <w:highlight w:val="white"/>
        </w:rPr>
        <w:t>文件</w:t>
      </w:r>
      <w:bookmarkEnd w:id="151"/>
    </w:p>
    <w:p w14:paraId="42B767C4">
      <w:pPr>
        <w:spacing w:line="480" w:lineRule="auto"/>
        <w:rPr>
          <w:rFonts w:hint="eastAsia" w:ascii="宋体" w:hAnsi="宋体" w:eastAsia="宋体" w:cs="宋体"/>
          <w:color w:val="auto"/>
          <w:sz w:val="24"/>
          <w:szCs w:val="24"/>
        </w:rPr>
      </w:pPr>
    </w:p>
    <w:p w14:paraId="3C23AEA3">
      <w:pPr>
        <w:pStyle w:val="20"/>
        <w:rPr>
          <w:rFonts w:hint="eastAsia" w:ascii="宋体" w:hAnsi="宋体" w:eastAsia="宋体" w:cs="宋体"/>
          <w:color w:val="auto"/>
        </w:rPr>
      </w:pPr>
      <w:r>
        <w:rPr>
          <w:rFonts w:hint="eastAsia" w:ascii="宋体" w:hAnsi="宋体" w:eastAsia="宋体" w:cs="宋体"/>
          <w:color w:val="auto"/>
          <w:highlight w:val="white"/>
        </w:rPr>
        <w:br w:type="page"/>
      </w:r>
    </w:p>
    <w:p w14:paraId="0BF724A7">
      <w:pPr>
        <w:spacing w:before="240" w:beforeLines="100" w:after="240" w:afterLines="100" w:line="360" w:lineRule="auto"/>
        <w:jc w:val="center"/>
        <w:rPr>
          <w:rFonts w:hint="eastAsia" w:ascii="宋体" w:hAnsi="宋体" w:eastAsia="宋体" w:cs="宋体"/>
          <w:b/>
          <w:color w:val="000000"/>
          <w:sz w:val="36"/>
          <w:szCs w:val="36"/>
          <w:highlight w:val="none"/>
        </w:rPr>
      </w:pPr>
      <w:r>
        <w:rPr>
          <w:rFonts w:hint="eastAsia" w:ascii="宋体" w:hAnsi="宋体" w:eastAsia="宋体" w:cs="宋体"/>
          <w:b/>
          <w:bCs/>
          <w:color w:val="000000"/>
          <w:sz w:val="36"/>
          <w:szCs w:val="36"/>
          <w:highlight w:val="none"/>
        </w:rPr>
        <w:t>中小企业声明函（货物）格式</w:t>
      </w:r>
    </w:p>
    <w:p w14:paraId="31BA34B5">
      <w:pPr>
        <w:spacing w:line="360" w:lineRule="auto"/>
        <w:ind w:left="244" w:leftChars="116" w:firstLine="630" w:firstLineChars="250"/>
        <w:rPr>
          <w:rFonts w:hint="eastAsia" w:ascii="宋体" w:hAnsi="宋体" w:eastAsia="宋体" w:cs="宋体"/>
          <w:spacing w:val="6"/>
          <w:sz w:val="24"/>
          <w:highlight w:val="none"/>
        </w:rPr>
      </w:pPr>
      <w:r>
        <w:rPr>
          <w:rFonts w:hint="eastAsia" w:ascii="宋体" w:hAnsi="宋体" w:eastAsia="宋体" w:cs="宋体"/>
          <w:spacing w:val="6"/>
          <w:sz w:val="24"/>
          <w:highlight w:val="none"/>
        </w:rPr>
        <w:t>本公司（联合体）郑重声明，根据《政府采购促进中小企业发展管理办法》（财库﹝2020﹞46号）的规定，本公司（联合体）参加（单位名称）的（项目名称）采购活动，提供的货物全部由符合政策要求的中小企业制造。相关企业（含联合体中的中小企业、签订分包意向协议的中小企业）的具体情况如下：</w:t>
      </w:r>
    </w:p>
    <w:p w14:paraId="700B0760">
      <w:pPr>
        <w:spacing w:line="360" w:lineRule="auto"/>
        <w:ind w:firstLine="504"/>
        <w:rPr>
          <w:rFonts w:hint="eastAsia" w:ascii="宋体" w:hAnsi="宋体" w:eastAsia="宋体" w:cs="宋体"/>
          <w:spacing w:val="6"/>
          <w:sz w:val="24"/>
          <w:highlight w:val="none"/>
        </w:rPr>
      </w:pPr>
      <w:r>
        <w:rPr>
          <w:rFonts w:hint="eastAsia" w:ascii="宋体" w:hAnsi="宋体" w:eastAsia="宋体" w:cs="宋体"/>
          <w:spacing w:val="6"/>
          <w:sz w:val="24"/>
          <w:highlight w:val="none"/>
        </w:rPr>
        <w:t>1.</w:t>
      </w:r>
      <w:r>
        <w:rPr>
          <w:rFonts w:hint="eastAsia" w:ascii="宋体" w:hAnsi="宋体" w:eastAsia="宋体" w:cs="宋体"/>
          <w:spacing w:val="6"/>
          <w:sz w:val="24"/>
          <w:highlight w:val="none"/>
          <w:u w:val="single"/>
        </w:rPr>
        <w:t>（标的名称）</w:t>
      </w:r>
      <w:r>
        <w:rPr>
          <w:rFonts w:hint="eastAsia" w:ascii="宋体" w:hAnsi="宋体" w:eastAsia="宋体" w:cs="宋体"/>
          <w:spacing w:val="6"/>
          <w:sz w:val="24"/>
          <w:highlight w:val="none"/>
        </w:rPr>
        <w:t>，属于</w:t>
      </w:r>
      <w:r>
        <w:rPr>
          <w:rFonts w:hint="eastAsia" w:ascii="宋体" w:hAnsi="宋体" w:eastAsia="宋体" w:cs="宋体"/>
          <w:spacing w:val="6"/>
          <w:sz w:val="24"/>
          <w:highlight w:val="none"/>
          <w:u w:val="single"/>
        </w:rPr>
        <w:t>（采购文件中明确的所属行业）</w:t>
      </w:r>
      <w:r>
        <w:rPr>
          <w:rFonts w:hint="eastAsia" w:ascii="宋体" w:hAnsi="宋体" w:eastAsia="宋体" w:cs="宋体"/>
          <w:spacing w:val="6"/>
          <w:sz w:val="24"/>
          <w:highlight w:val="none"/>
        </w:rPr>
        <w:t>行业；制造商为</w:t>
      </w:r>
      <w:r>
        <w:rPr>
          <w:rFonts w:hint="eastAsia" w:ascii="宋体" w:hAnsi="宋体" w:eastAsia="宋体" w:cs="宋体"/>
          <w:spacing w:val="6"/>
          <w:sz w:val="24"/>
          <w:highlight w:val="none"/>
          <w:u w:val="single"/>
        </w:rPr>
        <w:t>（企业名称）</w:t>
      </w:r>
      <w:r>
        <w:rPr>
          <w:rFonts w:hint="eastAsia" w:ascii="宋体" w:hAnsi="宋体" w:eastAsia="宋体" w:cs="宋体"/>
          <w:spacing w:val="6"/>
          <w:sz w:val="24"/>
          <w:highlight w:val="none"/>
        </w:rPr>
        <w:t>，从业人员______人，营业收入为______万元，资产总额为______万元</w:t>
      </w:r>
      <w:r>
        <w:rPr>
          <w:rFonts w:hint="eastAsia" w:ascii="宋体" w:hAnsi="宋体" w:eastAsia="宋体" w:cs="宋体"/>
          <w:spacing w:val="6"/>
          <w:sz w:val="24"/>
          <w:highlight w:val="none"/>
          <w:vertAlign w:val="superscript"/>
        </w:rPr>
        <w:t>1</w:t>
      </w:r>
      <w:r>
        <w:rPr>
          <w:rFonts w:hint="eastAsia" w:ascii="宋体" w:hAnsi="宋体" w:eastAsia="宋体" w:cs="宋体"/>
          <w:spacing w:val="6"/>
          <w:sz w:val="24"/>
          <w:highlight w:val="none"/>
        </w:rPr>
        <w:t>，属于（中型企业、小型企业、微型企业）；</w:t>
      </w:r>
    </w:p>
    <w:p w14:paraId="48337947">
      <w:pPr>
        <w:spacing w:line="360" w:lineRule="auto"/>
        <w:ind w:firstLine="504"/>
        <w:rPr>
          <w:rFonts w:hint="eastAsia" w:ascii="宋体" w:hAnsi="宋体" w:eastAsia="宋体" w:cs="宋体"/>
          <w:spacing w:val="6"/>
          <w:sz w:val="24"/>
          <w:highlight w:val="none"/>
        </w:rPr>
      </w:pPr>
      <w:r>
        <w:rPr>
          <w:rFonts w:hint="eastAsia" w:ascii="宋体" w:hAnsi="宋体" w:eastAsia="宋体" w:cs="宋体"/>
          <w:spacing w:val="6"/>
          <w:sz w:val="24"/>
          <w:highlight w:val="none"/>
        </w:rPr>
        <w:t>2.</w:t>
      </w:r>
      <w:r>
        <w:rPr>
          <w:rFonts w:hint="eastAsia" w:ascii="宋体" w:hAnsi="宋体" w:eastAsia="宋体" w:cs="宋体"/>
          <w:spacing w:val="6"/>
          <w:sz w:val="24"/>
          <w:highlight w:val="none"/>
          <w:u w:val="single"/>
        </w:rPr>
        <w:t>（标的名称）</w:t>
      </w:r>
      <w:r>
        <w:rPr>
          <w:rFonts w:hint="eastAsia" w:ascii="宋体" w:hAnsi="宋体" w:eastAsia="宋体" w:cs="宋体"/>
          <w:spacing w:val="6"/>
          <w:sz w:val="24"/>
          <w:highlight w:val="none"/>
        </w:rPr>
        <w:t>，属于</w:t>
      </w:r>
      <w:r>
        <w:rPr>
          <w:rFonts w:hint="eastAsia" w:ascii="宋体" w:hAnsi="宋体" w:eastAsia="宋体" w:cs="宋体"/>
          <w:spacing w:val="6"/>
          <w:sz w:val="24"/>
          <w:highlight w:val="none"/>
          <w:u w:val="single"/>
        </w:rPr>
        <w:t>（采购文件中明确的所属行业）</w:t>
      </w:r>
      <w:r>
        <w:rPr>
          <w:rFonts w:hint="eastAsia" w:ascii="宋体" w:hAnsi="宋体" w:eastAsia="宋体" w:cs="宋体"/>
          <w:spacing w:val="6"/>
          <w:sz w:val="24"/>
          <w:highlight w:val="none"/>
        </w:rPr>
        <w:t>行业；制造商为</w:t>
      </w:r>
      <w:r>
        <w:rPr>
          <w:rFonts w:hint="eastAsia" w:ascii="宋体" w:hAnsi="宋体" w:eastAsia="宋体" w:cs="宋体"/>
          <w:spacing w:val="6"/>
          <w:sz w:val="24"/>
          <w:highlight w:val="none"/>
          <w:u w:val="single"/>
        </w:rPr>
        <w:t>（企业名称）</w:t>
      </w:r>
      <w:r>
        <w:rPr>
          <w:rFonts w:hint="eastAsia" w:ascii="宋体" w:hAnsi="宋体" w:eastAsia="宋体" w:cs="宋体"/>
          <w:spacing w:val="6"/>
          <w:sz w:val="24"/>
          <w:highlight w:val="none"/>
        </w:rPr>
        <w:t>，从业人员______人，营业收入为______万元，资产总额为______万元，属于</w:t>
      </w:r>
      <w:r>
        <w:rPr>
          <w:rFonts w:hint="eastAsia" w:ascii="宋体" w:hAnsi="宋体" w:eastAsia="宋体" w:cs="宋体"/>
          <w:spacing w:val="6"/>
          <w:sz w:val="24"/>
          <w:highlight w:val="none"/>
          <w:u w:val="single"/>
        </w:rPr>
        <w:t>（中型企业、小型企业、微型企业）</w:t>
      </w:r>
      <w:r>
        <w:rPr>
          <w:rFonts w:hint="eastAsia" w:ascii="宋体" w:hAnsi="宋体" w:eastAsia="宋体" w:cs="宋体"/>
          <w:spacing w:val="6"/>
          <w:sz w:val="24"/>
          <w:highlight w:val="none"/>
        </w:rPr>
        <w:t>；</w:t>
      </w:r>
    </w:p>
    <w:p w14:paraId="3765266B">
      <w:pPr>
        <w:spacing w:line="360" w:lineRule="auto"/>
        <w:ind w:firstLine="504"/>
        <w:rPr>
          <w:rFonts w:hint="eastAsia" w:ascii="宋体" w:hAnsi="宋体" w:eastAsia="宋体" w:cs="宋体"/>
          <w:spacing w:val="6"/>
          <w:sz w:val="24"/>
          <w:highlight w:val="none"/>
        </w:rPr>
      </w:pPr>
      <w:r>
        <w:rPr>
          <w:rFonts w:hint="eastAsia" w:ascii="宋体" w:hAnsi="宋体" w:eastAsia="宋体" w:cs="宋体"/>
          <w:spacing w:val="6"/>
          <w:sz w:val="24"/>
          <w:highlight w:val="none"/>
        </w:rPr>
        <w:t>……</w:t>
      </w:r>
    </w:p>
    <w:p w14:paraId="5FC68C5A">
      <w:pPr>
        <w:spacing w:line="360" w:lineRule="auto"/>
        <w:ind w:firstLine="504"/>
        <w:rPr>
          <w:rFonts w:hint="eastAsia" w:ascii="宋体" w:hAnsi="宋体" w:eastAsia="宋体" w:cs="宋体"/>
          <w:spacing w:val="6"/>
          <w:sz w:val="24"/>
          <w:highlight w:val="none"/>
        </w:rPr>
      </w:pPr>
      <w:r>
        <w:rPr>
          <w:rFonts w:hint="eastAsia" w:ascii="宋体" w:hAnsi="宋体" w:eastAsia="宋体" w:cs="宋体"/>
          <w:spacing w:val="6"/>
          <w:sz w:val="24"/>
          <w:highlight w:val="none"/>
        </w:rPr>
        <w:t>以上企业，不属于大企业的分支机构，不存在控股股东为大企业的情形，也不存在与大企业的负责人为同一人的情形。</w:t>
      </w:r>
    </w:p>
    <w:p w14:paraId="6F3F39AA">
      <w:pPr>
        <w:spacing w:line="360" w:lineRule="auto"/>
        <w:ind w:firstLine="504"/>
        <w:rPr>
          <w:rFonts w:hint="eastAsia" w:ascii="宋体" w:hAnsi="宋体" w:eastAsia="宋体" w:cs="宋体"/>
          <w:spacing w:val="6"/>
          <w:sz w:val="24"/>
          <w:highlight w:val="none"/>
        </w:rPr>
      </w:pPr>
      <w:r>
        <w:rPr>
          <w:rFonts w:hint="eastAsia" w:ascii="宋体" w:hAnsi="宋体" w:eastAsia="宋体" w:cs="宋体"/>
          <w:spacing w:val="6"/>
          <w:sz w:val="24"/>
          <w:highlight w:val="none"/>
        </w:rPr>
        <w:t>本企业对上述声明内容的真实性负责。如有虚假，将依法承担相应责任。</w:t>
      </w:r>
    </w:p>
    <w:p w14:paraId="573A636B">
      <w:pPr>
        <w:spacing w:line="360" w:lineRule="auto"/>
        <w:ind w:firstLine="504"/>
        <w:rPr>
          <w:rFonts w:hint="eastAsia" w:ascii="宋体" w:hAnsi="宋体" w:eastAsia="宋体" w:cs="宋体"/>
          <w:spacing w:val="6"/>
          <w:sz w:val="24"/>
          <w:highlight w:val="none"/>
        </w:rPr>
      </w:pPr>
    </w:p>
    <w:p w14:paraId="1A8EB793">
      <w:pPr>
        <w:spacing w:line="360" w:lineRule="auto"/>
        <w:ind w:right="360" w:firstLine="480"/>
        <w:jc w:val="right"/>
        <w:rPr>
          <w:rFonts w:hint="eastAsia" w:ascii="宋体" w:hAnsi="宋体" w:eastAsia="宋体" w:cs="宋体"/>
          <w:color w:val="000000"/>
          <w:sz w:val="24"/>
          <w:highlight w:val="none"/>
        </w:rPr>
      </w:pPr>
      <w:r>
        <w:rPr>
          <w:rFonts w:hint="eastAsia" w:ascii="宋体" w:hAnsi="宋体" w:eastAsia="宋体" w:cs="宋体"/>
          <w:color w:val="000000"/>
          <w:sz w:val="24"/>
          <w:highlight w:val="none"/>
        </w:rPr>
        <w:t>企业名称（盖章）：________</w:t>
      </w:r>
    </w:p>
    <w:p w14:paraId="19AC9464">
      <w:pPr>
        <w:spacing w:line="360" w:lineRule="auto"/>
        <w:ind w:right="360" w:firstLine="480"/>
        <w:jc w:val="right"/>
        <w:rPr>
          <w:rFonts w:hint="eastAsia" w:ascii="宋体" w:hAnsi="宋体" w:eastAsia="宋体" w:cs="宋体"/>
          <w:color w:val="000000"/>
          <w:sz w:val="24"/>
          <w:highlight w:val="none"/>
        </w:rPr>
      </w:pPr>
      <w:r>
        <w:rPr>
          <w:rFonts w:hint="eastAsia" w:ascii="宋体" w:hAnsi="宋体" w:eastAsia="宋体" w:cs="宋体"/>
          <w:color w:val="000000"/>
          <w:sz w:val="24"/>
          <w:highlight w:val="none"/>
        </w:rPr>
        <w:t>日期：________</w:t>
      </w:r>
    </w:p>
    <w:p w14:paraId="6B126DF7">
      <w:pPr>
        <w:spacing w:line="360" w:lineRule="auto"/>
        <w:ind w:right="360" w:firstLine="480"/>
        <w:jc w:val="right"/>
        <w:rPr>
          <w:rFonts w:hint="eastAsia" w:ascii="宋体" w:hAnsi="宋体" w:eastAsia="宋体" w:cs="宋体"/>
          <w:color w:val="000000"/>
          <w:sz w:val="24"/>
          <w:highlight w:val="none"/>
        </w:rPr>
      </w:pPr>
    </w:p>
    <w:p w14:paraId="53C3DF10">
      <w:pPr>
        <w:spacing w:line="360" w:lineRule="auto"/>
        <w:ind w:right="360" w:firstLine="480"/>
        <w:jc w:val="right"/>
        <w:rPr>
          <w:rFonts w:hint="eastAsia" w:ascii="宋体" w:hAnsi="宋体" w:eastAsia="宋体" w:cs="宋体"/>
          <w:color w:val="000000"/>
          <w:sz w:val="24"/>
          <w:highlight w:val="none"/>
        </w:rPr>
      </w:pPr>
    </w:p>
    <w:tbl>
      <w:tblPr>
        <w:tblStyle w:val="29"/>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11400191">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noWrap w:val="0"/>
            <w:vAlign w:val="top"/>
          </w:tcPr>
          <w:p w14:paraId="0FD8EA30">
            <w:pPr>
              <w:adjustRightInd w:val="0"/>
              <w:snapToGrid w:val="0"/>
              <w:jc w:val="left"/>
              <w:rPr>
                <w:rFonts w:hint="eastAsia" w:ascii="宋体" w:hAnsi="宋体" w:eastAsia="宋体" w:cs="宋体"/>
                <w:color w:val="000000"/>
                <w:szCs w:val="21"/>
                <w:highlight w:val="none"/>
              </w:rPr>
            </w:pPr>
            <w:r>
              <w:rPr>
                <w:rFonts w:hint="eastAsia" w:ascii="宋体" w:hAnsi="宋体" w:eastAsia="宋体" w:cs="宋体"/>
                <w:color w:val="000000"/>
                <w:szCs w:val="21"/>
                <w:highlight w:val="none"/>
                <w:vertAlign w:val="superscript"/>
              </w:rPr>
              <w:t>1</w:t>
            </w:r>
            <w:r>
              <w:rPr>
                <w:rFonts w:hint="eastAsia" w:ascii="宋体" w:hAnsi="宋体" w:eastAsia="宋体" w:cs="宋体"/>
                <w:color w:val="000000"/>
                <w:szCs w:val="21"/>
                <w:highlight w:val="none"/>
              </w:rPr>
              <w:t>从业人员、营业收入、资产总额填报上一年度数据，无上一年度数据的新成立企业可不填报。</w:t>
            </w:r>
          </w:p>
        </w:tc>
      </w:tr>
    </w:tbl>
    <w:p w14:paraId="166EFA1B">
      <w:pPr>
        <w:rPr>
          <w:rFonts w:hint="eastAsia" w:ascii="宋体" w:hAnsi="宋体" w:eastAsia="宋体" w:cs="宋体"/>
          <w:color w:val="auto"/>
          <w:highlight w:val="none"/>
          <w:lang w:val="en-US" w:eastAsia="zh-CN"/>
        </w:rPr>
      </w:pPr>
      <w:r>
        <w:rPr>
          <w:rFonts w:hint="eastAsia" w:ascii="宋体" w:hAnsi="宋体" w:eastAsia="宋体" w:cs="宋体"/>
          <w:i/>
          <w:color w:val="auto"/>
          <w:sz w:val="24"/>
          <w:szCs w:val="24"/>
        </w:rPr>
        <w:br w:type="page"/>
      </w:r>
    </w:p>
    <w:p w14:paraId="35F1EF01">
      <w:pPr>
        <w:pStyle w:val="3"/>
        <w:jc w:val="center"/>
        <w:rPr>
          <w:rFonts w:hint="eastAsia" w:ascii="宋体" w:hAnsi="宋体" w:eastAsia="宋体" w:cs="宋体"/>
          <w:b/>
          <w:bCs w:val="0"/>
          <w:color w:val="auto"/>
          <w:highlight w:val="white"/>
        </w:rPr>
      </w:pPr>
    </w:p>
    <w:p w14:paraId="65A48F2C">
      <w:pPr>
        <w:pStyle w:val="3"/>
        <w:jc w:val="center"/>
        <w:rPr>
          <w:rFonts w:hint="eastAsia" w:ascii="宋体" w:hAnsi="宋体" w:eastAsia="宋体" w:cs="宋体"/>
          <w:b/>
          <w:bCs w:val="0"/>
          <w:color w:val="auto"/>
        </w:rPr>
      </w:pPr>
      <w:r>
        <w:rPr>
          <w:rFonts w:hint="eastAsia" w:ascii="宋体" w:hAnsi="宋体" w:eastAsia="宋体" w:cs="宋体"/>
          <w:b/>
          <w:bCs w:val="0"/>
          <w:color w:val="auto"/>
          <w:highlight w:val="white"/>
          <w:lang w:val="en-US" w:eastAsia="zh-CN"/>
        </w:rPr>
        <w:t>三</w:t>
      </w:r>
      <w:r>
        <w:rPr>
          <w:rFonts w:hint="eastAsia" w:ascii="宋体" w:hAnsi="宋体" w:eastAsia="宋体" w:cs="宋体"/>
          <w:b/>
          <w:bCs w:val="0"/>
          <w:color w:val="auto"/>
          <w:highlight w:val="white"/>
        </w:rPr>
        <w:t>、</w:t>
      </w:r>
      <w:r>
        <w:rPr>
          <w:rFonts w:hint="eastAsia" w:ascii="宋体" w:hAnsi="宋体" w:eastAsia="宋体" w:cs="宋体"/>
          <w:b/>
          <w:bCs w:val="0"/>
          <w:color w:val="auto"/>
          <w:highlight w:val="white"/>
          <w:lang w:val="en-US" w:eastAsia="zh-CN"/>
        </w:rPr>
        <w:t>技术</w:t>
      </w:r>
      <w:r>
        <w:rPr>
          <w:rFonts w:hint="eastAsia" w:ascii="宋体" w:hAnsi="宋体" w:eastAsia="宋体" w:cs="宋体"/>
          <w:b/>
          <w:bCs w:val="0"/>
          <w:color w:val="auto"/>
          <w:highlight w:val="white"/>
        </w:rPr>
        <w:t>文件</w:t>
      </w:r>
    </w:p>
    <w:p w14:paraId="58E48465">
      <w:pPr>
        <w:widowControl/>
        <w:adjustRightInd w:val="0"/>
        <w:snapToGrid w:val="0"/>
        <w:spacing w:line="360" w:lineRule="auto"/>
        <w:jc w:val="center"/>
        <w:rPr>
          <w:rFonts w:hint="eastAsia" w:ascii="宋体" w:hAnsi="宋体" w:eastAsia="宋体" w:cs="宋体"/>
          <w:b w:val="0"/>
          <w:bCs/>
          <w:color w:val="auto"/>
          <w:kern w:val="2"/>
          <w:sz w:val="32"/>
          <w:szCs w:val="28"/>
          <w:highlight w:val="none"/>
          <w:lang w:val="en-US" w:eastAsia="zh-CN" w:bidi="ar-SA"/>
        </w:rPr>
      </w:pPr>
      <w:r>
        <w:rPr>
          <w:rFonts w:hint="eastAsia" w:ascii="宋体" w:hAnsi="宋体" w:eastAsia="宋体" w:cs="宋体"/>
          <w:b w:val="0"/>
          <w:bCs/>
          <w:color w:val="auto"/>
          <w:kern w:val="2"/>
          <w:sz w:val="32"/>
          <w:szCs w:val="28"/>
          <w:highlight w:val="none"/>
          <w:lang w:val="en-US" w:eastAsia="zh-CN" w:bidi="ar-SA"/>
        </w:rPr>
        <w:t>技术方案</w:t>
      </w:r>
    </w:p>
    <w:p w14:paraId="65ACB396">
      <w:pPr>
        <w:spacing w:line="440" w:lineRule="exact"/>
        <w:jc w:val="center"/>
        <w:rPr>
          <w:rFonts w:hint="eastAsia" w:ascii="宋体" w:hAnsi="宋体" w:eastAsia="宋体" w:cs="宋体"/>
          <w:b w:val="0"/>
          <w:bCs/>
          <w:color w:val="auto"/>
          <w:sz w:val="32"/>
          <w:szCs w:val="22"/>
          <w:highlight w:val="none"/>
        </w:rPr>
      </w:pPr>
      <w:r>
        <w:rPr>
          <w:rFonts w:hint="eastAsia" w:ascii="宋体" w:hAnsi="宋体" w:eastAsia="宋体" w:cs="宋体"/>
          <w:b w:val="0"/>
          <w:bCs/>
          <w:color w:val="auto"/>
          <w:sz w:val="32"/>
          <w:szCs w:val="22"/>
          <w:highlight w:val="none"/>
        </w:rPr>
        <w:t>（根据需要编写，格式自制）</w:t>
      </w:r>
    </w:p>
    <w:p w14:paraId="76A29837">
      <w:pPr>
        <w:spacing w:line="440" w:lineRule="exact"/>
        <w:ind w:firstLine="480" w:firstLineChars="200"/>
        <w:rPr>
          <w:rFonts w:hint="eastAsia" w:ascii="宋体" w:hAnsi="宋体" w:eastAsia="宋体" w:cs="宋体"/>
          <w:color w:val="auto"/>
          <w:sz w:val="24"/>
          <w:highlight w:val="none"/>
        </w:rPr>
      </w:pPr>
    </w:p>
    <w:p w14:paraId="6172E178">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outlineLvl w:val="2"/>
        <w:rPr>
          <w:rFonts w:hint="eastAsia" w:ascii="宋体" w:hAnsi="宋体" w:eastAsia="宋体" w:cs="宋体"/>
          <w:color w:val="auto"/>
          <w:sz w:val="24"/>
          <w:szCs w:val="24"/>
          <w:highlight w:val="none"/>
        </w:rPr>
      </w:pPr>
      <w:bookmarkStart w:id="152" w:name="_Toc6353"/>
      <w:r>
        <w:rPr>
          <w:rFonts w:hint="eastAsia" w:ascii="宋体" w:hAnsi="宋体" w:eastAsia="宋体" w:cs="宋体"/>
          <w:color w:val="auto"/>
          <w:sz w:val="24"/>
          <w:szCs w:val="24"/>
          <w:highlight w:val="none"/>
        </w:rPr>
        <w:t>1、 项目</w:t>
      </w:r>
      <w:r>
        <w:rPr>
          <w:rFonts w:hint="eastAsia" w:ascii="宋体" w:hAnsi="宋体" w:eastAsia="宋体" w:cs="宋体"/>
          <w:color w:val="auto"/>
          <w:sz w:val="24"/>
          <w:szCs w:val="24"/>
          <w:highlight w:val="none"/>
          <w:lang w:val="en-US" w:eastAsia="zh-CN"/>
        </w:rPr>
        <w:t>技术</w:t>
      </w:r>
      <w:r>
        <w:rPr>
          <w:rFonts w:hint="eastAsia" w:ascii="宋体" w:hAnsi="宋体" w:eastAsia="宋体" w:cs="宋体"/>
          <w:color w:val="auto"/>
          <w:sz w:val="24"/>
          <w:szCs w:val="24"/>
          <w:highlight w:val="none"/>
        </w:rPr>
        <w:t>方案；</w:t>
      </w:r>
      <w:bookmarkEnd w:id="152"/>
    </w:p>
    <w:p w14:paraId="1398FBE7">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（1）服务方案及保障措施；</w:t>
      </w:r>
    </w:p>
    <w:p w14:paraId="0AC06FE4">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（2）质量保障措施；</w:t>
      </w:r>
    </w:p>
    <w:p w14:paraId="47B8247C">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（3）售后服务承诺；</w:t>
      </w:r>
    </w:p>
    <w:p w14:paraId="15174DA2">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（4）供应商认为需要提供的其他技术文件；</w:t>
      </w:r>
    </w:p>
    <w:p w14:paraId="625BD622">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上述内容仅供参考，如有不足，请自行补充提供。</w:t>
      </w:r>
    </w:p>
    <w:p w14:paraId="7DB7C6FC">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7F6D76F7">
      <w:pPr>
        <w:pStyle w:val="4"/>
        <w:numPr>
          <w:ilvl w:val="2"/>
          <w:numId w:val="0"/>
        </w:numPr>
        <w:tabs>
          <w:tab w:val="clear" w:pos="720"/>
          <w:tab w:val="clear" w:pos="1260"/>
        </w:tabs>
        <w:jc w:val="center"/>
        <w:rPr>
          <w:rFonts w:ascii="宋体" w:hAnsi="宋体" w:eastAsia="宋体" w:cs="宋体"/>
          <w:b/>
          <w:bCs w:val="0"/>
        </w:rPr>
      </w:pPr>
      <w:bookmarkStart w:id="153" w:name="_Toc30503"/>
      <w:bookmarkStart w:id="154" w:name="_Toc16387"/>
      <w:r>
        <w:rPr>
          <w:rFonts w:hint="eastAsia" w:ascii="宋体" w:hAnsi="宋体" w:eastAsia="宋体" w:cs="宋体"/>
          <w:b/>
          <w:bCs w:val="0"/>
          <w:sz w:val="28"/>
          <w:szCs w:val="28"/>
        </w:rPr>
        <w:t>中小企业划分标准</w:t>
      </w:r>
      <w:bookmarkEnd w:id="153"/>
      <w:bookmarkEnd w:id="154"/>
    </w:p>
    <w:p w14:paraId="025B918B">
      <w:pPr>
        <w:ind w:firstLine="480"/>
        <w:rPr>
          <w:rFonts w:ascii="宋体" w:hAnsi="宋体" w:cs="宋体"/>
        </w:rPr>
      </w:pPr>
      <w:bookmarkStart w:id="155" w:name="bookmark4"/>
      <w:bookmarkStart w:id="156" w:name="bookmark5"/>
      <w:r>
        <w:rPr>
          <w:rFonts w:hint="eastAsia" w:ascii="宋体" w:hAnsi="宋体" w:cs="宋体"/>
        </w:rPr>
        <w:t>工业和信息化部、国家统计局、发展改革委、财政部等四部门《关于印发中小企业划型标准规定的通知》（工信部联企业〔2011〕300号）规定中小企业划型标准如表所示：</w:t>
      </w:r>
      <w:bookmarkEnd w:id="155"/>
      <w:bookmarkEnd w:id="156"/>
    </w:p>
    <w:tbl>
      <w:tblPr>
        <w:tblStyle w:val="29"/>
        <w:tblW w:w="97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729"/>
        <w:gridCol w:w="1049"/>
        <w:gridCol w:w="6990"/>
      </w:tblGrid>
      <w:tr w14:paraId="30F75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restart"/>
            <w:shd w:val="clear" w:color="auto" w:fill="FFFFFF"/>
            <w:vAlign w:val="center"/>
          </w:tcPr>
          <w:p w14:paraId="393D31E3">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农、林、牧、渔业</w:t>
            </w:r>
          </w:p>
        </w:tc>
        <w:tc>
          <w:tcPr>
            <w:tcW w:w="8039" w:type="dxa"/>
            <w:gridSpan w:val="2"/>
            <w:shd w:val="clear" w:color="auto" w:fill="FFFFFF"/>
            <w:vAlign w:val="center"/>
          </w:tcPr>
          <w:p w14:paraId="2886401B">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营业收入20000万元以下的为中小微型企业。</w:t>
            </w:r>
          </w:p>
        </w:tc>
      </w:tr>
      <w:tr w14:paraId="7379D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shd w:val="clear" w:color="auto" w:fill="FFFFFF"/>
            <w:vAlign w:val="center"/>
          </w:tcPr>
          <w:p w14:paraId="15ACC780">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p>
        </w:tc>
        <w:tc>
          <w:tcPr>
            <w:tcW w:w="1049" w:type="dxa"/>
            <w:shd w:val="clear" w:color="auto" w:fill="FFFFFF"/>
            <w:vAlign w:val="center"/>
          </w:tcPr>
          <w:p w14:paraId="0D416BD6">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中型</w:t>
            </w:r>
          </w:p>
        </w:tc>
        <w:tc>
          <w:tcPr>
            <w:tcW w:w="6990" w:type="dxa"/>
            <w:shd w:val="clear" w:color="auto" w:fill="FFFFFF"/>
            <w:vAlign w:val="center"/>
          </w:tcPr>
          <w:p w14:paraId="44D405A1">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500万元</w:t>
            </w:r>
            <w:r>
              <w:rPr>
                <w:rFonts w:hint="eastAsia" w:ascii="宋体" w:hAnsi="宋体" w:eastAsia="宋体" w:cs="宋体"/>
                <w:sz w:val="21"/>
                <w:szCs w:val="21"/>
                <w:lang w:val="en-US"/>
              </w:rPr>
              <w:t>-</w:t>
            </w:r>
            <w:r>
              <w:rPr>
                <w:rFonts w:hint="eastAsia" w:ascii="宋体" w:hAnsi="宋体" w:eastAsia="宋体" w:cs="宋体"/>
                <w:sz w:val="21"/>
                <w:szCs w:val="21"/>
              </w:rPr>
              <w:t>20 000万元</w:t>
            </w:r>
          </w:p>
        </w:tc>
      </w:tr>
      <w:tr w14:paraId="69ED7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shd w:val="clear" w:color="auto" w:fill="FFFFFF"/>
            <w:vAlign w:val="center"/>
          </w:tcPr>
          <w:p w14:paraId="569FD6D4">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p>
        </w:tc>
        <w:tc>
          <w:tcPr>
            <w:tcW w:w="1049" w:type="dxa"/>
            <w:shd w:val="clear" w:color="auto" w:fill="FFFFFF"/>
            <w:vAlign w:val="center"/>
          </w:tcPr>
          <w:p w14:paraId="4390B9B8">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小型</w:t>
            </w:r>
          </w:p>
        </w:tc>
        <w:tc>
          <w:tcPr>
            <w:tcW w:w="6990" w:type="dxa"/>
            <w:shd w:val="clear" w:color="auto" w:fill="FFFFFF"/>
            <w:vAlign w:val="center"/>
          </w:tcPr>
          <w:p w14:paraId="05CC2D37">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50万元</w:t>
            </w:r>
            <w:r>
              <w:rPr>
                <w:rFonts w:hint="eastAsia" w:ascii="宋体" w:hAnsi="宋体" w:eastAsia="宋体" w:cs="宋体"/>
                <w:sz w:val="21"/>
                <w:szCs w:val="21"/>
                <w:lang w:val="en-US"/>
              </w:rPr>
              <w:t>-</w:t>
            </w:r>
            <w:r>
              <w:rPr>
                <w:rFonts w:hint="eastAsia" w:ascii="宋体" w:hAnsi="宋体" w:eastAsia="宋体" w:cs="宋体"/>
                <w:sz w:val="21"/>
                <w:szCs w:val="21"/>
              </w:rPr>
              <w:t>500万元</w:t>
            </w:r>
          </w:p>
        </w:tc>
      </w:tr>
      <w:tr w14:paraId="2D079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shd w:val="clear" w:color="auto" w:fill="FFFFFF"/>
            <w:vAlign w:val="center"/>
          </w:tcPr>
          <w:p w14:paraId="11644AC3">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p>
        </w:tc>
        <w:tc>
          <w:tcPr>
            <w:tcW w:w="1049" w:type="dxa"/>
            <w:shd w:val="clear" w:color="auto" w:fill="FFFFFF"/>
            <w:vAlign w:val="center"/>
          </w:tcPr>
          <w:p w14:paraId="6E35EFBA">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微型</w:t>
            </w:r>
          </w:p>
        </w:tc>
        <w:tc>
          <w:tcPr>
            <w:tcW w:w="6990" w:type="dxa"/>
            <w:shd w:val="clear" w:color="auto" w:fill="FFFFFF"/>
            <w:vAlign w:val="center"/>
          </w:tcPr>
          <w:p w14:paraId="0315C213">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50万元以下</w:t>
            </w:r>
          </w:p>
        </w:tc>
      </w:tr>
      <w:tr w14:paraId="41916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restart"/>
            <w:shd w:val="clear" w:color="auto" w:fill="FFFFFF"/>
            <w:vAlign w:val="center"/>
          </w:tcPr>
          <w:p w14:paraId="71EBAB0E">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工业</w:t>
            </w:r>
          </w:p>
          <w:p w14:paraId="485A83CB">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（包括采矿业，制造业，电力、热力、燃气及水生产和供应业）</w:t>
            </w:r>
          </w:p>
        </w:tc>
        <w:tc>
          <w:tcPr>
            <w:tcW w:w="8039" w:type="dxa"/>
            <w:gridSpan w:val="2"/>
            <w:shd w:val="clear" w:color="auto" w:fill="FFFFFF"/>
            <w:vAlign w:val="center"/>
          </w:tcPr>
          <w:p w14:paraId="2D55BF78">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从业人员1 000人以下或营业收入 40000万元以下的为中小微型企业。</w:t>
            </w:r>
          </w:p>
        </w:tc>
      </w:tr>
      <w:tr w14:paraId="714C0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shd w:val="clear" w:color="auto" w:fill="FFFFFF"/>
            <w:vAlign w:val="center"/>
          </w:tcPr>
          <w:p w14:paraId="10A3397A">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p>
        </w:tc>
        <w:tc>
          <w:tcPr>
            <w:tcW w:w="1049" w:type="dxa"/>
            <w:shd w:val="clear" w:color="auto" w:fill="FFFFFF"/>
            <w:vAlign w:val="center"/>
          </w:tcPr>
          <w:p w14:paraId="605C02F7">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中型</w:t>
            </w:r>
          </w:p>
        </w:tc>
        <w:tc>
          <w:tcPr>
            <w:tcW w:w="6990" w:type="dxa"/>
            <w:shd w:val="clear" w:color="auto" w:fill="FFFFFF"/>
            <w:vAlign w:val="center"/>
          </w:tcPr>
          <w:p w14:paraId="332D420E">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从业人员 300人一1 000人，且营业收入 2 000万元一40 000万元</w:t>
            </w:r>
          </w:p>
        </w:tc>
      </w:tr>
      <w:tr w14:paraId="7EF9C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shd w:val="clear" w:color="auto" w:fill="FFFFFF"/>
            <w:vAlign w:val="center"/>
          </w:tcPr>
          <w:p w14:paraId="21A12104">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p>
        </w:tc>
        <w:tc>
          <w:tcPr>
            <w:tcW w:w="1049" w:type="dxa"/>
            <w:shd w:val="clear" w:color="auto" w:fill="FFFFFF"/>
            <w:vAlign w:val="center"/>
          </w:tcPr>
          <w:p w14:paraId="2A1EBBD0">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小型</w:t>
            </w:r>
          </w:p>
        </w:tc>
        <w:tc>
          <w:tcPr>
            <w:tcW w:w="6990" w:type="dxa"/>
            <w:shd w:val="clear" w:color="auto" w:fill="FFFFFF"/>
            <w:vAlign w:val="center"/>
          </w:tcPr>
          <w:p w14:paraId="0ACF8B40">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从业人员20人一300人，且营业收入 300万元一2 000万元</w:t>
            </w:r>
          </w:p>
        </w:tc>
      </w:tr>
      <w:tr w14:paraId="2DE20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shd w:val="clear" w:color="auto" w:fill="FFFFFF"/>
            <w:vAlign w:val="center"/>
          </w:tcPr>
          <w:p w14:paraId="5B8E97DE">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p>
        </w:tc>
        <w:tc>
          <w:tcPr>
            <w:tcW w:w="1049" w:type="dxa"/>
            <w:shd w:val="clear" w:color="auto" w:fill="FFFFFF"/>
            <w:vAlign w:val="center"/>
          </w:tcPr>
          <w:p w14:paraId="329E90A1">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微型</w:t>
            </w:r>
          </w:p>
        </w:tc>
        <w:tc>
          <w:tcPr>
            <w:tcW w:w="6990" w:type="dxa"/>
            <w:shd w:val="clear" w:color="auto" w:fill="FFFFFF"/>
            <w:vAlign w:val="center"/>
          </w:tcPr>
          <w:p w14:paraId="2F6670AD">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从业人员20人以下或营业收入 300万元以下</w:t>
            </w:r>
          </w:p>
        </w:tc>
      </w:tr>
      <w:tr w14:paraId="7F6B7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restart"/>
            <w:shd w:val="clear" w:color="auto" w:fill="FFFFFF"/>
            <w:vAlign w:val="center"/>
          </w:tcPr>
          <w:p w14:paraId="5B118670">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建筑业</w:t>
            </w:r>
          </w:p>
        </w:tc>
        <w:tc>
          <w:tcPr>
            <w:tcW w:w="8039" w:type="dxa"/>
            <w:gridSpan w:val="2"/>
            <w:shd w:val="clear" w:color="auto" w:fill="FFFFFF"/>
            <w:vAlign w:val="center"/>
          </w:tcPr>
          <w:p w14:paraId="5E64CEED">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营业收入80000万元以下或资产总额 80000万元以下的为中小微型企业。</w:t>
            </w:r>
          </w:p>
        </w:tc>
      </w:tr>
      <w:tr w14:paraId="7B394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shd w:val="clear" w:color="auto" w:fill="FFFFFF"/>
            <w:vAlign w:val="center"/>
          </w:tcPr>
          <w:p w14:paraId="4CFC546F">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p>
        </w:tc>
        <w:tc>
          <w:tcPr>
            <w:tcW w:w="1049" w:type="dxa"/>
            <w:shd w:val="clear" w:color="auto" w:fill="FFFFFF"/>
            <w:vAlign w:val="center"/>
          </w:tcPr>
          <w:p w14:paraId="75605BC0">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中型</w:t>
            </w:r>
          </w:p>
        </w:tc>
        <w:tc>
          <w:tcPr>
            <w:tcW w:w="6990" w:type="dxa"/>
            <w:shd w:val="clear" w:color="auto" w:fill="FFFFFF"/>
            <w:vAlign w:val="center"/>
          </w:tcPr>
          <w:p w14:paraId="666D6C2C">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营业收入6000万元一80000万元，且资产总额 5 000万元一80 000 万元</w:t>
            </w:r>
          </w:p>
        </w:tc>
      </w:tr>
      <w:tr w14:paraId="44F99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shd w:val="clear" w:color="auto" w:fill="FFFFFF"/>
            <w:vAlign w:val="center"/>
          </w:tcPr>
          <w:p w14:paraId="440F06EC">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p>
        </w:tc>
        <w:tc>
          <w:tcPr>
            <w:tcW w:w="1049" w:type="dxa"/>
            <w:shd w:val="clear" w:color="auto" w:fill="FFFFFF"/>
            <w:vAlign w:val="center"/>
          </w:tcPr>
          <w:p w14:paraId="615907A6">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小型</w:t>
            </w:r>
          </w:p>
        </w:tc>
        <w:tc>
          <w:tcPr>
            <w:tcW w:w="6990" w:type="dxa"/>
            <w:shd w:val="clear" w:color="auto" w:fill="FFFFFF"/>
            <w:vAlign w:val="center"/>
          </w:tcPr>
          <w:p w14:paraId="08B92799">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营业收入 300万元一6 000万元，且资产总额 300万一5 000万元</w:t>
            </w:r>
          </w:p>
        </w:tc>
      </w:tr>
      <w:tr w14:paraId="2A037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shd w:val="clear" w:color="auto" w:fill="FFFFFF"/>
            <w:vAlign w:val="center"/>
          </w:tcPr>
          <w:p w14:paraId="1343F540">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p>
        </w:tc>
        <w:tc>
          <w:tcPr>
            <w:tcW w:w="1049" w:type="dxa"/>
            <w:shd w:val="clear" w:color="auto" w:fill="FFFFFF"/>
            <w:vAlign w:val="center"/>
          </w:tcPr>
          <w:p w14:paraId="61F563EE">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微型</w:t>
            </w:r>
          </w:p>
        </w:tc>
        <w:tc>
          <w:tcPr>
            <w:tcW w:w="6990" w:type="dxa"/>
            <w:shd w:val="clear" w:color="auto" w:fill="FFFFFF"/>
            <w:vAlign w:val="center"/>
          </w:tcPr>
          <w:p w14:paraId="2856C3ED">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营业收入300万元以下或资产总额 300万元以下</w:t>
            </w:r>
          </w:p>
        </w:tc>
      </w:tr>
      <w:tr w14:paraId="61C2F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restart"/>
            <w:shd w:val="clear" w:color="auto" w:fill="FFFFFF"/>
            <w:vAlign w:val="center"/>
          </w:tcPr>
          <w:p w14:paraId="1EF0EDDD">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批发业</w:t>
            </w:r>
          </w:p>
        </w:tc>
        <w:tc>
          <w:tcPr>
            <w:tcW w:w="8039" w:type="dxa"/>
            <w:gridSpan w:val="2"/>
            <w:shd w:val="clear" w:color="auto" w:fill="FFFFFF"/>
            <w:vAlign w:val="center"/>
          </w:tcPr>
          <w:p w14:paraId="6E1430E3">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从业人员200人以下或营业收入 40 000万元以下的为中小微型企业。</w:t>
            </w:r>
          </w:p>
        </w:tc>
      </w:tr>
      <w:tr w14:paraId="5045B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shd w:val="clear" w:color="auto" w:fill="FFFFFF"/>
            <w:vAlign w:val="center"/>
          </w:tcPr>
          <w:p w14:paraId="4439DD38">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p>
        </w:tc>
        <w:tc>
          <w:tcPr>
            <w:tcW w:w="1049" w:type="dxa"/>
            <w:shd w:val="clear" w:color="auto" w:fill="FFFFFF"/>
            <w:vAlign w:val="center"/>
          </w:tcPr>
          <w:p w14:paraId="1209992D">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中型</w:t>
            </w:r>
          </w:p>
        </w:tc>
        <w:tc>
          <w:tcPr>
            <w:tcW w:w="6990" w:type="dxa"/>
            <w:shd w:val="clear" w:color="auto" w:fill="FFFFFF"/>
            <w:vAlign w:val="center"/>
          </w:tcPr>
          <w:p w14:paraId="65BBD0C9">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从业人员20人一200人，且营业收入 5 000万元一40 000万元</w:t>
            </w:r>
          </w:p>
        </w:tc>
      </w:tr>
      <w:tr w14:paraId="1E9C6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shd w:val="clear" w:color="auto" w:fill="FFFFFF"/>
            <w:vAlign w:val="center"/>
          </w:tcPr>
          <w:p w14:paraId="5661B930">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p>
        </w:tc>
        <w:tc>
          <w:tcPr>
            <w:tcW w:w="1049" w:type="dxa"/>
            <w:shd w:val="clear" w:color="auto" w:fill="FFFFFF"/>
            <w:vAlign w:val="center"/>
          </w:tcPr>
          <w:p w14:paraId="04409F21">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小型</w:t>
            </w:r>
          </w:p>
        </w:tc>
        <w:tc>
          <w:tcPr>
            <w:tcW w:w="6990" w:type="dxa"/>
            <w:shd w:val="clear" w:color="auto" w:fill="FFFFFF"/>
            <w:vAlign w:val="center"/>
          </w:tcPr>
          <w:p w14:paraId="7DD3DD30">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从业人员5人一20人，且营业收入 1 000万元一5 000万元</w:t>
            </w:r>
          </w:p>
        </w:tc>
      </w:tr>
      <w:tr w14:paraId="473FF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8" w:hRule="atLeast"/>
          <w:jc w:val="center"/>
        </w:trPr>
        <w:tc>
          <w:tcPr>
            <w:tcW w:w="1729" w:type="dxa"/>
            <w:vMerge w:val="continue"/>
            <w:shd w:val="clear" w:color="auto" w:fill="FFFFFF"/>
            <w:vAlign w:val="center"/>
          </w:tcPr>
          <w:p w14:paraId="6B8D6718">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p>
        </w:tc>
        <w:tc>
          <w:tcPr>
            <w:tcW w:w="1049" w:type="dxa"/>
            <w:shd w:val="clear" w:color="auto" w:fill="FFFFFF"/>
            <w:vAlign w:val="center"/>
          </w:tcPr>
          <w:p w14:paraId="6D7F9DAD">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微型</w:t>
            </w:r>
          </w:p>
        </w:tc>
        <w:tc>
          <w:tcPr>
            <w:tcW w:w="6990" w:type="dxa"/>
            <w:shd w:val="clear" w:color="auto" w:fill="FFFFFF"/>
            <w:vAlign w:val="center"/>
          </w:tcPr>
          <w:p w14:paraId="0064DFC7">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从业人员5人以下或营业收入 1 000万元以下</w:t>
            </w:r>
          </w:p>
        </w:tc>
      </w:tr>
      <w:tr w14:paraId="64F72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restart"/>
            <w:shd w:val="clear" w:color="auto" w:fill="FFFFFF"/>
            <w:vAlign w:val="center"/>
          </w:tcPr>
          <w:p w14:paraId="39C38244">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零售业</w:t>
            </w:r>
          </w:p>
        </w:tc>
        <w:tc>
          <w:tcPr>
            <w:tcW w:w="8039" w:type="dxa"/>
            <w:gridSpan w:val="2"/>
            <w:shd w:val="clear" w:color="auto" w:fill="FFFFFF"/>
            <w:vAlign w:val="center"/>
          </w:tcPr>
          <w:p w14:paraId="7E795C30">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从业人员300人以下或营业收入 20 000万元以下的为中小微型企业。</w:t>
            </w:r>
          </w:p>
        </w:tc>
      </w:tr>
      <w:tr w14:paraId="10025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shd w:val="clear" w:color="auto" w:fill="FFFFFF"/>
            <w:vAlign w:val="center"/>
          </w:tcPr>
          <w:p w14:paraId="38E3DEFC">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p>
        </w:tc>
        <w:tc>
          <w:tcPr>
            <w:tcW w:w="1049" w:type="dxa"/>
            <w:shd w:val="clear" w:color="auto" w:fill="FFFFFF"/>
            <w:vAlign w:val="center"/>
          </w:tcPr>
          <w:p w14:paraId="552040E2">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中型</w:t>
            </w:r>
          </w:p>
        </w:tc>
        <w:tc>
          <w:tcPr>
            <w:tcW w:w="6990" w:type="dxa"/>
            <w:shd w:val="clear" w:color="auto" w:fill="FFFFFF"/>
            <w:vAlign w:val="center"/>
          </w:tcPr>
          <w:p w14:paraId="36FD24F1">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从业人员 50人一300人，且营业收入 500万元一20 000万元</w:t>
            </w:r>
          </w:p>
        </w:tc>
      </w:tr>
      <w:tr w14:paraId="784D6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shd w:val="clear" w:color="auto" w:fill="FFFFFF"/>
            <w:vAlign w:val="center"/>
          </w:tcPr>
          <w:p w14:paraId="7E619AA0">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p>
        </w:tc>
        <w:tc>
          <w:tcPr>
            <w:tcW w:w="1049" w:type="dxa"/>
            <w:shd w:val="clear" w:color="auto" w:fill="FFFFFF"/>
            <w:vAlign w:val="center"/>
          </w:tcPr>
          <w:p w14:paraId="752F6F28">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小型</w:t>
            </w:r>
          </w:p>
        </w:tc>
        <w:tc>
          <w:tcPr>
            <w:tcW w:w="6990" w:type="dxa"/>
            <w:shd w:val="clear" w:color="auto" w:fill="FFFFFF"/>
            <w:vAlign w:val="center"/>
          </w:tcPr>
          <w:p w14:paraId="4E304EBC">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从业人员10人一50人，且营业收入 100万元一500万元</w:t>
            </w:r>
          </w:p>
        </w:tc>
      </w:tr>
      <w:tr w14:paraId="5AEDA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shd w:val="clear" w:color="auto" w:fill="FFFFFF"/>
            <w:vAlign w:val="center"/>
          </w:tcPr>
          <w:p w14:paraId="67166835">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p>
        </w:tc>
        <w:tc>
          <w:tcPr>
            <w:tcW w:w="1049" w:type="dxa"/>
            <w:shd w:val="clear" w:color="auto" w:fill="FFFFFF"/>
            <w:vAlign w:val="center"/>
          </w:tcPr>
          <w:p w14:paraId="1BEF8CB7">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微型</w:t>
            </w:r>
          </w:p>
        </w:tc>
        <w:tc>
          <w:tcPr>
            <w:tcW w:w="6990" w:type="dxa"/>
            <w:shd w:val="clear" w:color="auto" w:fill="FFFFFF"/>
            <w:vAlign w:val="center"/>
          </w:tcPr>
          <w:p w14:paraId="47B15BF3">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从业人员10人以下或营业收入 100万元以下</w:t>
            </w:r>
          </w:p>
        </w:tc>
      </w:tr>
      <w:tr w14:paraId="701D3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restart"/>
            <w:shd w:val="clear" w:color="auto" w:fill="FFFFFF"/>
            <w:vAlign w:val="center"/>
          </w:tcPr>
          <w:p w14:paraId="0C0503CF">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交通运输业 （不含铁路运输业）</w:t>
            </w:r>
          </w:p>
        </w:tc>
        <w:tc>
          <w:tcPr>
            <w:tcW w:w="8039" w:type="dxa"/>
            <w:gridSpan w:val="2"/>
            <w:shd w:val="clear" w:color="auto" w:fill="FFFFFF"/>
            <w:vAlign w:val="center"/>
          </w:tcPr>
          <w:p w14:paraId="3706201E">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从业人员1 000人以下或营业收入 30 000万元以下的为中小微型企业。</w:t>
            </w:r>
          </w:p>
        </w:tc>
      </w:tr>
      <w:tr w14:paraId="32683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shd w:val="clear" w:color="auto" w:fill="FFFFFF"/>
            <w:vAlign w:val="center"/>
          </w:tcPr>
          <w:p w14:paraId="625D4FA9">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p>
        </w:tc>
        <w:tc>
          <w:tcPr>
            <w:tcW w:w="1049" w:type="dxa"/>
            <w:shd w:val="clear" w:color="auto" w:fill="FFFFFF"/>
            <w:vAlign w:val="center"/>
          </w:tcPr>
          <w:p w14:paraId="36E3B3C6">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中型</w:t>
            </w:r>
          </w:p>
        </w:tc>
        <w:tc>
          <w:tcPr>
            <w:tcW w:w="6990" w:type="dxa"/>
            <w:shd w:val="clear" w:color="auto" w:fill="FFFFFF"/>
            <w:vAlign w:val="center"/>
          </w:tcPr>
          <w:p w14:paraId="6F88BE86">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从业人员 300人一1 000人，且营业收入 3 000万元一30 000万元</w:t>
            </w:r>
          </w:p>
        </w:tc>
      </w:tr>
      <w:tr w14:paraId="141B6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shd w:val="clear" w:color="auto" w:fill="FFFFFF"/>
            <w:vAlign w:val="center"/>
          </w:tcPr>
          <w:p w14:paraId="08F7C9E4">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p>
        </w:tc>
        <w:tc>
          <w:tcPr>
            <w:tcW w:w="1049" w:type="dxa"/>
            <w:shd w:val="clear" w:color="auto" w:fill="FFFFFF"/>
            <w:vAlign w:val="center"/>
          </w:tcPr>
          <w:p w14:paraId="2E962F73">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小型</w:t>
            </w:r>
          </w:p>
        </w:tc>
        <w:tc>
          <w:tcPr>
            <w:tcW w:w="6990" w:type="dxa"/>
            <w:shd w:val="clear" w:color="auto" w:fill="FFFFFF"/>
            <w:vAlign w:val="center"/>
          </w:tcPr>
          <w:p w14:paraId="12097639">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从业人员20人一300人，且营业收入 200万元一3 000万元</w:t>
            </w:r>
          </w:p>
        </w:tc>
      </w:tr>
      <w:tr w14:paraId="543B4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shd w:val="clear" w:color="auto" w:fill="FFFFFF"/>
            <w:vAlign w:val="center"/>
          </w:tcPr>
          <w:p w14:paraId="37477D68">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p>
        </w:tc>
        <w:tc>
          <w:tcPr>
            <w:tcW w:w="1049" w:type="dxa"/>
            <w:shd w:val="clear" w:color="auto" w:fill="FFFFFF"/>
            <w:vAlign w:val="center"/>
          </w:tcPr>
          <w:p w14:paraId="3254828C">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微型</w:t>
            </w:r>
          </w:p>
        </w:tc>
        <w:tc>
          <w:tcPr>
            <w:tcW w:w="6990" w:type="dxa"/>
            <w:shd w:val="clear" w:color="auto" w:fill="FFFFFF"/>
            <w:vAlign w:val="center"/>
          </w:tcPr>
          <w:p w14:paraId="0B8F8207">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从业人员20人以下或营业收入 200万元以下</w:t>
            </w:r>
          </w:p>
        </w:tc>
      </w:tr>
      <w:tr w14:paraId="15476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restart"/>
            <w:shd w:val="clear" w:color="auto" w:fill="FFFFFF"/>
            <w:vAlign w:val="center"/>
          </w:tcPr>
          <w:p w14:paraId="164477B5">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仓储业</w:t>
            </w:r>
          </w:p>
        </w:tc>
        <w:tc>
          <w:tcPr>
            <w:tcW w:w="8039" w:type="dxa"/>
            <w:gridSpan w:val="2"/>
            <w:shd w:val="clear" w:color="auto" w:fill="FFFFFF"/>
            <w:vAlign w:val="center"/>
          </w:tcPr>
          <w:p w14:paraId="0E53F870">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从业人员200人以下或营业收入 30 000万元以下的为中小微型企业。</w:t>
            </w:r>
          </w:p>
        </w:tc>
      </w:tr>
      <w:tr w14:paraId="335F2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shd w:val="clear" w:color="auto" w:fill="FFFFFF"/>
            <w:vAlign w:val="center"/>
          </w:tcPr>
          <w:p w14:paraId="0FF54747">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p>
        </w:tc>
        <w:tc>
          <w:tcPr>
            <w:tcW w:w="1049" w:type="dxa"/>
            <w:shd w:val="clear" w:color="auto" w:fill="FFFFFF"/>
            <w:vAlign w:val="center"/>
          </w:tcPr>
          <w:p w14:paraId="494B6E24">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中型</w:t>
            </w:r>
          </w:p>
        </w:tc>
        <w:tc>
          <w:tcPr>
            <w:tcW w:w="6990" w:type="dxa"/>
            <w:shd w:val="clear" w:color="auto" w:fill="FFFFFF"/>
            <w:vAlign w:val="center"/>
          </w:tcPr>
          <w:p w14:paraId="3B67A864">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从业人员100人一200人，且营业收入 1 000万元一30 000万元</w:t>
            </w:r>
          </w:p>
        </w:tc>
      </w:tr>
      <w:tr w14:paraId="2A292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shd w:val="clear" w:color="auto" w:fill="FFFFFF"/>
            <w:vAlign w:val="center"/>
          </w:tcPr>
          <w:p w14:paraId="56E8D033">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p>
        </w:tc>
        <w:tc>
          <w:tcPr>
            <w:tcW w:w="1049" w:type="dxa"/>
            <w:shd w:val="clear" w:color="auto" w:fill="FFFFFF"/>
            <w:vAlign w:val="center"/>
          </w:tcPr>
          <w:p w14:paraId="714868B7">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小型</w:t>
            </w:r>
          </w:p>
        </w:tc>
        <w:tc>
          <w:tcPr>
            <w:tcW w:w="6990" w:type="dxa"/>
            <w:shd w:val="clear" w:color="auto" w:fill="FFFFFF"/>
            <w:vAlign w:val="center"/>
          </w:tcPr>
          <w:p w14:paraId="3A4DF718">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从业人员20人一100人，且营业收入 100万元一1 000万元</w:t>
            </w:r>
          </w:p>
        </w:tc>
      </w:tr>
      <w:tr w14:paraId="55AE6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shd w:val="clear" w:color="auto" w:fill="FFFFFF"/>
            <w:vAlign w:val="center"/>
          </w:tcPr>
          <w:p w14:paraId="7BC72B9C">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p>
        </w:tc>
        <w:tc>
          <w:tcPr>
            <w:tcW w:w="1049" w:type="dxa"/>
            <w:shd w:val="clear" w:color="auto" w:fill="FFFFFF"/>
            <w:vAlign w:val="center"/>
          </w:tcPr>
          <w:p w14:paraId="6457E8E8">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微型</w:t>
            </w:r>
          </w:p>
        </w:tc>
        <w:tc>
          <w:tcPr>
            <w:tcW w:w="6990" w:type="dxa"/>
            <w:shd w:val="clear" w:color="auto" w:fill="FFFFFF"/>
            <w:vAlign w:val="center"/>
          </w:tcPr>
          <w:p w14:paraId="705FCE19">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从业人员20人以下或营业收入 100万元以下</w:t>
            </w:r>
          </w:p>
        </w:tc>
      </w:tr>
      <w:tr w14:paraId="3051A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restart"/>
            <w:shd w:val="clear" w:color="auto" w:fill="FFFFFF"/>
            <w:vAlign w:val="center"/>
          </w:tcPr>
          <w:p w14:paraId="5983491C">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邮政业</w:t>
            </w:r>
          </w:p>
        </w:tc>
        <w:tc>
          <w:tcPr>
            <w:tcW w:w="8039" w:type="dxa"/>
            <w:gridSpan w:val="2"/>
            <w:shd w:val="clear" w:color="auto" w:fill="FFFFFF"/>
            <w:vAlign w:val="center"/>
          </w:tcPr>
          <w:p w14:paraId="5AC28B0F">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从业人员1 000人以下或营业收入 30 000万元以下的为中小微型企业。</w:t>
            </w:r>
          </w:p>
        </w:tc>
      </w:tr>
      <w:tr w14:paraId="2908F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shd w:val="clear" w:color="auto" w:fill="FFFFFF"/>
            <w:vAlign w:val="center"/>
          </w:tcPr>
          <w:p w14:paraId="69793C5A">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p>
        </w:tc>
        <w:tc>
          <w:tcPr>
            <w:tcW w:w="1049" w:type="dxa"/>
            <w:shd w:val="clear" w:color="auto" w:fill="FFFFFF"/>
            <w:vAlign w:val="center"/>
          </w:tcPr>
          <w:p w14:paraId="08F61B02">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中型</w:t>
            </w:r>
          </w:p>
        </w:tc>
        <w:tc>
          <w:tcPr>
            <w:tcW w:w="6990" w:type="dxa"/>
            <w:shd w:val="clear" w:color="auto" w:fill="FFFFFF"/>
            <w:vAlign w:val="center"/>
          </w:tcPr>
          <w:p w14:paraId="5A04ADFC">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从业人员 300人一1 000人，且营业收入 2 000万元一30 000万元</w:t>
            </w:r>
          </w:p>
        </w:tc>
      </w:tr>
      <w:tr w14:paraId="44DA8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shd w:val="clear" w:color="auto" w:fill="FFFFFF"/>
            <w:vAlign w:val="center"/>
          </w:tcPr>
          <w:p w14:paraId="4C84AF9E">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p>
        </w:tc>
        <w:tc>
          <w:tcPr>
            <w:tcW w:w="1049" w:type="dxa"/>
            <w:shd w:val="clear" w:color="auto" w:fill="FFFFFF"/>
            <w:vAlign w:val="center"/>
          </w:tcPr>
          <w:p w14:paraId="518718B3">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小型</w:t>
            </w:r>
          </w:p>
        </w:tc>
        <w:tc>
          <w:tcPr>
            <w:tcW w:w="6990" w:type="dxa"/>
            <w:shd w:val="clear" w:color="auto" w:fill="FFFFFF"/>
            <w:vAlign w:val="center"/>
          </w:tcPr>
          <w:p w14:paraId="77A81FD8">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从业人员20人一300人，且营业收入 100万元一2 000万元</w:t>
            </w:r>
          </w:p>
        </w:tc>
      </w:tr>
      <w:tr w14:paraId="312C8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729" w:type="dxa"/>
            <w:vMerge w:val="continue"/>
            <w:shd w:val="clear" w:color="auto" w:fill="FFFFFF"/>
            <w:vAlign w:val="center"/>
          </w:tcPr>
          <w:p w14:paraId="2E2A72F9">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p>
        </w:tc>
        <w:tc>
          <w:tcPr>
            <w:tcW w:w="1049" w:type="dxa"/>
            <w:shd w:val="clear" w:color="auto" w:fill="FFFFFF"/>
            <w:vAlign w:val="center"/>
          </w:tcPr>
          <w:p w14:paraId="468BCD91">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微型</w:t>
            </w:r>
          </w:p>
        </w:tc>
        <w:tc>
          <w:tcPr>
            <w:tcW w:w="6990" w:type="dxa"/>
            <w:shd w:val="clear" w:color="auto" w:fill="FFFFFF"/>
            <w:vAlign w:val="center"/>
          </w:tcPr>
          <w:p w14:paraId="316E633A">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从业人员20人以下或营业收入 100万元以下</w:t>
            </w:r>
          </w:p>
        </w:tc>
      </w:tr>
    </w:tbl>
    <w:p w14:paraId="4CFF6D48">
      <w:pPr>
        <w:pStyle w:val="69"/>
        <w:shd w:val="clear" w:color="auto" w:fill="auto"/>
        <w:ind w:firstLine="0" w:firstLineChars="0"/>
        <w:rPr>
          <w:rFonts w:ascii="宋体" w:hAnsi="宋体" w:eastAsia="宋体" w:cs="宋体"/>
          <w:sz w:val="21"/>
          <w:szCs w:val="21"/>
        </w:rPr>
      </w:pPr>
    </w:p>
    <w:tbl>
      <w:tblPr>
        <w:tblStyle w:val="29"/>
        <w:tblW w:w="97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693"/>
        <w:gridCol w:w="769"/>
        <w:gridCol w:w="7308"/>
      </w:tblGrid>
      <w:tr w14:paraId="2EA38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restart"/>
            <w:shd w:val="clear" w:color="auto" w:fill="FFFFFF"/>
            <w:vAlign w:val="center"/>
          </w:tcPr>
          <w:p w14:paraId="49B44AEA">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住宿业</w:t>
            </w:r>
          </w:p>
        </w:tc>
        <w:tc>
          <w:tcPr>
            <w:tcW w:w="8077" w:type="dxa"/>
            <w:gridSpan w:val="2"/>
            <w:shd w:val="clear" w:color="auto" w:fill="FFFFFF"/>
            <w:vAlign w:val="center"/>
          </w:tcPr>
          <w:p w14:paraId="4ACFBDD5">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从业人员300人以下或营业收入 10000万元以下的为中小微型企业。</w:t>
            </w:r>
          </w:p>
        </w:tc>
      </w:tr>
      <w:tr w14:paraId="60564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shd w:val="clear" w:color="auto" w:fill="FFFFFF"/>
            <w:vAlign w:val="center"/>
          </w:tcPr>
          <w:p w14:paraId="2511544B">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p>
        </w:tc>
        <w:tc>
          <w:tcPr>
            <w:tcW w:w="769" w:type="dxa"/>
            <w:shd w:val="clear" w:color="auto" w:fill="FFFFFF"/>
            <w:vAlign w:val="center"/>
          </w:tcPr>
          <w:p w14:paraId="7168733B">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中型</w:t>
            </w:r>
          </w:p>
        </w:tc>
        <w:tc>
          <w:tcPr>
            <w:tcW w:w="7308" w:type="dxa"/>
            <w:shd w:val="clear" w:color="auto" w:fill="FFFFFF"/>
            <w:vAlign w:val="center"/>
          </w:tcPr>
          <w:p w14:paraId="2D8C8FF5">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从业人员100人一300人，且营业收入 2 000万元一10 000万元</w:t>
            </w:r>
          </w:p>
        </w:tc>
      </w:tr>
      <w:tr w14:paraId="40F95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shd w:val="clear" w:color="auto" w:fill="FFFFFF"/>
            <w:vAlign w:val="center"/>
          </w:tcPr>
          <w:p w14:paraId="23A1786C">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p>
        </w:tc>
        <w:tc>
          <w:tcPr>
            <w:tcW w:w="769" w:type="dxa"/>
            <w:shd w:val="clear" w:color="auto" w:fill="FFFFFF"/>
            <w:vAlign w:val="center"/>
          </w:tcPr>
          <w:p w14:paraId="68A6E861">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小型</w:t>
            </w:r>
          </w:p>
        </w:tc>
        <w:tc>
          <w:tcPr>
            <w:tcW w:w="7308" w:type="dxa"/>
            <w:shd w:val="clear" w:color="auto" w:fill="FFFFFF"/>
            <w:vAlign w:val="center"/>
          </w:tcPr>
          <w:p w14:paraId="6E6ED2BD">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从业人员10人一100人，且营业收入 100万元一2 000万元</w:t>
            </w:r>
          </w:p>
        </w:tc>
      </w:tr>
      <w:tr w14:paraId="5AEB7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shd w:val="clear" w:color="auto" w:fill="FFFFFF"/>
            <w:vAlign w:val="center"/>
          </w:tcPr>
          <w:p w14:paraId="38566388">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p>
        </w:tc>
        <w:tc>
          <w:tcPr>
            <w:tcW w:w="769" w:type="dxa"/>
            <w:shd w:val="clear" w:color="auto" w:fill="FFFFFF"/>
            <w:vAlign w:val="center"/>
          </w:tcPr>
          <w:p w14:paraId="76F97C82">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微型</w:t>
            </w:r>
          </w:p>
        </w:tc>
        <w:tc>
          <w:tcPr>
            <w:tcW w:w="7308" w:type="dxa"/>
            <w:shd w:val="clear" w:color="auto" w:fill="FFFFFF"/>
            <w:vAlign w:val="center"/>
          </w:tcPr>
          <w:p w14:paraId="059FA8A6">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从业人员10人以下或营业收入 100万元以下</w:t>
            </w:r>
          </w:p>
        </w:tc>
      </w:tr>
      <w:tr w14:paraId="51A73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restart"/>
            <w:shd w:val="clear" w:color="auto" w:fill="FFFFFF"/>
            <w:vAlign w:val="center"/>
          </w:tcPr>
          <w:p w14:paraId="1692022C">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餐饮业</w:t>
            </w:r>
          </w:p>
        </w:tc>
        <w:tc>
          <w:tcPr>
            <w:tcW w:w="8077" w:type="dxa"/>
            <w:gridSpan w:val="2"/>
            <w:shd w:val="clear" w:color="auto" w:fill="FFFFFF"/>
            <w:vAlign w:val="center"/>
          </w:tcPr>
          <w:p w14:paraId="3441C316">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从业人员300人以下或营业收入 10 000万元以下的为中小微型企业。</w:t>
            </w:r>
          </w:p>
        </w:tc>
      </w:tr>
      <w:tr w14:paraId="47173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shd w:val="clear" w:color="auto" w:fill="FFFFFF"/>
            <w:vAlign w:val="center"/>
          </w:tcPr>
          <w:p w14:paraId="56E2BD2F">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p>
        </w:tc>
        <w:tc>
          <w:tcPr>
            <w:tcW w:w="769" w:type="dxa"/>
            <w:shd w:val="clear" w:color="auto" w:fill="FFFFFF"/>
            <w:vAlign w:val="center"/>
          </w:tcPr>
          <w:p w14:paraId="58EBA133">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中型</w:t>
            </w:r>
          </w:p>
        </w:tc>
        <w:tc>
          <w:tcPr>
            <w:tcW w:w="7308" w:type="dxa"/>
            <w:shd w:val="clear" w:color="auto" w:fill="FFFFFF"/>
            <w:vAlign w:val="center"/>
          </w:tcPr>
          <w:p w14:paraId="6631404F">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从业人员100— 300人，且营业收入 2 000万元一10 000万元</w:t>
            </w:r>
          </w:p>
        </w:tc>
      </w:tr>
      <w:tr w14:paraId="49FAC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shd w:val="clear" w:color="auto" w:fill="FFFFFF"/>
            <w:vAlign w:val="center"/>
          </w:tcPr>
          <w:p w14:paraId="4A72C89C">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p>
        </w:tc>
        <w:tc>
          <w:tcPr>
            <w:tcW w:w="769" w:type="dxa"/>
            <w:shd w:val="clear" w:color="auto" w:fill="FFFFFF"/>
            <w:vAlign w:val="center"/>
          </w:tcPr>
          <w:p w14:paraId="7C2E6A61">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小型</w:t>
            </w:r>
          </w:p>
        </w:tc>
        <w:tc>
          <w:tcPr>
            <w:tcW w:w="7308" w:type="dxa"/>
            <w:shd w:val="clear" w:color="auto" w:fill="FFFFFF"/>
            <w:vAlign w:val="center"/>
          </w:tcPr>
          <w:p w14:paraId="60DFDEAF">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从业人员10人一100人，且营业收入 100万元一2 000万元</w:t>
            </w:r>
          </w:p>
        </w:tc>
      </w:tr>
      <w:tr w14:paraId="1D06B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shd w:val="clear" w:color="auto" w:fill="FFFFFF"/>
            <w:vAlign w:val="center"/>
          </w:tcPr>
          <w:p w14:paraId="3BC7CCB8">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p>
        </w:tc>
        <w:tc>
          <w:tcPr>
            <w:tcW w:w="769" w:type="dxa"/>
            <w:shd w:val="clear" w:color="auto" w:fill="FFFFFF"/>
            <w:vAlign w:val="center"/>
          </w:tcPr>
          <w:p w14:paraId="7281E6B0">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微型</w:t>
            </w:r>
          </w:p>
        </w:tc>
        <w:tc>
          <w:tcPr>
            <w:tcW w:w="7308" w:type="dxa"/>
            <w:shd w:val="clear" w:color="auto" w:fill="FFFFFF"/>
            <w:vAlign w:val="center"/>
          </w:tcPr>
          <w:p w14:paraId="039873D5">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从业人员10人以下或营业收入 100万元以下</w:t>
            </w:r>
          </w:p>
        </w:tc>
      </w:tr>
      <w:tr w14:paraId="4C17B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restart"/>
            <w:shd w:val="clear" w:color="auto" w:fill="FFFFFF"/>
            <w:vAlign w:val="center"/>
          </w:tcPr>
          <w:p w14:paraId="26E1A4FA">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信息传输业（包括电信、互联网 和相关服务）</w:t>
            </w:r>
          </w:p>
        </w:tc>
        <w:tc>
          <w:tcPr>
            <w:tcW w:w="8077" w:type="dxa"/>
            <w:gridSpan w:val="2"/>
            <w:shd w:val="clear" w:color="auto" w:fill="FFFFFF"/>
            <w:vAlign w:val="center"/>
          </w:tcPr>
          <w:p w14:paraId="19CCB9FB">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从业人员2 000人以下或营业收入 100 000万元以下的为中小微型企业。</w:t>
            </w:r>
          </w:p>
        </w:tc>
      </w:tr>
      <w:tr w14:paraId="62032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shd w:val="clear" w:color="auto" w:fill="FFFFFF"/>
            <w:vAlign w:val="center"/>
          </w:tcPr>
          <w:p w14:paraId="5EB195B8">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p>
        </w:tc>
        <w:tc>
          <w:tcPr>
            <w:tcW w:w="769" w:type="dxa"/>
            <w:shd w:val="clear" w:color="auto" w:fill="FFFFFF"/>
            <w:vAlign w:val="center"/>
          </w:tcPr>
          <w:p w14:paraId="21236C8E">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中型</w:t>
            </w:r>
          </w:p>
        </w:tc>
        <w:tc>
          <w:tcPr>
            <w:tcW w:w="7308" w:type="dxa"/>
            <w:shd w:val="clear" w:color="auto" w:fill="FFFFFF"/>
            <w:vAlign w:val="center"/>
          </w:tcPr>
          <w:p w14:paraId="6E5A1D6B">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从业人员100人一2 000人，且营业收入 1 000万元一10 000万元</w:t>
            </w:r>
          </w:p>
        </w:tc>
      </w:tr>
      <w:tr w14:paraId="2A5ED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shd w:val="clear" w:color="auto" w:fill="FFFFFF"/>
            <w:vAlign w:val="center"/>
          </w:tcPr>
          <w:p w14:paraId="754CA67B">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p>
        </w:tc>
        <w:tc>
          <w:tcPr>
            <w:tcW w:w="769" w:type="dxa"/>
            <w:shd w:val="clear" w:color="auto" w:fill="FFFFFF"/>
            <w:vAlign w:val="center"/>
          </w:tcPr>
          <w:p w14:paraId="5116B52C">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小型</w:t>
            </w:r>
          </w:p>
        </w:tc>
        <w:tc>
          <w:tcPr>
            <w:tcW w:w="7308" w:type="dxa"/>
            <w:shd w:val="clear" w:color="auto" w:fill="FFFFFF"/>
            <w:vAlign w:val="center"/>
          </w:tcPr>
          <w:p w14:paraId="21DB1AFD">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从业人员10人一100人，且营业收入 100万元一1 000万元</w:t>
            </w:r>
          </w:p>
        </w:tc>
      </w:tr>
      <w:tr w14:paraId="74448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shd w:val="clear" w:color="auto" w:fill="FFFFFF"/>
            <w:vAlign w:val="center"/>
          </w:tcPr>
          <w:p w14:paraId="74691152">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p>
        </w:tc>
        <w:tc>
          <w:tcPr>
            <w:tcW w:w="769" w:type="dxa"/>
            <w:shd w:val="clear" w:color="auto" w:fill="FFFFFF"/>
            <w:vAlign w:val="center"/>
          </w:tcPr>
          <w:p w14:paraId="1FD20083">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微型</w:t>
            </w:r>
          </w:p>
        </w:tc>
        <w:tc>
          <w:tcPr>
            <w:tcW w:w="7308" w:type="dxa"/>
            <w:shd w:val="clear" w:color="auto" w:fill="FFFFFF"/>
            <w:vAlign w:val="center"/>
          </w:tcPr>
          <w:p w14:paraId="6C15D55D">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从业人员10人以下或营业收入 100万元以下</w:t>
            </w:r>
          </w:p>
        </w:tc>
      </w:tr>
      <w:tr w14:paraId="577FE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restart"/>
            <w:shd w:val="clear" w:color="auto" w:fill="FFFFFF"/>
            <w:vAlign w:val="center"/>
          </w:tcPr>
          <w:p w14:paraId="4FA47DEF">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软件和信息技术服务业</w:t>
            </w:r>
          </w:p>
        </w:tc>
        <w:tc>
          <w:tcPr>
            <w:tcW w:w="8077" w:type="dxa"/>
            <w:gridSpan w:val="2"/>
            <w:shd w:val="clear" w:color="auto" w:fill="FFFFFF"/>
            <w:vAlign w:val="center"/>
          </w:tcPr>
          <w:p w14:paraId="1EC941B9">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从业人员300人以下或营业收入 10000万元以下的为中小微型企业。</w:t>
            </w:r>
          </w:p>
        </w:tc>
      </w:tr>
      <w:tr w14:paraId="29F08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shd w:val="clear" w:color="auto" w:fill="FFFFFF"/>
            <w:vAlign w:val="center"/>
          </w:tcPr>
          <w:p w14:paraId="269A6A3B">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p>
        </w:tc>
        <w:tc>
          <w:tcPr>
            <w:tcW w:w="769" w:type="dxa"/>
            <w:shd w:val="clear" w:color="auto" w:fill="FFFFFF"/>
            <w:vAlign w:val="center"/>
          </w:tcPr>
          <w:p w14:paraId="50D9AF18">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中型</w:t>
            </w:r>
          </w:p>
        </w:tc>
        <w:tc>
          <w:tcPr>
            <w:tcW w:w="7308" w:type="dxa"/>
            <w:shd w:val="clear" w:color="auto" w:fill="FFFFFF"/>
            <w:vAlign w:val="center"/>
          </w:tcPr>
          <w:p w14:paraId="05FF7029">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从业人员100— 300人，且营业收入 1 000万元一10 000万元</w:t>
            </w:r>
          </w:p>
        </w:tc>
      </w:tr>
      <w:tr w14:paraId="7AC0D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shd w:val="clear" w:color="auto" w:fill="FFFFFF"/>
            <w:vAlign w:val="center"/>
          </w:tcPr>
          <w:p w14:paraId="722FEA0B">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p>
        </w:tc>
        <w:tc>
          <w:tcPr>
            <w:tcW w:w="769" w:type="dxa"/>
            <w:shd w:val="clear" w:color="auto" w:fill="FFFFFF"/>
            <w:vAlign w:val="center"/>
          </w:tcPr>
          <w:p w14:paraId="035B39A4">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小型</w:t>
            </w:r>
          </w:p>
        </w:tc>
        <w:tc>
          <w:tcPr>
            <w:tcW w:w="7308" w:type="dxa"/>
            <w:shd w:val="clear" w:color="auto" w:fill="FFFFFF"/>
            <w:vAlign w:val="center"/>
          </w:tcPr>
          <w:p w14:paraId="3FF36D31">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从业人员10人一100人，且营业收入 50万元一1 000万元</w:t>
            </w:r>
          </w:p>
        </w:tc>
      </w:tr>
      <w:tr w14:paraId="08F0E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shd w:val="clear" w:color="auto" w:fill="FFFFFF"/>
            <w:vAlign w:val="center"/>
          </w:tcPr>
          <w:p w14:paraId="385D33E1">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p>
        </w:tc>
        <w:tc>
          <w:tcPr>
            <w:tcW w:w="769" w:type="dxa"/>
            <w:shd w:val="clear" w:color="auto" w:fill="FFFFFF"/>
            <w:vAlign w:val="center"/>
          </w:tcPr>
          <w:p w14:paraId="36DF94F7">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微型</w:t>
            </w:r>
          </w:p>
        </w:tc>
        <w:tc>
          <w:tcPr>
            <w:tcW w:w="7308" w:type="dxa"/>
            <w:shd w:val="clear" w:color="auto" w:fill="FFFFFF"/>
            <w:vAlign w:val="center"/>
          </w:tcPr>
          <w:p w14:paraId="23E2B9DD">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从业人员10人以下或营业收入 50万元以下</w:t>
            </w:r>
          </w:p>
        </w:tc>
      </w:tr>
      <w:tr w14:paraId="665C5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restart"/>
            <w:shd w:val="clear" w:color="auto" w:fill="FFFFFF"/>
            <w:vAlign w:val="center"/>
          </w:tcPr>
          <w:p w14:paraId="3C853BB1">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房地产开发经营</w:t>
            </w:r>
          </w:p>
        </w:tc>
        <w:tc>
          <w:tcPr>
            <w:tcW w:w="8077" w:type="dxa"/>
            <w:gridSpan w:val="2"/>
            <w:shd w:val="clear" w:color="auto" w:fill="FFFFFF"/>
            <w:vAlign w:val="center"/>
          </w:tcPr>
          <w:p w14:paraId="5B0D3000">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营业收入200 000万元以下或资产总额 10 000万元以下的为中小微型企业。</w:t>
            </w:r>
          </w:p>
        </w:tc>
      </w:tr>
      <w:tr w14:paraId="05277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shd w:val="clear" w:color="auto" w:fill="FFFFFF"/>
            <w:vAlign w:val="center"/>
          </w:tcPr>
          <w:p w14:paraId="087E007F">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p>
        </w:tc>
        <w:tc>
          <w:tcPr>
            <w:tcW w:w="769" w:type="dxa"/>
            <w:shd w:val="clear" w:color="auto" w:fill="FFFFFF"/>
            <w:vAlign w:val="center"/>
          </w:tcPr>
          <w:p w14:paraId="746F3329">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中型</w:t>
            </w:r>
          </w:p>
        </w:tc>
        <w:tc>
          <w:tcPr>
            <w:tcW w:w="7308" w:type="dxa"/>
            <w:shd w:val="clear" w:color="auto" w:fill="FFFFFF"/>
            <w:vAlign w:val="center"/>
          </w:tcPr>
          <w:p w14:paraId="29D59991">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营业收入1 000万元一200 000万元，且资产总额 5 000万元一10000万元</w:t>
            </w:r>
          </w:p>
        </w:tc>
      </w:tr>
      <w:tr w14:paraId="0C24B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shd w:val="clear" w:color="auto" w:fill="FFFFFF"/>
            <w:vAlign w:val="center"/>
          </w:tcPr>
          <w:p w14:paraId="07B7C947">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p>
        </w:tc>
        <w:tc>
          <w:tcPr>
            <w:tcW w:w="769" w:type="dxa"/>
            <w:shd w:val="clear" w:color="auto" w:fill="FFFFFF"/>
            <w:vAlign w:val="center"/>
          </w:tcPr>
          <w:p w14:paraId="5906D509">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小型</w:t>
            </w:r>
          </w:p>
        </w:tc>
        <w:tc>
          <w:tcPr>
            <w:tcW w:w="7308" w:type="dxa"/>
            <w:shd w:val="clear" w:color="auto" w:fill="FFFFFF"/>
            <w:vAlign w:val="center"/>
          </w:tcPr>
          <w:p w14:paraId="04C938BA">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营业收入100万元一1 000万元，且资产总额 2 000万元一5 000 万元</w:t>
            </w:r>
          </w:p>
        </w:tc>
      </w:tr>
      <w:tr w14:paraId="119EE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shd w:val="clear" w:color="auto" w:fill="FFFFFF"/>
            <w:vAlign w:val="center"/>
          </w:tcPr>
          <w:p w14:paraId="48FB5DCC">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p>
        </w:tc>
        <w:tc>
          <w:tcPr>
            <w:tcW w:w="769" w:type="dxa"/>
            <w:shd w:val="clear" w:color="auto" w:fill="FFFFFF"/>
            <w:vAlign w:val="center"/>
          </w:tcPr>
          <w:p w14:paraId="04EC7CB6">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微型</w:t>
            </w:r>
          </w:p>
        </w:tc>
        <w:tc>
          <w:tcPr>
            <w:tcW w:w="7308" w:type="dxa"/>
            <w:shd w:val="clear" w:color="auto" w:fill="FFFFFF"/>
            <w:vAlign w:val="center"/>
          </w:tcPr>
          <w:p w14:paraId="10B65D71">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营业收入100万元以下或资产总额2 000万元以下的为微型企业</w:t>
            </w:r>
          </w:p>
        </w:tc>
      </w:tr>
      <w:tr w14:paraId="31729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restart"/>
            <w:shd w:val="clear" w:color="auto" w:fill="FFFFFF"/>
            <w:vAlign w:val="center"/>
          </w:tcPr>
          <w:p w14:paraId="51FF39DC">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物业管理</w:t>
            </w:r>
          </w:p>
        </w:tc>
        <w:tc>
          <w:tcPr>
            <w:tcW w:w="8077" w:type="dxa"/>
            <w:gridSpan w:val="2"/>
            <w:shd w:val="clear" w:color="auto" w:fill="FFFFFF"/>
            <w:vAlign w:val="center"/>
          </w:tcPr>
          <w:p w14:paraId="7C172237">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从业人员1 000人以下或营业收入 5 000万元以下的为中小微型企业。</w:t>
            </w:r>
          </w:p>
        </w:tc>
      </w:tr>
      <w:tr w14:paraId="1D583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shd w:val="clear" w:color="auto" w:fill="FFFFFF"/>
            <w:vAlign w:val="center"/>
          </w:tcPr>
          <w:p w14:paraId="7837BEAD">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p>
        </w:tc>
        <w:tc>
          <w:tcPr>
            <w:tcW w:w="769" w:type="dxa"/>
            <w:shd w:val="clear" w:color="auto" w:fill="FFFFFF"/>
            <w:vAlign w:val="center"/>
          </w:tcPr>
          <w:p w14:paraId="1E426D4E">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中型</w:t>
            </w:r>
          </w:p>
        </w:tc>
        <w:tc>
          <w:tcPr>
            <w:tcW w:w="7308" w:type="dxa"/>
            <w:shd w:val="clear" w:color="auto" w:fill="FFFFFF"/>
            <w:vAlign w:val="center"/>
          </w:tcPr>
          <w:p w14:paraId="363087C5">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从业人员 300人一1 000人，且营业收入 1000万元一5 000万元</w:t>
            </w:r>
          </w:p>
        </w:tc>
      </w:tr>
      <w:tr w14:paraId="54472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shd w:val="clear" w:color="auto" w:fill="FFFFFF"/>
            <w:vAlign w:val="center"/>
          </w:tcPr>
          <w:p w14:paraId="48B886C3">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p>
        </w:tc>
        <w:tc>
          <w:tcPr>
            <w:tcW w:w="769" w:type="dxa"/>
            <w:shd w:val="clear" w:color="auto" w:fill="FFFFFF"/>
            <w:vAlign w:val="center"/>
          </w:tcPr>
          <w:p w14:paraId="716CFE9B">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小型</w:t>
            </w:r>
          </w:p>
        </w:tc>
        <w:tc>
          <w:tcPr>
            <w:tcW w:w="7308" w:type="dxa"/>
            <w:shd w:val="clear" w:color="auto" w:fill="FFFFFF"/>
            <w:vAlign w:val="center"/>
          </w:tcPr>
          <w:p w14:paraId="47C061B5">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从业人员100人一300人，且营业收入 500万元一1 000万元</w:t>
            </w:r>
          </w:p>
        </w:tc>
      </w:tr>
      <w:tr w14:paraId="04A9A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shd w:val="clear" w:color="auto" w:fill="FFFFFF"/>
            <w:vAlign w:val="center"/>
          </w:tcPr>
          <w:p w14:paraId="325A3208">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p>
        </w:tc>
        <w:tc>
          <w:tcPr>
            <w:tcW w:w="769" w:type="dxa"/>
            <w:shd w:val="clear" w:color="auto" w:fill="FFFFFF"/>
            <w:vAlign w:val="center"/>
          </w:tcPr>
          <w:p w14:paraId="556003F6">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微型</w:t>
            </w:r>
          </w:p>
        </w:tc>
        <w:tc>
          <w:tcPr>
            <w:tcW w:w="7308" w:type="dxa"/>
            <w:shd w:val="clear" w:color="auto" w:fill="FFFFFF"/>
            <w:vAlign w:val="center"/>
          </w:tcPr>
          <w:p w14:paraId="0150EB86">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从业人员100人以下或营业收入 500万元以下</w:t>
            </w:r>
          </w:p>
        </w:tc>
      </w:tr>
      <w:tr w14:paraId="3C0EF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restart"/>
            <w:shd w:val="clear" w:color="auto" w:fill="FFFFFF"/>
            <w:vAlign w:val="center"/>
          </w:tcPr>
          <w:p w14:paraId="062FDEB2">
            <w:pPr>
              <w:pStyle w:val="69"/>
              <w:keepNext w:val="0"/>
              <w:keepLines w:val="0"/>
              <w:suppressLineNumbers w:val="0"/>
              <w:shd w:val="clear" w:color="auto" w:fill="auto"/>
              <w:spacing w:before="0" w:beforeAutospacing="0" w:after="0" w:afterAutospacing="0"/>
              <w:ind w:left="0" w:right="0" w:firstLine="0" w:firstLineChars="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租赁和商务服务业</w:t>
            </w:r>
          </w:p>
        </w:tc>
        <w:tc>
          <w:tcPr>
            <w:tcW w:w="8077" w:type="dxa"/>
            <w:gridSpan w:val="2"/>
            <w:shd w:val="clear" w:color="auto" w:fill="FFFFFF"/>
            <w:vAlign w:val="center"/>
          </w:tcPr>
          <w:p w14:paraId="1A18EDFA">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从业人员300人以下或资产总额 120 000万元以下的为中小微型企业。 其中， 从业人员100人及以上，且资产总额 8 000万元及以上的为中型企业；从业 人员10人及以上，且资产总额 100万元及以上的为小型企业；从业人员</w:t>
            </w:r>
            <w:r>
              <w:rPr>
                <w:rFonts w:hint="eastAsia" w:ascii="宋体" w:hAnsi="宋体" w:eastAsia="宋体" w:cs="宋体"/>
                <w:sz w:val="21"/>
                <w:szCs w:val="21"/>
                <w:lang w:val="en-US"/>
              </w:rPr>
              <w:t>10</w:t>
            </w:r>
            <w:r>
              <w:rPr>
                <w:rFonts w:hint="eastAsia" w:ascii="宋体" w:hAnsi="宋体" w:eastAsia="宋体" w:cs="宋体"/>
                <w:sz w:val="21"/>
                <w:szCs w:val="21"/>
              </w:rPr>
              <w:t>人以下或资产总额 100万元以下的为微型企业。</w:t>
            </w:r>
          </w:p>
        </w:tc>
      </w:tr>
      <w:tr w14:paraId="00122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shd w:val="clear" w:color="auto" w:fill="FFFFFF"/>
            <w:vAlign w:val="center"/>
          </w:tcPr>
          <w:p w14:paraId="3842D273">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p>
        </w:tc>
        <w:tc>
          <w:tcPr>
            <w:tcW w:w="769" w:type="dxa"/>
            <w:shd w:val="clear" w:color="auto" w:fill="FFFFFF"/>
            <w:vAlign w:val="center"/>
          </w:tcPr>
          <w:p w14:paraId="50D154F6">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中型</w:t>
            </w:r>
          </w:p>
        </w:tc>
        <w:tc>
          <w:tcPr>
            <w:tcW w:w="7308" w:type="dxa"/>
            <w:shd w:val="clear" w:color="auto" w:fill="FFFFFF"/>
            <w:vAlign w:val="center"/>
          </w:tcPr>
          <w:p w14:paraId="2BD700D3">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从业人员100人一300人，且资产总额 8 000万元一120 000万元</w:t>
            </w:r>
          </w:p>
        </w:tc>
      </w:tr>
      <w:tr w14:paraId="2D7B1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shd w:val="clear" w:color="auto" w:fill="FFFFFF"/>
            <w:vAlign w:val="center"/>
          </w:tcPr>
          <w:p w14:paraId="32EF775F">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p>
        </w:tc>
        <w:tc>
          <w:tcPr>
            <w:tcW w:w="769" w:type="dxa"/>
            <w:shd w:val="clear" w:color="auto" w:fill="FFFFFF"/>
            <w:vAlign w:val="center"/>
          </w:tcPr>
          <w:p w14:paraId="6EA61346">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小型</w:t>
            </w:r>
          </w:p>
        </w:tc>
        <w:tc>
          <w:tcPr>
            <w:tcW w:w="7308" w:type="dxa"/>
            <w:shd w:val="clear" w:color="auto" w:fill="FFFFFF"/>
            <w:vAlign w:val="center"/>
          </w:tcPr>
          <w:p w14:paraId="467FB2B2">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从业人员10人一100人，且资产总额 100万元一8 000万元</w:t>
            </w:r>
          </w:p>
        </w:tc>
      </w:tr>
      <w:tr w14:paraId="72383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shd w:val="clear" w:color="auto" w:fill="FFFFFF"/>
            <w:vAlign w:val="center"/>
          </w:tcPr>
          <w:p w14:paraId="6841CA5F">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p>
        </w:tc>
        <w:tc>
          <w:tcPr>
            <w:tcW w:w="769" w:type="dxa"/>
            <w:shd w:val="clear" w:color="auto" w:fill="FFFFFF"/>
            <w:vAlign w:val="center"/>
          </w:tcPr>
          <w:p w14:paraId="386B49B3">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微型</w:t>
            </w:r>
          </w:p>
        </w:tc>
        <w:tc>
          <w:tcPr>
            <w:tcW w:w="7308" w:type="dxa"/>
            <w:shd w:val="clear" w:color="auto" w:fill="FFFFFF"/>
            <w:vAlign w:val="center"/>
          </w:tcPr>
          <w:p w14:paraId="029606FD">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从业人员10人以下或资产总额 100万元以下</w:t>
            </w:r>
          </w:p>
        </w:tc>
      </w:tr>
      <w:tr w14:paraId="12CE2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restart"/>
            <w:shd w:val="clear" w:color="auto" w:fill="FFFFFF"/>
            <w:vAlign w:val="center"/>
          </w:tcPr>
          <w:p w14:paraId="77748227">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其他未列明行业</w:t>
            </w:r>
          </w:p>
        </w:tc>
        <w:tc>
          <w:tcPr>
            <w:tcW w:w="8077" w:type="dxa"/>
            <w:gridSpan w:val="2"/>
            <w:shd w:val="clear" w:color="auto" w:fill="FFFFFF"/>
            <w:vAlign w:val="center"/>
          </w:tcPr>
          <w:p w14:paraId="2DA26025">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从业人员300人以下的为中小微型企业。</w:t>
            </w:r>
          </w:p>
        </w:tc>
      </w:tr>
      <w:tr w14:paraId="5A9C3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shd w:val="clear" w:color="auto" w:fill="FFFFFF"/>
            <w:vAlign w:val="center"/>
          </w:tcPr>
          <w:p w14:paraId="167F828B">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p>
        </w:tc>
        <w:tc>
          <w:tcPr>
            <w:tcW w:w="769" w:type="dxa"/>
            <w:shd w:val="clear" w:color="auto" w:fill="FFFFFF"/>
            <w:vAlign w:val="center"/>
          </w:tcPr>
          <w:p w14:paraId="54C86854">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中型</w:t>
            </w:r>
          </w:p>
        </w:tc>
        <w:tc>
          <w:tcPr>
            <w:tcW w:w="7308" w:type="dxa"/>
            <w:shd w:val="clear" w:color="auto" w:fill="FFFFFF"/>
            <w:vAlign w:val="center"/>
          </w:tcPr>
          <w:p w14:paraId="0619631F">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从业人员100— 300人</w:t>
            </w:r>
          </w:p>
        </w:tc>
      </w:tr>
      <w:tr w14:paraId="07CB7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shd w:val="clear" w:color="auto" w:fill="FFFFFF"/>
            <w:vAlign w:val="center"/>
          </w:tcPr>
          <w:p w14:paraId="1A490C98">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p>
        </w:tc>
        <w:tc>
          <w:tcPr>
            <w:tcW w:w="769" w:type="dxa"/>
            <w:shd w:val="clear" w:color="auto" w:fill="FFFFFF"/>
            <w:vAlign w:val="center"/>
          </w:tcPr>
          <w:p w14:paraId="42877391">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小型</w:t>
            </w:r>
          </w:p>
        </w:tc>
        <w:tc>
          <w:tcPr>
            <w:tcW w:w="7308" w:type="dxa"/>
            <w:shd w:val="clear" w:color="auto" w:fill="FFFFFF"/>
            <w:vAlign w:val="center"/>
          </w:tcPr>
          <w:p w14:paraId="6DF1BEBE">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从业人员10人一100人</w:t>
            </w:r>
          </w:p>
        </w:tc>
      </w:tr>
      <w:tr w14:paraId="6EC11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693" w:type="dxa"/>
            <w:vMerge w:val="continue"/>
            <w:shd w:val="clear" w:color="auto" w:fill="FFFFFF"/>
            <w:vAlign w:val="center"/>
          </w:tcPr>
          <w:p w14:paraId="7FC36EE3">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p>
        </w:tc>
        <w:tc>
          <w:tcPr>
            <w:tcW w:w="769" w:type="dxa"/>
            <w:shd w:val="clear" w:color="auto" w:fill="FFFFFF"/>
            <w:vAlign w:val="center"/>
          </w:tcPr>
          <w:p w14:paraId="0B16EE4F">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微型</w:t>
            </w:r>
          </w:p>
        </w:tc>
        <w:tc>
          <w:tcPr>
            <w:tcW w:w="7308" w:type="dxa"/>
            <w:shd w:val="clear" w:color="auto" w:fill="FFFFFF"/>
            <w:vAlign w:val="center"/>
          </w:tcPr>
          <w:p w14:paraId="7787E6CC">
            <w:pPr>
              <w:pStyle w:val="69"/>
              <w:keepNext w:val="0"/>
              <w:keepLines w:val="0"/>
              <w:suppressLineNumbers w:val="0"/>
              <w:shd w:val="clear" w:color="auto" w:fill="auto"/>
              <w:spacing w:before="0" w:beforeAutospacing="0" w:after="0" w:afterAutospacing="0"/>
              <w:ind w:left="0" w:right="0" w:firstLine="0" w:firstLineChars="0"/>
              <w:jc w:val="center"/>
              <w:rPr>
                <w:rFonts w:hint="default" w:ascii="宋体" w:hAnsi="宋体" w:eastAsia="宋体" w:cs="宋体"/>
                <w:sz w:val="21"/>
                <w:szCs w:val="21"/>
              </w:rPr>
            </w:pPr>
            <w:r>
              <w:rPr>
                <w:rFonts w:hint="eastAsia" w:ascii="宋体" w:hAnsi="宋体" w:eastAsia="宋体" w:cs="宋体"/>
                <w:sz w:val="21"/>
                <w:szCs w:val="21"/>
              </w:rPr>
              <w:t>从业人员10人以下</w:t>
            </w:r>
          </w:p>
        </w:tc>
      </w:tr>
    </w:tbl>
    <w:p w14:paraId="31F86D6D">
      <w:pPr>
        <w:pStyle w:val="10"/>
        <w:tabs>
          <w:tab w:val="left" w:pos="9214"/>
        </w:tabs>
        <w:ind w:right="-58" w:firstLine="1325" w:firstLineChars="300"/>
        <w:rPr>
          <w:rFonts w:ascii="宋体" w:hAnsi="宋体" w:cs="宋体"/>
          <w:b/>
          <w:bCs/>
          <w:sz w:val="44"/>
          <w:szCs w:val="44"/>
        </w:rPr>
      </w:pPr>
    </w:p>
    <w:p w14:paraId="2E246BE0">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color w:val="auto"/>
          <w:sz w:val="24"/>
          <w:szCs w:val="24"/>
          <w:highlight w:val="none"/>
        </w:rPr>
      </w:pPr>
    </w:p>
    <w:p w14:paraId="3D328908">
      <w:pPr>
        <w:jc w:val="both"/>
        <w:rPr>
          <w:rFonts w:hint="eastAsia" w:ascii="宋体" w:hAnsi="宋体" w:eastAsia="宋体" w:cs="宋体"/>
          <w:b/>
          <w:bCs w:val="0"/>
          <w:color w:val="auto"/>
          <w:kern w:val="2"/>
          <w:sz w:val="28"/>
          <w:szCs w:val="24"/>
          <w:highlight w:val="none"/>
          <w:lang w:val="en-US" w:eastAsia="zh-CN" w:bidi="ar-SA"/>
        </w:rPr>
      </w:pPr>
    </w:p>
    <w:p w14:paraId="1CFA9D06">
      <w:pPr>
        <w:rPr>
          <w:rFonts w:hint="eastAsia" w:ascii="宋体" w:hAnsi="宋体" w:eastAsia="宋体" w:cs="宋体"/>
          <w:i/>
          <w:color w:val="auto"/>
          <w:sz w:val="24"/>
          <w:szCs w:val="24"/>
        </w:rPr>
      </w:pPr>
    </w:p>
    <w:sectPr>
      <w:pgSz w:w="11907" w:h="16840"/>
      <w:pgMar w:top="1440" w:right="1080" w:bottom="1440" w:left="1080" w:header="720" w:footer="720" w:gutter="0"/>
      <w:pgBorders>
        <w:top w:val="none" w:sz="0" w:space="0"/>
        <w:left w:val="none" w:sz="0" w:space="0"/>
        <w:bottom w:val="none" w:sz="0" w:space="0"/>
        <w:right w:val="none" w:sz="0" w:space="0"/>
      </w:pgBorders>
      <w:pgNumType w:fmt="decimal"/>
      <w:cols w:space="720" w:num="1"/>
      <w:docGrid w:linePitch="28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63"/>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方正书宋简体">
    <w:altName w:val="宋体"/>
    <w:panose1 w:val="02010601030101010101"/>
    <w:charset w:val="86"/>
    <w:family w:val="auto"/>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MS Mincho">
    <w:altName w:val="Yu Gothic UI"/>
    <w:panose1 w:val="02020609040205080304"/>
    <w:charset w:val="80"/>
    <w:family w:val="roman"/>
    <w:pitch w:val="default"/>
    <w:sig w:usb0="00000000" w:usb1="00000000" w:usb2="00000012" w:usb3="00000000" w:csb0="4002009F" w:csb1="DFD70000"/>
  </w:font>
  <w:font w:name="Yu Gothic UI">
    <w:panose1 w:val="020B0500000000000000"/>
    <w:charset w:val="80"/>
    <w:family w:val="auto"/>
    <w:pitch w:val="default"/>
    <w:sig w:usb0="E00002FF" w:usb1="2AC7FDFF" w:usb2="00000016" w:usb3="00000000" w:csb0="2002009F"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C42070">
    <w:pPr>
      <w:pStyle w:val="17"/>
      <w:jc w:val="center"/>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603347">
    <w:pPr>
      <w:pStyle w:val="17"/>
      <w:framePr w:wrap="around" w:vAnchor="text" w:hAnchor="margin" w:xAlign="center" w:y="1"/>
      <w:rPr>
        <w:rStyle w:val="33"/>
      </w:rPr>
    </w:pPr>
    <w:r>
      <w:fldChar w:fldCharType="begin"/>
    </w:r>
    <w:r>
      <w:rPr>
        <w:rStyle w:val="33"/>
        <w:highlight w:val="white"/>
      </w:rPr>
      <w:instrText xml:space="preserve">PAGE  </w:instrText>
    </w:r>
    <w:r>
      <w:fldChar w:fldCharType="separate"/>
    </w:r>
    <w:r>
      <w:rPr>
        <w:rStyle w:val="33"/>
        <w:highlight w:val="white"/>
      </w:rPr>
      <w:t>1</w:t>
    </w:r>
    <w:r>
      <w:fldChar w:fldCharType="end"/>
    </w:r>
  </w:p>
  <w:p w14:paraId="55081D18">
    <w:pPr>
      <w:pStyle w:val="1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3412ED">
    <w:pPr>
      <w:pStyle w:val="1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83D1CE">
    <w:pPr>
      <w:pStyle w:val="17"/>
      <w:rPr>
        <w:rFonts w:ascii="宋体" w:hAnsi="宋体"/>
        <w:sz w:val="28"/>
        <w:szCs w:val="28"/>
      </w:rPr>
    </w:pPr>
    <w:r>
      <w:rPr>
        <w:rFonts w:hint="eastAsia"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24</w:t>
    </w:r>
    <w:r>
      <w:rPr>
        <w:rFonts w:ascii="宋体" w:hAnsi="宋体"/>
        <w:sz w:val="28"/>
        <w:szCs w:val="28"/>
      </w:rPr>
      <w:fldChar w:fldCharType="end"/>
    </w:r>
    <w:r>
      <w:rPr>
        <w:rFonts w:hint="eastAsia" w:ascii="宋体" w:hAnsi="宋体"/>
        <w:sz w:val="28"/>
        <w:szCs w:val="28"/>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94FD67">
    <w:pPr>
      <w:spacing w:line="1" w:lineRule="atLeast"/>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45A9D9">
                          <w:pPr>
                            <w:pStyle w:val="17"/>
                          </w:pPr>
                          <w:r>
                            <w:t xml:space="preserve">第 </w:t>
                          </w:r>
                          <w:r>
                            <w:fldChar w:fldCharType="begin"/>
                          </w:r>
                          <w:r>
                            <w:instrText xml:space="preserve"> PAGE  \* MERGEFORMAT </w:instrText>
                          </w:r>
                          <w:r>
                            <w:fldChar w:fldCharType="separate"/>
                          </w:r>
                          <w:r>
                            <w:t>20</w:t>
                          </w:r>
                          <w:r>
                            <w:fldChar w:fldCharType="end"/>
                          </w:r>
                          <w:r>
                            <w:t xml:space="preserve"> 页 共 </w:t>
                          </w:r>
                          <w:r>
                            <w:fldChar w:fldCharType="begin"/>
                          </w:r>
                          <w:r>
                            <w:instrText xml:space="preserve"> NUMPAGES  \* MERGEFORMAT </w:instrText>
                          </w:r>
                          <w:r>
                            <w:fldChar w:fldCharType="separate"/>
                          </w:r>
                          <w:r>
                            <w:t>59</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7545A9D9">
                    <w:pPr>
                      <w:pStyle w:val="17"/>
                    </w:pPr>
                    <w:r>
                      <w:t xml:space="preserve">第 </w:t>
                    </w:r>
                    <w:r>
                      <w:fldChar w:fldCharType="begin"/>
                    </w:r>
                    <w:r>
                      <w:instrText xml:space="preserve"> PAGE  \* MERGEFORMAT </w:instrText>
                    </w:r>
                    <w:r>
                      <w:fldChar w:fldCharType="separate"/>
                    </w:r>
                    <w:r>
                      <w:t>20</w:t>
                    </w:r>
                    <w:r>
                      <w:fldChar w:fldCharType="end"/>
                    </w:r>
                    <w:r>
                      <w:t xml:space="preserve"> 页 共 </w:t>
                    </w:r>
                    <w:r>
                      <w:fldChar w:fldCharType="begin"/>
                    </w:r>
                    <w:r>
                      <w:instrText xml:space="preserve"> NUMPAGES  \* MERGEFORMAT </w:instrText>
                    </w:r>
                    <w:r>
                      <w:fldChar w:fldCharType="separate"/>
                    </w:r>
                    <w:r>
                      <w:t>59</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24F255">
    <w:pPr>
      <w:pStyle w:val="18"/>
      <w:pBdr>
        <w:top w:val="none" w:color="auto" w:sz="0" w:space="0"/>
        <w:left w:val="none" w:color="auto" w:sz="0" w:space="0"/>
        <w:bottom w:val="none" w:color="auto" w:sz="0" w:space="1"/>
        <w:right w:val="none" w:color="auto" w:sz="0" w:space="0"/>
        <w:between w:val="none" w:color="auto" w:sz="0" w:space="0"/>
      </w:pBd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06E0AA"/>
    <w:multiLevelType w:val="multilevel"/>
    <w:tmpl w:val="9706E0AA"/>
    <w:lvl w:ilvl="0" w:tentative="0">
      <w:start w:val="1"/>
      <w:numFmt w:val="decimal"/>
      <w:lvlText w:val="%1."/>
      <w:lvlJc w:val="left"/>
      <w:pPr>
        <w:ind w:left="425" w:hanging="425"/>
      </w:pPr>
      <w:rPr>
        <w:rFonts w:hint="default"/>
      </w:rPr>
    </w:lvl>
    <w:lvl w:ilvl="1" w:tentative="0">
      <w:start w:val="1"/>
      <w:numFmt w:val="decimal"/>
      <w:lvlText w:val="(%2)"/>
      <w:lvlJc w:val="left"/>
      <w:pPr>
        <w:tabs>
          <w:tab w:val="left" w:pos="840"/>
        </w:tabs>
        <w:ind w:left="840" w:hanging="420"/>
      </w:pPr>
      <w:rPr>
        <w:rFonts w:hint="default"/>
      </w:rPr>
    </w:lvl>
    <w:lvl w:ilvl="2" w:tentative="0">
      <w:start w:val="1"/>
      <w:numFmt w:val="decimalEnclosedCircleChinese"/>
      <w:pStyle w:val="4"/>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Letter"/>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Roman"/>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abstractNum w:abstractNumId="1">
    <w:nsid w:val="250D2173"/>
    <w:multiLevelType w:val="multilevel"/>
    <w:tmpl w:val="250D2173"/>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5"/>
  <w:hyphenationZone w:val="360"/>
  <w:drawingGridHorizontalSpacing w:val="189"/>
  <w:drawingGridVerticalSpacing w:val="145"/>
  <w:displayHorizontalDrawingGridEvery w:val="1"/>
  <w:displayVerticalDrawingGridEvery w:val="1"/>
  <w:noPunctuationKerning w:val="1"/>
  <w:characterSpacingControl w:val="compressPunctuation"/>
  <w:noLineBreaksAfter w:lang="zh-CN" w:val="([{·‘“〈《「『【〔〖（．［｛￡￥"/>
  <w:noLineBreaksBefore w:lang="zh-CN" w:val="!),.:;?]}¨·ˇˉ―‖’”…∶、。〃々〉》」』】〕〗！＂＇），．：；？］｀｜｝～￠"/>
  <w:compat>
    <w:spaceForUL/>
    <w:balanceSingleByteDoubleByteWidth/>
    <w:doNotLeaveBackslashAlone/>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BlMWUwNTJlNmYyZjUxODBjMjVkZGUzNTMwN2U5Y2EifQ=="/>
  </w:docVars>
  <w:rsids>
    <w:rsidRoot w:val="00172A27"/>
    <w:rsid w:val="00004453"/>
    <w:rsid w:val="00027609"/>
    <w:rsid w:val="00035B03"/>
    <w:rsid w:val="000367A2"/>
    <w:rsid w:val="00037B64"/>
    <w:rsid w:val="000573D3"/>
    <w:rsid w:val="000577DF"/>
    <w:rsid w:val="00063E05"/>
    <w:rsid w:val="00070167"/>
    <w:rsid w:val="00072F9C"/>
    <w:rsid w:val="00074B7D"/>
    <w:rsid w:val="00090D16"/>
    <w:rsid w:val="000A3283"/>
    <w:rsid w:val="000B5D07"/>
    <w:rsid w:val="000D01EB"/>
    <w:rsid w:val="000D4814"/>
    <w:rsid w:val="000D5D51"/>
    <w:rsid w:val="000E535B"/>
    <w:rsid w:val="000F1AC0"/>
    <w:rsid w:val="000F610F"/>
    <w:rsid w:val="001027D1"/>
    <w:rsid w:val="00107F1E"/>
    <w:rsid w:val="001118A4"/>
    <w:rsid w:val="00121CB3"/>
    <w:rsid w:val="001221A4"/>
    <w:rsid w:val="0012385A"/>
    <w:rsid w:val="001243AC"/>
    <w:rsid w:val="001251E8"/>
    <w:rsid w:val="0013565B"/>
    <w:rsid w:val="00143648"/>
    <w:rsid w:val="0015070C"/>
    <w:rsid w:val="00150AC4"/>
    <w:rsid w:val="00152BF1"/>
    <w:rsid w:val="0016194E"/>
    <w:rsid w:val="001705AE"/>
    <w:rsid w:val="00183E10"/>
    <w:rsid w:val="00194B07"/>
    <w:rsid w:val="001A46BC"/>
    <w:rsid w:val="001B0A71"/>
    <w:rsid w:val="001B1DE8"/>
    <w:rsid w:val="001B4FB2"/>
    <w:rsid w:val="001B6479"/>
    <w:rsid w:val="001E3469"/>
    <w:rsid w:val="001E5877"/>
    <w:rsid w:val="001F29F5"/>
    <w:rsid w:val="001F7849"/>
    <w:rsid w:val="002149A8"/>
    <w:rsid w:val="0022410A"/>
    <w:rsid w:val="0022566B"/>
    <w:rsid w:val="0022794C"/>
    <w:rsid w:val="00231A43"/>
    <w:rsid w:val="002371E4"/>
    <w:rsid w:val="00240832"/>
    <w:rsid w:val="00252FB8"/>
    <w:rsid w:val="00254894"/>
    <w:rsid w:val="00263D3F"/>
    <w:rsid w:val="00277559"/>
    <w:rsid w:val="00281CD2"/>
    <w:rsid w:val="002866E7"/>
    <w:rsid w:val="002A1B76"/>
    <w:rsid w:val="002B1139"/>
    <w:rsid w:val="002C02FB"/>
    <w:rsid w:val="002C7614"/>
    <w:rsid w:val="002D3FF0"/>
    <w:rsid w:val="002F1411"/>
    <w:rsid w:val="002F445F"/>
    <w:rsid w:val="002F7593"/>
    <w:rsid w:val="003008EF"/>
    <w:rsid w:val="003155AA"/>
    <w:rsid w:val="003250E1"/>
    <w:rsid w:val="00327DA1"/>
    <w:rsid w:val="00331CC2"/>
    <w:rsid w:val="003351E5"/>
    <w:rsid w:val="00336AA9"/>
    <w:rsid w:val="0035348A"/>
    <w:rsid w:val="00371D5B"/>
    <w:rsid w:val="003752DA"/>
    <w:rsid w:val="003856D7"/>
    <w:rsid w:val="00386C76"/>
    <w:rsid w:val="00391D87"/>
    <w:rsid w:val="00396B8C"/>
    <w:rsid w:val="003A334A"/>
    <w:rsid w:val="003C37AF"/>
    <w:rsid w:val="003C4180"/>
    <w:rsid w:val="003C4F2C"/>
    <w:rsid w:val="003C6797"/>
    <w:rsid w:val="003C73B1"/>
    <w:rsid w:val="003E005F"/>
    <w:rsid w:val="003E2236"/>
    <w:rsid w:val="003E4629"/>
    <w:rsid w:val="003F1671"/>
    <w:rsid w:val="003F377E"/>
    <w:rsid w:val="003F428F"/>
    <w:rsid w:val="003F460B"/>
    <w:rsid w:val="003F58CC"/>
    <w:rsid w:val="003F64E5"/>
    <w:rsid w:val="004008FB"/>
    <w:rsid w:val="00405F54"/>
    <w:rsid w:val="0041146F"/>
    <w:rsid w:val="00432B7D"/>
    <w:rsid w:val="00450D67"/>
    <w:rsid w:val="004513BD"/>
    <w:rsid w:val="004622DE"/>
    <w:rsid w:val="004677C7"/>
    <w:rsid w:val="00484D35"/>
    <w:rsid w:val="00486E8E"/>
    <w:rsid w:val="00491F87"/>
    <w:rsid w:val="00492193"/>
    <w:rsid w:val="0049417B"/>
    <w:rsid w:val="004953A6"/>
    <w:rsid w:val="00497E2C"/>
    <w:rsid w:val="004A3B76"/>
    <w:rsid w:val="004B395E"/>
    <w:rsid w:val="004C6AC1"/>
    <w:rsid w:val="004D0644"/>
    <w:rsid w:val="004D799A"/>
    <w:rsid w:val="004F7EB3"/>
    <w:rsid w:val="005008EE"/>
    <w:rsid w:val="00504673"/>
    <w:rsid w:val="00504E75"/>
    <w:rsid w:val="00510F3D"/>
    <w:rsid w:val="0052119B"/>
    <w:rsid w:val="00527C32"/>
    <w:rsid w:val="00531135"/>
    <w:rsid w:val="0053715F"/>
    <w:rsid w:val="00544C15"/>
    <w:rsid w:val="005529F0"/>
    <w:rsid w:val="005546C4"/>
    <w:rsid w:val="00554C8B"/>
    <w:rsid w:val="005605B9"/>
    <w:rsid w:val="00561A52"/>
    <w:rsid w:val="005772E7"/>
    <w:rsid w:val="00586543"/>
    <w:rsid w:val="005968A5"/>
    <w:rsid w:val="005A3DF4"/>
    <w:rsid w:val="005A4A57"/>
    <w:rsid w:val="005B1218"/>
    <w:rsid w:val="005B3240"/>
    <w:rsid w:val="005B5387"/>
    <w:rsid w:val="005B7844"/>
    <w:rsid w:val="005C134A"/>
    <w:rsid w:val="005C30E2"/>
    <w:rsid w:val="005D60B7"/>
    <w:rsid w:val="005E1340"/>
    <w:rsid w:val="005E16F5"/>
    <w:rsid w:val="005E568D"/>
    <w:rsid w:val="005E6C2A"/>
    <w:rsid w:val="005F07DB"/>
    <w:rsid w:val="005F0C64"/>
    <w:rsid w:val="00601B95"/>
    <w:rsid w:val="00602200"/>
    <w:rsid w:val="00602695"/>
    <w:rsid w:val="00602EE1"/>
    <w:rsid w:val="0060712D"/>
    <w:rsid w:val="006139EB"/>
    <w:rsid w:val="00621717"/>
    <w:rsid w:val="006245A4"/>
    <w:rsid w:val="006257E1"/>
    <w:rsid w:val="0064020B"/>
    <w:rsid w:val="006411F7"/>
    <w:rsid w:val="006434C4"/>
    <w:rsid w:val="00644E8A"/>
    <w:rsid w:val="00652F44"/>
    <w:rsid w:val="00656679"/>
    <w:rsid w:val="00664D8C"/>
    <w:rsid w:val="0066568F"/>
    <w:rsid w:val="00675C82"/>
    <w:rsid w:val="006765CB"/>
    <w:rsid w:val="00693279"/>
    <w:rsid w:val="006A629F"/>
    <w:rsid w:val="006A6932"/>
    <w:rsid w:val="006B01AB"/>
    <w:rsid w:val="006B2394"/>
    <w:rsid w:val="006B2806"/>
    <w:rsid w:val="006C11B1"/>
    <w:rsid w:val="006C5749"/>
    <w:rsid w:val="006D06D3"/>
    <w:rsid w:val="006D4B78"/>
    <w:rsid w:val="006E41BC"/>
    <w:rsid w:val="006E4264"/>
    <w:rsid w:val="006F123E"/>
    <w:rsid w:val="006F7E65"/>
    <w:rsid w:val="00710BAD"/>
    <w:rsid w:val="0072108E"/>
    <w:rsid w:val="00721961"/>
    <w:rsid w:val="00724485"/>
    <w:rsid w:val="0072644A"/>
    <w:rsid w:val="00730FB5"/>
    <w:rsid w:val="0074294B"/>
    <w:rsid w:val="00745F3D"/>
    <w:rsid w:val="0075403F"/>
    <w:rsid w:val="0077321D"/>
    <w:rsid w:val="00775924"/>
    <w:rsid w:val="00776B96"/>
    <w:rsid w:val="007847F1"/>
    <w:rsid w:val="007873F6"/>
    <w:rsid w:val="00796991"/>
    <w:rsid w:val="007B704C"/>
    <w:rsid w:val="007C182E"/>
    <w:rsid w:val="007C7B90"/>
    <w:rsid w:val="007E1B58"/>
    <w:rsid w:val="007E252D"/>
    <w:rsid w:val="007F748E"/>
    <w:rsid w:val="00810045"/>
    <w:rsid w:val="00814BED"/>
    <w:rsid w:val="00817C6D"/>
    <w:rsid w:val="00820ECF"/>
    <w:rsid w:val="00832853"/>
    <w:rsid w:val="00847120"/>
    <w:rsid w:val="00854AA4"/>
    <w:rsid w:val="00860917"/>
    <w:rsid w:val="00862C61"/>
    <w:rsid w:val="00862E24"/>
    <w:rsid w:val="00866833"/>
    <w:rsid w:val="00866B40"/>
    <w:rsid w:val="0087273B"/>
    <w:rsid w:val="008776A3"/>
    <w:rsid w:val="00877DB6"/>
    <w:rsid w:val="00881EC4"/>
    <w:rsid w:val="00881F5A"/>
    <w:rsid w:val="00883398"/>
    <w:rsid w:val="00886F3F"/>
    <w:rsid w:val="0089241F"/>
    <w:rsid w:val="00894FD7"/>
    <w:rsid w:val="008A0668"/>
    <w:rsid w:val="008A1181"/>
    <w:rsid w:val="008A2542"/>
    <w:rsid w:val="008A2B8B"/>
    <w:rsid w:val="008A3A3B"/>
    <w:rsid w:val="008A5684"/>
    <w:rsid w:val="008B2992"/>
    <w:rsid w:val="008B76D8"/>
    <w:rsid w:val="008D3779"/>
    <w:rsid w:val="008D5E44"/>
    <w:rsid w:val="008D688E"/>
    <w:rsid w:val="008D7C7B"/>
    <w:rsid w:val="008E2D2A"/>
    <w:rsid w:val="008F0CC2"/>
    <w:rsid w:val="008F3E99"/>
    <w:rsid w:val="008F4C5E"/>
    <w:rsid w:val="00905F2C"/>
    <w:rsid w:val="00912073"/>
    <w:rsid w:val="00925ED0"/>
    <w:rsid w:val="00930DD8"/>
    <w:rsid w:val="0094107E"/>
    <w:rsid w:val="00942B11"/>
    <w:rsid w:val="00943861"/>
    <w:rsid w:val="00961470"/>
    <w:rsid w:val="00966254"/>
    <w:rsid w:val="009717CE"/>
    <w:rsid w:val="00973C49"/>
    <w:rsid w:val="00973E26"/>
    <w:rsid w:val="0098085A"/>
    <w:rsid w:val="009A0675"/>
    <w:rsid w:val="009A5A77"/>
    <w:rsid w:val="009A6ACC"/>
    <w:rsid w:val="009B04D7"/>
    <w:rsid w:val="009B0B28"/>
    <w:rsid w:val="009C2A02"/>
    <w:rsid w:val="009C323C"/>
    <w:rsid w:val="009D1998"/>
    <w:rsid w:val="009E5154"/>
    <w:rsid w:val="00A03DDB"/>
    <w:rsid w:val="00A30E6C"/>
    <w:rsid w:val="00A33A55"/>
    <w:rsid w:val="00A40636"/>
    <w:rsid w:val="00A438BE"/>
    <w:rsid w:val="00A43B68"/>
    <w:rsid w:val="00A5376E"/>
    <w:rsid w:val="00A57A3D"/>
    <w:rsid w:val="00A616FF"/>
    <w:rsid w:val="00A61E2F"/>
    <w:rsid w:val="00A63D32"/>
    <w:rsid w:val="00A63EB2"/>
    <w:rsid w:val="00A67630"/>
    <w:rsid w:val="00A719D4"/>
    <w:rsid w:val="00A75551"/>
    <w:rsid w:val="00A771C4"/>
    <w:rsid w:val="00A77B3E"/>
    <w:rsid w:val="00A84775"/>
    <w:rsid w:val="00A909F5"/>
    <w:rsid w:val="00A9490A"/>
    <w:rsid w:val="00AA0422"/>
    <w:rsid w:val="00AB6AB9"/>
    <w:rsid w:val="00AB72AC"/>
    <w:rsid w:val="00AC0CDE"/>
    <w:rsid w:val="00AC1BA6"/>
    <w:rsid w:val="00AC7BA4"/>
    <w:rsid w:val="00AD0D9C"/>
    <w:rsid w:val="00AD2DE0"/>
    <w:rsid w:val="00AD3CB6"/>
    <w:rsid w:val="00AD7C65"/>
    <w:rsid w:val="00AE0931"/>
    <w:rsid w:val="00AE3D4B"/>
    <w:rsid w:val="00AE4329"/>
    <w:rsid w:val="00AF3B5E"/>
    <w:rsid w:val="00AF55F9"/>
    <w:rsid w:val="00B0060C"/>
    <w:rsid w:val="00B0783B"/>
    <w:rsid w:val="00B07859"/>
    <w:rsid w:val="00B218A7"/>
    <w:rsid w:val="00B22C99"/>
    <w:rsid w:val="00B23854"/>
    <w:rsid w:val="00B42B9B"/>
    <w:rsid w:val="00B50C2E"/>
    <w:rsid w:val="00B51DAA"/>
    <w:rsid w:val="00B60F19"/>
    <w:rsid w:val="00B7149D"/>
    <w:rsid w:val="00B77F11"/>
    <w:rsid w:val="00B87B03"/>
    <w:rsid w:val="00B923FE"/>
    <w:rsid w:val="00BA274F"/>
    <w:rsid w:val="00BB1D5E"/>
    <w:rsid w:val="00BB3E7E"/>
    <w:rsid w:val="00BB4C96"/>
    <w:rsid w:val="00BB6B5E"/>
    <w:rsid w:val="00BB7EC0"/>
    <w:rsid w:val="00BC4A0C"/>
    <w:rsid w:val="00BC69D6"/>
    <w:rsid w:val="00BD0C1E"/>
    <w:rsid w:val="00BD5805"/>
    <w:rsid w:val="00BE36AE"/>
    <w:rsid w:val="00BE3B18"/>
    <w:rsid w:val="00BF370C"/>
    <w:rsid w:val="00BF479D"/>
    <w:rsid w:val="00BF4B3D"/>
    <w:rsid w:val="00BF5822"/>
    <w:rsid w:val="00BF730D"/>
    <w:rsid w:val="00C0179C"/>
    <w:rsid w:val="00C11B7D"/>
    <w:rsid w:val="00C12205"/>
    <w:rsid w:val="00C20AA0"/>
    <w:rsid w:val="00C23694"/>
    <w:rsid w:val="00C24E5B"/>
    <w:rsid w:val="00C25531"/>
    <w:rsid w:val="00C413A2"/>
    <w:rsid w:val="00C52333"/>
    <w:rsid w:val="00C57A41"/>
    <w:rsid w:val="00C63934"/>
    <w:rsid w:val="00C70875"/>
    <w:rsid w:val="00C73C1A"/>
    <w:rsid w:val="00C85956"/>
    <w:rsid w:val="00C961CD"/>
    <w:rsid w:val="00CA0FB4"/>
    <w:rsid w:val="00CA2E1D"/>
    <w:rsid w:val="00CA7CE1"/>
    <w:rsid w:val="00CB64DC"/>
    <w:rsid w:val="00CC6E4E"/>
    <w:rsid w:val="00CD0774"/>
    <w:rsid w:val="00CE757B"/>
    <w:rsid w:val="00CF0B0E"/>
    <w:rsid w:val="00D01F71"/>
    <w:rsid w:val="00D05633"/>
    <w:rsid w:val="00D14C36"/>
    <w:rsid w:val="00D221EE"/>
    <w:rsid w:val="00D26511"/>
    <w:rsid w:val="00D304C4"/>
    <w:rsid w:val="00D371E6"/>
    <w:rsid w:val="00D442C8"/>
    <w:rsid w:val="00D52BE8"/>
    <w:rsid w:val="00D5578F"/>
    <w:rsid w:val="00D64BC0"/>
    <w:rsid w:val="00D67BFA"/>
    <w:rsid w:val="00D71974"/>
    <w:rsid w:val="00D73B6C"/>
    <w:rsid w:val="00D75529"/>
    <w:rsid w:val="00D75DA5"/>
    <w:rsid w:val="00D76E0A"/>
    <w:rsid w:val="00D777C1"/>
    <w:rsid w:val="00D8447C"/>
    <w:rsid w:val="00DA36BB"/>
    <w:rsid w:val="00DB7C27"/>
    <w:rsid w:val="00DC6021"/>
    <w:rsid w:val="00DD2541"/>
    <w:rsid w:val="00DD3FD6"/>
    <w:rsid w:val="00DD5D64"/>
    <w:rsid w:val="00DE44BF"/>
    <w:rsid w:val="00DE7C70"/>
    <w:rsid w:val="00DF599E"/>
    <w:rsid w:val="00E035AE"/>
    <w:rsid w:val="00E10D5A"/>
    <w:rsid w:val="00E13C28"/>
    <w:rsid w:val="00E16218"/>
    <w:rsid w:val="00E16CCE"/>
    <w:rsid w:val="00E271DD"/>
    <w:rsid w:val="00E30641"/>
    <w:rsid w:val="00E32C55"/>
    <w:rsid w:val="00E460E3"/>
    <w:rsid w:val="00E47186"/>
    <w:rsid w:val="00E50AC6"/>
    <w:rsid w:val="00E63644"/>
    <w:rsid w:val="00E75BED"/>
    <w:rsid w:val="00E8065E"/>
    <w:rsid w:val="00E866C5"/>
    <w:rsid w:val="00E867A8"/>
    <w:rsid w:val="00E91409"/>
    <w:rsid w:val="00E9283D"/>
    <w:rsid w:val="00E958CA"/>
    <w:rsid w:val="00EB56A4"/>
    <w:rsid w:val="00EB69D0"/>
    <w:rsid w:val="00EC1EAD"/>
    <w:rsid w:val="00EC2C84"/>
    <w:rsid w:val="00EC5F66"/>
    <w:rsid w:val="00ED333F"/>
    <w:rsid w:val="00EE250D"/>
    <w:rsid w:val="00EE2E4E"/>
    <w:rsid w:val="00EF10E2"/>
    <w:rsid w:val="00EF7C9F"/>
    <w:rsid w:val="00F01F8F"/>
    <w:rsid w:val="00F138B3"/>
    <w:rsid w:val="00F21C0A"/>
    <w:rsid w:val="00F31E05"/>
    <w:rsid w:val="00F37B2A"/>
    <w:rsid w:val="00F561BA"/>
    <w:rsid w:val="00F602AE"/>
    <w:rsid w:val="00F622FB"/>
    <w:rsid w:val="00F86F58"/>
    <w:rsid w:val="00F97163"/>
    <w:rsid w:val="00FA0250"/>
    <w:rsid w:val="00FA4A87"/>
    <w:rsid w:val="00FB0AA1"/>
    <w:rsid w:val="00FB23A2"/>
    <w:rsid w:val="00FD20C6"/>
    <w:rsid w:val="00FD6E61"/>
    <w:rsid w:val="00FE2B6A"/>
    <w:rsid w:val="00FE7649"/>
    <w:rsid w:val="00FF550C"/>
    <w:rsid w:val="012A4CB7"/>
    <w:rsid w:val="018223A5"/>
    <w:rsid w:val="02FF1C4E"/>
    <w:rsid w:val="03070663"/>
    <w:rsid w:val="03A44877"/>
    <w:rsid w:val="03D45450"/>
    <w:rsid w:val="03F8658F"/>
    <w:rsid w:val="04A464ED"/>
    <w:rsid w:val="055E0F4F"/>
    <w:rsid w:val="069B1442"/>
    <w:rsid w:val="06B9282F"/>
    <w:rsid w:val="06FD6E44"/>
    <w:rsid w:val="07662C35"/>
    <w:rsid w:val="07B626BC"/>
    <w:rsid w:val="08131961"/>
    <w:rsid w:val="08CF5B04"/>
    <w:rsid w:val="092D690C"/>
    <w:rsid w:val="09BE2807"/>
    <w:rsid w:val="0A0F22AF"/>
    <w:rsid w:val="0A777A27"/>
    <w:rsid w:val="0A9833BF"/>
    <w:rsid w:val="0AB94E29"/>
    <w:rsid w:val="0C090759"/>
    <w:rsid w:val="0C321A2E"/>
    <w:rsid w:val="0C4E6677"/>
    <w:rsid w:val="0CB33F28"/>
    <w:rsid w:val="0CB530FC"/>
    <w:rsid w:val="0DAE1A69"/>
    <w:rsid w:val="0DB3630B"/>
    <w:rsid w:val="0DFC48C1"/>
    <w:rsid w:val="0E3357AE"/>
    <w:rsid w:val="0EE9471C"/>
    <w:rsid w:val="0F2E5AE8"/>
    <w:rsid w:val="0FF72BD0"/>
    <w:rsid w:val="10DA69C9"/>
    <w:rsid w:val="120C5FB5"/>
    <w:rsid w:val="12620F04"/>
    <w:rsid w:val="127448E8"/>
    <w:rsid w:val="12A372AE"/>
    <w:rsid w:val="13D05287"/>
    <w:rsid w:val="141B5D8F"/>
    <w:rsid w:val="14297624"/>
    <w:rsid w:val="148749D1"/>
    <w:rsid w:val="14904516"/>
    <w:rsid w:val="14AE78FC"/>
    <w:rsid w:val="159E64B1"/>
    <w:rsid w:val="15B01B45"/>
    <w:rsid w:val="15F67DF6"/>
    <w:rsid w:val="164B6CF2"/>
    <w:rsid w:val="165A3983"/>
    <w:rsid w:val="16762AAB"/>
    <w:rsid w:val="16F058FF"/>
    <w:rsid w:val="1758224A"/>
    <w:rsid w:val="17EF69BA"/>
    <w:rsid w:val="18141EF5"/>
    <w:rsid w:val="18A56323"/>
    <w:rsid w:val="18C96B43"/>
    <w:rsid w:val="18C96C72"/>
    <w:rsid w:val="19133A20"/>
    <w:rsid w:val="196269FB"/>
    <w:rsid w:val="19C652FF"/>
    <w:rsid w:val="1A14183D"/>
    <w:rsid w:val="1AF91450"/>
    <w:rsid w:val="1B923B12"/>
    <w:rsid w:val="1B970E99"/>
    <w:rsid w:val="1B9B0A02"/>
    <w:rsid w:val="1BE85B58"/>
    <w:rsid w:val="1C260E06"/>
    <w:rsid w:val="1C6319B7"/>
    <w:rsid w:val="1C86767C"/>
    <w:rsid w:val="1C894F0F"/>
    <w:rsid w:val="1CC5256D"/>
    <w:rsid w:val="1CFA79D1"/>
    <w:rsid w:val="1D681ABC"/>
    <w:rsid w:val="1D765D02"/>
    <w:rsid w:val="1E3D4C7C"/>
    <w:rsid w:val="1FEA650D"/>
    <w:rsid w:val="206A4FA5"/>
    <w:rsid w:val="20F27EF9"/>
    <w:rsid w:val="2118077E"/>
    <w:rsid w:val="21505187"/>
    <w:rsid w:val="21B5131B"/>
    <w:rsid w:val="229C60B1"/>
    <w:rsid w:val="22F94D23"/>
    <w:rsid w:val="23560680"/>
    <w:rsid w:val="23635FBD"/>
    <w:rsid w:val="2368326C"/>
    <w:rsid w:val="24856823"/>
    <w:rsid w:val="248A134E"/>
    <w:rsid w:val="24F5186E"/>
    <w:rsid w:val="25393762"/>
    <w:rsid w:val="259E1E92"/>
    <w:rsid w:val="262B1DC0"/>
    <w:rsid w:val="26361D4F"/>
    <w:rsid w:val="27361FC4"/>
    <w:rsid w:val="275D74EF"/>
    <w:rsid w:val="275F5CD2"/>
    <w:rsid w:val="27994107"/>
    <w:rsid w:val="27AB17BC"/>
    <w:rsid w:val="280A2047"/>
    <w:rsid w:val="284E192B"/>
    <w:rsid w:val="28A918C1"/>
    <w:rsid w:val="28C56C1D"/>
    <w:rsid w:val="292C755A"/>
    <w:rsid w:val="2949287A"/>
    <w:rsid w:val="2A380131"/>
    <w:rsid w:val="2A5E20C7"/>
    <w:rsid w:val="2B2D12E1"/>
    <w:rsid w:val="2C48710B"/>
    <w:rsid w:val="2C8C5497"/>
    <w:rsid w:val="2D1B715C"/>
    <w:rsid w:val="2D596F9E"/>
    <w:rsid w:val="2DAC18FD"/>
    <w:rsid w:val="2E4F6DCE"/>
    <w:rsid w:val="2EB0092B"/>
    <w:rsid w:val="2F8254B3"/>
    <w:rsid w:val="301D26F9"/>
    <w:rsid w:val="3059469A"/>
    <w:rsid w:val="30713C33"/>
    <w:rsid w:val="308812A7"/>
    <w:rsid w:val="30A24016"/>
    <w:rsid w:val="30E97669"/>
    <w:rsid w:val="30EA418A"/>
    <w:rsid w:val="316C1ED2"/>
    <w:rsid w:val="316C53F4"/>
    <w:rsid w:val="31E31A26"/>
    <w:rsid w:val="320203B1"/>
    <w:rsid w:val="324C7B79"/>
    <w:rsid w:val="32C65BB0"/>
    <w:rsid w:val="33284FCD"/>
    <w:rsid w:val="339121C8"/>
    <w:rsid w:val="33F90B78"/>
    <w:rsid w:val="343472C6"/>
    <w:rsid w:val="344E5C31"/>
    <w:rsid w:val="346B1A4B"/>
    <w:rsid w:val="34B1283A"/>
    <w:rsid w:val="35486165"/>
    <w:rsid w:val="35FB3DC6"/>
    <w:rsid w:val="376B6913"/>
    <w:rsid w:val="37EF3E65"/>
    <w:rsid w:val="384346E3"/>
    <w:rsid w:val="385C51E0"/>
    <w:rsid w:val="39137C6D"/>
    <w:rsid w:val="39185D7A"/>
    <w:rsid w:val="39C10386"/>
    <w:rsid w:val="39FD3EFC"/>
    <w:rsid w:val="3AC41CBC"/>
    <w:rsid w:val="3B783AC3"/>
    <w:rsid w:val="3C900565"/>
    <w:rsid w:val="3CEB3288"/>
    <w:rsid w:val="3CF204ED"/>
    <w:rsid w:val="3D5F6156"/>
    <w:rsid w:val="3E284345"/>
    <w:rsid w:val="3E5D5DC3"/>
    <w:rsid w:val="3EA34A3A"/>
    <w:rsid w:val="3F104904"/>
    <w:rsid w:val="4025771C"/>
    <w:rsid w:val="40295C84"/>
    <w:rsid w:val="40387BEA"/>
    <w:rsid w:val="40863720"/>
    <w:rsid w:val="40EF469A"/>
    <w:rsid w:val="417B70BD"/>
    <w:rsid w:val="418B65FB"/>
    <w:rsid w:val="42905A81"/>
    <w:rsid w:val="429E79DA"/>
    <w:rsid w:val="42C11E84"/>
    <w:rsid w:val="42ED4D97"/>
    <w:rsid w:val="432E7BAA"/>
    <w:rsid w:val="437C04E2"/>
    <w:rsid w:val="445923D7"/>
    <w:rsid w:val="44D05502"/>
    <w:rsid w:val="44D30BC9"/>
    <w:rsid w:val="45555CDA"/>
    <w:rsid w:val="45CA7D22"/>
    <w:rsid w:val="462A135C"/>
    <w:rsid w:val="464E052A"/>
    <w:rsid w:val="465573EA"/>
    <w:rsid w:val="473E627C"/>
    <w:rsid w:val="47B41AAE"/>
    <w:rsid w:val="47E77A82"/>
    <w:rsid w:val="482E0347"/>
    <w:rsid w:val="484A67E7"/>
    <w:rsid w:val="485F4C47"/>
    <w:rsid w:val="48803C60"/>
    <w:rsid w:val="48B56668"/>
    <w:rsid w:val="48E31C9E"/>
    <w:rsid w:val="48ED35B0"/>
    <w:rsid w:val="49275917"/>
    <w:rsid w:val="49806224"/>
    <w:rsid w:val="499833D2"/>
    <w:rsid w:val="4A4C47F2"/>
    <w:rsid w:val="4AD33D96"/>
    <w:rsid w:val="4B14433D"/>
    <w:rsid w:val="4B1609CD"/>
    <w:rsid w:val="4BA45C74"/>
    <w:rsid w:val="4BFF76BB"/>
    <w:rsid w:val="4D0B1E09"/>
    <w:rsid w:val="4D282457"/>
    <w:rsid w:val="4D9A6DB8"/>
    <w:rsid w:val="4DA37BAF"/>
    <w:rsid w:val="4E651D1F"/>
    <w:rsid w:val="4E89623B"/>
    <w:rsid w:val="4FC13101"/>
    <w:rsid w:val="4FC158C3"/>
    <w:rsid w:val="50E35493"/>
    <w:rsid w:val="51130EBB"/>
    <w:rsid w:val="515B4A00"/>
    <w:rsid w:val="51997F6A"/>
    <w:rsid w:val="520C258C"/>
    <w:rsid w:val="53CD2F39"/>
    <w:rsid w:val="53E47E77"/>
    <w:rsid w:val="547A4633"/>
    <w:rsid w:val="54975154"/>
    <w:rsid w:val="54BB6625"/>
    <w:rsid w:val="54CA1AE4"/>
    <w:rsid w:val="55653141"/>
    <w:rsid w:val="556A3B64"/>
    <w:rsid w:val="563B7A2C"/>
    <w:rsid w:val="566C5126"/>
    <w:rsid w:val="569E6485"/>
    <w:rsid w:val="574100F6"/>
    <w:rsid w:val="57B91294"/>
    <w:rsid w:val="58647E55"/>
    <w:rsid w:val="58853483"/>
    <w:rsid w:val="58B85119"/>
    <w:rsid w:val="58D61468"/>
    <w:rsid w:val="5930284F"/>
    <w:rsid w:val="59411541"/>
    <w:rsid w:val="59867117"/>
    <w:rsid w:val="59A771C0"/>
    <w:rsid w:val="59A815C0"/>
    <w:rsid w:val="59FA5DA8"/>
    <w:rsid w:val="5A1700E9"/>
    <w:rsid w:val="5BDE0FE4"/>
    <w:rsid w:val="5CE32A34"/>
    <w:rsid w:val="5F3C4C84"/>
    <w:rsid w:val="5F785649"/>
    <w:rsid w:val="5F8F19EF"/>
    <w:rsid w:val="5FAF303A"/>
    <w:rsid w:val="60172862"/>
    <w:rsid w:val="60D024E6"/>
    <w:rsid w:val="60FA779B"/>
    <w:rsid w:val="614454B4"/>
    <w:rsid w:val="619640E3"/>
    <w:rsid w:val="61E33378"/>
    <w:rsid w:val="62BF503D"/>
    <w:rsid w:val="630D2A80"/>
    <w:rsid w:val="63365E8E"/>
    <w:rsid w:val="63631B38"/>
    <w:rsid w:val="639A3FF0"/>
    <w:rsid w:val="643B0614"/>
    <w:rsid w:val="64524531"/>
    <w:rsid w:val="64A74262"/>
    <w:rsid w:val="64B23755"/>
    <w:rsid w:val="65232407"/>
    <w:rsid w:val="65A35224"/>
    <w:rsid w:val="65CC0E06"/>
    <w:rsid w:val="65EC0F39"/>
    <w:rsid w:val="662B3599"/>
    <w:rsid w:val="664F7D53"/>
    <w:rsid w:val="665D0520"/>
    <w:rsid w:val="66690363"/>
    <w:rsid w:val="66CB3259"/>
    <w:rsid w:val="66D5683B"/>
    <w:rsid w:val="66F26C8B"/>
    <w:rsid w:val="670877D7"/>
    <w:rsid w:val="67617663"/>
    <w:rsid w:val="67A44D12"/>
    <w:rsid w:val="67F96E18"/>
    <w:rsid w:val="68742845"/>
    <w:rsid w:val="69760F97"/>
    <w:rsid w:val="69EC4DC5"/>
    <w:rsid w:val="69F838B9"/>
    <w:rsid w:val="6A1E3E38"/>
    <w:rsid w:val="6B146942"/>
    <w:rsid w:val="6B742898"/>
    <w:rsid w:val="6CA54071"/>
    <w:rsid w:val="6D4C4258"/>
    <w:rsid w:val="6D5C5A0C"/>
    <w:rsid w:val="6D5F2968"/>
    <w:rsid w:val="6D9C43BE"/>
    <w:rsid w:val="6DB3122C"/>
    <w:rsid w:val="6DFF1049"/>
    <w:rsid w:val="6E1C730C"/>
    <w:rsid w:val="6E5802A0"/>
    <w:rsid w:val="6EBC3831"/>
    <w:rsid w:val="6EC02B4C"/>
    <w:rsid w:val="6FAF29C5"/>
    <w:rsid w:val="700115E4"/>
    <w:rsid w:val="70487727"/>
    <w:rsid w:val="70EE570A"/>
    <w:rsid w:val="710907A7"/>
    <w:rsid w:val="722E645B"/>
    <w:rsid w:val="725145F1"/>
    <w:rsid w:val="72580157"/>
    <w:rsid w:val="72AE2482"/>
    <w:rsid w:val="72B71563"/>
    <w:rsid w:val="72F650A3"/>
    <w:rsid w:val="731B05FC"/>
    <w:rsid w:val="731C218D"/>
    <w:rsid w:val="740430E9"/>
    <w:rsid w:val="740B2136"/>
    <w:rsid w:val="74BB6569"/>
    <w:rsid w:val="74E13DED"/>
    <w:rsid w:val="750C57F0"/>
    <w:rsid w:val="75156B81"/>
    <w:rsid w:val="754C5506"/>
    <w:rsid w:val="758D6FF6"/>
    <w:rsid w:val="75DD5683"/>
    <w:rsid w:val="76AC1C75"/>
    <w:rsid w:val="76DA78EE"/>
    <w:rsid w:val="7777301A"/>
    <w:rsid w:val="77BA6B61"/>
    <w:rsid w:val="7842559D"/>
    <w:rsid w:val="78503447"/>
    <w:rsid w:val="78670B6C"/>
    <w:rsid w:val="7874493B"/>
    <w:rsid w:val="789928DE"/>
    <w:rsid w:val="78B21DE1"/>
    <w:rsid w:val="78B52457"/>
    <w:rsid w:val="78E8332F"/>
    <w:rsid w:val="797C3E87"/>
    <w:rsid w:val="79841CD7"/>
    <w:rsid w:val="79D75BD2"/>
    <w:rsid w:val="79E63D12"/>
    <w:rsid w:val="79EB5F80"/>
    <w:rsid w:val="7A073B29"/>
    <w:rsid w:val="7A873A10"/>
    <w:rsid w:val="7A881088"/>
    <w:rsid w:val="7B013465"/>
    <w:rsid w:val="7B7013E0"/>
    <w:rsid w:val="7B855B8F"/>
    <w:rsid w:val="7C8E00F0"/>
    <w:rsid w:val="7C9C643D"/>
    <w:rsid w:val="7CCB0836"/>
    <w:rsid w:val="7CFB1E78"/>
    <w:rsid w:val="7D38790D"/>
    <w:rsid w:val="7D396EBE"/>
    <w:rsid w:val="7D5668DB"/>
    <w:rsid w:val="7E100832"/>
    <w:rsid w:val="7E9F686F"/>
    <w:rsid w:val="7EBF201E"/>
    <w:rsid w:val="7F941B5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iPriority="0" w:name="heading 5"/>
    <w:lsdException w:qFormat="1" w:uiPriority="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qFormat="1" w:unhideWhenUsed="0" w:uiPriority="0" w:semiHidden="0" w:name="index 7"/>
    <w:lsdException w:uiPriority="99" w:name="index 8"/>
    <w:lsdException w:uiPriority="99" w:name="index 9"/>
    <w:lsdException w:qFormat="1" w:unhideWhenUsed="0"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qFormat="1" w:unhideWhenUsed="0" w:uiPriority="99"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qFormat="1" w:unhideWhenUsed="0" w:uiPriority="99"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37"/>
    <w:autoRedefine/>
    <w:qFormat/>
    <w:uiPriority w:val="0"/>
    <w:pPr>
      <w:keepNext/>
      <w:spacing w:line="380" w:lineRule="exact"/>
      <w:jc w:val="center"/>
      <w:outlineLvl w:val="0"/>
    </w:pPr>
    <w:rPr>
      <w:rFonts w:ascii="宋体"/>
      <w:b/>
      <w:bCs/>
      <w:sz w:val="28"/>
    </w:rPr>
  </w:style>
  <w:style w:type="paragraph" w:styleId="3">
    <w:name w:val="heading 2"/>
    <w:basedOn w:val="1"/>
    <w:next w:val="1"/>
    <w:link w:val="39"/>
    <w:qFormat/>
    <w:uiPriority w:val="9"/>
    <w:pPr>
      <w:keepNext/>
      <w:keepLines/>
      <w:spacing w:before="260" w:after="260" w:line="416" w:lineRule="auto"/>
      <w:outlineLvl w:val="1"/>
    </w:pPr>
    <w:rPr>
      <w:rFonts w:ascii="Cambria" w:hAnsi="Cambria" w:eastAsia="黑体" w:cs="Times New Roman"/>
      <w:bCs/>
      <w:sz w:val="30"/>
      <w:szCs w:val="32"/>
      <w:lang w:eastAsia="en-US"/>
    </w:rPr>
  </w:style>
  <w:style w:type="paragraph" w:styleId="4">
    <w:name w:val="heading 3"/>
    <w:basedOn w:val="1"/>
    <w:next w:val="1"/>
    <w:link w:val="40"/>
    <w:autoRedefine/>
    <w:qFormat/>
    <w:uiPriority w:val="9"/>
    <w:pPr>
      <w:keepNext/>
      <w:keepLines/>
      <w:numPr>
        <w:ilvl w:val="2"/>
        <w:numId w:val="1"/>
      </w:numPr>
      <w:tabs>
        <w:tab w:val="left" w:pos="720"/>
      </w:tabs>
      <w:autoSpaceDE w:val="0"/>
      <w:autoSpaceDN w:val="0"/>
      <w:adjustRightInd w:val="0"/>
      <w:snapToGrid w:val="0"/>
      <w:spacing w:before="260" w:after="260" w:line="416" w:lineRule="auto"/>
      <w:jc w:val="left"/>
      <w:outlineLvl w:val="2"/>
    </w:pPr>
    <w:rPr>
      <w:rFonts w:ascii="宋体" w:hAnsi="宋体" w:eastAsia="宋体" w:cs="Times New Roman"/>
      <w:b/>
      <w:color w:val="000000"/>
      <w:sz w:val="24"/>
      <w:szCs w:val="20"/>
    </w:rPr>
  </w:style>
  <w:style w:type="paragraph" w:styleId="5">
    <w:name w:val="heading 4"/>
    <w:basedOn w:val="1"/>
    <w:next w:val="1"/>
    <w:link w:val="41"/>
    <w:autoRedefine/>
    <w:qFormat/>
    <w:uiPriority w:val="9"/>
    <w:pPr>
      <w:keepNext/>
      <w:keepLines/>
      <w:spacing w:before="280" w:after="290" w:line="376" w:lineRule="auto"/>
      <w:outlineLvl w:val="3"/>
    </w:pPr>
    <w:rPr>
      <w:rFonts w:ascii="Cambria" w:hAnsi="Cambria" w:eastAsia="宋体" w:cs="Times New Roman"/>
      <w:b/>
      <w:bCs/>
      <w:sz w:val="28"/>
      <w:szCs w:val="28"/>
    </w:rPr>
  </w:style>
  <w:style w:type="character" w:default="1" w:styleId="31">
    <w:name w:val="Default Paragraph Font"/>
    <w:autoRedefine/>
    <w:unhideWhenUsed/>
    <w:qFormat/>
    <w:uiPriority w:val="1"/>
  </w:style>
  <w:style w:type="table" w:default="1" w:styleId="29">
    <w:name w:val="Normal Table"/>
    <w:autoRedefine/>
    <w:unhideWhenUsed/>
    <w:qFormat/>
    <w:uiPriority w:val="99"/>
    <w:tblPr>
      <w:tblCellMar>
        <w:top w:w="0" w:type="dxa"/>
        <w:left w:w="108" w:type="dxa"/>
        <w:bottom w:w="0" w:type="dxa"/>
        <w:right w:w="108" w:type="dxa"/>
      </w:tblCellMar>
    </w:tblPr>
  </w:style>
  <w:style w:type="paragraph" w:styleId="6">
    <w:name w:val="Normal Indent"/>
    <w:basedOn w:val="1"/>
    <w:next w:val="7"/>
    <w:autoRedefine/>
    <w:qFormat/>
    <w:uiPriority w:val="99"/>
    <w:pPr>
      <w:ind w:firstLine="420" w:firstLineChars="200"/>
    </w:pPr>
  </w:style>
  <w:style w:type="paragraph" w:customStyle="1" w:styleId="7">
    <w:name w:val="样式 正文缩进 + 首行缩进:  2 字符"/>
    <w:basedOn w:val="6"/>
    <w:autoRedefine/>
    <w:qFormat/>
    <w:uiPriority w:val="0"/>
    <w:pPr>
      <w:ind w:firstLine="560" w:firstLineChars="200"/>
    </w:pPr>
    <w:rPr>
      <w:rFonts w:cs="宋体"/>
    </w:rPr>
  </w:style>
  <w:style w:type="paragraph" w:styleId="8">
    <w:name w:val="toa heading"/>
    <w:basedOn w:val="1"/>
    <w:next w:val="1"/>
    <w:qFormat/>
    <w:uiPriority w:val="99"/>
    <w:pPr>
      <w:spacing w:before="120"/>
    </w:pPr>
    <w:rPr>
      <w:rFonts w:ascii="Arial" w:hAnsi="Arial" w:eastAsia="仿宋"/>
      <w:sz w:val="24"/>
      <w:szCs w:val="20"/>
    </w:rPr>
  </w:style>
  <w:style w:type="paragraph" w:styleId="9">
    <w:name w:val="annotation text"/>
    <w:basedOn w:val="1"/>
    <w:autoRedefine/>
    <w:qFormat/>
    <w:uiPriority w:val="0"/>
    <w:pPr>
      <w:jc w:val="left"/>
    </w:pPr>
  </w:style>
  <w:style w:type="paragraph" w:styleId="10">
    <w:name w:val="Body Text"/>
    <w:basedOn w:val="1"/>
    <w:link w:val="38"/>
    <w:autoRedefine/>
    <w:unhideWhenUsed/>
    <w:qFormat/>
    <w:uiPriority w:val="99"/>
    <w:pPr>
      <w:spacing w:after="120"/>
    </w:pPr>
  </w:style>
  <w:style w:type="paragraph" w:styleId="11">
    <w:name w:val="Body Text Indent"/>
    <w:basedOn w:val="1"/>
    <w:next w:val="5"/>
    <w:link w:val="42"/>
    <w:qFormat/>
    <w:uiPriority w:val="0"/>
    <w:pPr>
      <w:spacing w:line="380" w:lineRule="exact"/>
      <w:ind w:firstLine="480"/>
    </w:pPr>
    <w:rPr>
      <w:rFonts w:eastAsia="方正书宋简体"/>
      <w:sz w:val="24"/>
    </w:rPr>
  </w:style>
  <w:style w:type="paragraph" w:styleId="12">
    <w:name w:val="toc 3"/>
    <w:basedOn w:val="1"/>
    <w:next w:val="1"/>
    <w:autoRedefine/>
    <w:unhideWhenUsed/>
    <w:qFormat/>
    <w:uiPriority w:val="39"/>
    <w:pPr>
      <w:ind w:left="840" w:leftChars="400"/>
    </w:pPr>
  </w:style>
  <w:style w:type="paragraph" w:styleId="13">
    <w:name w:val="Plain Text"/>
    <w:basedOn w:val="1"/>
    <w:next w:val="1"/>
    <w:link w:val="43"/>
    <w:autoRedefine/>
    <w:unhideWhenUsed/>
    <w:qFormat/>
    <w:uiPriority w:val="0"/>
    <w:rPr>
      <w:rFonts w:ascii="宋体" w:hAnsi="Courier New"/>
      <w:kern w:val="0"/>
      <w:sz w:val="20"/>
      <w:szCs w:val="21"/>
    </w:rPr>
  </w:style>
  <w:style w:type="paragraph" w:styleId="14">
    <w:name w:val="Date"/>
    <w:basedOn w:val="1"/>
    <w:next w:val="1"/>
    <w:autoRedefine/>
    <w:qFormat/>
    <w:uiPriority w:val="0"/>
    <w:pPr>
      <w:adjustRightInd w:val="0"/>
      <w:spacing w:line="312" w:lineRule="atLeast"/>
      <w:jc w:val="right"/>
      <w:textAlignment w:val="baseline"/>
    </w:pPr>
    <w:rPr>
      <w:rFonts w:ascii="宋体"/>
      <w:kern w:val="0"/>
      <w:sz w:val="24"/>
    </w:rPr>
  </w:style>
  <w:style w:type="paragraph" w:styleId="15">
    <w:name w:val="Body Text Indent 2"/>
    <w:basedOn w:val="1"/>
    <w:qFormat/>
    <w:uiPriority w:val="0"/>
    <w:pPr>
      <w:spacing w:line="380" w:lineRule="exact"/>
      <w:ind w:left="840" w:hanging="45"/>
    </w:pPr>
    <w:rPr>
      <w:rFonts w:ascii="宋体"/>
      <w:sz w:val="24"/>
    </w:rPr>
  </w:style>
  <w:style w:type="paragraph" w:styleId="16">
    <w:name w:val="Balloon Text"/>
    <w:basedOn w:val="1"/>
    <w:autoRedefine/>
    <w:qFormat/>
    <w:uiPriority w:val="0"/>
    <w:rPr>
      <w:sz w:val="18"/>
      <w:szCs w:val="18"/>
    </w:rPr>
  </w:style>
  <w:style w:type="paragraph" w:styleId="17">
    <w:name w:val="footer"/>
    <w:basedOn w:val="1"/>
    <w:link w:val="44"/>
    <w:autoRedefine/>
    <w:qFormat/>
    <w:uiPriority w:val="0"/>
    <w:pPr>
      <w:tabs>
        <w:tab w:val="center" w:pos="4153"/>
        <w:tab w:val="right" w:pos="8306"/>
      </w:tabs>
      <w:snapToGrid w:val="0"/>
      <w:jc w:val="left"/>
    </w:pPr>
    <w:rPr>
      <w:sz w:val="18"/>
    </w:rPr>
  </w:style>
  <w:style w:type="paragraph" w:styleId="18">
    <w:name w:val="header"/>
    <w:basedOn w:val="1"/>
    <w:link w:val="45"/>
    <w:autoRedefine/>
    <w:qFormat/>
    <w:uiPriority w:val="99"/>
    <w:pPr>
      <w:pBdr>
        <w:bottom w:val="single" w:color="auto" w:sz="6" w:space="1"/>
      </w:pBdr>
      <w:tabs>
        <w:tab w:val="center" w:pos="4153"/>
        <w:tab w:val="right" w:pos="8306"/>
      </w:tabs>
      <w:snapToGrid w:val="0"/>
      <w:jc w:val="center"/>
    </w:pPr>
    <w:rPr>
      <w:sz w:val="18"/>
    </w:rPr>
  </w:style>
  <w:style w:type="paragraph" w:styleId="19">
    <w:name w:val="toc 1"/>
    <w:basedOn w:val="1"/>
    <w:next w:val="1"/>
    <w:autoRedefine/>
    <w:qFormat/>
    <w:uiPriority w:val="39"/>
    <w:pPr>
      <w:tabs>
        <w:tab w:val="right" w:leader="dot" w:pos="8460"/>
      </w:tabs>
      <w:spacing w:before="120" w:beforeLines="0" w:after="120" w:afterLines="0"/>
      <w:ind w:right="-53" w:rightChars="-25"/>
      <w:jc w:val="left"/>
    </w:pPr>
    <w:rPr>
      <w:rFonts w:ascii="宋体" w:hAnsi="宋体"/>
      <w:szCs w:val="24"/>
    </w:rPr>
  </w:style>
  <w:style w:type="paragraph" w:styleId="20">
    <w:name w:val="footnote text"/>
    <w:basedOn w:val="1"/>
    <w:autoRedefine/>
    <w:qFormat/>
    <w:uiPriority w:val="99"/>
    <w:pPr>
      <w:snapToGrid w:val="0"/>
      <w:jc w:val="left"/>
    </w:pPr>
    <w:rPr>
      <w:sz w:val="18"/>
    </w:rPr>
  </w:style>
  <w:style w:type="paragraph" w:styleId="21">
    <w:name w:val="Body Text Indent 3"/>
    <w:basedOn w:val="1"/>
    <w:autoRedefine/>
    <w:qFormat/>
    <w:uiPriority w:val="0"/>
    <w:pPr>
      <w:spacing w:line="380" w:lineRule="exact"/>
      <w:ind w:left="525"/>
    </w:pPr>
    <w:rPr>
      <w:rFonts w:ascii="宋体"/>
      <w:sz w:val="24"/>
    </w:rPr>
  </w:style>
  <w:style w:type="paragraph" w:styleId="22">
    <w:name w:val="index 7"/>
    <w:basedOn w:val="1"/>
    <w:next w:val="1"/>
    <w:autoRedefine/>
    <w:qFormat/>
    <w:uiPriority w:val="0"/>
    <w:pPr>
      <w:ind w:left="2520"/>
    </w:pPr>
    <w:rPr>
      <w:szCs w:val="22"/>
    </w:rPr>
  </w:style>
  <w:style w:type="paragraph" w:styleId="23">
    <w:name w:val="toc 2"/>
    <w:basedOn w:val="1"/>
    <w:next w:val="1"/>
    <w:autoRedefine/>
    <w:unhideWhenUsed/>
    <w:qFormat/>
    <w:uiPriority w:val="39"/>
    <w:pPr>
      <w:keepNext w:val="0"/>
      <w:keepLines w:val="0"/>
      <w:widowControl w:val="0"/>
      <w:suppressLineNumbers w:val="0"/>
      <w:ind w:left="420" w:leftChars="200"/>
      <w:jc w:val="both"/>
    </w:pPr>
    <w:rPr>
      <w:rFonts w:hint="default" w:ascii="Cambria" w:hAnsi="Cambria" w:eastAsia="Cambria" w:cs="Cambria"/>
      <w:kern w:val="2"/>
      <w:sz w:val="21"/>
      <w:szCs w:val="21"/>
      <w:lang w:val="en-US" w:eastAsia="zh-CN" w:bidi="ar"/>
    </w:rPr>
  </w:style>
  <w:style w:type="paragraph" w:styleId="24">
    <w:name w:val="Normal (Web)"/>
    <w:basedOn w:val="1"/>
    <w:autoRedefine/>
    <w:unhideWhenUsed/>
    <w:qFormat/>
    <w:uiPriority w:val="99"/>
    <w:pPr>
      <w:spacing w:before="0" w:beforeAutospacing="1" w:after="0" w:afterAutospacing="1"/>
      <w:ind w:left="0" w:right="0"/>
      <w:jc w:val="left"/>
    </w:pPr>
    <w:rPr>
      <w:kern w:val="0"/>
      <w:sz w:val="24"/>
      <w:lang w:val="en-US" w:eastAsia="zh-CN" w:bidi="ar"/>
    </w:rPr>
  </w:style>
  <w:style w:type="paragraph" w:styleId="25">
    <w:name w:val="Title"/>
    <w:basedOn w:val="1"/>
    <w:next w:val="1"/>
    <w:autoRedefine/>
    <w:qFormat/>
    <w:uiPriority w:val="0"/>
    <w:pPr>
      <w:spacing w:before="240" w:after="60"/>
      <w:jc w:val="center"/>
      <w:outlineLvl w:val="0"/>
    </w:pPr>
    <w:rPr>
      <w:rFonts w:ascii="Cambria" w:hAnsi="Cambria"/>
      <w:b/>
      <w:bCs/>
      <w:sz w:val="32"/>
      <w:szCs w:val="32"/>
    </w:rPr>
  </w:style>
  <w:style w:type="paragraph" w:styleId="26">
    <w:name w:val="annotation subject"/>
    <w:basedOn w:val="9"/>
    <w:next w:val="9"/>
    <w:autoRedefine/>
    <w:qFormat/>
    <w:uiPriority w:val="0"/>
    <w:rPr>
      <w:b/>
      <w:bCs/>
    </w:rPr>
  </w:style>
  <w:style w:type="paragraph" w:styleId="27">
    <w:name w:val="Body Text First Indent"/>
    <w:basedOn w:val="10"/>
    <w:next w:val="28"/>
    <w:autoRedefine/>
    <w:qFormat/>
    <w:uiPriority w:val="0"/>
    <w:pPr>
      <w:tabs>
        <w:tab w:val="left" w:pos="9214"/>
      </w:tabs>
      <w:spacing w:after="0" w:line="540" w:lineRule="exact"/>
      <w:ind w:firstLine="200" w:firstLineChars="200"/>
    </w:pPr>
    <w:rPr>
      <w:rFonts w:eastAsia="仿宋_GB2312"/>
      <w:sz w:val="32"/>
      <w:szCs w:val="24"/>
    </w:rPr>
  </w:style>
  <w:style w:type="paragraph" w:styleId="28">
    <w:name w:val="Body Text First Indent 2"/>
    <w:basedOn w:val="11"/>
    <w:next w:val="27"/>
    <w:autoRedefine/>
    <w:qFormat/>
    <w:uiPriority w:val="0"/>
    <w:pPr>
      <w:widowControl/>
      <w:adjustRightInd/>
      <w:spacing w:after="120" w:line="300" w:lineRule="auto"/>
      <w:ind w:left="420" w:leftChars="200" w:firstLine="200" w:firstLineChars="200"/>
      <w:textAlignment w:val="auto"/>
    </w:pPr>
    <w:rPr>
      <w:rFonts w:ascii="Times New Roman" w:hAnsi="Times New Roman"/>
      <w:kern w:val="2"/>
      <w:sz w:val="24"/>
    </w:rPr>
  </w:style>
  <w:style w:type="table" w:styleId="30">
    <w:name w:val="Table Grid"/>
    <w:basedOn w:val="29"/>
    <w:autoRedefine/>
    <w:qFormat/>
    <w:uiPriority w:val="59"/>
    <w:rPr>
      <w:rFonts w:ascii="Calibri" w:hAnsi="Calibri" w:eastAsia="宋体" w:cs="Times New Roman"/>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2">
    <w:name w:val="Strong"/>
    <w:basedOn w:val="31"/>
    <w:qFormat/>
    <w:uiPriority w:val="22"/>
    <w:rPr>
      <w:b/>
    </w:rPr>
  </w:style>
  <w:style w:type="character" w:styleId="33">
    <w:name w:val="page number"/>
    <w:autoRedefine/>
    <w:qFormat/>
    <w:uiPriority w:val="99"/>
    <w:rPr>
      <w:lang w:val="en-US" w:eastAsia="zh-CN" w:bidi="ar-SA"/>
    </w:rPr>
  </w:style>
  <w:style w:type="character" w:styleId="34">
    <w:name w:val="FollowedHyperlink"/>
    <w:autoRedefine/>
    <w:qFormat/>
    <w:uiPriority w:val="0"/>
    <w:rPr>
      <w:rFonts w:ascii="宋体" w:hAnsi="宋体" w:eastAsia="宋体"/>
      <w:i/>
      <w:color w:val="800080"/>
      <w:kern w:val="2"/>
      <w:sz w:val="24"/>
      <w:szCs w:val="24"/>
      <w:u w:val="single"/>
      <w:lang w:val="en-US" w:eastAsia="zh-CN" w:bidi="ar-SA"/>
    </w:rPr>
  </w:style>
  <w:style w:type="character" w:styleId="35">
    <w:name w:val="Hyperlink"/>
    <w:basedOn w:val="31"/>
    <w:autoRedefine/>
    <w:qFormat/>
    <w:uiPriority w:val="99"/>
    <w:rPr>
      <w:rFonts w:ascii="宋体" w:hAnsi="宋体" w:eastAsia="宋体"/>
      <w:i/>
      <w:color w:val="0000FF"/>
      <w:kern w:val="2"/>
      <w:sz w:val="24"/>
      <w:szCs w:val="24"/>
      <w:u w:val="single"/>
      <w:lang w:val="en-US" w:eastAsia="zh-CN" w:bidi="ar-SA"/>
    </w:rPr>
  </w:style>
  <w:style w:type="character" w:styleId="36">
    <w:name w:val="annotation reference"/>
    <w:autoRedefine/>
    <w:qFormat/>
    <w:uiPriority w:val="0"/>
    <w:rPr>
      <w:rFonts w:ascii="宋体" w:hAnsi="宋体" w:eastAsia="宋体"/>
      <w:i/>
      <w:kern w:val="2"/>
      <w:sz w:val="21"/>
      <w:szCs w:val="21"/>
      <w:lang w:val="en-US" w:eastAsia="zh-CN" w:bidi="ar-SA"/>
    </w:rPr>
  </w:style>
  <w:style w:type="character" w:customStyle="1" w:styleId="37">
    <w:name w:val="标题 1 Char"/>
    <w:link w:val="2"/>
    <w:autoRedefine/>
    <w:qFormat/>
    <w:uiPriority w:val="0"/>
    <w:rPr>
      <w:rFonts w:ascii="宋体" w:hAnsi="宋体" w:eastAsia="宋体"/>
      <w:b/>
      <w:bCs/>
      <w:i/>
      <w:kern w:val="2"/>
      <w:sz w:val="28"/>
      <w:szCs w:val="24"/>
      <w:lang w:val="en-US" w:eastAsia="zh-CN" w:bidi="ar-SA"/>
    </w:rPr>
  </w:style>
  <w:style w:type="character" w:customStyle="1" w:styleId="38">
    <w:name w:val="正文文本 Char"/>
    <w:link w:val="10"/>
    <w:autoRedefine/>
    <w:semiHidden/>
    <w:qFormat/>
    <w:uiPriority w:val="99"/>
    <w:rPr>
      <w:rFonts w:ascii="宋体" w:hAnsi="宋体" w:eastAsia="宋体"/>
      <w:i/>
      <w:kern w:val="2"/>
      <w:sz w:val="21"/>
      <w:szCs w:val="24"/>
      <w:lang w:val="en-US" w:eastAsia="zh-CN" w:bidi="ar-SA"/>
    </w:rPr>
  </w:style>
  <w:style w:type="character" w:customStyle="1" w:styleId="39">
    <w:name w:val="标题 2 Char"/>
    <w:link w:val="3"/>
    <w:autoRedefine/>
    <w:qFormat/>
    <w:uiPriority w:val="0"/>
    <w:rPr>
      <w:rFonts w:ascii="Cambria" w:hAnsi="Cambria" w:eastAsia="黑体" w:cs="Times New Roman"/>
      <w:bCs/>
      <w:sz w:val="30"/>
      <w:szCs w:val="32"/>
      <w:lang w:eastAsia="en-US"/>
    </w:rPr>
  </w:style>
  <w:style w:type="character" w:customStyle="1" w:styleId="40">
    <w:name w:val="标题 3 Char"/>
    <w:link w:val="4"/>
    <w:autoRedefine/>
    <w:qFormat/>
    <w:uiPriority w:val="9"/>
    <w:rPr>
      <w:rFonts w:ascii="宋体" w:hAnsi="宋体"/>
      <w:b/>
      <w:color w:val="000000"/>
      <w:kern w:val="2"/>
      <w:sz w:val="24"/>
    </w:rPr>
  </w:style>
  <w:style w:type="character" w:customStyle="1" w:styleId="41">
    <w:name w:val="标题 4 Char"/>
    <w:link w:val="5"/>
    <w:autoRedefine/>
    <w:qFormat/>
    <w:uiPriority w:val="9"/>
    <w:rPr>
      <w:rFonts w:ascii="Cambria" w:hAnsi="Cambria" w:eastAsia="宋体" w:cs="Times New Roman"/>
      <w:b/>
      <w:bCs/>
      <w:kern w:val="2"/>
      <w:sz w:val="28"/>
      <w:szCs w:val="28"/>
      <w:lang w:val="en-US" w:eastAsia="zh-CN" w:bidi="ar-SA"/>
    </w:rPr>
  </w:style>
  <w:style w:type="character" w:customStyle="1" w:styleId="42">
    <w:name w:val="正文文本缩进 Char"/>
    <w:link w:val="11"/>
    <w:autoRedefine/>
    <w:qFormat/>
    <w:uiPriority w:val="0"/>
    <w:rPr>
      <w:rFonts w:ascii="宋体" w:hAnsi="宋体" w:eastAsia="方正书宋简体"/>
      <w:i/>
      <w:kern w:val="2"/>
      <w:sz w:val="24"/>
      <w:szCs w:val="24"/>
      <w:lang w:val="en-US" w:eastAsia="zh-CN" w:bidi="ar-SA"/>
    </w:rPr>
  </w:style>
  <w:style w:type="character" w:customStyle="1" w:styleId="43">
    <w:name w:val="纯文本 Char"/>
    <w:link w:val="13"/>
    <w:autoRedefine/>
    <w:semiHidden/>
    <w:qFormat/>
    <w:uiPriority w:val="0"/>
    <w:rPr>
      <w:rFonts w:ascii="宋体" w:hAnsi="Courier New" w:eastAsia="宋体"/>
      <w:i/>
      <w:kern w:val="2"/>
      <w:sz w:val="24"/>
      <w:szCs w:val="21"/>
      <w:lang w:val="en-US" w:eastAsia="zh-CN" w:bidi="ar-SA"/>
    </w:rPr>
  </w:style>
  <w:style w:type="character" w:customStyle="1" w:styleId="44">
    <w:name w:val="页脚 Char"/>
    <w:link w:val="17"/>
    <w:autoRedefine/>
    <w:qFormat/>
    <w:uiPriority w:val="0"/>
    <w:rPr>
      <w:kern w:val="2"/>
      <w:sz w:val="18"/>
    </w:rPr>
  </w:style>
  <w:style w:type="character" w:customStyle="1" w:styleId="45">
    <w:name w:val="页眉 Char"/>
    <w:link w:val="18"/>
    <w:autoRedefine/>
    <w:qFormat/>
    <w:uiPriority w:val="99"/>
    <w:rPr>
      <w:kern w:val="2"/>
      <w:sz w:val="18"/>
    </w:rPr>
  </w:style>
  <w:style w:type="paragraph" w:customStyle="1" w:styleId="46">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47">
    <w:name w:val="font121"/>
    <w:autoRedefine/>
    <w:qFormat/>
    <w:uiPriority w:val="0"/>
    <w:rPr>
      <w:rFonts w:hint="eastAsia" w:ascii="宋体" w:hAnsi="宋体" w:eastAsia="宋体" w:cs="宋体"/>
      <w:i/>
      <w:color w:val="000000"/>
      <w:kern w:val="2"/>
      <w:sz w:val="20"/>
      <w:szCs w:val="20"/>
      <w:u w:val="none"/>
      <w:lang w:val="en-US" w:eastAsia="zh-CN" w:bidi="ar-SA"/>
    </w:rPr>
  </w:style>
  <w:style w:type="character" w:customStyle="1" w:styleId="48">
    <w:name w:val="font41"/>
    <w:autoRedefine/>
    <w:qFormat/>
    <w:uiPriority w:val="0"/>
    <w:rPr>
      <w:rFonts w:hint="eastAsia" w:ascii="宋体" w:hAnsi="宋体" w:eastAsia="宋体" w:cs="宋体"/>
      <w:i/>
      <w:color w:val="000000"/>
      <w:kern w:val="2"/>
      <w:sz w:val="20"/>
      <w:szCs w:val="20"/>
      <w:u w:val="none"/>
      <w:lang w:val="en-US" w:eastAsia="zh-CN" w:bidi="ar-SA"/>
    </w:rPr>
  </w:style>
  <w:style w:type="character" w:customStyle="1" w:styleId="49">
    <w:name w:val="font51"/>
    <w:autoRedefine/>
    <w:qFormat/>
    <w:uiPriority w:val="0"/>
    <w:rPr>
      <w:rFonts w:hint="eastAsia" w:ascii="宋体" w:hAnsi="宋体" w:eastAsia="宋体" w:cs="宋体"/>
      <w:i/>
      <w:color w:val="000000"/>
      <w:kern w:val="2"/>
      <w:sz w:val="24"/>
      <w:szCs w:val="24"/>
      <w:u w:val="none"/>
      <w:lang w:val="en-US" w:eastAsia="zh-CN" w:bidi="ar-SA"/>
    </w:rPr>
  </w:style>
  <w:style w:type="character" w:customStyle="1" w:styleId="50">
    <w:name w:val="font11"/>
    <w:autoRedefine/>
    <w:qFormat/>
    <w:uiPriority w:val="0"/>
    <w:rPr>
      <w:rFonts w:hint="eastAsia" w:ascii="宋体" w:hAnsi="宋体" w:eastAsia="宋体" w:cs="宋体"/>
      <w:color w:val="000000"/>
      <w:kern w:val="2"/>
      <w:sz w:val="21"/>
      <w:szCs w:val="21"/>
      <w:u w:val="none"/>
      <w:lang w:val="en-US" w:eastAsia="zh-CN" w:bidi="ar-SA"/>
    </w:rPr>
  </w:style>
  <w:style w:type="character" w:customStyle="1" w:styleId="51">
    <w:name w:val="列出段落 Char"/>
    <w:link w:val="52"/>
    <w:autoRedefine/>
    <w:qFormat/>
    <w:uiPriority w:val="99"/>
    <w:rPr>
      <w:rFonts w:eastAsia="仿宋"/>
      <w:kern w:val="2"/>
      <w:sz w:val="24"/>
      <w:szCs w:val="22"/>
    </w:rPr>
  </w:style>
  <w:style w:type="paragraph" w:styleId="52">
    <w:name w:val="List Paragraph"/>
    <w:basedOn w:val="1"/>
    <w:link w:val="51"/>
    <w:autoRedefine/>
    <w:qFormat/>
    <w:uiPriority w:val="99"/>
    <w:pPr>
      <w:spacing w:line="360" w:lineRule="auto"/>
      <w:ind w:firstLine="420" w:firstLineChars="200"/>
    </w:pPr>
    <w:rPr>
      <w:rFonts w:eastAsia="仿宋"/>
      <w:sz w:val="24"/>
      <w:szCs w:val="22"/>
    </w:rPr>
  </w:style>
  <w:style w:type="paragraph" w:customStyle="1" w:styleId="53">
    <w:name w:val="Plain Text1"/>
    <w:basedOn w:val="1"/>
    <w:autoRedefine/>
    <w:qFormat/>
    <w:uiPriority w:val="0"/>
    <w:pPr>
      <w:overflowPunct w:val="0"/>
      <w:autoSpaceDE w:val="0"/>
      <w:autoSpaceDN w:val="0"/>
      <w:adjustRightInd w:val="0"/>
      <w:textAlignment w:val="baseline"/>
    </w:pPr>
    <w:rPr>
      <w:rFonts w:ascii="宋体" w:cs="宋体"/>
      <w:kern w:val="0"/>
      <w:szCs w:val="21"/>
    </w:rPr>
  </w:style>
  <w:style w:type="paragraph" w:styleId="54">
    <w:name w:val="No Spacing"/>
    <w:autoRedefine/>
    <w:qFormat/>
    <w:uiPriority w:val="1"/>
    <w:pPr>
      <w:widowControl w:val="0"/>
      <w:ind w:firstLine="200" w:firstLineChars="200"/>
      <w:jc w:val="both"/>
    </w:pPr>
    <w:rPr>
      <w:rFonts w:ascii="Times New Roman" w:hAnsi="Times New Roman" w:eastAsia="仿宋" w:cs="Times New Roman"/>
      <w:kern w:val="2"/>
      <w:sz w:val="24"/>
      <w:szCs w:val="22"/>
      <w:lang w:val="en-US" w:eastAsia="zh-CN" w:bidi="ar-SA"/>
    </w:rPr>
  </w:style>
  <w:style w:type="paragraph" w:customStyle="1" w:styleId="55">
    <w:name w:val="WPSOffice手动目录 1"/>
    <w:autoRedefine/>
    <w:qFormat/>
    <w:uiPriority w:val="0"/>
    <w:rPr>
      <w:rFonts w:ascii="Times New Roman" w:hAnsi="Times New Roman" w:eastAsia="宋体" w:cs="Times New Roman"/>
      <w:lang w:val="en-US" w:eastAsia="zh-CN" w:bidi="ar-SA"/>
    </w:rPr>
  </w:style>
  <w:style w:type="paragraph" w:customStyle="1" w:styleId="56">
    <w:name w:val="正文－恩普"/>
    <w:basedOn w:val="6"/>
    <w:autoRedefine/>
    <w:qFormat/>
    <w:uiPriority w:val="0"/>
    <w:pPr>
      <w:widowControl/>
      <w:spacing w:line="360" w:lineRule="auto"/>
      <w:ind w:firstLine="480"/>
      <w:jc w:val="left"/>
    </w:pPr>
    <w:rPr>
      <w:kern w:val="0"/>
      <w:sz w:val="24"/>
    </w:rPr>
  </w:style>
  <w:style w:type="paragraph" w:customStyle="1" w:styleId="57">
    <w:name w:val="_Style 54"/>
    <w:basedOn w:val="2"/>
    <w:next w:val="1"/>
    <w:autoRedefine/>
    <w:qFormat/>
    <w:uiPriority w:val="39"/>
    <w:pPr>
      <w:keepLines/>
      <w:widowControl/>
      <w:spacing w:before="480" w:line="276" w:lineRule="auto"/>
      <w:jc w:val="left"/>
      <w:outlineLvl w:val="9"/>
    </w:pPr>
    <w:rPr>
      <w:rFonts w:ascii="Cambria" w:hAnsi="Cambria" w:eastAsia="宋体" w:cs="Times New Roman"/>
      <w:color w:val="365F91"/>
      <w:kern w:val="0"/>
      <w:szCs w:val="28"/>
    </w:rPr>
  </w:style>
  <w:style w:type="paragraph" w:customStyle="1" w:styleId="58">
    <w:name w:val="TSB_Base"/>
    <w:autoRedefine/>
    <w:qFormat/>
    <w:uiPriority w:val="0"/>
    <w:pPr>
      <w:adjustRightInd w:val="0"/>
      <w:jc w:val="both"/>
      <w:textAlignment w:val="baseline"/>
    </w:pPr>
    <w:rPr>
      <w:rFonts w:ascii="Arial" w:hAnsi="Arial" w:eastAsia="MS Mincho" w:cs="Times New Roman"/>
      <w:kern w:val="20"/>
      <w:sz w:val="24"/>
      <w:lang w:val="en-US" w:eastAsia="ja-JP" w:bidi="ar-SA"/>
    </w:rPr>
  </w:style>
  <w:style w:type="paragraph" w:customStyle="1" w:styleId="59">
    <w:name w:val="正文首行缩进两字符"/>
    <w:basedOn w:val="1"/>
    <w:autoRedefine/>
    <w:qFormat/>
    <w:uiPriority w:val="98"/>
    <w:pPr>
      <w:autoSpaceDE w:val="0"/>
      <w:autoSpaceDN w:val="0"/>
      <w:adjustRightInd w:val="0"/>
      <w:spacing w:line="360" w:lineRule="atLeast"/>
      <w:ind w:firstLine="200"/>
    </w:pPr>
    <w:rPr>
      <w:rFonts w:ascii="Times New Roman"/>
      <w:sz w:val="21"/>
    </w:rPr>
  </w:style>
  <w:style w:type="paragraph" w:customStyle="1" w:styleId="60">
    <w:name w:val="列出段落11"/>
    <w:basedOn w:val="1"/>
    <w:autoRedefine/>
    <w:qFormat/>
    <w:uiPriority w:val="0"/>
    <w:pPr>
      <w:ind w:firstLine="420" w:firstLineChars="200"/>
    </w:pPr>
    <w:rPr>
      <w:rFonts w:ascii="Calibri" w:hAnsi="Calibri"/>
      <w:szCs w:val="22"/>
    </w:rPr>
  </w:style>
  <w:style w:type="paragraph" w:customStyle="1" w:styleId="61">
    <w:name w:val=" Char"/>
    <w:basedOn w:val="1"/>
    <w:autoRedefine/>
    <w:qFormat/>
    <w:uiPriority w:val="0"/>
    <w:rPr>
      <w:rFonts w:ascii="宋体" w:hAnsi="宋体" w:eastAsia="宋体"/>
      <w:i/>
      <w:kern w:val="2"/>
      <w:sz w:val="24"/>
      <w:szCs w:val="24"/>
      <w:lang w:val="en-US" w:eastAsia="zh-CN" w:bidi="ar-SA"/>
    </w:rPr>
  </w:style>
  <w:style w:type="paragraph" w:customStyle="1" w:styleId="62">
    <w:name w:val="列出段落1"/>
    <w:basedOn w:val="1"/>
    <w:autoRedefine/>
    <w:qFormat/>
    <w:uiPriority w:val="0"/>
    <w:pPr>
      <w:ind w:firstLine="420" w:firstLineChars="200"/>
    </w:pPr>
    <w:rPr>
      <w:rFonts w:ascii="Calibri" w:hAnsi="Calibri"/>
      <w:szCs w:val="22"/>
    </w:rPr>
  </w:style>
  <w:style w:type="paragraph" w:customStyle="1" w:styleId="63">
    <w:name w:val="Table Paragraph"/>
    <w:basedOn w:val="1"/>
    <w:autoRedefine/>
    <w:qFormat/>
    <w:uiPriority w:val="1"/>
    <w:pPr>
      <w:autoSpaceDE w:val="0"/>
      <w:autoSpaceDN w:val="0"/>
      <w:jc w:val="left"/>
    </w:pPr>
    <w:rPr>
      <w:rFonts w:ascii="宋体" w:hAnsi="宋体" w:cs="宋体"/>
      <w:kern w:val="0"/>
      <w:sz w:val="22"/>
      <w:szCs w:val="22"/>
      <w:lang w:val="zh-CN" w:bidi="zh-CN"/>
    </w:rPr>
  </w:style>
  <w:style w:type="paragraph" w:customStyle="1" w:styleId="64">
    <w:name w:val="WPSOffice手动目录 2"/>
    <w:autoRedefine/>
    <w:qFormat/>
    <w:uiPriority w:val="0"/>
    <w:pPr>
      <w:ind w:leftChars="200"/>
    </w:pPr>
    <w:rPr>
      <w:rFonts w:ascii="Times New Roman" w:hAnsi="Times New Roman" w:eastAsia="宋体" w:cs="Times New Roman"/>
      <w:lang w:val="en-US" w:eastAsia="zh-CN" w:bidi="ar-SA"/>
    </w:rPr>
  </w:style>
  <w:style w:type="table" w:customStyle="1" w:styleId="65">
    <w:name w:val="网格型_0"/>
    <w:basedOn w:val="29"/>
    <w:autoRedefine/>
    <w:qFormat/>
    <w:uiPriority w:val="59"/>
    <w:rPr>
      <w:rFonts w:ascii="Calibri" w:hAnsi="Calibri"/>
      <w:kern w:val="2"/>
      <w:sz w:val="21"/>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6">
    <w:name w:val="Char Char Char Char"/>
    <w:basedOn w:val="1"/>
    <w:autoRedefine/>
    <w:qFormat/>
    <w:uiPriority w:val="0"/>
    <w:rPr>
      <w:szCs w:val="21"/>
    </w:rPr>
  </w:style>
  <w:style w:type="table" w:customStyle="1" w:styleId="67">
    <w:name w:val="Table Normal"/>
    <w:autoRedefine/>
    <w:unhideWhenUsed/>
    <w:qFormat/>
    <w:uiPriority w:val="0"/>
    <w:tblPr>
      <w:tblCellMar>
        <w:top w:w="0" w:type="dxa"/>
        <w:left w:w="0" w:type="dxa"/>
        <w:bottom w:w="0" w:type="dxa"/>
        <w:right w:w="0" w:type="dxa"/>
      </w:tblCellMar>
    </w:tblPr>
  </w:style>
  <w:style w:type="paragraph" w:customStyle="1" w:styleId="68">
    <w:name w:val="Table Text"/>
    <w:basedOn w:val="1"/>
    <w:autoRedefine/>
    <w:semiHidden/>
    <w:qFormat/>
    <w:uiPriority w:val="0"/>
    <w:rPr>
      <w:rFonts w:ascii="Arial" w:hAnsi="Arial" w:eastAsia="Arial" w:cs="Arial"/>
      <w:sz w:val="21"/>
      <w:szCs w:val="21"/>
      <w:lang w:val="en-US" w:eastAsia="en-US" w:bidi="ar-SA"/>
    </w:rPr>
  </w:style>
  <w:style w:type="paragraph" w:customStyle="1" w:styleId="69">
    <w:name w:val="其他"/>
    <w:basedOn w:val="1"/>
    <w:autoRedefine/>
    <w:qFormat/>
    <w:uiPriority w:val="0"/>
    <w:pPr>
      <w:widowControl w:val="0"/>
      <w:shd w:val="clear" w:color="auto" w:fill="auto"/>
      <w:spacing w:after="600" w:line="336" w:lineRule="auto"/>
    </w:pPr>
    <w:rPr>
      <w:rFonts w:ascii="宋体" w:hAnsi="宋体" w:eastAsia="宋体" w:cs="宋体"/>
      <w:sz w:val="48"/>
      <w:szCs w:val="48"/>
      <w:u w:val="none"/>
      <w:shd w:val="clear" w:color="auto" w:fill="auto"/>
    </w:rPr>
  </w:style>
  <w:style w:type="paragraph" w:customStyle="1" w:styleId="70">
    <w:name w:val="正文文本1"/>
    <w:basedOn w:val="1"/>
    <w:autoRedefine/>
    <w:qFormat/>
    <w:uiPriority w:val="0"/>
    <w:pPr>
      <w:widowControl w:val="0"/>
      <w:shd w:val="clear" w:color="auto" w:fill="auto"/>
      <w:spacing w:after="600" w:line="336" w:lineRule="auto"/>
    </w:pPr>
    <w:rPr>
      <w:rFonts w:ascii="宋体" w:hAnsi="宋体" w:eastAsia="宋体" w:cs="宋体"/>
      <w:sz w:val="48"/>
      <w:szCs w:val="48"/>
      <w:u w:val="none"/>
      <w:shd w:val="clear" w:color="auto" w:fill="auto"/>
    </w:rPr>
  </w:style>
  <w:style w:type="paragraph" w:customStyle="1" w:styleId="71">
    <w:name w:val="正文缩进1"/>
    <w:basedOn w:val="1"/>
    <w:qFormat/>
    <w:uiPriority w:val="0"/>
    <w:pPr>
      <w:autoSpaceDE w:val="0"/>
      <w:autoSpaceDN w:val="0"/>
      <w:adjustRightInd w:val="0"/>
      <w:ind w:firstLine="420"/>
      <w:jc w:val="left"/>
    </w:pPr>
    <w:rPr>
      <w:rFonts w:ascii="宋体" w:hAnsi="Calibri" w:eastAsia="宋体" w:cs="Times New Roman"/>
      <w:sz w:val="24"/>
      <w:szCs w:val="22"/>
    </w:rPr>
  </w:style>
  <w:style w:type="paragraph" w:customStyle="1" w:styleId="72">
    <w:name w:val="索引 11"/>
    <w:basedOn w:val="1"/>
    <w:next w:val="1"/>
    <w:qFormat/>
    <w:uiPriority w:val="0"/>
    <w:pPr>
      <w:spacing w:line="360" w:lineRule="auto"/>
    </w:pPr>
    <w:rPr>
      <w:rFonts w:ascii="仿宋_GB2312" w:eastAsia="仿宋_GB2312"/>
      <w:sz w:val="24"/>
      <w:szCs w:val="20"/>
    </w:rPr>
  </w:style>
  <w:style w:type="paragraph" w:customStyle="1" w:styleId="73">
    <w:name w:val="纯文本1"/>
    <w:basedOn w:val="1"/>
    <w:qFormat/>
    <w:uiPriority w:val="0"/>
    <w:rPr>
      <w:rFonts w:ascii="宋体" w:hAnsi="Courier New"/>
      <w:kern w:val="0"/>
      <w:sz w:val="20"/>
      <w:szCs w:val="20"/>
    </w:rPr>
  </w:style>
  <w:style w:type="character" w:customStyle="1" w:styleId="74">
    <w:name w:val="fontstyle01"/>
    <w:basedOn w:val="31"/>
    <w:qFormat/>
    <w:uiPriority w:val="0"/>
    <w:rPr>
      <w:rFonts w:hint="eastAsia" w:ascii="仿宋_GB2312" w:eastAsia="仿宋_GB2312"/>
      <w:color w:val="000000"/>
      <w:sz w:val="28"/>
      <w:szCs w:val="28"/>
    </w:rPr>
  </w:style>
  <w:style w:type="paragraph" w:customStyle="1" w:styleId="75">
    <w:name w:val="正文_2"/>
    <w:qFormat/>
    <w:uiPriority w:val="0"/>
    <w:pPr>
      <w:widowControl w:val="0"/>
      <w:jc w:val="both"/>
    </w:pPr>
    <w:rPr>
      <w:rFonts w:ascii="Times New Roman" w:hAnsi="Times New Roman" w:eastAsia="宋体" w:cs="Times New Roman"/>
      <w:kern w:val="2"/>
      <w:sz w:val="21"/>
      <w:szCs w:val="24"/>
    </w:rPr>
  </w:style>
  <w:style w:type="paragraph" w:customStyle="1" w:styleId="76">
    <w:name w:val="_Style 1"/>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68</Pages>
  <Words>183</Words>
  <Characters>209</Characters>
  <Lines>52</Lines>
  <Paragraphs>14</Paragraphs>
  <TotalTime>56</TotalTime>
  <ScaleCrop>false</ScaleCrop>
  <LinksUpToDate>false</LinksUpToDate>
  <CharactersWithSpaces>233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2021-05-27T02:30:00Z</dcterms:created>
  <dc:creator>SXL</dc:creator>
  <cp:lastModifiedBy>亐㔓</cp:lastModifiedBy>
  <cp:lastPrinted>2021-05-11T05:04:00Z</cp:lastPrinted>
  <dcterms:modified xsi:type="dcterms:W3CDTF">2026-10-14T02:21:42Z</dcterms:modified>
  <dc:title>第一部分  投标方须知</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307553D9085D45BF9A4E0A31E8A2EE4A_13</vt:lpwstr>
  </property>
  <property fmtid="{D5CDD505-2E9C-101B-9397-08002B2CF9AE}" pid="3" name="KSOProductBuildVer">
    <vt:lpwstr>2052-12.1.0.29161</vt:lpwstr>
  </property>
  <property fmtid="{D5CDD505-2E9C-101B-9397-08002B2CF9AE}" pid="4" name="KSOTemplateDocerSaveRecord">
    <vt:lpwstr>eyJoZGlkIjoiMzEwNTM5NzYwMDRjMzkwZTVkZjY2ODkwMGIxNGU0OTUiLCJ1c2VySWQiOiIxMTk3NzA4OTcyIn0=</vt:lpwstr>
  </property>
</Properties>
</file>