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D6B2BAB">
      <w:pPr>
        <w:bidi w:val="0"/>
        <w:rPr>
          <w:rFonts w:hint="eastAsia" w:eastAsia="宋体"/>
          <w:color w:val="auto"/>
          <w:highlight w:val="none"/>
          <w:lang w:val="en-US" w:eastAsia="zh-CN"/>
        </w:rPr>
      </w:pPr>
      <w:r>
        <w:rPr>
          <w:rFonts w:hint="eastAsia"/>
          <w:color w:val="auto"/>
          <w:highlight w:val="none"/>
          <w:lang w:val="en-US" w:eastAsia="zh-CN"/>
        </w:rPr>
        <w:t xml:space="preserve"> </w:t>
      </w:r>
    </w:p>
    <w:p w14:paraId="3E3FE2D5">
      <w:pPr>
        <w:pStyle w:val="27"/>
        <w:ind w:left="0" w:leftChars="0" w:firstLine="0" w:firstLineChars="0"/>
        <w:jc w:val="center"/>
        <w:rPr>
          <w:rFonts w:hint="default"/>
          <w:color w:val="auto"/>
          <w:sz w:val="21"/>
          <w:szCs w:val="24"/>
          <w:highlight w:val="none"/>
          <w:lang w:val="en-US" w:eastAsia="zh-CN"/>
        </w:rPr>
      </w:pPr>
      <w:r>
        <w:rPr>
          <w:rFonts w:hint="eastAsia" w:ascii="宋体" w:hAnsi="宋体" w:cs="宋体"/>
          <w:b/>
          <w:bCs/>
          <w:color w:val="auto"/>
          <w:sz w:val="44"/>
          <w:szCs w:val="44"/>
          <w:highlight w:val="none"/>
          <w:lang w:val="en-US" w:eastAsia="zh-CN"/>
        </w:rPr>
        <w:t xml:space="preserve"> 自治区2026年阿图什市“扩优提质类”资金建设项目（设备采购）二次    </w:t>
      </w:r>
    </w:p>
    <w:p w14:paraId="0158B6E2">
      <w:pPr>
        <w:pStyle w:val="53"/>
        <w:rPr>
          <w:rFonts w:hint="default"/>
          <w:color w:val="auto"/>
          <w:highlight w:val="none"/>
          <w:lang w:val="en-US" w:eastAsia="zh-CN"/>
        </w:rPr>
      </w:pPr>
    </w:p>
    <w:p w14:paraId="438FD60A">
      <w:pPr>
        <w:widowControl/>
        <w:tabs>
          <w:tab w:val="left" w:pos="6013"/>
        </w:tabs>
        <w:autoSpaceDE w:val="0"/>
        <w:autoSpaceDN w:val="0"/>
        <w:ind w:right="-26"/>
        <w:jc w:val="center"/>
        <w:textAlignment w:val="bottom"/>
        <w:rPr>
          <w:rFonts w:hint="eastAsia" w:ascii="宋体" w:hAnsi="宋体" w:cs="宋体"/>
          <w:b/>
          <w:bCs/>
          <w:color w:val="auto"/>
          <w:kern w:val="0"/>
          <w:sz w:val="32"/>
          <w:szCs w:val="32"/>
          <w:highlight w:val="none"/>
          <w:shd w:val="clear" w:color="auto" w:fill="FFFFFF"/>
        </w:rPr>
      </w:pPr>
    </w:p>
    <w:p w14:paraId="1114D5AC">
      <w:pPr>
        <w:widowControl/>
        <w:tabs>
          <w:tab w:val="left" w:pos="6013"/>
        </w:tabs>
        <w:autoSpaceDE w:val="0"/>
        <w:autoSpaceDN w:val="0"/>
        <w:ind w:right="-26"/>
        <w:jc w:val="center"/>
        <w:textAlignment w:val="bottom"/>
        <w:rPr>
          <w:rFonts w:hint="default" w:ascii="宋体" w:hAnsi="宋体" w:cs="宋体"/>
          <w:b/>
          <w:bCs/>
          <w:color w:val="auto"/>
          <w:kern w:val="0"/>
          <w:sz w:val="32"/>
          <w:szCs w:val="32"/>
          <w:highlight w:val="none"/>
          <w:shd w:val="clear" w:color="auto" w:fill="FFFFFF"/>
          <w:lang w:val="en-US" w:eastAsia="zh-CN"/>
        </w:rPr>
      </w:pPr>
      <w:r>
        <w:rPr>
          <w:rFonts w:hint="eastAsia" w:ascii="宋体" w:hAnsi="宋体" w:cs="宋体"/>
          <w:b/>
          <w:bCs/>
          <w:color w:val="auto"/>
          <w:kern w:val="0"/>
          <w:sz w:val="32"/>
          <w:szCs w:val="32"/>
          <w:highlight w:val="none"/>
          <w:shd w:val="clear" w:color="auto" w:fill="FFFFFF"/>
        </w:rPr>
        <w:t>项目编号：</w:t>
      </w:r>
      <w:r>
        <w:rPr>
          <w:rFonts w:hint="eastAsia" w:ascii="宋体" w:hAnsi="宋体" w:cs="宋体"/>
          <w:b/>
          <w:bCs/>
          <w:color w:val="auto"/>
          <w:kern w:val="0"/>
          <w:sz w:val="32"/>
          <w:szCs w:val="32"/>
          <w:highlight w:val="none"/>
          <w:shd w:val="clear" w:color="auto" w:fill="FFFFFF"/>
          <w:lang w:val="en-US" w:eastAsia="zh-CN"/>
        </w:rPr>
        <w:t>ATSJYZX-CG-2026092-1</w:t>
      </w:r>
    </w:p>
    <w:p w14:paraId="4EDA7AE1">
      <w:pPr>
        <w:pStyle w:val="21"/>
        <w:rPr>
          <w:rFonts w:hint="default"/>
          <w:color w:val="auto"/>
          <w:highlight w:val="none"/>
          <w:lang w:val="en-US" w:eastAsia="zh-CN"/>
        </w:rPr>
      </w:pPr>
    </w:p>
    <w:p w14:paraId="62E21379">
      <w:pPr>
        <w:widowControl/>
        <w:tabs>
          <w:tab w:val="left" w:pos="6013"/>
        </w:tabs>
        <w:autoSpaceDE w:val="0"/>
        <w:autoSpaceDN w:val="0"/>
        <w:ind w:right="-26"/>
        <w:jc w:val="center"/>
        <w:textAlignment w:val="bottom"/>
        <w:rPr>
          <w:rFonts w:hint="eastAsia" w:ascii="宋体" w:hAnsi="宋体"/>
          <w:b/>
          <w:color w:val="auto"/>
          <w:sz w:val="84"/>
          <w:szCs w:val="84"/>
          <w:highlight w:val="none"/>
          <w:lang w:val="en-US" w:eastAsia="zh-CN"/>
        </w:rPr>
      </w:pPr>
      <w:r>
        <w:rPr>
          <w:rFonts w:hint="eastAsia" w:ascii="宋体" w:hAnsi="宋体"/>
          <w:b/>
          <w:color w:val="auto"/>
          <w:sz w:val="84"/>
          <w:szCs w:val="84"/>
          <w:highlight w:val="none"/>
          <w:lang w:val="en-US" w:eastAsia="zh-CN"/>
        </w:rPr>
        <w:t>招</w:t>
      </w:r>
    </w:p>
    <w:p w14:paraId="0EA6A1AA">
      <w:pPr>
        <w:widowControl/>
        <w:tabs>
          <w:tab w:val="left" w:pos="6013"/>
        </w:tabs>
        <w:autoSpaceDE w:val="0"/>
        <w:autoSpaceDN w:val="0"/>
        <w:ind w:right="-26"/>
        <w:jc w:val="center"/>
        <w:textAlignment w:val="bottom"/>
        <w:rPr>
          <w:rFonts w:hint="default" w:ascii="宋体" w:hAnsi="宋体" w:eastAsia="宋体"/>
          <w:b/>
          <w:color w:val="auto"/>
          <w:sz w:val="84"/>
          <w:szCs w:val="84"/>
          <w:highlight w:val="none"/>
          <w:lang w:val="en-US" w:eastAsia="zh-CN"/>
        </w:rPr>
      </w:pPr>
      <w:r>
        <w:rPr>
          <w:rFonts w:hint="eastAsia" w:ascii="宋体" w:hAnsi="宋体"/>
          <w:b/>
          <w:color w:val="auto"/>
          <w:sz w:val="84"/>
          <w:szCs w:val="84"/>
          <w:highlight w:val="none"/>
          <w:lang w:val="en-US" w:eastAsia="zh-CN"/>
        </w:rPr>
        <w:t>标</w:t>
      </w:r>
    </w:p>
    <w:p w14:paraId="076A6C26">
      <w:pPr>
        <w:widowControl/>
        <w:tabs>
          <w:tab w:val="left" w:pos="4502"/>
          <w:tab w:val="center" w:pos="4832"/>
        </w:tabs>
        <w:autoSpaceDE w:val="0"/>
        <w:autoSpaceDN w:val="0"/>
        <w:ind w:right="-26"/>
        <w:jc w:val="center"/>
        <w:textAlignment w:val="bottom"/>
        <w:rPr>
          <w:rFonts w:hint="eastAsia" w:ascii="宋体" w:hAnsi="宋体"/>
          <w:b/>
          <w:color w:val="auto"/>
          <w:sz w:val="84"/>
          <w:szCs w:val="84"/>
          <w:highlight w:val="none"/>
        </w:rPr>
      </w:pPr>
      <w:r>
        <w:rPr>
          <w:rFonts w:hint="eastAsia" w:ascii="宋体" w:hAnsi="宋体"/>
          <w:b/>
          <w:color w:val="auto"/>
          <w:sz w:val="84"/>
          <w:szCs w:val="84"/>
          <w:highlight w:val="none"/>
        </w:rPr>
        <w:t>文</w:t>
      </w:r>
    </w:p>
    <w:p w14:paraId="581CCFC1">
      <w:pPr>
        <w:widowControl/>
        <w:autoSpaceDE w:val="0"/>
        <w:autoSpaceDN w:val="0"/>
        <w:ind w:right="-26"/>
        <w:jc w:val="center"/>
        <w:textAlignment w:val="bottom"/>
        <w:rPr>
          <w:rFonts w:hint="eastAsia" w:ascii="宋体" w:hAnsi="宋体"/>
          <w:b/>
          <w:color w:val="auto"/>
          <w:sz w:val="52"/>
          <w:szCs w:val="52"/>
          <w:highlight w:val="none"/>
        </w:rPr>
      </w:pPr>
      <w:r>
        <w:rPr>
          <w:rFonts w:hint="eastAsia" w:ascii="宋体" w:hAnsi="宋体"/>
          <w:b/>
          <w:color w:val="auto"/>
          <w:sz w:val="84"/>
          <w:szCs w:val="84"/>
          <w:highlight w:val="none"/>
        </w:rPr>
        <w:t>件</w:t>
      </w:r>
    </w:p>
    <w:p w14:paraId="3FAAD3B4">
      <w:pPr>
        <w:pStyle w:val="69"/>
        <w:rPr>
          <w:rFonts w:hint="eastAsia"/>
          <w:color w:val="auto"/>
          <w:highlight w:val="none"/>
        </w:rPr>
      </w:pPr>
    </w:p>
    <w:p w14:paraId="068C3755">
      <w:pPr>
        <w:pStyle w:val="69"/>
        <w:rPr>
          <w:rFonts w:hint="eastAsia"/>
          <w:color w:val="auto"/>
          <w:highlight w:val="none"/>
        </w:rPr>
      </w:pPr>
    </w:p>
    <w:p w14:paraId="02160C2D">
      <w:pPr>
        <w:keepNext w:val="0"/>
        <w:keepLines w:val="0"/>
        <w:pageBreakBefore w:val="0"/>
        <w:widowControl/>
        <w:kinsoku/>
        <w:wordWrap/>
        <w:overflowPunct/>
        <w:topLinePunct w:val="0"/>
        <w:autoSpaceDE w:val="0"/>
        <w:autoSpaceDN w:val="0"/>
        <w:bidi w:val="0"/>
        <w:adjustRightInd/>
        <w:snapToGrid/>
        <w:spacing w:line="740" w:lineRule="exact"/>
        <w:ind w:right="-26" w:firstLine="553" w:firstLineChars="196"/>
        <w:textAlignment w:val="bottom"/>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采 购 人：阿图什市教育局（盖章）</w:t>
      </w:r>
    </w:p>
    <w:p w14:paraId="0AE119E2">
      <w:pPr>
        <w:keepNext w:val="0"/>
        <w:keepLines w:val="0"/>
        <w:pageBreakBefore w:val="0"/>
        <w:widowControl/>
        <w:kinsoku/>
        <w:wordWrap/>
        <w:overflowPunct/>
        <w:topLinePunct w:val="0"/>
        <w:autoSpaceDE w:val="0"/>
        <w:autoSpaceDN w:val="0"/>
        <w:bidi w:val="0"/>
        <w:adjustRightInd/>
        <w:snapToGrid/>
        <w:spacing w:line="740" w:lineRule="exact"/>
        <w:ind w:right="-26" w:firstLine="553" w:firstLineChars="196"/>
        <w:textAlignment w:val="bottom"/>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联 系 人：沙先生     联系电话：18199726032</w:t>
      </w:r>
    </w:p>
    <w:p w14:paraId="4D0FADE6">
      <w:pPr>
        <w:pStyle w:val="21"/>
        <w:rPr>
          <w:rFonts w:hint="eastAsia"/>
          <w:highlight w:val="none"/>
          <w:lang w:val="en-US" w:eastAsia="zh-CN"/>
        </w:rPr>
      </w:pPr>
    </w:p>
    <w:p w14:paraId="1AC82F90">
      <w:pPr>
        <w:keepNext w:val="0"/>
        <w:keepLines w:val="0"/>
        <w:pageBreakBefore w:val="0"/>
        <w:widowControl/>
        <w:kinsoku/>
        <w:wordWrap/>
        <w:overflowPunct/>
        <w:topLinePunct w:val="0"/>
        <w:autoSpaceDE w:val="0"/>
        <w:autoSpaceDN w:val="0"/>
        <w:bidi w:val="0"/>
        <w:adjustRightInd/>
        <w:snapToGrid/>
        <w:spacing w:line="740" w:lineRule="exact"/>
        <w:ind w:right="-26" w:firstLine="553" w:firstLineChars="196"/>
        <w:textAlignment w:val="bottom"/>
        <w:rPr>
          <w:rFonts w:hint="eastAsia" w:ascii="宋体" w:hAnsi="宋体"/>
          <w:b/>
          <w:color w:val="auto"/>
          <w:sz w:val="28"/>
          <w:szCs w:val="28"/>
          <w:highlight w:val="none"/>
          <w:lang w:eastAsia="zh-CN"/>
        </w:rPr>
      </w:pPr>
      <w:r>
        <w:rPr>
          <w:rFonts w:hint="eastAsia" w:ascii="宋体" w:hAnsi="宋体"/>
          <w:b/>
          <w:color w:val="auto"/>
          <w:sz w:val="28"/>
          <w:szCs w:val="28"/>
          <w:highlight w:val="none"/>
          <w:lang w:eastAsia="zh-CN"/>
        </w:rPr>
        <w:t>代理机构：新疆誉诚信工程项目管理有限责任公司</w:t>
      </w:r>
      <w:r>
        <w:rPr>
          <w:rFonts w:hint="eastAsia" w:ascii="宋体" w:hAnsi="宋体"/>
          <w:b/>
          <w:color w:val="auto"/>
          <w:sz w:val="28"/>
          <w:szCs w:val="28"/>
          <w:highlight w:val="none"/>
          <w:lang w:val="en-US" w:eastAsia="zh-CN"/>
        </w:rPr>
        <w:t>（盖章）</w:t>
      </w:r>
    </w:p>
    <w:p w14:paraId="63FD9B7A">
      <w:pPr>
        <w:keepNext w:val="0"/>
        <w:keepLines w:val="0"/>
        <w:pageBreakBefore w:val="0"/>
        <w:widowControl/>
        <w:kinsoku/>
        <w:wordWrap/>
        <w:overflowPunct/>
        <w:topLinePunct w:val="0"/>
        <w:autoSpaceDE w:val="0"/>
        <w:autoSpaceDN w:val="0"/>
        <w:bidi w:val="0"/>
        <w:adjustRightInd/>
        <w:snapToGrid/>
        <w:spacing w:line="740" w:lineRule="exact"/>
        <w:ind w:right="-28" w:firstLine="553" w:firstLineChars="196"/>
        <w:textAlignment w:val="bottom"/>
        <w:rPr>
          <w:rFonts w:hint="eastAsia"/>
          <w:b/>
          <w:color w:val="auto"/>
          <w:sz w:val="36"/>
          <w:highlight w:val="none"/>
        </w:rPr>
      </w:pPr>
      <w:r>
        <w:rPr>
          <w:rFonts w:hint="eastAsia" w:ascii="宋体" w:hAnsi="宋体"/>
          <w:b/>
          <w:color w:val="auto"/>
          <w:sz w:val="28"/>
          <w:szCs w:val="28"/>
          <w:highlight w:val="none"/>
          <w:lang w:eastAsia="zh-CN"/>
        </w:rPr>
        <w:t>联</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lang w:eastAsia="zh-CN"/>
        </w:rPr>
        <w:t>系</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lang w:eastAsia="zh-CN"/>
        </w:rPr>
        <w:t>人：</w:t>
      </w:r>
      <w:r>
        <w:rPr>
          <w:rFonts w:hint="eastAsia" w:ascii="宋体" w:hAnsi="宋体"/>
          <w:b/>
          <w:color w:val="auto"/>
          <w:sz w:val="28"/>
          <w:szCs w:val="28"/>
          <w:highlight w:val="none"/>
          <w:lang w:val="en-US" w:eastAsia="zh-CN"/>
        </w:rPr>
        <w:t xml:space="preserve">温女士     </w:t>
      </w:r>
      <w:r>
        <w:rPr>
          <w:rFonts w:hint="eastAsia" w:ascii="宋体" w:hAnsi="宋体"/>
          <w:b/>
          <w:color w:val="auto"/>
          <w:sz w:val="28"/>
          <w:szCs w:val="28"/>
          <w:highlight w:val="none"/>
          <w:lang w:eastAsia="zh-CN"/>
        </w:rPr>
        <w:t xml:space="preserve">联系电话: </w:t>
      </w:r>
      <w:r>
        <w:rPr>
          <w:rFonts w:hint="eastAsia" w:ascii="宋体" w:hAnsi="宋体"/>
          <w:b/>
          <w:color w:val="auto"/>
          <w:sz w:val="28"/>
          <w:szCs w:val="28"/>
          <w:highlight w:val="none"/>
          <w:lang w:val="en-US" w:eastAsia="zh-CN"/>
        </w:rPr>
        <w:t>19199746726</w:t>
      </w:r>
      <w:r>
        <w:rPr>
          <w:rFonts w:hint="eastAsia" w:ascii="宋体" w:hAnsi="宋体"/>
          <w:b/>
          <w:color w:val="auto"/>
          <w:sz w:val="28"/>
          <w:szCs w:val="28"/>
          <w:highlight w:val="none"/>
          <w:lang w:eastAsia="zh-CN"/>
        </w:rPr>
        <w:t xml:space="preserve"> </w:t>
      </w:r>
      <w:bookmarkStart w:id="0" w:name="_Hlt10519329"/>
      <w:bookmarkEnd w:id="0"/>
      <w:bookmarkStart w:id="1" w:name="_Hlt10462525"/>
      <w:bookmarkEnd w:id="1"/>
      <w:bookmarkStart w:id="2" w:name="_Hlt10529670"/>
      <w:bookmarkEnd w:id="2"/>
      <w:bookmarkStart w:id="3" w:name="_Hlt10524010"/>
      <w:bookmarkEnd w:id="3"/>
      <w:bookmarkStart w:id="4" w:name="_Hlt10523642"/>
      <w:bookmarkEnd w:id="4"/>
      <w:bookmarkStart w:id="5" w:name="_Hlt42956379"/>
      <w:bookmarkEnd w:id="5"/>
      <w:bookmarkStart w:id="6" w:name="_Hlt42956360"/>
      <w:bookmarkEnd w:id="6"/>
      <w:bookmarkStart w:id="7" w:name="_Hlt10524029"/>
      <w:bookmarkEnd w:id="7"/>
      <w:bookmarkStart w:id="8" w:name="_Hlt10567911"/>
      <w:bookmarkEnd w:id="8"/>
      <w:bookmarkStart w:id="9" w:name="_Hlt10524018"/>
      <w:bookmarkEnd w:id="9"/>
    </w:p>
    <w:p w14:paraId="66DCF1D8">
      <w:pPr>
        <w:shd w:val="clear" w:color="auto" w:fill="auto"/>
        <w:jc w:val="center"/>
        <w:rPr>
          <w:rFonts w:hint="eastAsia"/>
          <w:b/>
          <w:color w:val="auto"/>
          <w:sz w:val="36"/>
          <w:highlight w:val="none"/>
        </w:rPr>
        <w:sectPr>
          <w:headerReference r:id="rId3" w:type="default"/>
          <w:footerReference r:id="rId4" w:type="default"/>
          <w:pgSz w:w="11905" w:h="16838"/>
          <w:pgMar w:top="1440" w:right="1797" w:bottom="1440" w:left="1797" w:header="850" w:footer="992" w:gutter="0"/>
          <w:pgNumType w:fmt="decimal"/>
          <w:cols w:space="720" w:num="1"/>
          <w:rtlGutter w:val="0"/>
          <w:docGrid w:type="linesAndChars" w:linePitch="325" w:charSpace="635"/>
        </w:sectPr>
      </w:pPr>
    </w:p>
    <w:p w14:paraId="76020A22">
      <w:pPr>
        <w:shd w:val="clear" w:color="auto" w:fill="auto"/>
        <w:jc w:val="center"/>
        <w:rPr>
          <w:rFonts w:hint="eastAsia"/>
          <w:b/>
          <w:color w:val="auto"/>
          <w:sz w:val="36"/>
          <w:highlight w:val="none"/>
        </w:rPr>
      </w:pPr>
      <w:r>
        <w:rPr>
          <w:rFonts w:hint="eastAsia"/>
          <w:b/>
          <w:color w:val="auto"/>
          <w:sz w:val="36"/>
          <w:highlight w:val="none"/>
        </w:rPr>
        <w:t>目  录</w:t>
      </w:r>
    </w:p>
    <w:p w14:paraId="5C9B2885">
      <w:pPr>
        <w:pStyle w:val="19"/>
        <w:tabs>
          <w:tab w:val="right" w:leader="dot" w:pos="8311"/>
        </w:tabs>
        <w:rPr>
          <w:rFonts w:hint="eastAsia" w:asciiTheme="minorEastAsia" w:hAnsiTheme="minorEastAsia" w:eastAsiaTheme="minorEastAsia" w:cstheme="minorEastAsia"/>
          <w:color w:val="auto"/>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TOC \o "1-3" \h \z \u </w:instrText>
      </w:r>
      <w:r>
        <w:rPr>
          <w:rFonts w:hint="eastAsia" w:ascii="宋体" w:hAnsi="宋体" w:cs="宋体"/>
          <w:color w:val="auto"/>
          <w:sz w:val="24"/>
          <w:highlight w:val="none"/>
        </w:rPr>
        <w:fldChar w:fldCharType="separate"/>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_Toc26119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2"/>
          <w:highlight w:val="none"/>
        </w:rPr>
        <w:t>第二章 投标人须知</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_Toc26119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528573EA">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_Toc20189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 xml:space="preserve">一、 </w:t>
      </w:r>
      <w:r>
        <w:rPr>
          <w:rFonts w:hint="eastAsia" w:asciiTheme="minorEastAsia" w:hAnsiTheme="minorEastAsia" w:eastAsiaTheme="minorEastAsia" w:cstheme="minorEastAsia"/>
          <w:color w:val="auto"/>
          <w:szCs w:val="28"/>
          <w:highlight w:val="none"/>
        </w:rPr>
        <w:t>投标人须知前附表</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_Toc20189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9DF6CD4">
      <w:pPr>
        <w:pStyle w:val="23"/>
        <w:tabs>
          <w:tab w:val="right" w:leader="dot" w:pos="8311"/>
        </w:tabs>
        <w:ind w:left="0" w:leftChars="0"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_Toc31866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二、投标人须知</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_Toc31866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12</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47F1689">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_Toc29178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（一）</w:t>
      </w:r>
      <w:r>
        <w:rPr>
          <w:rFonts w:hint="eastAsia" w:asciiTheme="minorEastAsia" w:hAnsiTheme="minorEastAsia" w:eastAsiaTheme="minorEastAsia" w:cstheme="minorEastAsia"/>
          <w:color w:val="auto"/>
          <w:szCs w:val="32"/>
          <w:highlight w:val="none"/>
        </w:rPr>
        <w:t>总  则</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_Toc29178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12</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672073AC">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_Toc12903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（二）</w:t>
      </w:r>
      <w:r>
        <w:rPr>
          <w:rFonts w:hint="eastAsia" w:asciiTheme="minorEastAsia" w:hAnsiTheme="minorEastAsia" w:eastAsiaTheme="minorEastAsia" w:cstheme="minorEastAsia"/>
          <w:color w:val="auto"/>
          <w:szCs w:val="28"/>
          <w:highlight w:val="none"/>
          <w:lang w:eastAsia="zh-CN"/>
        </w:rPr>
        <w:t>招标文件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_Toc12903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EC3121F">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_Toc31366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（三）投标文件的编制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_Toc31366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17</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4CFD820">
      <w:pPr>
        <w:pStyle w:val="19"/>
        <w:tabs>
          <w:tab w:val="right" w:leader="dot" w:pos="8311"/>
        </w:tabs>
        <w:ind w:firstLine="852" w:firstLineChars="4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_Toc352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（四）投标文件的制作、上传及递交要求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_Toc352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21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A8B93A1">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_Toc7387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（五）开 标、评标和定标</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_Toc7387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23</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D1A9550">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_Toc9389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（六）合同的授予</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_Toc9389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30</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32C5D7E">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_Toc12698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（七）纪律和监督</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_Toc12698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660428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_Toc29063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eastAsia="zh-CN"/>
        </w:rPr>
        <w:t>一、投诉相关主体基本情况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_Toc29063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33</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DABA1B0">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_Toc3856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eastAsia="zh-CN"/>
        </w:rPr>
        <w:t>二、投诉项目基本情况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_Toc3856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33</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5F4B900">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_Toc10808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val="en-US" w:eastAsia="zh-CN"/>
        </w:rPr>
        <w:t>三、质疑基本情况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_Toc10808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F649855">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_Toc6760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val="en-US" w:eastAsia="zh-CN"/>
        </w:rPr>
        <w:t>四、投诉事项具体内容</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_Toc6760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3CFA51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_Toc28176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eastAsia="zh-CN"/>
        </w:rPr>
        <w:t>五、与投诉事项相关的投诉请求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_Toc28176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0AAF697">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_Toc2789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kern w:val="0"/>
          <w:szCs w:val="24"/>
          <w:highlight w:val="none"/>
          <w:lang w:eastAsia="zh-CN"/>
        </w:rPr>
        <w:t>投诉书制作说明：</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_Toc2789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81C230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_Toc8110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32"/>
          <w:highlight w:val="none"/>
        </w:rPr>
        <w:t>投诉相关说明</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_Toc8110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36</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30A80A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_Toc18279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一、 质疑前置及时间要求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_Toc18279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36</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4964ECA">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_Toc26158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二、书面方式</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_Toc26158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36</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DE6B25B">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_Toc12143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三、虚假、恶意投诉法律责任</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_Toc12143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37</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44E77F1">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_Toc27801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32"/>
          <w:highlight w:val="none"/>
        </w:rPr>
        <w:t>质疑函范本</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_Toc27801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57ACBE1">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_Toc3401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一、质疑供应商基本信息</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_Toc3401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10A81CC">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_Toc31203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二、质疑项目基本情况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_Toc31203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559EAE70">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_Toc642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三、质疑事项具体内容</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_Toc642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4CC8E17">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_Toc3601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四、与质疑事项相关的质疑请求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_Toc3601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97BB7EC">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_Toc2323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0"/>
          <w:highlight w:val="none"/>
        </w:rPr>
        <w:t>第三章  评标办法</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_Toc2323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40</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07626BB">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_Toc21805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一</w:t>
      </w:r>
      <w:r>
        <w:rPr>
          <w:rFonts w:hint="eastAsia" w:asciiTheme="minorEastAsia" w:hAnsiTheme="minorEastAsia" w:eastAsiaTheme="minorEastAsia" w:cstheme="minorEastAsia"/>
          <w:color w:val="auto"/>
          <w:szCs w:val="28"/>
          <w:highlight w:val="none"/>
          <w:lang w:val="en-US" w:eastAsia="zh-CN"/>
        </w:rPr>
        <w:t xml:space="preserve">  </w:t>
      </w:r>
      <w:r>
        <w:rPr>
          <w:rFonts w:hint="eastAsia" w:asciiTheme="minorEastAsia" w:hAnsiTheme="minorEastAsia" w:eastAsiaTheme="minorEastAsia" w:cstheme="minorEastAsia"/>
          <w:color w:val="auto"/>
          <w:szCs w:val="28"/>
          <w:highlight w:val="none"/>
        </w:rPr>
        <w:t>总  则</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_Toc21805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40</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5E02EE3">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_Toc14061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二  投标文件初审</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_Toc14061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42</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E731524">
      <w:pPr>
        <w:pStyle w:val="23"/>
        <w:tabs>
          <w:tab w:val="right" w:leader="dot" w:pos="8311"/>
        </w:tabs>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三  投标文件的澄清和补正</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lang w:val="en-US" w:eastAsia="zh-CN"/>
        </w:rPr>
        <w:t>43</w:t>
      </w:r>
    </w:p>
    <w:p w14:paraId="484F54A3">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_Toc1842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四 比较与评价</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_Toc1842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4A8CFEC">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_Toc17440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highlight w:val="none"/>
        </w:rPr>
        <w:t>五</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rPr>
        <w:t>推荐中标候选人</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_Toc17440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93D8D34">
      <w:pPr>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_Toc2323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0"/>
          <w:highlight w:val="none"/>
        </w:rPr>
        <w:t>第</w:t>
      </w:r>
      <w:r>
        <w:rPr>
          <w:rFonts w:hint="eastAsia" w:asciiTheme="minorEastAsia" w:hAnsiTheme="minorEastAsia" w:eastAsiaTheme="minorEastAsia" w:cstheme="minorEastAsia"/>
          <w:color w:val="auto"/>
          <w:szCs w:val="30"/>
          <w:highlight w:val="none"/>
          <w:lang w:val="en-US" w:eastAsia="zh-CN"/>
        </w:rPr>
        <w:t>四</w:t>
      </w:r>
      <w:r>
        <w:rPr>
          <w:rFonts w:hint="eastAsia" w:asciiTheme="minorEastAsia" w:hAnsiTheme="minorEastAsia" w:eastAsiaTheme="minorEastAsia" w:cstheme="minorEastAsia"/>
          <w:color w:val="auto"/>
          <w:szCs w:val="30"/>
          <w:highlight w:val="none"/>
        </w:rPr>
        <w:t xml:space="preserve">章  </w:t>
      </w:r>
      <w:r>
        <w:rPr>
          <w:rFonts w:hint="eastAsia" w:asciiTheme="minorEastAsia" w:hAnsiTheme="minorEastAsia" w:eastAsiaTheme="minorEastAsia" w:cstheme="minorEastAsia"/>
          <w:color w:val="auto"/>
          <w:szCs w:val="30"/>
          <w:highlight w:val="none"/>
          <w:lang w:val="en-US" w:eastAsia="zh-CN"/>
        </w:rPr>
        <w:t>采购内容及技术要求..................................................</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lang w:val="en-US" w:eastAsia="zh-CN"/>
        </w:rPr>
        <w:t>50</w:t>
      </w:r>
    </w:p>
    <w:p w14:paraId="5AC69786">
      <w:pPr>
        <w:pStyle w:val="23"/>
        <w:tabs>
          <w:tab w:val="right" w:leader="dot" w:pos="8311"/>
        </w:tabs>
        <w:ind w:left="0" w:leftChars="0"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_Toc16455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2"/>
          <w:sz w:val="21"/>
          <w:szCs w:val="30"/>
          <w:highlight w:val="none"/>
          <w:lang w:val="en-US" w:eastAsia="zh-CN" w:bidi="ar-SA"/>
        </w:rPr>
        <w:t>第五章  合同条款及格式</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_Toc16455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91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548860D">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_Toc13773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1"/>
          <w:highlight w:val="none"/>
        </w:rPr>
        <w:t>（本合同为合同样稿，最终稿由供需双方协商后确定）</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_Toc13773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91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EC05738">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_Toc21484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0"/>
          <w:highlight w:val="none"/>
        </w:rPr>
        <w:t>第六章  投标文件格式</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_Toc21484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97</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3C3BA6EA">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_Toc24414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highlight w:val="none"/>
        </w:rPr>
        <w:t>第一部分 资格证明文件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_Toc24414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98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0CB6620">
      <w:pPr>
        <w:pStyle w:val="19"/>
        <w:tabs>
          <w:tab w:val="right" w:leader="dot" w:pos="8311"/>
        </w:tabs>
        <w:ind w:firstLine="426"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_Toc5510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2"/>
          <w:highlight w:val="none"/>
        </w:rPr>
        <w:t>第二部分  商务及技术文件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_Toc5510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104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49DDAB1">
      <w:pPr>
        <w:pStyle w:val="23"/>
        <w:tabs>
          <w:tab w:val="right" w:leader="dot" w:pos="8311"/>
        </w:tabs>
        <w:rPr>
          <w:color w:val="auto"/>
          <w:highlight w:val="none"/>
        </w:rPr>
      </w:pPr>
    </w:p>
    <w:p w14:paraId="16747EDF">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426" w:firstLineChars="200"/>
        <w:jc w:val="distribute"/>
        <w:textAlignment w:val="auto"/>
        <w:rPr>
          <w:rFonts w:hint="eastAsia" w:ascii="宋体" w:hAnsi="宋体" w:cs="宋体"/>
          <w:color w:val="auto"/>
          <w:sz w:val="24"/>
          <w:highlight w:val="none"/>
        </w:rPr>
      </w:pPr>
      <w:r>
        <w:rPr>
          <w:rFonts w:hint="eastAsia" w:ascii="宋体" w:hAnsi="宋体" w:cs="宋体"/>
          <w:color w:val="auto"/>
          <w:highlight w:val="none"/>
        </w:rPr>
        <w:fldChar w:fldCharType="end"/>
      </w:r>
    </w:p>
    <w:p w14:paraId="7395C46A">
      <w:pPr>
        <w:spacing w:line="240" w:lineRule="auto"/>
        <w:jc w:val="center"/>
        <w:rPr>
          <w:rFonts w:ascii="宋体" w:hAnsi="宋体" w:cs="宋体"/>
          <w:b/>
          <w:bCs/>
          <w:color w:val="auto"/>
          <w:kern w:val="36"/>
          <w:sz w:val="36"/>
          <w:szCs w:val="36"/>
          <w:highlight w:val="none"/>
        </w:rPr>
        <w:sectPr>
          <w:footerReference r:id="rId5" w:type="default"/>
          <w:pgSz w:w="11905" w:h="16838"/>
          <w:pgMar w:top="1440" w:right="1797" w:bottom="1440" w:left="1797" w:header="850" w:footer="992" w:gutter="0"/>
          <w:pgNumType w:fmt="decimal" w:start="1"/>
          <w:cols w:space="720" w:num="1"/>
          <w:rtlGutter w:val="0"/>
          <w:docGrid w:type="linesAndChars" w:linePitch="325" w:charSpace="635"/>
        </w:sectPr>
      </w:pPr>
      <w:bookmarkStart w:id="237" w:name="_GoBack"/>
      <w:bookmarkEnd w:id="237"/>
    </w:p>
    <w:p w14:paraId="59608D6B">
      <w:pPr>
        <w:spacing w:line="240" w:lineRule="auto"/>
        <w:jc w:val="center"/>
        <w:rPr>
          <w:rFonts w:ascii="宋体" w:hAnsi="宋体" w:cs="宋体"/>
          <w:b/>
          <w:bCs/>
          <w:color w:val="auto"/>
          <w:kern w:val="36"/>
          <w:sz w:val="36"/>
          <w:szCs w:val="36"/>
          <w:highlight w:val="none"/>
        </w:rPr>
      </w:pPr>
      <w:r>
        <w:rPr>
          <w:rFonts w:ascii="宋体" w:hAnsi="宋体" w:cs="宋体"/>
          <w:b/>
          <w:bCs/>
          <w:color w:val="auto"/>
          <w:kern w:val="36"/>
          <w:sz w:val="36"/>
          <w:szCs w:val="36"/>
          <w:highlight w:val="none"/>
        </w:rPr>
        <w:t>第一部分 招标公告</w:t>
      </w:r>
    </w:p>
    <w:p w14:paraId="3608388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600" w:lineRule="exact"/>
        <w:ind w:right="0"/>
        <w:jc w:val="center"/>
        <w:textAlignment w:val="auto"/>
        <w:rPr>
          <w:rFonts w:hint="default" w:ascii="新宋体" w:hAnsi="新宋体" w:eastAsia="新宋体" w:cs="新宋体"/>
          <w:b/>
          <w:bCs/>
          <w:color w:val="auto"/>
          <w:kern w:val="0"/>
          <w:sz w:val="44"/>
          <w:szCs w:val="44"/>
          <w:highlight w:val="none"/>
          <w:u w:val="none"/>
          <w:lang w:val="en-US" w:eastAsia="zh-CN" w:bidi="ar"/>
        </w:rPr>
      </w:pPr>
      <w:r>
        <w:rPr>
          <w:rFonts w:hint="eastAsia" w:ascii="新宋体" w:hAnsi="新宋体" w:eastAsia="新宋体" w:cs="新宋体"/>
          <w:b/>
          <w:bCs/>
          <w:color w:val="auto"/>
          <w:kern w:val="0"/>
          <w:sz w:val="40"/>
          <w:szCs w:val="40"/>
          <w:highlight w:val="none"/>
          <w:u w:val="none"/>
          <w:lang w:val="en-US" w:eastAsia="zh-CN" w:bidi="ar"/>
        </w:rPr>
        <w:t xml:space="preserve"> </w:t>
      </w:r>
      <w:r>
        <w:rPr>
          <w:rFonts w:hint="eastAsia" w:ascii="新宋体" w:hAnsi="新宋体" w:eastAsia="新宋体" w:cs="新宋体"/>
          <w:b/>
          <w:bCs/>
          <w:color w:val="auto"/>
          <w:kern w:val="0"/>
          <w:sz w:val="32"/>
          <w:szCs w:val="32"/>
          <w:highlight w:val="none"/>
          <w:u w:val="none"/>
          <w:lang w:val="en-US" w:eastAsia="zh-CN" w:bidi="ar"/>
        </w:rPr>
        <w:t>自治区2026年阿图什市“扩优提质类”资金建设项目（设备采购）二次公开招标公告</w:t>
      </w:r>
    </w:p>
    <w:p w14:paraId="6BD22C06">
      <w:pPr>
        <w:pStyle w:val="25"/>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24" w:firstLineChars="200"/>
        <w:jc w:val="both"/>
        <w:textAlignment w:val="auto"/>
        <w:rPr>
          <w:rFonts w:hint="eastAsia" w:ascii="新宋体" w:hAnsi="新宋体" w:eastAsia="新宋体" w:cs="新宋体"/>
          <w:b/>
          <w:bCs/>
          <w:i w:val="0"/>
          <w:caps w:val="0"/>
          <w:color w:val="auto"/>
          <w:spacing w:val="0"/>
          <w:sz w:val="21"/>
          <w:szCs w:val="21"/>
          <w:highlight w:val="none"/>
        </w:rPr>
      </w:pPr>
      <w:r>
        <w:rPr>
          <w:rFonts w:hint="eastAsia" w:ascii="新宋体" w:hAnsi="新宋体" w:eastAsia="新宋体" w:cs="新宋体"/>
          <w:b/>
          <w:bCs/>
          <w:i w:val="0"/>
          <w:caps w:val="0"/>
          <w:color w:val="auto"/>
          <w:spacing w:val="0"/>
          <w:sz w:val="21"/>
          <w:szCs w:val="21"/>
          <w:highlight w:val="none"/>
        </w:rPr>
        <w:t>项目概况</w:t>
      </w:r>
    </w:p>
    <w:p w14:paraId="7EE683C7">
      <w:pPr>
        <w:pStyle w:val="28"/>
        <w:keepNext w:val="0"/>
        <w:keepLines w:val="0"/>
        <w:pageBreakBefore w:val="0"/>
        <w:kinsoku/>
        <w:wordWrap/>
        <w:overflowPunct/>
        <w:topLinePunct w:val="0"/>
        <w:autoSpaceDN/>
        <w:bidi w:val="0"/>
        <w:adjustRightInd/>
        <w:snapToGrid/>
        <w:spacing w:line="380" w:lineRule="exact"/>
        <w:ind w:left="0" w:leftChars="0" w:firstLine="424" w:firstLineChars="200"/>
        <w:textAlignment w:val="auto"/>
        <w:rPr>
          <w:rFonts w:hint="eastAsia"/>
          <w:color w:val="auto"/>
          <w:sz w:val="21"/>
          <w:szCs w:val="21"/>
          <w:highlight w:val="none"/>
          <w:lang w:val="en-US" w:eastAsia="zh-CN"/>
        </w:rPr>
      </w:pPr>
      <w:r>
        <w:rPr>
          <w:rFonts w:hint="eastAsia"/>
          <w:color w:val="auto"/>
          <w:sz w:val="21"/>
          <w:szCs w:val="21"/>
          <w:highlight w:val="none"/>
          <w:lang w:val="en-US" w:eastAsia="zh-CN"/>
        </w:rPr>
        <w:t>自治区2026年阿图什市“扩优提质类”资金建设项目（设备采购）二次招标项目的潜在投标人应在供应商登陆政采云平台http://www.zcygov.cn/，在线申请获取招标文件（登录政府采购云平台 → 项目采购 → 获取招标文件，如有操作性问题，可与政采云在线客服进行咨询，咨询电话：95763）。获取招标文件，并于2026年9月28日 16:30（北京时间）前递交投标文件。</w:t>
      </w:r>
    </w:p>
    <w:p w14:paraId="3C0DF588">
      <w:pPr>
        <w:pStyle w:val="25"/>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24" w:firstLineChars="200"/>
        <w:jc w:val="both"/>
        <w:textAlignment w:val="auto"/>
        <w:rPr>
          <w:rFonts w:hint="eastAsia" w:ascii="新宋体" w:hAnsi="新宋体" w:eastAsia="新宋体" w:cs="新宋体"/>
          <w:b/>
          <w:bCs/>
          <w:color w:val="auto"/>
          <w:sz w:val="21"/>
          <w:szCs w:val="21"/>
          <w:highlight w:val="none"/>
        </w:rPr>
      </w:pPr>
      <w:r>
        <w:rPr>
          <w:rFonts w:hint="eastAsia" w:ascii="新宋体" w:hAnsi="新宋体" w:eastAsia="新宋体" w:cs="新宋体"/>
          <w:b/>
          <w:bCs/>
          <w:i w:val="0"/>
          <w:caps w:val="0"/>
          <w:color w:val="auto"/>
          <w:spacing w:val="0"/>
          <w:sz w:val="21"/>
          <w:szCs w:val="21"/>
          <w:highlight w:val="none"/>
        </w:rPr>
        <w:t>一、项目基本情况</w:t>
      </w:r>
    </w:p>
    <w:p w14:paraId="731F2F34">
      <w:pPr>
        <w:keepNext w:val="0"/>
        <w:keepLines w:val="0"/>
        <w:pageBreakBefore w:val="0"/>
        <w:widowControl/>
        <w:numPr>
          <w:ilvl w:val="0"/>
          <w:numId w:val="0"/>
        </w:numPr>
        <w:suppressLineNumbers w:val="0"/>
        <w:kinsoku/>
        <w:wordWrap/>
        <w:overflowPunct/>
        <w:topLinePunct w:val="0"/>
        <w:autoSpaceDN/>
        <w:bidi w:val="0"/>
        <w:adjustRightInd/>
        <w:snapToGrid/>
        <w:spacing w:before="75" w:beforeAutospacing="0" w:after="75" w:afterAutospacing="0" w:line="380" w:lineRule="exact"/>
        <w:ind w:leftChars="0" w:right="0" w:rightChars="0" w:firstLine="480"/>
        <w:jc w:val="left"/>
        <w:textAlignment w:val="auto"/>
        <w:rPr>
          <w:rFonts w:hint="default" w:ascii="宋体" w:hAnsi="宋体" w:eastAsia="宋体" w:cs="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项目编号：ATSJYZX-CG-2026092-1</w:t>
      </w:r>
    </w:p>
    <w:p w14:paraId="00F82966">
      <w:pPr>
        <w:keepNext w:val="0"/>
        <w:keepLines w:val="0"/>
        <w:pageBreakBefore w:val="0"/>
        <w:widowControl/>
        <w:numPr>
          <w:ilvl w:val="0"/>
          <w:numId w:val="0"/>
        </w:numPr>
        <w:suppressLineNumbers w:val="0"/>
        <w:kinsoku/>
        <w:wordWrap/>
        <w:overflowPunct/>
        <w:topLinePunct w:val="0"/>
        <w:autoSpaceDN/>
        <w:bidi w:val="0"/>
        <w:adjustRightInd/>
        <w:snapToGrid/>
        <w:spacing w:before="75" w:beforeAutospacing="0" w:after="75" w:afterAutospacing="0" w:line="380" w:lineRule="exact"/>
        <w:ind w:leftChars="0" w:right="0" w:rightChars="0" w:firstLine="48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项目名称：</w:t>
      </w:r>
      <w:r>
        <w:rPr>
          <w:rFonts w:hint="eastAsia" w:ascii="新宋体" w:hAnsi="新宋体" w:eastAsia="新宋体" w:cs="新宋体"/>
          <w:i w:val="0"/>
          <w:caps w:val="0"/>
          <w:color w:val="auto"/>
          <w:spacing w:val="0"/>
          <w:kern w:val="0"/>
          <w:sz w:val="21"/>
          <w:szCs w:val="21"/>
          <w:highlight w:val="none"/>
          <w:lang w:val="en-US" w:eastAsia="zh-CN"/>
        </w:rPr>
        <w:t>自治区2026年阿图什市“扩优提质类”资金建设项目（设备采购）二次</w:t>
      </w:r>
    </w:p>
    <w:p w14:paraId="2C54E0B0">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采购方式：公开招标</w:t>
      </w:r>
    </w:p>
    <w:p w14:paraId="720542BA">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i w:val="0"/>
          <w:caps w:val="0"/>
          <w:color w:val="auto"/>
          <w:spacing w:val="0"/>
          <w:kern w:val="0"/>
          <w:sz w:val="21"/>
          <w:szCs w:val="21"/>
          <w:highlight w:val="none"/>
        </w:rPr>
        <w:t xml:space="preserve">    </w:t>
      </w:r>
      <w:r>
        <w:rPr>
          <w:rFonts w:hint="eastAsia" w:ascii="新宋体" w:hAnsi="新宋体" w:eastAsia="新宋体" w:cs="新宋体"/>
          <w:i w:val="0"/>
          <w:caps w:val="0"/>
          <w:color w:val="auto"/>
          <w:spacing w:val="0"/>
          <w:kern w:val="0"/>
          <w:sz w:val="21"/>
          <w:szCs w:val="21"/>
          <w:highlight w:val="none"/>
          <w:lang w:val="en-US" w:eastAsia="zh-CN"/>
        </w:rPr>
        <w:t>预算金额</w:t>
      </w:r>
      <w:r>
        <w:rPr>
          <w:rFonts w:hint="eastAsia" w:ascii="新宋体" w:hAnsi="新宋体" w:eastAsia="新宋体" w:cs="新宋体"/>
          <w:i w:val="0"/>
          <w:caps w:val="0"/>
          <w:color w:val="auto"/>
          <w:spacing w:val="0"/>
          <w:kern w:val="0"/>
          <w:sz w:val="21"/>
          <w:szCs w:val="21"/>
          <w:highlight w:val="none"/>
        </w:rPr>
        <w:t>（元）</w:t>
      </w:r>
      <w:r>
        <w:rPr>
          <w:rFonts w:hint="eastAsia" w:ascii="新宋体" w:hAnsi="新宋体" w:eastAsia="新宋体" w:cs="新宋体"/>
          <w:color w:val="auto"/>
          <w:kern w:val="0"/>
          <w:sz w:val="21"/>
          <w:szCs w:val="21"/>
          <w:highlight w:val="none"/>
          <w:u w:val="none"/>
          <w:lang w:val="en-US" w:eastAsia="zh-CN" w:bidi="ar"/>
        </w:rPr>
        <w:t>：3310000</w:t>
      </w:r>
    </w:p>
    <w:p w14:paraId="48960FE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    最高限价（元）：3310000</w:t>
      </w:r>
    </w:p>
    <w:p w14:paraId="739F60EB">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80"/>
        <w:jc w:val="left"/>
        <w:textAlignment w:val="auto"/>
        <w:rPr>
          <w:rFonts w:hint="eastAsia" w:ascii="新宋体" w:hAnsi="新宋体" w:eastAsia="新宋体" w:cs="新宋体"/>
          <w:i w:val="0"/>
          <w:caps w:val="0"/>
          <w:color w:val="auto"/>
          <w:spacing w:val="0"/>
          <w:kern w:val="0"/>
          <w:sz w:val="21"/>
          <w:szCs w:val="21"/>
          <w:highlight w:val="none"/>
        </w:rPr>
      </w:pPr>
      <w:r>
        <w:rPr>
          <w:rFonts w:hint="eastAsia" w:ascii="新宋体" w:hAnsi="新宋体" w:eastAsia="新宋体" w:cs="新宋体"/>
          <w:i w:val="0"/>
          <w:caps w:val="0"/>
          <w:color w:val="auto"/>
          <w:spacing w:val="0"/>
          <w:kern w:val="0"/>
          <w:sz w:val="21"/>
          <w:szCs w:val="21"/>
          <w:highlight w:val="none"/>
        </w:rPr>
        <w:t>采购需求：</w:t>
      </w:r>
    </w:p>
    <w:p w14:paraId="58B5B2FD">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424" w:leftChars="200" w:right="0" w:firstLine="0" w:firstLineChars="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rPr>
        <w:t>标项名称:</w:t>
      </w:r>
      <w:r>
        <w:rPr>
          <w:rFonts w:hint="eastAsia" w:ascii="新宋体" w:hAnsi="新宋体" w:eastAsia="新宋体" w:cs="新宋体"/>
          <w:i w:val="0"/>
          <w:caps w:val="0"/>
          <w:color w:val="auto"/>
          <w:spacing w:val="0"/>
          <w:kern w:val="0"/>
          <w:sz w:val="21"/>
          <w:szCs w:val="21"/>
          <w:highlight w:val="none"/>
          <w:lang w:val="en-US" w:eastAsia="zh-CN"/>
        </w:rPr>
        <w:t>自治区2026年阿图什市“扩优提质类”资金建设项目（设备采购）二次</w:t>
      </w:r>
      <w:r>
        <w:rPr>
          <w:rFonts w:hint="eastAsia" w:ascii="新宋体" w:hAnsi="新宋体" w:eastAsia="新宋体" w:cs="新宋体"/>
          <w:i w:val="0"/>
          <w:caps w:val="0"/>
          <w:color w:val="auto"/>
          <w:spacing w:val="0"/>
          <w:kern w:val="0"/>
          <w:sz w:val="21"/>
          <w:szCs w:val="21"/>
          <w:highlight w:val="none"/>
        </w:rPr>
        <w:t>（一包）</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数量</w:t>
      </w:r>
      <w:r>
        <w:rPr>
          <w:rFonts w:hint="eastAsia" w:ascii="新宋体" w:hAnsi="新宋体" w:eastAsia="新宋体" w:cs="新宋体"/>
          <w:i w:val="0"/>
          <w:caps w:val="0"/>
          <w:color w:val="auto"/>
          <w:spacing w:val="0"/>
          <w:kern w:val="0"/>
          <w:sz w:val="21"/>
          <w:szCs w:val="21"/>
          <w:highlight w:val="none"/>
          <w:lang w:eastAsia="zh-CN"/>
        </w:rPr>
        <w:t>：</w:t>
      </w:r>
      <w:r>
        <w:rPr>
          <w:rFonts w:hint="eastAsia" w:ascii="新宋体" w:hAnsi="新宋体" w:eastAsia="新宋体" w:cs="新宋体"/>
          <w:i w:val="0"/>
          <w:caps w:val="0"/>
          <w:color w:val="auto"/>
          <w:spacing w:val="0"/>
          <w:kern w:val="0"/>
          <w:sz w:val="21"/>
          <w:szCs w:val="21"/>
          <w:highlight w:val="none"/>
        </w:rPr>
        <w:t>1</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lang w:val="en-US" w:eastAsia="zh-CN"/>
        </w:rPr>
        <w:t>预算金额</w:t>
      </w:r>
      <w:r>
        <w:rPr>
          <w:rFonts w:hint="eastAsia" w:ascii="新宋体" w:hAnsi="新宋体" w:eastAsia="新宋体" w:cs="新宋体"/>
          <w:i w:val="0"/>
          <w:caps w:val="0"/>
          <w:color w:val="auto"/>
          <w:spacing w:val="0"/>
          <w:kern w:val="0"/>
          <w:sz w:val="21"/>
          <w:szCs w:val="21"/>
          <w:highlight w:val="none"/>
        </w:rPr>
        <w:t>（元）</w:t>
      </w:r>
      <w:r>
        <w:rPr>
          <w:rFonts w:hint="eastAsia" w:ascii="新宋体" w:hAnsi="新宋体" w:eastAsia="新宋体" w:cs="新宋体"/>
          <w:color w:val="auto"/>
          <w:kern w:val="0"/>
          <w:sz w:val="21"/>
          <w:szCs w:val="21"/>
          <w:highlight w:val="none"/>
          <w:u w:val="none"/>
          <w:lang w:val="en-US" w:eastAsia="zh-CN" w:bidi="ar"/>
        </w:rPr>
        <w:t>：3310000</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单位</w:t>
      </w:r>
      <w:r>
        <w:rPr>
          <w:rFonts w:hint="eastAsia" w:ascii="新宋体" w:hAnsi="新宋体" w:eastAsia="新宋体" w:cs="新宋体"/>
          <w:i w:val="0"/>
          <w:caps w:val="0"/>
          <w:color w:val="auto"/>
          <w:spacing w:val="0"/>
          <w:kern w:val="0"/>
          <w:sz w:val="21"/>
          <w:szCs w:val="21"/>
          <w:highlight w:val="none"/>
          <w:lang w:eastAsia="zh-CN"/>
        </w:rPr>
        <w:t>：</w:t>
      </w:r>
      <w:r>
        <w:rPr>
          <w:rFonts w:hint="eastAsia" w:ascii="新宋体" w:hAnsi="新宋体" w:eastAsia="新宋体" w:cs="新宋体"/>
          <w:i w:val="0"/>
          <w:caps w:val="0"/>
          <w:color w:val="auto"/>
          <w:spacing w:val="0"/>
          <w:kern w:val="0"/>
          <w:sz w:val="21"/>
          <w:szCs w:val="21"/>
          <w:highlight w:val="none"/>
        </w:rPr>
        <w:t>批 </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简要规格描述或项目基本概况介绍、用途：采购玩教具设备一批。</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备注：</w:t>
      </w:r>
      <w:r>
        <w:rPr>
          <w:rFonts w:hint="eastAsia" w:ascii="新宋体" w:hAnsi="新宋体" w:eastAsia="新宋体" w:cs="新宋体"/>
          <w:i w:val="0"/>
          <w:caps w:val="0"/>
          <w:color w:val="auto"/>
          <w:spacing w:val="0"/>
          <w:kern w:val="0"/>
          <w:sz w:val="21"/>
          <w:szCs w:val="21"/>
          <w:highlight w:val="none"/>
          <w:lang w:val="en-US" w:eastAsia="zh-CN"/>
        </w:rPr>
        <w:t>具体详见招标文件采购内容及参数要求。</w:t>
      </w:r>
    </w:p>
    <w:p w14:paraId="68751F14">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4" w:firstLineChars="200"/>
        <w:jc w:val="left"/>
        <w:textAlignment w:val="auto"/>
        <w:rPr>
          <w:rFonts w:hint="eastAsia" w:ascii="新宋体" w:hAnsi="新宋体" w:eastAsia="新宋体" w:cs="新宋体"/>
          <w:i w:val="0"/>
          <w:caps w:val="0"/>
          <w:color w:val="auto"/>
          <w:spacing w:val="0"/>
          <w:kern w:val="0"/>
          <w:sz w:val="21"/>
          <w:szCs w:val="21"/>
          <w:highlight w:val="none"/>
          <w:u w:val="none"/>
          <w:lang w:val="en-US" w:eastAsia="zh-CN"/>
        </w:rPr>
      </w:pPr>
      <w:r>
        <w:rPr>
          <w:rFonts w:hint="eastAsia" w:ascii="新宋体" w:hAnsi="新宋体" w:eastAsia="新宋体" w:cs="新宋体"/>
          <w:i w:val="0"/>
          <w:caps w:val="0"/>
          <w:color w:val="auto"/>
          <w:spacing w:val="0"/>
          <w:kern w:val="0"/>
          <w:sz w:val="21"/>
          <w:szCs w:val="21"/>
          <w:highlight w:val="none"/>
        </w:rPr>
        <w:t>合同履行期限：</w:t>
      </w:r>
      <w:r>
        <w:rPr>
          <w:rFonts w:hint="eastAsia" w:ascii="新宋体" w:hAnsi="新宋体" w:eastAsia="新宋体" w:cs="新宋体"/>
          <w:i w:val="0"/>
          <w:caps w:val="0"/>
          <w:color w:val="auto"/>
          <w:spacing w:val="0"/>
          <w:kern w:val="0"/>
          <w:sz w:val="21"/>
          <w:szCs w:val="21"/>
          <w:highlight w:val="none"/>
          <w:lang w:eastAsia="zh-CN"/>
        </w:rPr>
        <w:t>标项</w:t>
      </w:r>
      <w:r>
        <w:rPr>
          <w:rFonts w:hint="eastAsia" w:ascii="新宋体" w:hAnsi="新宋体" w:eastAsia="新宋体" w:cs="新宋体"/>
          <w:i w:val="0"/>
          <w:caps w:val="0"/>
          <w:color w:val="auto"/>
          <w:spacing w:val="0"/>
          <w:kern w:val="0"/>
          <w:sz w:val="21"/>
          <w:szCs w:val="21"/>
          <w:highlight w:val="none"/>
          <w:lang w:val="en-US" w:eastAsia="zh-CN"/>
        </w:rPr>
        <w:t>1，具体详见招标文件。</w:t>
      </w:r>
      <w:r>
        <w:rPr>
          <w:rFonts w:hint="eastAsia" w:ascii="新宋体" w:hAnsi="新宋体" w:eastAsia="新宋体" w:cs="新宋体"/>
          <w:i w:val="0"/>
          <w:caps w:val="0"/>
          <w:color w:val="auto"/>
          <w:spacing w:val="0"/>
          <w:kern w:val="0"/>
          <w:sz w:val="21"/>
          <w:szCs w:val="21"/>
          <w:highlight w:val="none"/>
        </w:rPr>
        <w:t xml:space="preserve"> </w:t>
      </w:r>
    </w:p>
    <w:p w14:paraId="6084E4F8">
      <w:pPr>
        <w:pStyle w:val="10"/>
        <w:keepNext w:val="0"/>
        <w:keepLines w:val="0"/>
        <w:pageBreakBefore w:val="0"/>
        <w:tabs>
          <w:tab w:val="left" w:pos="562"/>
          <w:tab w:val="left" w:pos="3372"/>
          <w:tab w:val="left" w:pos="3653"/>
        </w:tabs>
        <w:kinsoku/>
        <w:wordWrap/>
        <w:overflowPunct/>
        <w:topLinePunct w:val="0"/>
        <w:autoSpaceDN/>
        <w:bidi w:val="0"/>
        <w:adjustRightInd/>
        <w:snapToGrid/>
        <w:spacing w:line="380" w:lineRule="exact"/>
        <w:ind w:firstLine="424" w:firstLineChars="200"/>
        <w:textAlignment w:val="auto"/>
        <w:rPr>
          <w:rFonts w:hint="eastAsia" w:ascii="新宋体" w:hAnsi="新宋体" w:eastAsia="新宋体" w:cs="新宋体"/>
          <w:i w:val="0"/>
          <w:caps w:val="0"/>
          <w:color w:val="auto"/>
          <w:spacing w:val="0"/>
          <w:kern w:val="0"/>
          <w:sz w:val="21"/>
          <w:szCs w:val="21"/>
          <w:highlight w:val="none"/>
          <w:lang w:val="en-US" w:eastAsia="zh-CN" w:bidi="ar-SA"/>
        </w:rPr>
      </w:pPr>
      <w:r>
        <w:rPr>
          <w:rFonts w:hint="eastAsia" w:ascii="新宋体" w:hAnsi="新宋体" w:eastAsia="新宋体" w:cs="新宋体"/>
          <w:i w:val="0"/>
          <w:caps w:val="0"/>
          <w:color w:val="auto"/>
          <w:spacing w:val="0"/>
          <w:kern w:val="0"/>
          <w:sz w:val="21"/>
          <w:szCs w:val="21"/>
          <w:highlight w:val="none"/>
          <w:lang w:val="en-US" w:eastAsia="zh-CN" w:bidi="ar-SA"/>
        </w:rPr>
        <w:t>本项目（否）接受联合体投标</w:t>
      </w:r>
    </w:p>
    <w:p w14:paraId="6E17D36B">
      <w:pPr>
        <w:pStyle w:val="25"/>
        <w:keepNext w:val="0"/>
        <w:keepLines w:val="0"/>
        <w:pageBreakBefore w:val="0"/>
        <w:kinsoku/>
        <w:wordWrap/>
        <w:overflowPunct/>
        <w:topLinePunct w:val="0"/>
        <w:autoSpaceDE w:val="0"/>
        <w:autoSpaceDN/>
        <w:bidi w:val="0"/>
        <w:adjustRightInd/>
        <w:snapToGrid/>
        <w:spacing w:before="255" w:beforeAutospacing="0" w:after="255" w:afterAutospacing="0" w:line="380" w:lineRule="exact"/>
        <w:ind w:firstLine="424" w:firstLineChars="200"/>
        <w:jc w:val="both"/>
        <w:textAlignment w:val="auto"/>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二、申请人的资格要求：</w:t>
      </w:r>
    </w:p>
    <w:p w14:paraId="223F41BA">
      <w:pPr>
        <w:pStyle w:val="25"/>
        <w:keepNext w:val="0"/>
        <w:keepLines w:val="0"/>
        <w:pageBreakBefore w:val="0"/>
        <w:kinsoku/>
        <w:wordWrap/>
        <w:overflowPunct/>
        <w:topLinePunct w:val="0"/>
        <w:autoSpaceDE w:val="0"/>
        <w:autoSpaceDN/>
        <w:bidi w:val="0"/>
        <w:adjustRightInd/>
        <w:snapToGrid/>
        <w:spacing w:before="255" w:beforeAutospacing="0" w:after="255" w:afterAutospacing="0" w:line="380" w:lineRule="exact"/>
        <w:ind w:firstLine="424" w:firstLineChars="200"/>
        <w:jc w:val="both"/>
        <w:textAlignment w:val="auto"/>
        <w:rPr>
          <w:rFonts w:hint="eastAsia" w:ascii="新宋体" w:hAnsi="新宋体" w:eastAsia="新宋体" w:cs="新宋体"/>
          <w:bCs/>
          <w:color w:val="auto"/>
          <w:sz w:val="21"/>
          <w:szCs w:val="21"/>
          <w:highlight w:val="none"/>
        </w:rPr>
      </w:pPr>
      <w:r>
        <w:rPr>
          <w:rFonts w:hint="eastAsia" w:ascii="新宋体" w:hAnsi="新宋体" w:eastAsia="新宋体" w:cs="新宋体"/>
          <w:bCs/>
          <w:color w:val="auto"/>
          <w:sz w:val="21"/>
          <w:szCs w:val="21"/>
          <w:highlight w:val="none"/>
        </w:rPr>
        <w:t>1.满足《中华人民共和国政府采购法》第二十二条规定；</w:t>
      </w:r>
    </w:p>
    <w:p w14:paraId="6B6BDCB9">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4" w:firstLineChars="200"/>
        <w:textAlignment w:val="auto"/>
        <w:rPr>
          <w:rFonts w:hint="default" w:ascii="新宋体" w:hAnsi="新宋体" w:eastAsia="新宋体" w:cs="新宋体"/>
          <w:color w:val="auto"/>
          <w:sz w:val="21"/>
          <w:szCs w:val="21"/>
          <w:highlight w:val="none"/>
          <w:lang w:val="en-US" w:eastAsia="zh-CN" w:bidi="ar"/>
        </w:rPr>
      </w:pPr>
      <w:r>
        <w:rPr>
          <w:rFonts w:hint="eastAsia" w:ascii="新宋体" w:hAnsi="新宋体" w:eastAsia="新宋体" w:cs="新宋体"/>
          <w:color w:val="auto"/>
          <w:sz w:val="21"/>
          <w:szCs w:val="21"/>
          <w:highlight w:val="none"/>
          <w:lang w:bidi="ar"/>
        </w:rPr>
        <w:t>2.落实政府采购政策需满足的资格要求：</w:t>
      </w:r>
      <w:r>
        <w:rPr>
          <w:rFonts w:hint="eastAsia" w:ascii="新宋体" w:hAnsi="新宋体" w:eastAsia="新宋体" w:cs="新宋体"/>
          <w:color w:val="auto"/>
          <w:sz w:val="21"/>
          <w:szCs w:val="21"/>
          <w:highlight w:val="none"/>
          <w:lang w:val="en-US" w:eastAsia="zh-CN" w:bidi="ar"/>
        </w:rPr>
        <w:t>标项1：本项目为专门面向中小企业。</w:t>
      </w:r>
    </w:p>
    <w:p w14:paraId="4FC89E5C">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4" w:firstLineChars="200"/>
        <w:textAlignment w:val="auto"/>
        <w:rPr>
          <w:rFonts w:hint="eastAsia" w:ascii="新宋体" w:hAnsi="新宋体" w:eastAsia="新宋体" w:cs="新宋体"/>
          <w:color w:val="auto"/>
          <w:sz w:val="21"/>
          <w:szCs w:val="21"/>
          <w:highlight w:val="none"/>
          <w:lang w:bidi="ar"/>
        </w:rPr>
      </w:pPr>
      <w:r>
        <w:rPr>
          <w:rFonts w:hint="eastAsia" w:ascii="新宋体" w:hAnsi="新宋体" w:eastAsia="新宋体" w:cs="新宋体"/>
          <w:color w:val="auto"/>
          <w:sz w:val="21"/>
          <w:szCs w:val="21"/>
          <w:highlight w:val="none"/>
          <w:lang w:bidi="ar"/>
        </w:rPr>
        <w:t>3.本项目的特定资格要求：</w:t>
      </w:r>
    </w:p>
    <w:p w14:paraId="2F177776">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4" w:firstLineChars="200"/>
        <w:textAlignment w:val="auto"/>
        <w:rPr>
          <w:rFonts w:hint="eastAsia" w:ascii="新宋体" w:hAnsi="新宋体" w:eastAsia="新宋体" w:cs="新宋体"/>
          <w:color w:val="auto"/>
          <w:sz w:val="21"/>
          <w:szCs w:val="21"/>
          <w:highlight w:val="none"/>
          <w:lang w:val="en-US" w:eastAsia="zh-CN" w:bidi="ar"/>
        </w:rPr>
      </w:pPr>
      <w:r>
        <w:rPr>
          <w:rFonts w:hint="eastAsia" w:ascii="新宋体" w:hAnsi="新宋体" w:eastAsia="新宋体" w:cs="新宋体"/>
          <w:color w:val="auto"/>
          <w:sz w:val="21"/>
          <w:szCs w:val="21"/>
          <w:highlight w:val="none"/>
          <w:lang w:bidi="ar"/>
        </w:rPr>
        <w:t>【标项</w:t>
      </w:r>
      <w:r>
        <w:rPr>
          <w:rFonts w:hint="eastAsia" w:ascii="新宋体" w:hAnsi="新宋体" w:eastAsia="新宋体" w:cs="新宋体"/>
          <w:color w:val="auto"/>
          <w:sz w:val="21"/>
          <w:szCs w:val="21"/>
          <w:highlight w:val="none"/>
          <w:lang w:val="en-US" w:eastAsia="zh-CN" w:bidi="ar"/>
        </w:rPr>
        <w:t>1</w:t>
      </w:r>
      <w:r>
        <w:rPr>
          <w:rFonts w:hint="eastAsia" w:ascii="新宋体" w:hAnsi="新宋体" w:eastAsia="新宋体" w:cs="新宋体"/>
          <w:color w:val="auto"/>
          <w:sz w:val="21"/>
          <w:szCs w:val="21"/>
          <w:highlight w:val="none"/>
          <w:lang w:bidi="ar"/>
        </w:rPr>
        <w:t>】</w:t>
      </w:r>
      <w:r>
        <w:rPr>
          <w:rFonts w:hint="eastAsia" w:ascii="新宋体" w:hAnsi="新宋体" w:eastAsia="新宋体" w:cs="新宋体"/>
          <w:color w:val="auto"/>
          <w:sz w:val="21"/>
          <w:szCs w:val="21"/>
          <w:highlight w:val="none"/>
          <w:lang w:val="en-US" w:eastAsia="zh-CN" w:bidi="ar"/>
        </w:rPr>
        <w:t xml:space="preserve">  </w:t>
      </w:r>
    </w:p>
    <w:p w14:paraId="7A617AFC">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4" w:firstLineChars="200"/>
        <w:textAlignment w:val="auto"/>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1).具备三证合一营业执照副本；</w:t>
      </w:r>
    </w:p>
    <w:p w14:paraId="74D7775B">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4" w:firstLineChars="200"/>
        <w:textAlignment w:val="auto"/>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2).法定代表人投标需提供法定代表人资格证明书，委托代理人投标需提供法定代表人授权委托书；</w:t>
      </w:r>
    </w:p>
    <w:p w14:paraId="5680DA2B">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4" w:firstLineChars="200"/>
        <w:textAlignment w:val="auto"/>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3).投标企业须提供投标人（被授权在职人员）近六个月内任意一个月社保证明；</w:t>
      </w:r>
    </w:p>
    <w:p w14:paraId="749C54D6">
      <w:pPr>
        <w:pStyle w:val="13"/>
        <w:keepNext w:val="0"/>
        <w:keepLines w:val="0"/>
        <w:pageBreakBefore w:val="0"/>
        <w:shd w:val="clear" w:color="auto" w:fill="auto"/>
        <w:kinsoku/>
        <w:wordWrap/>
        <w:overflowPunct/>
        <w:topLinePunct w:val="0"/>
        <w:autoSpaceDE/>
        <w:autoSpaceDN/>
        <w:bidi w:val="0"/>
        <w:adjustRightInd/>
        <w:snapToGrid w:val="0"/>
        <w:spacing w:line="380" w:lineRule="exact"/>
        <w:ind w:firstLine="424" w:firstLineChars="200"/>
        <w:jc w:val="left"/>
        <w:textAlignment w:val="auto"/>
        <w:outlineLvl w:val="9"/>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4).</w:t>
      </w:r>
      <w:r>
        <w:rPr>
          <w:rFonts w:hint="eastAsia" w:ascii="新宋体" w:hAnsi="新宋体" w:eastAsia="新宋体" w:cs="新宋体"/>
          <w:color w:val="auto"/>
          <w:sz w:val="21"/>
          <w:szCs w:val="21"/>
          <w:highlight w:val="none"/>
          <w:lang w:val="en-US" w:eastAsia="zh-CN" w:bidi="ar"/>
        </w:rPr>
        <w:t>参加政府采购活动前三年内，在经营活动中没有重大违法记录；未被“信用中国”（www.creditchina.gov.cn）及中国政府采购网 (www.ccgp.gov.cn）列入失信被执行人名单、重大税收违法失信主体、政府采购严重违法失信行为记录名单</w:t>
      </w:r>
      <w:r>
        <w:rPr>
          <w:rFonts w:hint="default" w:ascii="新宋体" w:hAnsi="新宋体" w:eastAsia="新宋体" w:cs="新宋体"/>
          <w:color w:val="auto"/>
          <w:sz w:val="21"/>
          <w:szCs w:val="21"/>
          <w:highlight w:val="none"/>
          <w:lang w:val="en-US" w:eastAsia="zh-CN" w:bidi="ar"/>
        </w:rPr>
        <w:t>。</w:t>
      </w:r>
    </w:p>
    <w:p w14:paraId="37CE312B">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三、获取招标文件</w:t>
      </w:r>
    </w:p>
    <w:p w14:paraId="27535F36">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时间：2026年9月8日至2026年9月15日，每天上午10:00至14:00，下午16:00至20:00（北京时间，法定节假日除外）</w:t>
      </w:r>
    </w:p>
    <w:p w14:paraId="1131BE06">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地点：供应商登陆政采云平台http://www.zcygov.cn/，在线申请获取招标文件（登录政府采购云平台 → 项目采购 → 获取招标文件，如有操作性问题，可与政采云在线客服进行咨询，咨询电话：95763）。</w:t>
      </w:r>
    </w:p>
    <w:p w14:paraId="20FC77FC">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方式：（1）线上获取（登录政府采购云平台 → 项目采购 → 获取招标文件）。本次招标不提供纸质版招标文件。</w:t>
      </w:r>
    </w:p>
    <w:p w14:paraId="5863C13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（2）供应商获取招标文件前应注册成为政府采购云平台正式供应商。</w:t>
      </w:r>
    </w:p>
    <w:p w14:paraId="1231ADEA">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售价（元）：0</w:t>
      </w:r>
    </w:p>
    <w:p w14:paraId="07F9F37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4"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四、提交投标文件截止时间、开标时间和地点</w:t>
      </w:r>
    </w:p>
    <w:p w14:paraId="5C20F191">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提交投标文件截止时间：2026年9月28日 16：30 （北京时间）</w:t>
      </w:r>
    </w:p>
    <w:p w14:paraId="42C7ACD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投标地点：请登录政采云投标客户端投标</w:t>
      </w:r>
    </w:p>
    <w:p w14:paraId="7C34AF04">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开标时间：2026年9月28日 16：30 （北京时间）</w:t>
      </w:r>
    </w:p>
    <w:p w14:paraId="09821E36">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开标地点：投标人登录政采云平台https://www.zcygov.cn/，进入“项目采购-开标评标-右边选择对应项目点击“进入项目”进入开标大厅</w:t>
      </w:r>
    </w:p>
    <w:p w14:paraId="3C3324D5">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4"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五、公告期限</w:t>
      </w:r>
    </w:p>
    <w:p w14:paraId="4440F43B">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自本公告发布之日起5个工作日</w:t>
      </w:r>
    </w:p>
    <w:p w14:paraId="552FCBE1">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4"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六、其他补充事宜</w:t>
      </w:r>
    </w:p>
    <w:p w14:paraId="15A9577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1、本项目实行网上投标，采用电子投标文件。</w:t>
      </w:r>
    </w:p>
    <w:p w14:paraId="277C526D">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18399999326；翔晟CA服务热线025-66085508；新疆CA服务热线4000921999。</w:t>
      </w:r>
    </w:p>
    <w:p w14:paraId="639422C3">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5A4D455F">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default" w:ascii="仿宋" w:hAnsi="仿宋" w:eastAsia="仿宋" w:cs="仿宋"/>
          <w:b/>
          <w:bCs/>
          <w:i w:val="0"/>
          <w:iCs w:val="0"/>
          <w:caps w:val="0"/>
          <w:color w:val="auto"/>
          <w:spacing w:val="0"/>
          <w:kern w:val="0"/>
          <w:sz w:val="21"/>
          <w:szCs w:val="21"/>
          <w:highlight w:val="none"/>
          <w:lang w:val="en-US" w:eastAsia="zh-CN" w:bidi="ar"/>
        </w:rPr>
      </w:pPr>
      <w:r>
        <w:rPr>
          <w:rFonts w:hint="eastAsia" w:ascii="新宋体" w:hAnsi="新宋体" w:eastAsia="新宋体" w:cs="新宋体"/>
          <w:i w:val="0"/>
          <w:caps w:val="0"/>
          <w:color w:val="auto"/>
          <w:spacing w:val="0"/>
          <w:kern w:val="0"/>
          <w:sz w:val="21"/>
          <w:szCs w:val="21"/>
          <w:highlight w:val="none"/>
          <w:lang w:val="en-US" w:eastAsia="zh-CN"/>
        </w:rPr>
        <w:t>4、其他事项：/</w:t>
      </w:r>
    </w:p>
    <w:p w14:paraId="7ED0A53A">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4" w:leftChars="200" w:right="0" w:firstLine="0" w:firstLineChars="0"/>
        <w:jc w:val="left"/>
        <w:textAlignment w:val="auto"/>
        <w:rPr>
          <w:rFonts w:ascii="仿宋" w:hAnsi="仿宋" w:eastAsia="仿宋" w:cs="仿宋"/>
          <w:b/>
          <w:bCs/>
          <w:i w:val="0"/>
          <w:iCs w:val="0"/>
          <w:caps w:val="0"/>
          <w:color w:val="auto"/>
          <w:spacing w:val="0"/>
          <w:kern w:val="0"/>
          <w:sz w:val="21"/>
          <w:szCs w:val="21"/>
          <w:highlight w:val="none"/>
          <w:lang w:val="en-US" w:eastAsia="zh-CN" w:bidi="ar"/>
        </w:rPr>
      </w:pPr>
      <w:r>
        <w:rPr>
          <w:rFonts w:ascii="仿宋" w:hAnsi="仿宋" w:eastAsia="仿宋" w:cs="仿宋"/>
          <w:b/>
          <w:bCs/>
          <w:i w:val="0"/>
          <w:iCs w:val="0"/>
          <w:caps w:val="0"/>
          <w:color w:val="auto"/>
          <w:spacing w:val="0"/>
          <w:kern w:val="0"/>
          <w:sz w:val="21"/>
          <w:szCs w:val="21"/>
          <w:highlight w:val="none"/>
          <w:lang w:val="en-US" w:eastAsia="zh-CN" w:bidi="ar"/>
        </w:rPr>
        <w:t>特别提示：</w:t>
      </w:r>
    </w:p>
    <w:p w14:paraId="1782D5CD">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4" w:leftChars="200" w:right="0" w:firstLine="0" w:firstLineChars="0"/>
        <w:jc w:val="left"/>
        <w:textAlignment w:val="auto"/>
        <w:rPr>
          <w:rFonts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1、采购限额标准以上，200万元以下的货物和服务采购项目、400万元以下的工程采购项目，适宜由中小企业提供的，采购人应当专门面向中小企业采购。</w:t>
      </w:r>
    </w:p>
    <w:p w14:paraId="463A25D8">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4"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2、超过200万元的货物和服务采购项目，预留该部分采购项目预算总额的30%以上专门面向中小企业采购，其中预留给小微企业的比例不低于60%。</w:t>
      </w:r>
    </w:p>
    <w:p w14:paraId="45FD9801">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4"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3、超过400万元的工程采购项目中适宜由中小企业提供的，预留该部分采购项目预算总额的40%以上专门面向中小企业采购，其中预留给小微企业的比例不低于60%。</w:t>
      </w:r>
    </w:p>
    <w:p w14:paraId="2162E815">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4"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A67F00D">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4"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3CBD8DA5">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4"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 xml:space="preserve">七、对本次采购提出询问，请按以下方式联系 </w:t>
      </w:r>
      <w:r>
        <w:rPr>
          <w:rFonts w:hint="eastAsia" w:ascii="新宋体" w:hAnsi="新宋体" w:eastAsia="新宋体" w:cs="新宋体"/>
          <w:color w:val="auto"/>
          <w:kern w:val="0"/>
          <w:sz w:val="21"/>
          <w:szCs w:val="21"/>
          <w:highlight w:val="none"/>
          <w:u w:val="none"/>
          <w:lang w:val="en-US" w:eastAsia="zh-CN" w:bidi="ar"/>
        </w:rPr>
        <w:t xml:space="preserve">        </w:t>
      </w:r>
    </w:p>
    <w:p w14:paraId="5507354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1.采购人信息</w:t>
      </w:r>
    </w:p>
    <w:p w14:paraId="33A42837">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名    称：阿图什市教育局          </w:t>
      </w:r>
    </w:p>
    <w:p w14:paraId="71133A4C">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地    址：阿图什市松他克路南18院</w:t>
      </w:r>
    </w:p>
    <w:p w14:paraId="08F7620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联系方式：18199726032 </w:t>
      </w:r>
    </w:p>
    <w:p w14:paraId="367F01CA">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2.采购代理机构信息</w:t>
      </w:r>
    </w:p>
    <w:p w14:paraId="73BE541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名    称：新疆誉诚信工程项目管理有限责任公司    </w:t>
      </w:r>
    </w:p>
    <w:p w14:paraId="4B32468C">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地    址：阿图什市友谊路81号         </w:t>
      </w:r>
    </w:p>
    <w:p w14:paraId="28BE7750">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联系方式：19199746726 </w:t>
      </w:r>
    </w:p>
    <w:p w14:paraId="70A06C4D">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3.项目联系方式</w:t>
      </w:r>
    </w:p>
    <w:p w14:paraId="6C337A15">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项目联系人：温女士</w:t>
      </w:r>
    </w:p>
    <w:p w14:paraId="63FBD1D1">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4" w:firstLineChars="200"/>
        <w:jc w:val="left"/>
        <w:textAlignment w:val="auto"/>
        <w:rPr>
          <w:rFonts w:hint="eastAsia"/>
          <w:color w:val="auto"/>
          <w:sz w:val="21"/>
          <w:szCs w:val="21"/>
          <w:highlight w:val="none"/>
          <w:lang w:val="en-US"/>
        </w:rPr>
      </w:pPr>
      <w:r>
        <w:rPr>
          <w:rFonts w:hint="eastAsia"/>
          <w:color w:val="auto"/>
          <w:sz w:val="21"/>
          <w:szCs w:val="21"/>
          <w:highlight w:val="none"/>
          <w:lang w:val="en-US" w:eastAsia="zh-CN"/>
        </w:rPr>
        <w:t>电 话：19199746726</w:t>
      </w:r>
    </w:p>
    <w:p w14:paraId="1659D80F">
      <w:pPr>
        <w:numPr>
          <w:ilvl w:val="0"/>
          <w:numId w:val="3"/>
        </w:numPr>
        <w:shd w:val="clear" w:color="auto" w:fill="auto"/>
        <w:spacing w:line="500" w:lineRule="exact"/>
        <w:ind w:left="-1816" w:leftChars="0" w:firstLine="3520" w:firstLineChars="0"/>
        <w:jc w:val="center"/>
        <w:outlineLvl w:val="0"/>
        <w:rPr>
          <w:rFonts w:hint="eastAsia" w:ascii="宋体"/>
          <w:b/>
          <w:color w:val="auto"/>
          <w:sz w:val="32"/>
          <w:szCs w:val="32"/>
          <w:highlight w:val="none"/>
        </w:rPr>
      </w:pPr>
      <w:bookmarkStart w:id="10" w:name="_Toc26119"/>
      <w:r>
        <w:rPr>
          <w:rFonts w:hint="eastAsia" w:ascii="宋体"/>
          <w:b/>
          <w:color w:val="auto"/>
          <w:sz w:val="32"/>
          <w:szCs w:val="32"/>
          <w:highlight w:val="none"/>
        </w:rPr>
        <w:t>投标人须知</w:t>
      </w:r>
      <w:bookmarkEnd w:id="10"/>
    </w:p>
    <w:p w14:paraId="23F06BF2">
      <w:pPr>
        <w:numPr>
          <w:ilvl w:val="0"/>
          <w:numId w:val="4"/>
        </w:numPr>
        <w:shd w:val="clear" w:color="auto" w:fill="auto"/>
        <w:spacing w:line="500" w:lineRule="exact"/>
        <w:ind w:left="0" w:leftChars="0" w:firstLine="3520" w:firstLineChars="0"/>
        <w:jc w:val="both"/>
        <w:outlineLvl w:val="0"/>
        <w:rPr>
          <w:rFonts w:hint="eastAsia"/>
          <w:color w:val="auto"/>
          <w:highlight w:val="none"/>
        </w:rPr>
      </w:pPr>
      <w:bookmarkStart w:id="11" w:name="_Toc20189"/>
      <w:r>
        <w:rPr>
          <w:rFonts w:hint="eastAsia" w:ascii="宋体"/>
          <w:b/>
          <w:color w:val="auto"/>
          <w:sz w:val="28"/>
          <w:szCs w:val="28"/>
          <w:highlight w:val="none"/>
        </w:rPr>
        <w:t>投标人须知前附表</w:t>
      </w:r>
      <w:bookmarkEnd w:id="11"/>
    </w:p>
    <w:tbl>
      <w:tblPr>
        <w:tblStyle w:val="29"/>
        <w:tblW w:w="9941"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12"/>
        <w:gridCol w:w="1536"/>
        <w:gridCol w:w="7393"/>
      </w:tblGrid>
      <w:tr w14:paraId="440F78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1012" w:type="dxa"/>
            <w:vAlign w:val="center"/>
          </w:tcPr>
          <w:p w14:paraId="762BA893">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95" w:leftChars="-45" w:right="-82" w:rightChars="-39"/>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条款号</w:t>
            </w:r>
          </w:p>
        </w:tc>
        <w:tc>
          <w:tcPr>
            <w:tcW w:w="1536" w:type="dxa"/>
            <w:vAlign w:val="center"/>
          </w:tcPr>
          <w:p w14:paraId="744D248D">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内容</w:t>
            </w:r>
          </w:p>
        </w:tc>
        <w:tc>
          <w:tcPr>
            <w:tcW w:w="7393" w:type="dxa"/>
            <w:vAlign w:val="center"/>
          </w:tcPr>
          <w:p w14:paraId="742114D7">
            <w:pPr>
              <w:pStyle w:val="13"/>
              <w:keepNext w:val="0"/>
              <w:keepLines w:val="0"/>
              <w:pageBreakBefore w:val="0"/>
              <w:shd w:val="clear" w:color="auto" w:fill="auto"/>
              <w:kinsoku/>
              <w:wordWrap/>
              <w:overflowPunct/>
              <w:topLinePunct w:val="0"/>
              <w:autoSpaceDE/>
              <w:autoSpaceDN/>
              <w:bidi w:val="0"/>
              <w:adjustRightInd/>
              <w:snapToGrid w:val="0"/>
              <w:spacing w:line="290" w:lineRule="exact"/>
              <w:ind w:firstLine="2120" w:firstLineChars="1000"/>
              <w:jc w:val="both"/>
              <w:textAlignment w:val="auto"/>
              <w:outlineLvl w:val="9"/>
              <w:rPr>
                <w:b w:val="0"/>
                <w:bCs/>
                <w:color w:val="auto"/>
                <w:sz w:val="21"/>
                <w:szCs w:val="21"/>
                <w:highlight w:val="none"/>
                <w:lang w:val="en-US" w:eastAsia="zh-CN"/>
              </w:rPr>
            </w:pPr>
            <w:r>
              <w:rPr>
                <w:rFonts w:hint="eastAsia"/>
                <w:b w:val="0"/>
                <w:bCs/>
                <w:color w:val="auto"/>
                <w:sz w:val="21"/>
                <w:szCs w:val="21"/>
                <w:highlight w:val="none"/>
                <w:lang w:val="en-US" w:eastAsia="zh-CN"/>
              </w:rPr>
              <w:t>说明与要求</w:t>
            </w:r>
          </w:p>
        </w:tc>
      </w:tr>
      <w:tr w14:paraId="7A3B72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39" w:hRule="atLeast"/>
          <w:jc w:val="center"/>
        </w:trPr>
        <w:tc>
          <w:tcPr>
            <w:tcW w:w="1012" w:type="dxa"/>
            <w:vAlign w:val="center"/>
          </w:tcPr>
          <w:p w14:paraId="3EE1D206">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1</w:t>
            </w:r>
          </w:p>
        </w:tc>
        <w:tc>
          <w:tcPr>
            <w:tcW w:w="1536" w:type="dxa"/>
            <w:vAlign w:val="center"/>
          </w:tcPr>
          <w:p w14:paraId="0E14B561">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采购人</w:t>
            </w:r>
            <w:r>
              <w:rPr>
                <w:rFonts w:hint="eastAsia" w:ascii="宋体" w:hAnsi="宋体" w:eastAsia="宋体" w:cs="宋体"/>
                <w:b/>
                <w:bCs w:val="0"/>
                <w:color w:val="auto"/>
                <w:sz w:val="21"/>
                <w:szCs w:val="21"/>
                <w:highlight w:val="none"/>
                <w:lang w:eastAsia="zh-CN"/>
              </w:rPr>
              <w:t>信</w:t>
            </w:r>
            <w:r>
              <w:rPr>
                <w:rFonts w:hint="eastAsia" w:ascii="宋体" w:hAnsi="宋体" w:eastAsia="宋体" w:cs="宋体"/>
                <w:b/>
                <w:bCs w:val="0"/>
                <w:color w:val="auto"/>
                <w:sz w:val="21"/>
                <w:szCs w:val="21"/>
                <w:highlight w:val="none"/>
              </w:rPr>
              <w:t>息</w:t>
            </w:r>
          </w:p>
        </w:tc>
        <w:tc>
          <w:tcPr>
            <w:tcW w:w="7393" w:type="dxa"/>
            <w:vAlign w:val="center"/>
          </w:tcPr>
          <w:p w14:paraId="454B11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eastAsia="宋体"/>
                <w:b w:val="0"/>
                <w:bCs/>
                <w:color w:val="auto"/>
                <w:sz w:val="21"/>
                <w:szCs w:val="21"/>
                <w:highlight w:val="none"/>
                <w:lang w:val="en-US" w:eastAsia="zh-CN"/>
              </w:rPr>
            </w:pPr>
            <w:r>
              <w:rPr>
                <w:rFonts w:hint="default" w:eastAsia="宋体"/>
                <w:b w:val="0"/>
                <w:bCs/>
                <w:color w:val="auto"/>
                <w:sz w:val="21"/>
                <w:szCs w:val="21"/>
                <w:highlight w:val="none"/>
                <w:lang w:val="en-US" w:eastAsia="zh-CN"/>
              </w:rPr>
              <w:t>单位名称：阿图什市教育局</w:t>
            </w:r>
          </w:p>
          <w:p w14:paraId="6F969B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eastAsia="宋体"/>
                <w:b w:val="0"/>
                <w:bCs/>
                <w:color w:val="auto"/>
                <w:sz w:val="21"/>
                <w:szCs w:val="21"/>
                <w:highlight w:val="none"/>
                <w:lang w:val="en-US" w:eastAsia="zh-CN"/>
              </w:rPr>
            </w:pPr>
            <w:r>
              <w:rPr>
                <w:rFonts w:hint="default" w:eastAsia="宋体"/>
                <w:b w:val="0"/>
                <w:bCs/>
                <w:color w:val="auto"/>
                <w:sz w:val="21"/>
                <w:szCs w:val="21"/>
                <w:highlight w:val="none"/>
                <w:lang w:val="en-US" w:eastAsia="zh-CN"/>
              </w:rPr>
              <w:t>单位地址：阿图什市松他克路南18院</w:t>
            </w:r>
          </w:p>
          <w:p w14:paraId="2CA9C9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eastAsia="宋体"/>
                <w:b w:val="0"/>
                <w:bCs/>
                <w:color w:val="auto"/>
                <w:sz w:val="21"/>
                <w:szCs w:val="21"/>
                <w:highlight w:val="none"/>
                <w:lang w:val="en-US" w:eastAsia="zh-CN"/>
              </w:rPr>
            </w:pPr>
            <w:r>
              <w:rPr>
                <w:rFonts w:hint="default" w:eastAsia="宋体"/>
                <w:b w:val="0"/>
                <w:bCs/>
                <w:color w:val="auto"/>
                <w:sz w:val="21"/>
                <w:szCs w:val="21"/>
                <w:highlight w:val="none"/>
                <w:lang w:val="en-US" w:eastAsia="zh-CN"/>
              </w:rPr>
              <w:t xml:space="preserve">联 系 人：沙先生   联系电话：18199726032    </w:t>
            </w:r>
          </w:p>
        </w:tc>
      </w:tr>
      <w:tr w14:paraId="338CB81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59" w:hRule="atLeast"/>
          <w:jc w:val="center"/>
        </w:trPr>
        <w:tc>
          <w:tcPr>
            <w:tcW w:w="1012" w:type="dxa"/>
            <w:vAlign w:val="center"/>
          </w:tcPr>
          <w:p w14:paraId="3935AEEB">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bCs w:val="0"/>
                <w:color w:val="auto"/>
                <w:sz w:val="21"/>
                <w:szCs w:val="21"/>
                <w:highlight w:val="none"/>
                <w:lang w:val="en-US" w:eastAsia="zh-CN"/>
              </w:rPr>
            </w:pPr>
            <w:r>
              <w:rPr>
                <w:rFonts w:hint="default"/>
                <w:b/>
                <w:bCs w:val="0"/>
                <w:color w:val="auto"/>
                <w:sz w:val="21"/>
                <w:szCs w:val="21"/>
                <w:highlight w:val="none"/>
                <w:lang w:val="en-US" w:eastAsia="zh-CN"/>
              </w:rPr>
              <w:t>2</w:t>
            </w:r>
          </w:p>
        </w:tc>
        <w:tc>
          <w:tcPr>
            <w:tcW w:w="1536" w:type="dxa"/>
            <w:vAlign w:val="center"/>
          </w:tcPr>
          <w:p w14:paraId="36651620">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b/>
                <w:bCs w:val="0"/>
                <w:color w:val="auto"/>
                <w:sz w:val="21"/>
                <w:szCs w:val="21"/>
                <w:highlight w:val="none"/>
                <w:lang w:val="en-US" w:eastAsia="zh-CN"/>
              </w:rPr>
            </w:pPr>
            <w:r>
              <w:rPr>
                <w:rFonts w:hint="eastAsia" w:ascii="宋体" w:hAnsi="宋体" w:eastAsia="宋体" w:cs="宋体"/>
                <w:b/>
                <w:bCs w:val="0"/>
                <w:color w:val="auto"/>
                <w:sz w:val="21"/>
                <w:szCs w:val="21"/>
                <w:highlight w:val="none"/>
              </w:rPr>
              <w:t>采购代理机构</w:t>
            </w:r>
          </w:p>
        </w:tc>
        <w:tc>
          <w:tcPr>
            <w:tcW w:w="7393" w:type="dxa"/>
            <w:vAlign w:val="center"/>
          </w:tcPr>
          <w:p w14:paraId="01DFB208">
            <w:pPr>
              <w:keepNext w:val="0"/>
              <w:keepLines w:val="0"/>
              <w:pageBreakBefore w:val="0"/>
              <w:widowControl/>
              <w:shd w:val="clear" w:color="auto" w:fill="auto"/>
              <w:kinsoku/>
              <w:wordWrap/>
              <w:overflowPunct/>
              <w:topLinePunct w:val="0"/>
              <w:autoSpaceDE/>
              <w:autoSpaceDN/>
              <w:bidi w:val="0"/>
              <w:adjustRightInd/>
              <w:snapToGrid/>
              <w:spacing w:line="530" w:lineRule="exac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名  称：</w:t>
            </w:r>
            <w:r>
              <w:rPr>
                <w:rFonts w:hint="eastAsia" w:ascii="宋体" w:hAnsi="宋体" w:eastAsia="宋体" w:cs="宋体"/>
                <w:color w:val="auto"/>
                <w:kern w:val="0"/>
                <w:sz w:val="21"/>
                <w:szCs w:val="21"/>
                <w:highlight w:val="none"/>
                <w:lang w:eastAsia="zh-CN"/>
              </w:rPr>
              <w:t>新疆誉诚信工程项目管理有限责任公司</w:t>
            </w:r>
          </w:p>
          <w:p w14:paraId="217D724B">
            <w:pPr>
              <w:keepNext w:val="0"/>
              <w:keepLines w:val="0"/>
              <w:pageBreakBefore w:val="0"/>
              <w:widowControl/>
              <w:shd w:val="clear" w:color="auto" w:fill="auto"/>
              <w:kinsoku/>
              <w:wordWrap/>
              <w:overflowPunct/>
              <w:topLinePunct w:val="0"/>
              <w:autoSpaceDE/>
              <w:autoSpaceDN/>
              <w:bidi w:val="0"/>
              <w:adjustRightInd/>
              <w:snapToGrid/>
              <w:spacing w:line="53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  址：</w:t>
            </w:r>
            <w:r>
              <w:rPr>
                <w:rFonts w:hint="eastAsia" w:ascii="宋体" w:hAnsi="宋体" w:cs="宋体"/>
                <w:color w:val="auto"/>
                <w:kern w:val="0"/>
                <w:sz w:val="21"/>
                <w:szCs w:val="21"/>
                <w:highlight w:val="none"/>
                <w:lang w:val="en-US" w:eastAsia="zh-CN"/>
              </w:rPr>
              <w:t>阿图什市友谊路81号</w:t>
            </w:r>
            <w:r>
              <w:rPr>
                <w:rFonts w:hint="eastAsia" w:ascii="宋体" w:hAnsi="宋体" w:eastAsia="宋体" w:cs="宋体"/>
                <w:color w:val="auto"/>
                <w:kern w:val="0"/>
                <w:sz w:val="21"/>
                <w:szCs w:val="21"/>
                <w:highlight w:val="none"/>
                <w:lang w:val="en-US" w:eastAsia="zh-CN"/>
              </w:rPr>
              <w:t xml:space="preserve"> </w:t>
            </w:r>
          </w:p>
          <w:p w14:paraId="71413101">
            <w:pPr>
              <w:keepNext w:val="0"/>
              <w:keepLines w:val="0"/>
              <w:pageBreakBefore w:val="0"/>
              <w:widowControl/>
              <w:shd w:val="clear" w:color="auto" w:fill="auto"/>
              <w:kinsoku/>
              <w:wordWrap/>
              <w:overflowPunct/>
              <w:topLinePunct w:val="0"/>
              <w:autoSpaceDE/>
              <w:autoSpaceDN/>
              <w:bidi w:val="0"/>
              <w:adjustRightInd/>
              <w:snapToGrid/>
              <w:spacing w:line="530" w:lineRule="exact"/>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联系人：</w:t>
            </w:r>
            <w:r>
              <w:rPr>
                <w:rFonts w:hint="eastAsia" w:ascii="宋体" w:hAnsi="宋体" w:cs="宋体"/>
                <w:color w:val="auto"/>
                <w:kern w:val="0"/>
                <w:sz w:val="21"/>
                <w:szCs w:val="21"/>
                <w:highlight w:val="none"/>
                <w:lang w:val="en-US" w:eastAsia="zh-CN"/>
              </w:rPr>
              <w:t>温女士</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sz w:val="21"/>
                <w:szCs w:val="21"/>
                <w:highlight w:val="none"/>
                <w:shd w:val="clear" w:color="auto" w:fill="FFFFFF"/>
              </w:rPr>
              <w:t>联系</w:t>
            </w:r>
            <w:r>
              <w:rPr>
                <w:rFonts w:hint="eastAsia" w:ascii="宋体" w:hAnsi="宋体" w:eastAsia="宋体" w:cs="宋体"/>
                <w:color w:val="auto"/>
                <w:kern w:val="0"/>
                <w:sz w:val="21"/>
                <w:szCs w:val="21"/>
                <w:highlight w:val="none"/>
              </w:rPr>
              <w:t>电话：</w:t>
            </w:r>
            <w:r>
              <w:rPr>
                <w:rFonts w:hint="eastAsia" w:ascii="宋体" w:hAnsi="宋体" w:cs="宋体"/>
                <w:color w:val="auto"/>
                <w:kern w:val="2"/>
                <w:sz w:val="21"/>
                <w:szCs w:val="21"/>
                <w:highlight w:val="none"/>
                <w:lang w:val="en-US" w:eastAsia="zh-CN" w:bidi="ar"/>
              </w:rPr>
              <w:t>19199746726</w:t>
            </w:r>
          </w:p>
        </w:tc>
      </w:tr>
      <w:tr w14:paraId="126860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32" w:hRule="atLeast"/>
          <w:jc w:val="center"/>
        </w:trPr>
        <w:tc>
          <w:tcPr>
            <w:tcW w:w="1012" w:type="dxa"/>
            <w:vAlign w:val="center"/>
          </w:tcPr>
          <w:p w14:paraId="75183445">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3</w:t>
            </w:r>
          </w:p>
        </w:tc>
        <w:tc>
          <w:tcPr>
            <w:tcW w:w="1536" w:type="dxa"/>
            <w:vAlign w:val="center"/>
          </w:tcPr>
          <w:p w14:paraId="48219997">
            <w:pPr>
              <w:pStyle w:val="25"/>
              <w:keepNext w:val="0"/>
              <w:keepLines w:val="0"/>
              <w:widowControl/>
              <w:suppressLineNumbers w:val="0"/>
              <w:spacing w:before="0" w:beforeAutospacing="0" w:after="0" w:afterAutospacing="0" w:line="510" w:lineRule="atLeast"/>
              <w:ind w:right="0"/>
              <w:jc w:val="center"/>
              <w:rPr>
                <w:rFonts w:hint="eastAsia"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项目名称</w:t>
            </w:r>
          </w:p>
          <w:p w14:paraId="1220C019">
            <w:pPr>
              <w:pStyle w:val="25"/>
              <w:keepNext w:val="0"/>
              <w:keepLines w:val="0"/>
              <w:widowControl/>
              <w:suppressLineNumbers w:val="0"/>
              <w:spacing w:before="0" w:beforeAutospacing="0" w:after="0" w:afterAutospacing="0" w:line="510" w:lineRule="atLeast"/>
              <w:ind w:right="0"/>
              <w:jc w:val="center"/>
              <w:rPr>
                <w:rFonts w:hint="eastAsia"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项目编号</w:t>
            </w:r>
          </w:p>
          <w:p w14:paraId="75D619FB">
            <w:pPr>
              <w:pStyle w:val="25"/>
              <w:keepNext w:val="0"/>
              <w:keepLines w:val="0"/>
              <w:widowControl/>
              <w:suppressLineNumbers w:val="0"/>
              <w:spacing w:before="0" w:beforeAutospacing="0" w:after="0" w:afterAutospacing="0" w:line="510" w:lineRule="atLeast"/>
              <w:ind w:right="0"/>
              <w:jc w:val="center"/>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采购内容</w:t>
            </w:r>
          </w:p>
        </w:tc>
        <w:tc>
          <w:tcPr>
            <w:tcW w:w="7393" w:type="dxa"/>
            <w:vAlign w:val="center"/>
          </w:tcPr>
          <w:p w14:paraId="66FD9106">
            <w:pPr>
              <w:pStyle w:val="25"/>
              <w:keepNext w:val="0"/>
              <w:keepLines w:val="0"/>
              <w:widowControl/>
              <w:suppressLineNumbers w:val="0"/>
              <w:spacing w:before="0" w:beforeAutospacing="0" w:after="0" w:afterAutospacing="0" w:line="510" w:lineRule="atLeast"/>
              <w:ind w:right="0"/>
              <w:jc w:val="both"/>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项目名称</w:t>
            </w:r>
            <w:r>
              <w:rPr>
                <w:rFonts w:hint="eastAsia" w:ascii="Times New Roman" w:hAnsi="Times New Roman" w:eastAsia="宋体" w:cs="Times New Roman"/>
                <w:b/>
                <w:bCs w:val="0"/>
                <w:color w:val="auto"/>
                <w:kern w:val="2"/>
                <w:sz w:val="21"/>
                <w:szCs w:val="21"/>
                <w:highlight w:val="none"/>
                <w:lang w:val="en-US" w:eastAsia="zh-CN" w:bidi="ar-SA"/>
              </w:rPr>
              <w:t>：</w:t>
            </w:r>
            <w:r>
              <w:rPr>
                <w:rFonts w:hint="eastAsia" w:ascii="Times New Roman" w:hAnsi="Times New Roman" w:eastAsia="宋体" w:cs="Times New Roman"/>
                <w:b w:val="0"/>
                <w:bCs/>
                <w:color w:val="auto"/>
                <w:kern w:val="2"/>
                <w:sz w:val="21"/>
                <w:szCs w:val="21"/>
                <w:highlight w:val="none"/>
                <w:lang w:val="en-US" w:eastAsia="zh-CN" w:bidi="ar-SA"/>
              </w:rPr>
              <w:t>自治区2026年阿图什市“扩优提质类”资金建设项目（设备采购）</w:t>
            </w:r>
            <w:r>
              <w:rPr>
                <w:rFonts w:hint="eastAsia" w:ascii="Times New Roman" w:hAnsi="Times New Roman" w:cs="Times New Roman"/>
                <w:b w:val="0"/>
                <w:bCs/>
                <w:color w:val="auto"/>
                <w:kern w:val="2"/>
                <w:sz w:val="21"/>
                <w:szCs w:val="21"/>
                <w:highlight w:val="none"/>
                <w:lang w:val="en-US" w:eastAsia="zh-CN" w:bidi="ar-SA"/>
              </w:rPr>
              <w:t>二次</w:t>
            </w:r>
            <w:r>
              <w:rPr>
                <w:rFonts w:hint="eastAsia" w:ascii="Times New Roman" w:hAnsi="Times New Roman" w:eastAsia="宋体" w:cs="Times New Roman"/>
                <w:b w:val="0"/>
                <w:bCs/>
                <w:color w:val="auto"/>
                <w:kern w:val="2"/>
                <w:sz w:val="21"/>
                <w:szCs w:val="21"/>
                <w:highlight w:val="none"/>
                <w:lang w:val="en-US" w:eastAsia="zh-CN" w:bidi="ar-SA"/>
              </w:rPr>
              <w:t xml:space="preserve">  </w:t>
            </w:r>
          </w:p>
          <w:p w14:paraId="6ECC41DA">
            <w:pPr>
              <w:pStyle w:val="25"/>
              <w:keepNext w:val="0"/>
              <w:keepLines w:val="0"/>
              <w:widowControl/>
              <w:suppressLineNumbers w:val="0"/>
              <w:spacing w:before="0" w:beforeAutospacing="0" w:after="0" w:afterAutospacing="0" w:line="510" w:lineRule="atLeast"/>
              <w:ind w:right="0"/>
              <w:jc w:val="both"/>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项目编号：ATSJYZX-CG-2026</w:t>
            </w:r>
            <w:r>
              <w:rPr>
                <w:rFonts w:hint="eastAsia" w:ascii="Times New Roman" w:hAnsi="Times New Roman" w:cs="Times New Roman"/>
                <w:b w:val="0"/>
                <w:bCs/>
                <w:color w:val="auto"/>
                <w:kern w:val="2"/>
                <w:sz w:val="21"/>
                <w:szCs w:val="21"/>
                <w:highlight w:val="none"/>
                <w:lang w:val="en-US" w:eastAsia="zh-CN" w:bidi="ar-SA"/>
              </w:rPr>
              <w:t>092-1</w:t>
            </w:r>
          </w:p>
          <w:p w14:paraId="28E28928">
            <w:pPr>
              <w:pStyle w:val="25"/>
              <w:keepNext w:val="0"/>
              <w:keepLines w:val="0"/>
              <w:widowControl/>
              <w:suppressLineNumbers w:val="0"/>
              <w:spacing w:before="0" w:beforeAutospacing="0" w:after="0" w:afterAutospacing="0" w:line="510" w:lineRule="atLeast"/>
              <w:ind w:right="0"/>
              <w:jc w:val="both"/>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标项名称：自治区2026年阿图什市“扩优提质类”资金建设项目（设备采购）</w:t>
            </w:r>
            <w:r>
              <w:rPr>
                <w:rFonts w:hint="eastAsia" w:ascii="Times New Roman" w:hAnsi="Times New Roman" w:cs="Times New Roman"/>
                <w:b w:val="0"/>
                <w:bCs/>
                <w:color w:val="auto"/>
                <w:kern w:val="2"/>
                <w:sz w:val="21"/>
                <w:szCs w:val="21"/>
                <w:highlight w:val="none"/>
                <w:lang w:val="en-US" w:eastAsia="zh-CN" w:bidi="ar-SA"/>
              </w:rPr>
              <w:t>二次</w:t>
            </w:r>
            <w:r>
              <w:rPr>
                <w:rFonts w:hint="default" w:ascii="Times New Roman" w:hAnsi="Times New Roman" w:eastAsia="宋体" w:cs="Times New Roman"/>
                <w:b w:val="0"/>
                <w:bCs/>
                <w:color w:val="auto"/>
                <w:kern w:val="2"/>
                <w:sz w:val="21"/>
                <w:szCs w:val="21"/>
                <w:highlight w:val="none"/>
                <w:lang w:val="en-US" w:eastAsia="zh-CN" w:bidi="ar-SA"/>
              </w:rPr>
              <w:t>（一包）</w:t>
            </w:r>
          </w:p>
          <w:p w14:paraId="79612FEB">
            <w:pPr>
              <w:pStyle w:val="25"/>
              <w:keepNext w:val="0"/>
              <w:keepLines w:val="0"/>
              <w:widowControl/>
              <w:suppressLineNumbers w:val="0"/>
              <w:spacing w:before="0" w:beforeAutospacing="0" w:after="0" w:afterAutospacing="0" w:line="510" w:lineRule="atLeast"/>
              <w:ind w:right="0"/>
              <w:jc w:val="both"/>
              <w:rPr>
                <w:rFonts w:hint="default" w:ascii="Times New Roman" w:hAnsi="Times New Roman" w:cs="Times New Roman"/>
                <w:b w:val="0"/>
                <w:bCs/>
                <w:color w:val="auto"/>
                <w:kern w:val="2"/>
                <w:sz w:val="21"/>
                <w:szCs w:val="21"/>
                <w:highlight w:val="none"/>
                <w:lang w:val="en-US" w:eastAsia="zh-CN" w:bidi="ar-SA"/>
              </w:rPr>
            </w:pPr>
            <w:r>
              <w:rPr>
                <w:rFonts w:hint="eastAsia" w:ascii="Times New Roman" w:hAnsi="Times New Roman" w:cs="Times New Roman"/>
                <w:b w:val="0"/>
                <w:bCs/>
                <w:color w:val="auto"/>
                <w:kern w:val="2"/>
                <w:sz w:val="21"/>
                <w:szCs w:val="21"/>
                <w:highlight w:val="none"/>
                <w:lang w:val="en-US" w:eastAsia="zh-CN" w:bidi="ar-SA"/>
              </w:rPr>
              <w:t>采购内容：采购玩教具设备一批。（具体详见招标文件采购内容及参数要求）</w:t>
            </w:r>
          </w:p>
        </w:tc>
      </w:tr>
      <w:tr w14:paraId="1A4753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2E35F4D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4</w:t>
            </w:r>
          </w:p>
        </w:tc>
        <w:tc>
          <w:tcPr>
            <w:tcW w:w="1536" w:type="dxa"/>
            <w:vAlign w:val="center"/>
          </w:tcPr>
          <w:p w14:paraId="765D6901">
            <w:pPr>
              <w:pStyle w:val="25"/>
              <w:keepNext w:val="0"/>
              <w:keepLines w:val="0"/>
              <w:widowControl/>
              <w:suppressLineNumbers w:val="0"/>
              <w:spacing w:before="0" w:beforeAutospacing="0" w:after="0" w:afterAutospacing="0" w:line="510" w:lineRule="atLeast"/>
              <w:ind w:right="0"/>
              <w:jc w:val="center"/>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采购预算</w:t>
            </w:r>
          </w:p>
          <w:p w14:paraId="5A8C4424">
            <w:pPr>
              <w:pStyle w:val="25"/>
              <w:keepNext w:val="0"/>
              <w:keepLines w:val="0"/>
              <w:widowControl/>
              <w:suppressLineNumbers w:val="0"/>
              <w:spacing w:before="0" w:beforeAutospacing="0" w:after="0" w:afterAutospacing="0" w:line="510" w:lineRule="atLeast"/>
              <w:ind w:right="0"/>
              <w:jc w:val="center"/>
              <w:rPr>
                <w:rFonts w:hint="eastAsia"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最高投标限价</w:t>
            </w:r>
          </w:p>
        </w:tc>
        <w:tc>
          <w:tcPr>
            <w:tcW w:w="7393" w:type="dxa"/>
            <w:vAlign w:val="center"/>
          </w:tcPr>
          <w:p w14:paraId="30EB4F2D">
            <w:pPr>
              <w:pStyle w:val="25"/>
              <w:keepNext w:val="0"/>
              <w:keepLines w:val="0"/>
              <w:widowControl/>
              <w:suppressLineNumbers w:val="0"/>
              <w:spacing w:before="0" w:beforeAutospacing="0" w:after="0" w:afterAutospacing="0" w:line="510" w:lineRule="atLeast"/>
              <w:ind w:right="0"/>
              <w:jc w:val="left"/>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预算金额：3310000元</w:t>
            </w:r>
          </w:p>
          <w:p w14:paraId="67EE2AA1">
            <w:pPr>
              <w:pStyle w:val="25"/>
              <w:keepNext w:val="0"/>
              <w:keepLines w:val="0"/>
              <w:widowControl/>
              <w:suppressLineNumbers w:val="0"/>
              <w:spacing w:before="0" w:beforeAutospacing="0" w:after="0" w:afterAutospacing="0" w:line="510" w:lineRule="atLeast"/>
              <w:ind w:right="0"/>
              <w:jc w:val="left"/>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最高投标限价：3310000元；投标人的投标报价不得高于最高投标限价，否则其投标将被否决。</w:t>
            </w:r>
          </w:p>
        </w:tc>
      </w:tr>
      <w:tr w14:paraId="6AA91D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3" w:hRule="atLeast"/>
          <w:jc w:val="center"/>
        </w:trPr>
        <w:tc>
          <w:tcPr>
            <w:tcW w:w="1012" w:type="dxa"/>
            <w:vAlign w:val="center"/>
          </w:tcPr>
          <w:p w14:paraId="1A0794E0">
            <w:pPr>
              <w:pStyle w:val="13"/>
              <w:keepNext w:val="0"/>
              <w:keepLines w:val="0"/>
              <w:pageBreakBefore w:val="0"/>
              <w:shd w:val="clear" w:color="auto" w:fill="auto"/>
              <w:kinsoku/>
              <w:wordWrap/>
              <w:overflowPunct/>
              <w:topLinePunct w:val="0"/>
              <w:autoSpaceDE/>
              <w:autoSpaceDN/>
              <w:bidi w:val="0"/>
              <w:adjustRightInd/>
              <w:snapToGrid w:val="0"/>
              <w:spacing w:line="240" w:lineRule="auto"/>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5</w:t>
            </w:r>
          </w:p>
        </w:tc>
        <w:tc>
          <w:tcPr>
            <w:tcW w:w="1536" w:type="dxa"/>
            <w:vAlign w:val="center"/>
          </w:tcPr>
          <w:p w14:paraId="3EEE3420">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资金来源</w:t>
            </w:r>
          </w:p>
        </w:tc>
        <w:tc>
          <w:tcPr>
            <w:tcW w:w="7393" w:type="dxa"/>
            <w:vAlign w:val="center"/>
          </w:tcPr>
          <w:p w14:paraId="58657019">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default" w:ascii="宋体" w:hAnsi="宋体" w:eastAsia="宋体" w:cs="宋体"/>
                <w:b w:val="0"/>
                <w:bCs/>
                <w:color w:val="auto"/>
                <w:kern w:val="0"/>
                <w:sz w:val="21"/>
                <w:szCs w:val="21"/>
                <w:highlight w:val="none"/>
                <w:lang w:val="en-US" w:eastAsia="zh-CN"/>
              </w:rPr>
            </w:pPr>
            <w:r>
              <w:rPr>
                <w:rFonts w:hint="default" w:ascii="宋体" w:hAnsi="宋体" w:eastAsia="宋体" w:cs="宋体"/>
                <w:b w:val="0"/>
                <w:bCs/>
                <w:color w:val="auto"/>
                <w:kern w:val="0"/>
                <w:sz w:val="21"/>
                <w:szCs w:val="21"/>
                <w:highlight w:val="none"/>
                <w:lang w:val="en-US" w:eastAsia="zh-CN"/>
              </w:rPr>
              <w:t>自治区2026年“扩优提质类”资金</w:t>
            </w:r>
          </w:p>
        </w:tc>
      </w:tr>
      <w:tr w14:paraId="2C2D71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2" w:hRule="atLeast"/>
          <w:jc w:val="center"/>
        </w:trPr>
        <w:tc>
          <w:tcPr>
            <w:tcW w:w="1012" w:type="dxa"/>
            <w:vAlign w:val="center"/>
          </w:tcPr>
          <w:p w14:paraId="2E92278E">
            <w:pPr>
              <w:pStyle w:val="13"/>
              <w:keepNext w:val="0"/>
              <w:keepLines w:val="0"/>
              <w:pageBreakBefore w:val="0"/>
              <w:shd w:val="clear" w:color="auto" w:fill="auto"/>
              <w:kinsoku/>
              <w:wordWrap/>
              <w:overflowPunct/>
              <w:topLinePunct w:val="0"/>
              <w:autoSpaceDE/>
              <w:autoSpaceDN/>
              <w:bidi w:val="0"/>
              <w:adjustRightInd/>
              <w:snapToGrid w:val="0"/>
              <w:spacing w:line="240" w:lineRule="auto"/>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6</w:t>
            </w:r>
          </w:p>
        </w:tc>
        <w:tc>
          <w:tcPr>
            <w:tcW w:w="1536" w:type="dxa"/>
            <w:vAlign w:val="center"/>
          </w:tcPr>
          <w:p w14:paraId="39314626">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供货时间</w:t>
            </w:r>
          </w:p>
        </w:tc>
        <w:tc>
          <w:tcPr>
            <w:tcW w:w="7393" w:type="dxa"/>
            <w:vAlign w:val="center"/>
          </w:tcPr>
          <w:p w14:paraId="606E5CC7">
            <w:pPr>
              <w:pStyle w:val="25"/>
              <w:keepNext w:val="0"/>
              <w:keepLines w:val="0"/>
              <w:pageBreakBefore w:val="0"/>
              <w:widowControl/>
              <w:suppressLineNumbers w:val="0"/>
              <w:kinsoku/>
              <w:wordWrap/>
              <w:overflowPunct/>
              <w:topLinePunct w:val="0"/>
              <w:autoSpaceDE/>
              <w:autoSpaceDN/>
              <w:bidi w:val="0"/>
              <w:adjustRightInd/>
              <w:snapToGrid/>
              <w:spacing w:before="256" w:beforeAutospacing="0" w:after="256" w:afterAutospacing="0" w:line="300" w:lineRule="exact"/>
              <w:ind w:left="0" w:leftChars="0" w:right="0" w:rightChars="0"/>
              <w:jc w:val="both"/>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合同签订后</w:t>
            </w:r>
            <w:r>
              <w:rPr>
                <w:rFonts w:hint="eastAsia" w:cs="宋体"/>
                <w:b w:val="0"/>
                <w:bCs/>
                <w:color w:val="auto"/>
                <w:kern w:val="0"/>
                <w:sz w:val="21"/>
                <w:szCs w:val="21"/>
                <w:highlight w:val="none"/>
                <w:lang w:val="en-US" w:eastAsia="zh-CN" w:bidi="ar-SA"/>
              </w:rPr>
              <w:t>30</w:t>
            </w:r>
            <w:r>
              <w:rPr>
                <w:rFonts w:hint="eastAsia" w:ascii="宋体" w:hAnsi="宋体" w:eastAsia="宋体" w:cs="宋体"/>
                <w:b w:val="0"/>
                <w:bCs/>
                <w:color w:val="auto"/>
                <w:kern w:val="0"/>
                <w:sz w:val="21"/>
                <w:szCs w:val="21"/>
                <w:highlight w:val="none"/>
                <w:lang w:val="en-US" w:eastAsia="zh-CN" w:bidi="ar-SA"/>
              </w:rPr>
              <w:t>个工作日内完成供货及安装（具体以签订合同内容为准）。</w:t>
            </w:r>
          </w:p>
        </w:tc>
      </w:tr>
      <w:tr w14:paraId="6F2222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7" w:hRule="atLeast"/>
          <w:jc w:val="center"/>
        </w:trPr>
        <w:tc>
          <w:tcPr>
            <w:tcW w:w="1012" w:type="dxa"/>
            <w:vAlign w:val="center"/>
          </w:tcPr>
          <w:p w14:paraId="01275AB4">
            <w:pPr>
              <w:pStyle w:val="13"/>
              <w:keepNext w:val="0"/>
              <w:keepLines w:val="0"/>
              <w:pageBreakBefore w:val="0"/>
              <w:shd w:val="clear" w:color="auto" w:fill="auto"/>
              <w:kinsoku/>
              <w:wordWrap/>
              <w:overflowPunct/>
              <w:topLinePunct w:val="0"/>
              <w:autoSpaceDE/>
              <w:autoSpaceDN/>
              <w:bidi w:val="0"/>
              <w:adjustRightInd/>
              <w:snapToGrid w:val="0"/>
              <w:spacing w:line="240" w:lineRule="auto"/>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7</w:t>
            </w:r>
          </w:p>
        </w:tc>
        <w:tc>
          <w:tcPr>
            <w:tcW w:w="1536" w:type="dxa"/>
            <w:vAlign w:val="center"/>
          </w:tcPr>
          <w:p w14:paraId="4800B64D">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outlineLvl w:val="9"/>
              <w:rPr>
                <w:rFonts w:hint="eastAsia"/>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供货</w:t>
            </w:r>
            <w:r>
              <w:rPr>
                <w:rFonts w:hint="eastAsia" w:ascii="宋体" w:hAnsi="宋体" w:eastAsia="宋体" w:cs="宋体"/>
                <w:b/>
                <w:bCs w:val="0"/>
                <w:color w:val="auto"/>
                <w:sz w:val="21"/>
                <w:szCs w:val="21"/>
                <w:highlight w:val="none"/>
                <w:lang w:eastAsia="zh-CN"/>
              </w:rPr>
              <w:t>地点</w:t>
            </w:r>
          </w:p>
        </w:tc>
        <w:tc>
          <w:tcPr>
            <w:tcW w:w="7393" w:type="dxa"/>
            <w:vAlign w:val="center"/>
          </w:tcPr>
          <w:p w14:paraId="5AAD3D89">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中标单位将货物送到甲方指定的任何地点</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安装调试完毕后交付采购人正常使用。</w:t>
            </w:r>
          </w:p>
        </w:tc>
      </w:tr>
      <w:tr w14:paraId="2EB6BF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1012" w:type="dxa"/>
            <w:vAlign w:val="center"/>
          </w:tcPr>
          <w:p w14:paraId="75E0A4E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8</w:t>
            </w:r>
          </w:p>
        </w:tc>
        <w:tc>
          <w:tcPr>
            <w:tcW w:w="1536" w:type="dxa"/>
            <w:vAlign w:val="center"/>
          </w:tcPr>
          <w:p w14:paraId="38658BCA">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质保期</w:t>
            </w:r>
          </w:p>
        </w:tc>
        <w:tc>
          <w:tcPr>
            <w:tcW w:w="7393" w:type="dxa"/>
            <w:vAlign w:val="center"/>
          </w:tcPr>
          <w:p w14:paraId="7F054C93">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default"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自验收合格之日起质保</w:t>
            </w:r>
            <w:r>
              <w:rPr>
                <w:rFonts w:hint="eastAsia" w:ascii="宋体" w:hAnsi="宋体" w:cs="宋体"/>
                <w:b w:val="0"/>
                <w:bCs/>
                <w:color w:val="auto"/>
                <w:kern w:val="0"/>
                <w:sz w:val="21"/>
                <w:szCs w:val="21"/>
                <w:highlight w:val="none"/>
                <w:lang w:val="en-US" w:eastAsia="zh-CN" w:bidi="ar-SA"/>
              </w:rPr>
              <w:t>2</w:t>
            </w:r>
            <w:r>
              <w:rPr>
                <w:rFonts w:hint="eastAsia" w:ascii="宋体" w:hAnsi="宋体" w:eastAsia="宋体" w:cs="宋体"/>
                <w:b w:val="0"/>
                <w:bCs/>
                <w:color w:val="auto"/>
                <w:kern w:val="0"/>
                <w:sz w:val="21"/>
                <w:szCs w:val="21"/>
                <w:highlight w:val="none"/>
                <w:lang w:val="en-US" w:eastAsia="zh-CN" w:bidi="ar-SA"/>
              </w:rPr>
              <w:t>年</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保修期内供应商免费提供保修服务。</w:t>
            </w:r>
          </w:p>
        </w:tc>
      </w:tr>
      <w:tr w14:paraId="442C23B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1012" w:type="dxa"/>
            <w:vAlign w:val="center"/>
          </w:tcPr>
          <w:p w14:paraId="5AFC02B4">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9</w:t>
            </w:r>
          </w:p>
        </w:tc>
        <w:tc>
          <w:tcPr>
            <w:tcW w:w="1536" w:type="dxa"/>
            <w:vAlign w:val="center"/>
          </w:tcPr>
          <w:p w14:paraId="0AFF9166">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售后服务要求</w:t>
            </w:r>
          </w:p>
        </w:tc>
        <w:tc>
          <w:tcPr>
            <w:tcW w:w="7393" w:type="dxa"/>
            <w:vAlign w:val="center"/>
          </w:tcPr>
          <w:p w14:paraId="36215C06">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1.质保期内，出现产品质量问题，投标人需按采购人要求无偿进行更换。</w:t>
            </w:r>
          </w:p>
          <w:p w14:paraId="1496F31F">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2.如产品在质保期内发生质量问题，供货方应在接到使用方的电话后2小时内必须响应，5小时内到场，8小时内解决问题；由此产生的费用由供货方承担。</w:t>
            </w:r>
          </w:p>
        </w:tc>
      </w:tr>
      <w:tr w14:paraId="4AA4C8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1012" w:type="dxa"/>
            <w:vAlign w:val="center"/>
          </w:tcPr>
          <w:p w14:paraId="74144C5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10</w:t>
            </w:r>
          </w:p>
        </w:tc>
        <w:tc>
          <w:tcPr>
            <w:tcW w:w="1536" w:type="dxa"/>
            <w:vAlign w:val="center"/>
          </w:tcPr>
          <w:p w14:paraId="6EA3E5A1">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验收</w:t>
            </w:r>
          </w:p>
        </w:tc>
        <w:tc>
          <w:tcPr>
            <w:tcW w:w="7393" w:type="dxa"/>
            <w:vAlign w:val="center"/>
          </w:tcPr>
          <w:p w14:paraId="4F62F2D7">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按国家统一标准所提供物品材质，参数必须与招标文件一致，在验收发现有</w:t>
            </w:r>
            <w:r>
              <w:rPr>
                <w:rFonts w:hint="eastAsia" w:ascii="宋体" w:hAnsi="宋体" w:cs="宋体"/>
                <w:b w:val="0"/>
                <w:bCs/>
                <w:color w:val="auto"/>
                <w:kern w:val="0"/>
                <w:sz w:val="21"/>
                <w:szCs w:val="21"/>
                <w:highlight w:val="none"/>
                <w:lang w:val="en-US" w:eastAsia="zh-CN" w:bidi="ar-SA"/>
              </w:rPr>
              <w:t>设备</w:t>
            </w:r>
            <w:r>
              <w:rPr>
                <w:rFonts w:hint="eastAsia" w:ascii="宋体" w:hAnsi="宋体" w:eastAsia="宋体" w:cs="宋体"/>
                <w:b w:val="0"/>
                <w:bCs/>
                <w:color w:val="auto"/>
                <w:kern w:val="0"/>
                <w:sz w:val="21"/>
                <w:szCs w:val="21"/>
                <w:highlight w:val="none"/>
                <w:lang w:val="en-US" w:eastAsia="zh-CN" w:bidi="ar-SA"/>
              </w:rPr>
              <w:t>不一致的</w:t>
            </w:r>
            <w:r>
              <w:rPr>
                <w:rFonts w:hint="eastAsia" w:ascii="宋体" w:hAnsi="宋体" w:cs="宋体"/>
                <w:b w:val="0"/>
                <w:bCs/>
                <w:color w:val="auto"/>
                <w:kern w:val="0"/>
                <w:sz w:val="21"/>
                <w:szCs w:val="21"/>
                <w:highlight w:val="none"/>
                <w:lang w:val="en-US" w:eastAsia="zh-CN" w:bidi="ar-SA"/>
              </w:rPr>
              <w:t>或软件系统不能满足功能要求的</w:t>
            </w:r>
            <w:r>
              <w:rPr>
                <w:rFonts w:hint="eastAsia" w:ascii="宋体" w:hAnsi="宋体" w:eastAsia="宋体" w:cs="宋体"/>
                <w:b w:val="0"/>
                <w:bCs/>
                <w:color w:val="auto"/>
                <w:kern w:val="0"/>
                <w:sz w:val="21"/>
                <w:szCs w:val="21"/>
                <w:highlight w:val="none"/>
                <w:lang w:val="en-US" w:eastAsia="zh-CN" w:bidi="ar-SA"/>
              </w:rPr>
              <w:t>，采购单位有权拒绝验收，一切损失由中标方负责，所有产品提供正规发票，经采购单位按招标文件中要求的参数验收，合格后出具政府采购验收报告，作为付款依据。</w:t>
            </w:r>
          </w:p>
        </w:tc>
      </w:tr>
      <w:tr w14:paraId="514D35D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5" w:hRule="atLeast"/>
          <w:jc w:val="center"/>
        </w:trPr>
        <w:tc>
          <w:tcPr>
            <w:tcW w:w="1012" w:type="dxa"/>
            <w:vAlign w:val="center"/>
          </w:tcPr>
          <w:p w14:paraId="63723BBF">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11</w:t>
            </w:r>
          </w:p>
        </w:tc>
        <w:tc>
          <w:tcPr>
            <w:tcW w:w="1536" w:type="dxa"/>
            <w:vAlign w:val="center"/>
          </w:tcPr>
          <w:p w14:paraId="0D4768B8">
            <w:pPr>
              <w:keepNext w:val="0"/>
              <w:keepLines w:val="0"/>
              <w:pageBreakBefore w:val="0"/>
              <w:widowControl/>
              <w:shd w:val="clear" w:color="auto" w:fill="auto"/>
              <w:kinsoku/>
              <w:wordWrap/>
              <w:overflowPunct/>
              <w:topLinePunct w:val="0"/>
              <w:autoSpaceDE/>
              <w:autoSpaceDN/>
              <w:bidi w:val="0"/>
              <w:adjustRightInd/>
              <w:spacing w:line="290" w:lineRule="exact"/>
              <w:jc w:val="center"/>
              <w:textAlignment w:val="auto"/>
              <w:rPr>
                <w:rFonts w:hint="eastAsia"/>
                <w:b/>
                <w:bCs w:val="0"/>
                <w:color w:val="auto"/>
                <w:sz w:val="21"/>
                <w:szCs w:val="21"/>
                <w:highlight w:val="none"/>
                <w:lang w:val="en-US" w:eastAsia="zh-CN"/>
              </w:rPr>
            </w:pPr>
            <w:r>
              <w:rPr>
                <w:rFonts w:hint="eastAsia" w:ascii="宋体" w:hAnsi="宋体" w:eastAsia="宋体" w:cs="宋体"/>
                <w:b/>
                <w:bCs w:val="0"/>
                <w:color w:val="auto"/>
                <w:sz w:val="21"/>
                <w:szCs w:val="21"/>
                <w:highlight w:val="none"/>
              </w:rPr>
              <w:t>付款方式</w:t>
            </w:r>
          </w:p>
        </w:tc>
        <w:tc>
          <w:tcPr>
            <w:tcW w:w="7393" w:type="dxa"/>
            <w:vAlign w:val="center"/>
          </w:tcPr>
          <w:p w14:paraId="1A80E642">
            <w:pPr>
              <w:pStyle w:val="10"/>
              <w:spacing w:line="360" w:lineRule="auto"/>
              <w:jc w:val="left"/>
              <w:rPr>
                <w:rFonts w:hint="default"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合同签订后</w:t>
            </w:r>
            <w:r>
              <w:rPr>
                <w:rFonts w:hint="eastAsia"/>
                <w:b w:val="0"/>
                <w:bCs/>
                <w:color w:val="auto"/>
                <w:highlight w:val="none"/>
                <w:lang w:val="en-US" w:eastAsia="zh-CN"/>
              </w:rPr>
              <w:t>中标供应商</w:t>
            </w:r>
            <w:r>
              <w:rPr>
                <w:rFonts w:hint="eastAsia" w:ascii="宋体" w:hAnsi="宋体" w:eastAsia="宋体" w:cs="宋体"/>
                <w:b w:val="0"/>
                <w:bCs/>
                <w:color w:val="auto"/>
                <w:kern w:val="0"/>
                <w:sz w:val="21"/>
                <w:szCs w:val="21"/>
                <w:highlight w:val="none"/>
                <w:lang w:val="en-US" w:eastAsia="zh-CN" w:bidi="ar-SA"/>
              </w:rPr>
              <w:t>向</w:t>
            </w:r>
            <w:r>
              <w:rPr>
                <w:rFonts w:hint="eastAsia"/>
                <w:b w:val="0"/>
                <w:bCs/>
                <w:color w:val="auto"/>
                <w:highlight w:val="none"/>
                <w:lang w:val="en-US" w:eastAsia="zh-CN"/>
              </w:rPr>
              <w:t>采购人交纳中标价</w:t>
            </w:r>
            <w:r>
              <w:rPr>
                <w:rFonts w:hint="eastAsia" w:ascii="宋体" w:hAnsi="宋体" w:eastAsia="宋体" w:cs="宋体"/>
                <w:b w:val="0"/>
                <w:bCs/>
                <w:color w:val="auto"/>
                <w:kern w:val="0"/>
                <w:sz w:val="21"/>
                <w:szCs w:val="21"/>
                <w:highlight w:val="none"/>
                <w:lang w:val="en-US" w:eastAsia="zh-CN" w:bidi="ar-SA"/>
              </w:rPr>
              <w:t>2%的履约保证金，</w:t>
            </w:r>
            <w:r>
              <w:rPr>
                <w:rFonts w:hint="eastAsia"/>
                <w:b w:val="0"/>
                <w:bCs/>
                <w:color w:val="auto"/>
                <w:highlight w:val="none"/>
                <w:lang w:val="en-US" w:eastAsia="zh-CN"/>
              </w:rPr>
              <w:t>采购人</w:t>
            </w:r>
            <w:r>
              <w:rPr>
                <w:rFonts w:hint="eastAsia" w:ascii="宋体" w:hAnsi="宋体" w:eastAsia="宋体" w:cs="宋体"/>
                <w:b w:val="0"/>
                <w:bCs/>
                <w:color w:val="auto"/>
                <w:kern w:val="0"/>
                <w:sz w:val="21"/>
                <w:szCs w:val="21"/>
                <w:highlight w:val="none"/>
                <w:lang w:val="en-US" w:eastAsia="zh-CN" w:bidi="ar-SA"/>
              </w:rPr>
              <w:t>向</w:t>
            </w:r>
            <w:r>
              <w:rPr>
                <w:rFonts w:hint="eastAsia"/>
                <w:b w:val="0"/>
                <w:bCs/>
                <w:color w:val="auto"/>
                <w:highlight w:val="none"/>
                <w:lang w:val="en-US" w:eastAsia="zh-CN"/>
              </w:rPr>
              <w:t>中标供应商</w:t>
            </w:r>
            <w:r>
              <w:rPr>
                <w:rFonts w:hint="eastAsia" w:ascii="宋体" w:hAnsi="宋体" w:eastAsia="宋体" w:cs="宋体"/>
                <w:b w:val="0"/>
                <w:bCs/>
                <w:color w:val="auto"/>
                <w:kern w:val="0"/>
                <w:sz w:val="21"/>
                <w:szCs w:val="21"/>
                <w:highlight w:val="none"/>
                <w:lang w:val="en-US" w:eastAsia="zh-CN" w:bidi="ar-SA"/>
              </w:rPr>
              <w:t>支付50％预付款。验收合格后，</w:t>
            </w:r>
            <w:r>
              <w:rPr>
                <w:rFonts w:hint="eastAsia"/>
                <w:b w:val="0"/>
                <w:bCs/>
                <w:color w:val="auto"/>
                <w:highlight w:val="none"/>
                <w:lang w:val="en-US" w:eastAsia="zh-CN"/>
              </w:rPr>
              <w:t>采购人</w:t>
            </w:r>
            <w:r>
              <w:rPr>
                <w:rFonts w:hint="eastAsia" w:ascii="宋体" w:hAnsi="宋体" w:eastAsia="宋体" w:cs="宋体"/>
                <w:b w:val="0"/>
                <w:bCs/>
                <w:color w:val="auto"/>
                <w:kern w:val="0"/>
                <w:sz w:val="21"/>
                <w:szCs w:val="21"/>
                <w:highlight w:val="none"/>
                <w:lang w:val="en-US" w:eastAsia="zh-CN" w:bidi="ar-SA"/>
              </w:rPr>
              <w:t>向</w:t>
            </w:r>
            <w:r>
              <w:rPr>
                <w:rFonts w:hint="eastAsia"/>
                <w:b w:val="0"/>
                <w:bCs/>
                <w:color w:val="auto"/>
                <w:highlight w:val="none"/>
                <w:lang w:val="en-US" w:eastAsia="zh-CN"/>
              </w:rPr>
              <w:t>中标供应商</w:t>
            </w:r>
            <w:r>
              <w:rPr>
                <w:rFonts w:hint="eastAsia" w:ascii="宋体" w:hAnsi="宋体" w:eastAsia="宋体" w:cs="宋体"/>
                <w:b w:val="0"/>
                <w:bCs/>
                <w:color w:val="auto"/>
                <w:kern w:val="0"/>
                <w:sz w:val="21"/>
                <w:szCs w:val="21"/>
                <w:highlight w:val="none"/>
                <w:lang w:val="en-US" w:eastAsia="zh-CN" w:bidi="ar-SA"/>
              </w:rPr>
              <w:t>支付合同货款的50%。</w:t>
            </w:r>
          </w:p>
        </w:tc>
      </w:tr>
      <w:tr w14:paraId="3AE8348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1012" w:type="dxa"/>
            <w:vAlign w:val="center"/>
          </w:tcPr>
          <w:p w14:paraId="27107462">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12</w:t>
            </w:r>
          </w:p>
        </w:tc>
        <w:tc>
          <w:tcPr>
            <w:tcW w:w="1536" w:type="dxa"/>
            <w:vAlign w:val="center"/>
          </w:tcPr>
          <w:p w14:paraId="0EB67F82">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招标方式</w:t>
            </w:r>
          </w:p>
        </w:tc>
        <w:tc>
          <w:tcPr>
            <w:tcW w:w="7393" w:type="dxa"/>
            <w:vAlign w:val="center"/>
          </w:tcPr>
          <w:p w14:paraId="68ECE81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公开招标</w:t>
            </w:r>
            <w:r>
              <w:rPr>
                <w:rFonts w:hint="eastAsia" w:hAnsi="宋体" w:cs="宋体-18030"/>
                <w:b w:val="0"/>
                <w:bCs/>
                <w:color w:val="auto"/>
                <w:sz w:val="21"/>
                <w:szCs w:val="21"/>
                <w:highlight w:val="none"/>
                <w:lang w:val="en-US" w:eastAsia="zh-CN"/>
              </w:rPr>
              <w:t>(本项目采用网上电子招投标)</w:t>
            </w:r>
            <w:r>
              <w:rPr>
                <w:rFonts w:hint="eastAsia"/>
                <w:b w:val="0"/>
                <w:bCs/>
                <w:color w:val="auto"/>
                <w:sz w:val="21"/>
                <w:szCs w:val="21"/>
                <w:highlight w:val="none"/>
                <w:lang w:val="en-US" w:eastAsia="zh-CN"/>
              </w:rPr>
              <w:t xml:space="preserve">       </w:t>
            </w:r>
          </w:p>
        </w:tc>
      </w:tr>
      <w:tr w14:paraId="2582D8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6C3E7CD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13</w:t>
            </w:r>
          </w:p>
        </w:tc>
        <w:tc>
          <w:tcPr>
            <w:tcW w:w="1536" w:type="dxa"/>
            <w:vAlign w:val="center"/>
          </w:tcPr>
          <w:p w14:paraId="25B4378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投标人资格条件及其他要求</w:t>
            </w:r>
          </w:p>
        </w:tc>
        <w:tc>
          <w:tcPr>
            <w:tcW w:w="7393" w:type="dxa"/>
            <w:vAlign w:val="center"/>
          </w:tcPr>
          <w:p w14:paraId="238E607B">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1.满足《中华人民共和国政府采购法》第二十二条规定；</w:t>
            </w:r>
          </w:p>
          <w:p w14:paraId="50FE07DF">
            <w:pPr>
              <w:pStyle w:val="25"/>
              <w:spacing w:before="75" w:beforeAutospacing="0" w:after="75" w:afterAutospacing="0"/>
              <w:rPr>
                <w:rFonts w:ascii="仿宋" w:hAnsi="仿宋" w:eastAsia="仿宋" w:cs="仿宋"/>
                <w:color w:val="auto"/>
                <w:sz w:val="22"/>
                <w:szCs w:val="22"/>
                <w:highlight w:val="none"/>
              </w:rPr>
            </w:pPr>
            <w:r>
              <w:rPr>
                <w:rFonts w:hint="eastAsia" w:cs="Times New Roman"/>
                <w:b w:val="0"/>
                <w:bCs/>
                <w:color w:val="auto"/>
                <w:sz w:val="21"/>
                <w:szCs w:val="21"/>
                <w:highlight w:val="none"/>
                <w:lang w:val="en-US" w:eastAsia="zh-CN"/>
              </w:rPr>
              <w:t>2.</w:t>
            </w:r>
            <w:r>
              <w:rPr>
                <w:rFonts w:hint="eastAsia" w:ascii="宋体" w:hAnsi="Times New Roman" w:eastAsia="宋体" w:cs="Times New Roman"/>
                <w:b w:val="0"/>
                <w:bCs/>
                <w:color w:val="auto"/>
                <w:kern w:val="2"/>
                <w:sz w:val="21"/>
                <w:szCs w:val="21"/>
                <w:highlight w:val="none"/>
                <w:u w:val="none" w:color="000000"/>
                <w:lang w:val="en-US" w:eastAsia="zh-CN" w:bidi="ar-SA"/>
              </w:rPr>
              <w:t>落实政府采购政策需满足的资格要求：</w:t>
            </w:r>
            <w:r>
              <w:rPr>
                <w:rFonts w:hint="eastAsia" w:ascii="新宋体" w:hAnsi="新宋体" w:eastAsia="新宋体" w:cs="新宋体"/>
                <w:color w:val="auto"/>
                <w:sz w:val="21"/>
                <w:szCs w:val="21"/>
                <w:highlight w:val="none"/>
                <w:lang w:val="en-US" w:eastAsia="zh-CN" w:bidi="ar"/>
              </w:rPr>
              <w:t>标项1：本项目为专门面向中小企业。</w:t>
            </w:r>
          </w:p>
          <w:p w14:paraId="48262FD8">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3.本项目的特定资格要求：</w:t>
            </w:r>
          </w:p>
          <w:p w14:paraId="76CEA12B">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 xml:space="preserve">【标项1】  </w:t>
            </w:r>
          </w:p>
          <w:p w14:paraId="2E00D998">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1).具备三证合一营业执照副本；</w:t>
            </w:r>
          </w:p>
          <w:p w14:paraId="100B4A78">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2).法定代表人投标需提供法定代表人资格证明书，委托代理人投标需提供法定代表人授权委托书；</w:t>
            </w:r>
          </w:p>
          <w:p w14:paraId="06BB01B5">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3).投标企业须提供投标人（被授权在职人员）近六个月内任意一个月社保证明；</w:t>
            </w:r>
          </w:p>
          <w:p w14:paraId="083AC5BF">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4).参加政府采购活动前三年内，在经营活动中没有重大违法记录；未被“信用中国”（www.creditchina.gov.cn）及中国政府采购网 (www.ccgp.gov.cn）列入失信被执行人名单、重大税收违法失信主体、政府采购严重违法失信行为记录名单。</w:t>
            </w:r>
          </w:p>
          <w:p w14:paraId="6409AD86">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default"/>
                <w:b w:val="0"/>
                <w:bCs/>
                <w:color w:val="auto"/>
                <w:highlight w:val="none"/>
                <w:lang w:val="en-US" w:eastAsia="zh-CN"/>
              </w:rPr>
            </w:pPr>
            <w:r>
              <w:rPr>
                <w:rFonts w:hint="eastAsia" w:cs="Times New Roman"/>
                <w:b w:val="0"/>
                <w:bCs/>
                <w:color w:val="auto"/>
                <w:sz w:val="21"/>
                <w:szCs w:val="21"/>
                <w:highlight w:val="none"/>
                <w:lang w:val="en-US" w:eastAsia="zh-CN"/>
              </w:rPr>
              <w:t>5).</w:t>
            </w:r>
            <w:r>
              <w:rPr>
                <w:rFonts w:hint="eastAsia" w:hAnsi="Times New Roman" w:cs="Times New Roman"/>
                <w:b w:val="0"/>
                <w:bCs/>
                <w:color w:val="auto"/>
                <w:sz w:val="21"/>
                <w:szCs w:val="21"/>
                <w:highlight w:val="non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r>
              <w:rPr>
                <w:rFonts w:hint="eastAsia" w:cs="Times New Roman"/>
                <w:b w:val="0"/>
                <w:bCs/>
                <w:color w:val="auto"/>
                <w:sz w:val="21"/>
                <w:szCs w:val="21"/>
                <w:highlight w:val="none"/>
                <w:lang w:val="en-US" w:eastAsia="zh-CN"/>
              </w:rPr>
              <w:t>。</w:t>
            </w:r>
          </w:p>
        </w:tc>
      </w:tr>
      <w:tr w14:paraId="654A6A5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12" w:type="dxa"/>
            <w:vAlign w:val="center"/>
          </w:tcPr>
          <w:p w14:paraId="4CFE19E4">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14</w:t>
            </w:r>
          </w:p>
        </w:tc>
        <w:tc>
          <w:tcPr>
            <w:tcW w:w="1536" w:type="dxa"/>
            <w:vAlign w:val="center"/>
          </w:tcPr>
          <w:p w14:paraId="25D2C465">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供应商信用</w:t>
            </w:r>
          </w:p>
          <w:p w14:paraId="7795D957">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查询</w:t>
            </w:r>
          </w:p>
        </w:tc>
        <w:tc>
          <w:tcPr>
            <w:tcW w:w="7393" w:type="dxa"/>
            <w:vAlign w:val="center"/>
          </w:tcPr>
          <w:p w14:paraId="518E476F">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1、查询渠道：信用中国（网址：http://www.creditchina.gov.cn）、中国政府采购网(网址：http://www.ccgp.gov.cn）。</w:t>
            </w:r>
          </w:p>
          <w:p w14:paraId="2C8811E3">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2、截止时点：开标后评标前。</w:t>
            </w:r>
          </w:p>
          <w:p w14:paraId="421B9534">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3、信用信息查询记录和证据留存的具体方式：由采购组织机构在规定查询时间内打印信用信息查询记录并归入项目档案。</w:t>
            </w:r>
          </w:p>
          <w:p w14:paraId="4E7FA2AF">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3C29F2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0" w:hRule="atLeast"/>
          <w:jc w:val="center"/>
        </w:trPr>
        <w:tc>
          <w:tcPr>
            <w:tcW w:w="1012" w:type="dxa"/>
            <w:vAlign w:val="center"/>
          </w:tcPr>
          <w:p w14:paraId="0AA4FC1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15</w:t>
            </w:r>
          </w:p>
        </w:tc>
        <w:tc>
          <w:tcPr>
            <w:tcW w:w="1536" w:type="dxa"/>
            <w:vAlign w:val="center"/>
          </w:tcPr>
          <w:p w14:paraId="33D8F867">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b/>
                <w:bCs w:val="0"/>
                <w:color w:val="auto"/>
                <w:sz w:val="21"/>
                <w:szCs w:val="21"/>
                <w:highlight w:val="none"/>
                <w:lang w:val="en-US" w:eastAsia="zh-CN"/>
              </w:rPr>
            </w:pPr>
            <w:r>
              <w:rPr>
                <w:rFonts w:hint="eastAsia"/>
                <w:b/>
                <w:bCs w:val="0"/>
                <w:color w:val="auto"/>
                <w:sz w:val="21"/>
                <w:szCs w:val="21"/>
                <w:highlight w:val="none"/>
                <w:lang w:val="en-US" w:eastAsia="zh-CN"/>
              </w:rPr>
              <w:t>踏勘现场</w:t>
            </w:r>
          </w:p>
        </w:tc>
        <w:tc>
          <w:tcPr>
            <w:tcW w:w="7393" w:type="dxa"/>
            <w:vAlign w:val="center"/>
          </w:tcPr>
          <w:p w14:paraId="7F09348F">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不组织,投标人自行组织踏勘现场。</w:t>
            </w:r>
          </w:p>
        </w:tc>
      </w:tr>
      <w:tr w14:paraId="6F5F50B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0" w:hRule="atLeast"/>
          <w:jc w:val="center"/>
        </w:trPr>
        <w:tc>
          <w:tcPr>
            <w:tcW w:w="1012" w:type="dxa"/>
            <w:vAlign w:val="center"/>
          </w:tcPr>
          <w:p w14:paraId="458254D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16</w:t>
            </w:r>
          </w:p>
        </w:tc>
        <w:tc>
          <w:tcPr>
            <w:tcW w:w="1536" w:type="dxa"/>
            <w:vAlign w:val="center"/>
          </w:tcPr>
          <w:p w14:paraId="563D5765">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投标预备会</w:t>
            </w:r>
          </w:p>
        </w:tc>
        <w:tc>
          <w:tcPr>
            <w:tcW w:w="7393" w:type="dxa"/>
            <w:vAlign w:val="center"/>
          </w:tcPr>
          <w:p w14:paraId="133F2128">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不召开</w:t>
            </w:r>
          </w:p>
        </w:tc>
      </w:tr>
      <w:tr w14:paraId="3BDDE0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12" w:type="dxa"/>
            <w:vAlign w:val="center"/>
          </w:tcPr>
          <w:p w14:paraId="1395B57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17</w:t>
            </w:r>
          </w:p>
        </w:tc>
        <w:tc>
          <w:tcPr>
            <w:tcW w:w="1536" w:type="dxa"/>
            <w:vAlign w:val="center"/>
          </w:tcPr>
          <w:p w14:paraId="0AFE92E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联合体投标</w:t>
            </w:r>
          </w:p>
        </w:tc>
        <w:tc>
          <w:tcPr>
            <w:tcW w:w="7393" w:type="dxa"/>
            <w:vAlign w:val="center"/>
          </w:tcPr>
          <w:p w14:paraId="1A1D92EC">
            <w:pPr>
              <w:keepNext w:val="0"/>
              <w:keepLines w:val="0"/>
              <w:pageBreakBefore w:val="0"/>
              <w:shd w:val="clear" w:color="auto" w:fill="auto"/>
              <w:kinsoku/>
              <w:wordWrap/>
              <w:overflowPunct/>
              <w:topLinePunct w:val="0"/>
              <w:autoSpaceDE/>
              <w:autoSpaceDN/>
              <w:bidi w:val="0"/>
              <w:adjustRightInd/>
              <w:spacing w:line="360" w:lineRule="auto"/>
              <w:textAlignment w:val="auto"/>
              <w:rPr>
                <w:rFonts w:hint="eastAsia" w:ascii="宋体" w:hAnsi="宋体" w:eastAsia="宋体" w:cs="宋体"/>
                <w:b w:val="0"/>
                <w:bCs/>
                <w:color w:val="auto"/>
                <w:sz w:val="21"/>
                <w:szCs w:val="21"/>
                <w:highlight w:val="none"/>
              </w:rPr>
            </w:pPr>
            <w:r>
              <w:rPr>
                <w:rFonts w:hint="eastAsia"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不接受</w:t>
            </w:r>
          </w:p>
          <w:p w14:paraId="4545DD5C">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color w:val="auto"/>
                <w:sz w:val="21"/>
                <w:szCs w:val="21"/>
                <w:highlight w:val="none"/>
                <w:lang w:val="en-US" w:eastAsia="zh-CN"/>
              </w:rPr>
            </w:pPr>
            <w:r>
              <w:rPr>
                <w:rFonts w:hint="eastAsia"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接受，联合体投标的须在投标文件中提供联合体协议书，联合体所有成员不得超过2家，联合体的任何一方均不得再与其他投标单位联合。</w:t>
            </w:r>
          </w:p>
        </w:tc>
      </w:tr>
      <w:tr w14:paraId="797FCEF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12" w:type="dxa"/>
            <w:vAlign w:val="center"/>
          </w:tcPr>
          <w:p w14:paraId="36164C0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18</w:t>
            </w:r>
          </w:p>
        </w:tc>
        <w:tc>
          <w:tcPr>
            <w:tcW w:w="1536" w:type="dxa"/>
            <w:vAlign w:val="center"/>
          </w:tcPr>
          <w:p w14:paraId="4B6942A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rPr>
              <w:t>招标代理费</w:t>
            </w:r>
          </w:p>
        </w:tc>
        <w:tc>
          <w:tcPr>
            <w:tcW w:w="7393" w:type="dxa"/>
            <w:vAlign w:val="center"/>
          </w:tcPr>
          <w:p w14:paraId="0161FC64">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ascii="宋体" w:hAnsi="宋体" w:eastAsia="宋体"/>
                <w:b w:val="0"/>
                <w:bCs/>
                <w:color w:val="auto"/>
                <w:sz w:val="21"/>
                <w:szCs w:val="21"/>
                <w:highlight w:val="none"/>
                <w:lang w:val="en-US" w:eastAsia="zh-CN"/>
              </w:rPr>
            </w:pPr>
            <w:r>
              <w:rPr>
                <w:rFonts w:hint="default" w:ascii="宋体" w:hAnsi="宋体" w:eastAsia="宋体"/>
                <w:b w:val="0"/>
                <w:bCs/>
                <w:color w:val="auto"/>
                <w:sz w:val="21"/>
                <w:szCs w:val="21"/>
                <w:highlight w:val="none"/>
                <w:lang w:val="en-US" w:eastAsia="zh-CN"/>
              </w:rPr>
              <w:t>招标代理费根据《国家发展改革委关于进一步放开建设项目专业服务价格的通知》（发改价格【2015】299 号）文件等规定收费基准价格计取。</w:t>
            </w:r>
          </w:p>
        </w:tc>
      </w:tr>
      <w:tr w14:paraId="094C9E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1012" w:type="dxa"/>
            <w:vAlign w:val="center"/>
          </w:tcPr>
          <w:p w14:paraId="3396C8C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19</w:t>
            </w:r>
          </w:p>
        </w:tc>
        <w:tc>
          <w:tcPr>
            <w:tcW w:w="1536" w:type="dxa"/>
            <w:vAlign w:val="center"/>
          </w:tcPr>
          <w:p w14:paraId="02850B9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b/>
                <w:bCs w:val="0"/>
                <w:color w:val="auto"/>
                <w:sz w:val="21"/>
                <w:szCs w:val="21"/>
                <w:highlight w:val="none"/>
                <w:lang w:val="en-US" w:eastAsia="zh-CN"/>
              </w:rPr>
              <w:t>投标有效期</w:t>
            </w:r>
          </w:p>
        </w:tc>
        <w:tc>
          <w:tcPr>
            <w:tcW w:w="7393" w:type="dxa"/>
            <w:vAlign w:val="center"/>
          </w:tcPr>
          <w:p w14:paraId="18F7C904">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color w:val="auto"/>
                <w:sz w:val="21"/>
                <w:szCs w:val="21"/>
                <w:highlight w:val="none"/>
                <w:lang w:val="en-US" w:eastAsia="zh-CN"/>
              </w:rPr>
            </w:pPr>
            <w:r>
              <w:rPr>
                <w:rFonts w:hint="eastAsia"/>
                <w:b/>
                <w:bCs w:val="0"/>
                <w:color w:val="auto"/>
                <w:sz w:val="21"/>
                <w:szCs w:val="21"/>
                <w:highlight w:val="none"/>
                <w:lang w:val="en-US" w:eastAsia="zh-CN"/>
              </w:rPr>
              <w:t>投标有效期为</w:t>
            </w:r>
            <w:r>
              <w:rPr>
                <w:rFonts w:hint="eastAsia" w:ascii="宋体" w:hAnsi="Times New Roman" w:eastAsia="宋体" w:cs="Times New Roman"/>
                <w:b/>
                <w:bCs w:val="0"/>
                <w:color w:val="auto"/>
                <w:sz w:val="21"/>
                <w:szCs w:val="21"/>
                <w:highlight w:val="none"/>
                <w:u w:val="single" w:color="auto"/>
                <w:lang w:val="en-US" w:eastAsia="zh-CN"/>
              </w:rPr>
              <w:t xml:space="preserve"> 60 日历</w:t>
            </w:r>
            <w:r>
              <w:rPr>
                <w:rFonts w:hint="eastAsia"/>
                <w:b/>
                <w:bCs w:val="0"/>
                <w:color w:val="auto"/>
                <w:sz w:val="21"/>
                <w:szCs w:val="21"/>
                <w:highlight w:val="none"/>
                <w:lang w:val="en-US" w:eastAsia="zh-CN"/>
              </w:rPr>
              <w:t>天（从投标截止之日算起）。在此期限内，凡符合本采购文件要求的投标文件均保持有效。</w:t>
            </w:r>
          </w:p>
        </w:tc>
      </w:tr>
      <w:tr w14:paraId="76D8A85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1012" w:type="dxa"/>
            <w:vAlign w:val="center"/>
          </w:tcPr>
          <w:p w14:paraId="08D94CC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20</w:t>
            </w:r>
          </w:p>
        </w:tc>
        <w:tc>
          <w:tcPr>
            <w:tcW w:w="1536" w:type="dxa"/>
            <w:vAlign w:val="center"/>
          </w:tcPr>
          <w:p w14:paraId="0E7EFC3B">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Cs w:val="21"/>
                <w:highlight w:val="none"/>
              </w:rPr>
            </w:pPr>
            <w:r>
              <w:rPr>
                <w:rFonts w:hint="eastAsia" w:ascii="宋体"/>
                <w:b/>
                <w:bCs w:val="0"/>
                <w:color w:val="auto"/>
                <w:szCs w:val="21"/>
                <w:highlight w:val="none"/>
              </w:rPr>
              <w:t>投标保证金</w:t>
            </w:r>
          </w:p>
        </w:tc>
        <w:tc>
          <w:tcPr>
            <w:tcW w:w="7393" w:type="dxa"/>
            <w:vAlign w:val="center"/>
          </w:tcPr>
          <w:p w14:paraId="67EB03AF">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18030"/>
                <w:b w:val="0"/>
                <w:bCs/>
                <w:color w:val="auto"/>
                <w:szCs w:val="21"/>
                <w:highlight w:val="none"/>
              </w:rPr>
            </w:pPr>
            <w:r>
              <w:rPr>
                <w:rFonts w:hint="eastAsia" w:ascii="宋体" w:hAnsi="宋体" w:cs="宋体-18030"/>
                <w:b w:val="0"/>
                <w:bCs/>
                <w:color w:val="auto"/>
                <w:szCs w:val="21"/>
                <w:highlight w:val="none"/>
              </w:rPr>
              <w:t>投标保证金交纳方式：投标保证金应当以支票、汇票、本票、网上银行支付或者金融机构、担保机构出具的保函等非现金形式缴纳。</w:t>
            </w:r>
          </w:p>
        </w:tc>
      </w:tr>
      <w:tr w14:paraId="31F1A60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1012" w:type="dxa"/>
            <w:vAlign w:val="center"/>
          </w:tcPr>
          <w:p w14:paraId="6E90DABE">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21</w:t>
            </w:r>
          </w:p>
        </w:tc>
        <w:tc>
          <w:tcPr>
            <w:tcW w:w="1536" w:type="dxa"/>
            <w:tcBorders>
              <w:bottom w:val="single" w:color="auto" w:sz="4" w:space="0"/>
            </w:tcBorders>
            <w:vAlign w:val="center"/>
          </w:tcPr>
          <w:p w14:paraId="58D4C5A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hAnsi="宋体"/>
                <w:b/>
                <w:bCs w:val="0"/>
                <w:color w:val="auto"/>
                <w:sz w:val="21"/>
                <w:szCs w:val="21"/>
                <w:highlight w:val="none"/>
                <w:lang w:eastAsia="zh-CN"/>
              </w:rPr>
              <w:t>投标保证金</w:t>
            </w:r>
          </w:p>
        </w:tc>
        <w:tc>
          <w:tcPr>
            <w:tcW w:w="7393" w:type="dxa"/>
            <w:tcBorders>
              <w:bottom w:val="single" w:color="auto" w:sz="4" w:space="0"/>
            </w:tcBorders>
            <w:vAlign w:val="top"/>
          </w:tcPr>
          <w:p w14:paraId="12184746">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投标保证金金额：</w:t>
            </w:r>
          </w:p>
          <w:p w14:paraId="694A2440">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hAnsi="宋体" w:cs="宋体-18030"/>
                <w:b w:val="0"/>
                <w:bCs/>
                <w:color w:val="auto"/>
                <w:sz w:val="21"/>
                <w:szCs w:val="21"/>
                <w:highlight w:val="none"/>
                <w:lang w:val="en-US" w:eastAsia="zh-CN"/>
              </w:rPr>
            </w:pPr>
            <w:r>
              <w:rPr>
                <w:rFonts w:hint="eastAsia" w:hAnsi="宋体" w:cs="宋体-18030"/>
                <w:b w:val="0"/>
                <w:bCs/>
                <w:color w:val="auto"/>
                <w:sz w:val="21"/>
                <w:szCs w:val="21"/>
                <w:highlight w:val="none"/>
                <w:lang w:val="en-US" w:eastAsia="zh-CN"/>
              </w:rPr>
              <w:t>标项1：</w:t>
            </w:r>
            <w:r>
              <w:rPr>
                <w:rFonts w:hint="eastAsia" w:ascii="宋体" w:hAnsi="宋体" w:cs="宋体-18030"/>
                <w:b w:val="0"/>
                <w:bCs/>
                <w:color w:val="auto"/>
                <w:sz w:val="21"/>
                <w:szCs w:val="21"/>
                <w:highlight w:val="none"/>
                <w:lang w:val="en-US" w:eastAsia="zh-CN"/>
              </w:rPr>
              <w:t>50000元（伍万元整）</w:t>
            </w:r>
          </w:p>
          <w:p w14:paraId="054DD7E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投标保证金交纳要求：</w:t>
            </w:r>
          </w:p>
          <w:p w14:paraId="50C36FCB">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方式一：电子保证金</w:t>
            </w:r>
          </w:p>
          <w:p w14:paraId="0F385E6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4D495A59">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方式二：保函</w:t>
            </w:r>
          </w:p>
          <w:p w14:paraId="750BDD7B">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4DCE7EE2">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rPr>
            </w:pPr>
            <w:r>
              <w:rPr>
                <w:rFonts w:hint="eastAsia" w:ascii="宋体" w:hAnsi="宋体" w:cs="宋体-18030"/>
                <w:b w:val="0"/>
                <w:bCs/>
                <w:color w:val="auto"/>
                <w:sz w:val="21"/>
                <w:szCs w:val="21"/>
                <w:highlight w:val="none"/>
                <w:lang w:val="en-US" w:eastAsia="zh-CN"/>
              </w:rPr>
              <w:t>保证金退还须知：开标后，未中标</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成交</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企业在法定工作时间内自动退还保证金，中标</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成交</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企业在签订合同后自动退还保证金。</w:t>
            </w:r>
          </w:p>
        </w:tc>
      </w:tr>
      <w:tr w14:paraId="77AE8B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4" w:hRule="atLeast"/>
          <w:jc w:val="center"/>
        </w:trPr>
        <w:tc>
          <w:tcPr>
            <w:tcW w:w="1012" w:type="dxa"/>
            <w:vAlign w:val="center"/>
          </w:tcPr>
          <w:p w14:paraId="048C5395">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22</w:t>
            </w:r>
          </w:p>
        </w:tc>
        <w:tc>
          <w:tcPr>
            <w:tcW w:w="1536" w:type="dxa"/>
            <w:vAlign w:val="center"/>
          </w:tcPr>
          <w:p w14:paraId="62AA4DBE">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投标文件形式</w:t>
            </w:r>
          </w:p>
        </w:tc>
        <w:tc>
          <w:tcPr>
            <w:tcW w:w="7393" w:type="dxa"/>
            <w:vAlign w:val="center"/>
          </w:tcPr>
          <w:p w14:paraId="082A3C5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电子投标文件包括“电子加密投标文件”和“备份投标文件”，在投标文件编制完成后同时生成。</w:t>
            </w:r>
          </w:p>
          <w:p w14:paraId="0043CFFF">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1、“电子加密投标文件”是指通过“政采云电子交易客户端”完成投标文件编制后生成并加密的数据电文形式的投标文件。</w:t>
            </w:r>
          </w:p>
          <w:p w14:paraId="14CA6CBA">
            <w:pPr>
              <w:pStyle w:val="14"/>
              <w:ind w:left="0" w:leftChars="0" w:firstLine="0" w:firstLineChars="0"/>
              <w:rPr>
                <w:rFonts w:hint="eastAsia"/>
                <w:color w:val="auto"/>
                <w:highlight w:val="none"/>
                <w:lang w:val="en-US" w:eastAsia="zh-CN"/>
              </w:rPr>
            </w:pPr>
            <w:r>
              <w:rPr>
                <w:rFonts w:hint="eastAsia"/>
                <w:color w:val="auto"/>
                <w:sz w:val="21"/>
                <w:szCs w:val="21"/>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49F11C1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6" w:hRule="atLeast"/>
          <w:jc w:val="center"/>
        </w:trPr>
        <w:tc>
          <w:tcPr>
            <w:tcW w:w="1012" w:type="dxa"/>
            <w:vAlign w:val="center"/>
          </w:tcPr>
          <w:p w14:paraId="65FF5FBF">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23</w:t>
            </w:r>
          </w:p>
        </w:tc>
        <w:tc>
          <w:tcPr>
            <w:tcW w:w="1536" w:type="dxa"/>
            <w:vAlign w:val="center"/>
          </w:tcPr>
          <w:p w14:paraId="7647450E">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投标文件份数及要求</w:t>
            </w:r>
          </w:p>
        </w:tc>
        <w:tc>
          <w:tcPr>
            <w:tcW w:w="7393" w:type="dxa"/>
            <w:vAlign w:val="center"/>
          </w:tcPr>
          <w:p w14:paraId="29AB0238">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b w:val="0"/>
                <w:bCs/>
                <w:color w:val="auto"/>
                <w:sz w:val="21"/>
                <w:szCs w:val="21"/>
                <w:highlight w:val="none"/>
                <w:lang w:val="en-US" w:eastAsia="zh-CN"/>
              </w:rPr>
            </w:pPr>
            <w:r>
              <w:rPr>
                <w:rFonts w:hint="default"/>
                <w:b w:val="0"/>
                <w:bCs/>
                <w:color w:val="auto"/>
                <w:sz w:val="21"/>
                <w:szCs w:val="21"/>
                <w:highlight w:val="none"/>
                <w:lang w:val="en-US" w:eastAsia="zh-CN"/>
              </w:rPr>
              <w:t>1、一份电子加密标书（“.jmbs”格式），一份备份标书文件（“.bfbs”格式）。</w:t>
            </w:r>
          </w:p>
          <w:p w14:paraId="18158D72">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b w:val="0"/>
                <w:bCs/>
                <w:color w:val="auto"/>
                <w:sz w:val="21"/>
                <w:szCs w:val="21"/>
                <w:highlight w:val="none"/>
                <w:lang w:val="en-US" w:eastAsia="zh-CN"/>
              </w:rPr>
            </w:pPr>
            <w:r>
              <w:rPr>
                <w:rFonts w:hint="default"/>
                <w:b w:val="0"/>
                <w:bCs/>
                <w:color w:val="auto"/>
                <w:sz w:val="21"/>
                <w:szCs w:val="21"/>
                <w:highlight w:val="none"/>
                <w:lang w:val="en-US" w:eastAsia="zh-CN"/>
              </w:rPr>
              <w:t>2、每份电子投标文件应包括资格证明文件和商务及技术文件两部分。</w:t>
            </w:r>
          </w:p>
        </w:tc>
      </w:tr>
      <w:tr w14:paraId="093668D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090" w:hRule="atLeast"/>
          <w:jc w:val="center"/>
        </w:trPr>
        <w:tc>
          <w:tcPr>
            <w:tcW w:w="1012" w:type="dxa"/>
            <w:vAlign w:val="center"/>
          </w:tcPr>
          <w:p w14:paraId="376D176D">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24</w:t>
            </w:r>
          </w:p>
        </w:tc>
        <w:tc>
          <w:tcPr>
            <w:tcW w:w="1536" w:type="dxa"/>
            <w:vAlign w:val="center"/>
          </w:tcPr>
          <w:p w14:paraId="1451E77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bidi="zh-CN"/>
              </w:rPr>
              <w:t>投标文件的上传和递交</w:t>
            </w:r>
          </w:p>
        </w:tc>
        <w:tc>
          <w:tcPr>
            <w:tcW w:w="7393" w:type="dxa"/>
            <w:vAlign w:val="center"/>
          </w:tcPr>
          <w:p w14:paraId="3C186726">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highlight w:val="none"/>
                <w:lang w:val="en-US" w:eastAsia="zh-CN"/>
              </w:rPr>
            </w:pPr>
            <w:r>
              <w:rPr>
                <w:rFonts w:hint="eastAsia"/>
                <w:color w:val="auto"/>
                <w:highlight w:val="none"/>
                <w:lang w:val="en-US"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04E1669C">
            <w:pPr>
              <w:pStyle w:val="13"/>
              <w:keepNext w:val="0"/>
              <w:keepLines w:val="0"/>
              <w:pageBreakBefore w:val="0"/>
              <w:numPr>
                <w:ilvl w:val="0"/>
                <w:numId w:val="5"/>
              </w:numPr>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highlight w:val="none"/>
                <w:lang w:val="en-US" w:eastAsia="zh-CN"/>
              </w:rPr>
            </w:pPr>
            <w:r>
              <w:rPr>
                <w:rFonts w:hint="eastAsia"/>
                <w:color w:val="auto"/>
                <w:highlight w:val="none"/>
                <w:lang w:val="en-US" w:eastAsia="zh-CN"/>
              </w:rPr>
              <w:t>供应商未能在投标截止时间前成功上传电子加密投标文件的投标无效。</w:t>
            </w:r>
          </w:p>
          <w:p w14:paraId="1715E1D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2.备份投标文件：供应商在投标截止时间前将加密的投标文件上传至政府采购云平台，还可以在投标截止时间前以电子邮件方式提供备份投标文件1份（接收人邮箱：546123694@qq.com，接收人：温女士，电话：19199746726），“备份投标文件”由供应商自愿提供，招标文件文件不作强制性要求；如不提供或未按要求提供的，当电子投标文件无法解密时，将导致无备份投标文件而失去投标资格。</w:t>
            </w:r>
          </w:p>
          <w:p w14:paraId="582F66B1">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4A4C2C1B">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color w:val="auto"/>
                <w:sz w:val="21"/>
                <w:szCs w:val="21"/>
                <w:highlight w:val="none"/>
                <w:lang w:val="en-US" w:eastAsia="zh-CN"/>
              </w:rPr>
            </w:pPr>
            <w:r>
              <w:rPr>
                <w:rFonts w:hint="eastAsia"/>
                <w:color w:val="auto"/>
                <w:sz w:val="21"/>
                <w:szCs w:val="21"/>
                <w:highlight w:val="none"/>
                <w:lang w:val="en-US"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455E13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7" w:hRule="atLeast"/>
          <w:jc w:val="center"/>
        </w:trPr>
        <w:tc>
          <w:tcPr>
            <w:tcW w:w="1012" w:type="dxa"/>
            <w:vAlign w:val="center"/>
          </w:tcPr>
          <w:p w14:paraId="1BF14F89">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25</w:t>
            </w:r>
          </w:p>
        </w:tc>
        <w:tc>
          <w:tcPr>
            <w:tcW w:w="1536" w:type="dxa"/>
            <w:vAlign w:val="center"/>
          </w:tcPr>
          <w:p w14:paraId="75C17C8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lang w:eastAsia="zh-CN"/>
              </w:rPr>
              <w:t>投标截止</w:t>
            </w:r>
            <w:r>
              <w:rPr>
                <w:rFonts w:hint="eastAsia" w:ascii="宋体"/>
                <w:b/>
                <w:bCs w:val="0"/>
                <w:color w:val="auto"/>
                <w:sz w:val="21"/>
                <w:szCs w:val="21"/>
                <w:highlight w:val="none"/>
              </w:rPr>
              <w:t>时间及地点</w:t>
            </w:r>
          </w:p>
        </w:tc>
        <w:tc>
          <w:tcPr>
            <w:tcW w:w="7393" w:type="dxa"/>
            <w:vAlign w:val="center"/>
          </w:tcPr>
          <w:p w14:paraId="1DEF7F35">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ascii="Times New Roman" w:hAnsi="Times New Roman" w:cs="Times New Roman"/>
                <w:b w:val="0"/>
                <w:bCs/>
                <w:color w:val="auto"/>
                <w:sz w:val="21"/>
                <w:szCs w:val="21"/>
                <w:highlight w:val="none"/>
                <w:lang w:eastAsia="zh-CN"/>
              </w:rPr>
              <w:t>投标截止</w:t>
            </w:r>
            <w:r>
              <w:rPr>
                <w:rFonts w:hint="eastAsia" w:ascii="Times New Roman" w:hAnsi="Times New Roman" w:cs="Times New Roman"/>
                <w:b w:val="0"/>
                <w:bCs/>
                <w:color w:val="auto"/>
                <w:sz w:val="21"/>
                <w:szCs w:val="21"/>
                <w:highlight w:val="none"/>
              </w:rPr>
              <w:t>时间：</w:t>
            </w:r>
            <w:r>
              <w:rPr>
                <w:rFonts w:hint="eastAsia" w:ascii="新宋体" w:hAnsi="新宋体" w:eastAsia="新宋体" w:cs="新宋体"/>
                <w:color w:val="auto"/>
                <w:kern w:val="0"/>
                <w:sz w:val="21"/>
                <w:szCs w:val="21"/>
                <w:highlight w:val="none"/>
                <w:u w:val="none"/>
                <w:lang w:val="en-US" w:eastAsia="zh-CN" w:bidi="ar"/>
              </w:rPr>
              <w:t>2026年9月28日</w:t>
            </w:r>
            <w:r>
              <w:rPr>
                <w:rFonts w:hint="eastAsia"/>
                <w:b w:val="0"/>
                <w:bCs/>
                <w:color w:val="auto"/>
                <w:sz w:val="21"/>
                <w:szCs w:val="21"/>
                <w:highlight w:val="none"/>
                <w:lang w:val="en-US" w:eastAsia="zh-CN"/>
              </w:rPr>
              <w:t>16</w:t>
            </w:r>
            <w:r>
              <w:rPr>
                <w:rFonts w:hint="eastAsia"/>
                <w:b w:val="0"/>
                <w:bCs/>
                <w:color w:val="auto"/>
                <w:sz w:val="21"/>
                <w:szCs w:val="21"/>
                <w:highlight w:val="none"/>
              </w:rPr>
              <w:t>时</w:t>
            </w:r>
            <w:r>
              <w:rPr>
                <w:rFonts w:hint="eastAsia"/>
                <w:b w:val="0"/>
                <w:bCs/>
                <w:color w:val="auto"/>
                <w:sz w:val="21"/>
                <w:szCs w:val="21"/>
                <w:highlight w:val="none"/>
                <w:lang w:val="en-US" w:eastAsia="zh-CN"/>
              </w:rPr>
              <w:t>30</w:t>
            </w:r>
            <w:r>
              <w:rPr>
                <w:rFonts w:hint="eastAsia"/>
                <w:b w:val="0"/>
                <w:bCs/>
                <w:color w:val="auto"/>
                <w:sz w:val="21"/>
                <w:szCs w:val="21"/>
                <w:highlight w:val="none"/>
              </w:rPr>
              <w:t>分（北京时间）</w:t>
            </w:r>
          </w:p>
          <w:p w14:paraId="142F0CE2">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b w:val="0"/>
                <w:bCs/>
                <w:color w:val="auto"/>
                <w:sz w:val="21"/>
                <w:szCs w:val="21"/>
                <w:highlight w:val="none"/>
                <w:lang w:eastAsia="zh-CN"/>
              </w:rPr>
              <w:t>投标</w:t>
            </w:r>
            <w:r>
              <w:rPr>
                <w:rFonts w:hint="eastAsia"/>
                <w:b w:val="0"/>
                <w:bCs/>
                <w:color w:val="auto"/>
                <w:sz w:val="21"/>
                <w:szCs w:val="21"/>
                <w:highlight w:val="none"/>
              </w:rPr>
              <w:t>地点：</w:t>
            </w:r>
            <w:r>
              <w:rPr>
                <w:rFonts w:hint="eastAsia"/>
                <w:b/>
                <w:bCs/>
                <w:color w:val="auto"/>
                <w:szCs w:val="21"/>
                <w:highlight w:val="none"/>
                <w:lang w:val="en-US" w:eastAsia="zh-CN"/>
              </w:rPr>
              <w:t>请登录政采云投标客户端投标</w:t>
            </w:r>
          </w:p>
        </w:tc>
      </w:tr>
      <w:tr w14:paraId="600409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57" w:hRule="atLeast"/>
          <w:jc w:val="center"/>
        </w:trPr>
        <w:tc>
          <w:tcPr>
            <w:tcW w:w="1012" w:type="dxa"/>
            <w:vAlign w:val="center"/>
          </w:tcPr>
          <w:p w14:paraId="5FEB03F5">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26</w:t>
            </w:r>
          </w:p>
        </w:tc>
        <w:tc>
          <w:tcPr>
            <w:tcW w:w="1536" w:type="dxa"/>
            <w:vAlign w:val="center"/>
          </w:tcPr>
          <w:p w14:paraId="5C3C470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rPr>
              <w:t>开标时间及地点</w:t>
            </w:r>
          </w:p>
        </w:tc>
        <w:tc>
          <w:tcPr>
            <w:tcW w:w="7393" w:type="dxa"/>
            <w:vAlign w:val="center"/>
          </w:tcPr>
          <w:p w14:paraId="2148B1EC">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b w:val="0"/>
                <w:bCs/>
                <w:color w:val="auto"/>
                <w:sz w:val="21"/>
                <w:szCs w:val="21"/>
                <w:highlight w:val="none"/>
              </w:rPr>
              <w:t>开标时间：</w:t>
            </w:r>
            <w:r>
              <w:rPr>
                <w:rFonts w:hint="eastAsia" w:ascii="新宋体" w:hAnsi="新宋体" w:eastAsia="新宋体" w:cs="新宋体"/>
                <w:color w:val="auto"/>
                <w:kern w:val="0"/>
                <w:sz w:val="21"/>
                <w:szCs w:val="21"/>
                <w:highlight w:val="none"/>
                <w:u w:val="none"/>
                <w:lang w:val="en-US" w:eastAsia="zh-CN" w:bidi="ar"/>
              </w:rPr>
              <w:t>2026年9月28日</w:t>
            </w:r>
            <w:r>
              <w:rPr>
                <w:rFonts w:hint="eastAsia"/>
                <w:b w:val="0"/>
                <w:bCs/>
                <w:color w:val="auto"/>
                <w:sz w:val="21"/>
                <w:szCs w:val="21"/>
                <w:highlight w:val="none"/>
                <w:lang w:val="en-US" w:eastAsia="zh-CN"/>
              </w:rPr>
              <w:t>16</w:t>
            </w:r>
            <w:r>
              <w:rPr>
                <w:rFonts w:hint="eastAsia"/>
                <w:b w:val="0"/>
                <w:bCs/>
                <w:color w:val="auto"/>
                <w:sz w:val="21"/>
                <w:szCs w:val="21"/>
                <w:highlight w:val="none"/>
              </w:rPr>
              <w:t>时</w:t>
            </w:r>
            <w:r>
              <w:rPr>
                <w:rFonts w:hint="eastAsia"/>
                <w:b w:val="0"/>
                <w:bCs/>
                <w:color w:val="auto"/>
                <w:sz w:val="21"/>
                <w:szCs w:val="21"/>
                <w:highlight w:val="none"/>
                <w:lang w:val="en-US" w:eastAsia="zh-CN"/>
              </w:rPr>
              <w:t>30</w:t>
            </w:r>
            <w:r>
              <w:rPr>
                <w:rFonts w:hint="eastAsia"/>
                <w:b w:val="0"/>
                <w:bCs/>
                <w:color w:val="auto"/>
                <w:sz w:val="21"/>
                <w:szCs w:val="21"/>
                <w:highlight w:val="none"/>
              </w:rPr>
              <w:t>分（北京时间）</w:t>
            </w:r>
          </w:p>
          <w:p w14:paraId="631E1747">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b w:val="0"/>
                <w:bCs/>
                <w:color w:val="auto"/>
                <w:sz w:val="21"/>
                <w:szCs w:val="21"/>
                <w:highlight w:val="none"/>
              </w:rPr>
              <w:t>开标地点：</w:t>
            </w:r>
            <w:r>
              <w:rPr>
                <w:rFonts w:hint="eastAsia"/>
                <w:b/>
                <w:bCs/>
                <w:color w:val="auto"/>
                <w:szCs w:val="21"/>
                <w:highlight w:val="none"/>
              </w:rPr>
              <w:t>投标人登录政采云平台https://www.zcygov.cn/，进入“项目采购-开标评标-右边选择对应项目点击“进入项目”进入开标大厅。</w:t>
            </w:r>
          </w:p>
        </w:tc>
      </w:tr>
      <w:tr w14:paraId="477E74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0" w:hRule="atLeast"/>
          <w:jc w:val="center"/>
        </w:trPr>
        <w:tc>
          <w:tcPr>
            <w:tcW w:w="1012" w:type="dxa"/>
            <w:vAlign w:val="center"/>
          </w:tcPr>
          <w:p w14:paraId="65097B48">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27</w:t>
            </w:r>
          </w:p>
        </w:tc>
        <w:tc>
          <w:tcPr>
            <w:tcW w:w="1536" w:type="dxa"/>
            <w:vAlign w:val="center"/>
          </w:tcPr>
          <w:p w14:paraId="14B67D4C">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评标委员会的组建</w:t>
            </w:r>
          </w:p>
        </w:tc>
        <w:tc>
          <w:tcPr>
            <w:tcW w:w="7393" w:type="dxa"/>
            <w:vAlign w:val="top"/>
          </w:tcPr>
          <w:p w14:paraId="5DB33EDB">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评标委员会由招标人依法组建；采购人代表1人，评审专家4人，共5人。</w:t>
            </w:r>
          </w:p>
          <w:p w14:paraId="2E62F612">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评标专家确定方式：专家评委在开标前48小时内从政采云专家库中随机抽取。</w:t>
            </w:r>
          </w:p>
        </w:tc>
      </w:tr>
      <w:tr w14:paraId="731F4F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12" w:type="dxa"/>
            <w:vAlign w:val="center"/>
          </w:tcPr>
          <w:p w14:paraId="3A3CCB6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28</w:t>
            </w:r>
          </w:p>
        </w:tc>
        <w:tc>
          <w:tcPr>
            <w:tcW w:w="1536" w:type="dxa"/>
            <w:vAlign w:val="center"/>
          </w:tcPr>
          <w:p w14:paraId="765987B1">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是否授权评标委员会确定中标候选人</w:t>
            </w:r>
          </w:p>
        </w:tc>
        <w:tc>
          <w:tcPr>
            <w:tcW w:w="7393" w:type="dxa"/>
            <w:vAlign w:val="center"/>
          </w:tcPr>
          <w:p w14:paraId="71F03F4F">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hAnsi="宋体"/>
                <w:b w:val="0"/>
                <w:bCs/>
                <w:color w:val="auto"/>
                <w:sz w:val="21"/>
                <w:szCs w:val="21"/>
                <w:highlight w:val="none"/>
                <w:lang w:val="en-US" w:eastAsia="zh-CN"/>
              </w:rPr>
              <w:t>是。</w:t>
            </w:r>
          </w:p>
        </w:tc>
      </w:tr>
      <w:tr w14:paraId="761DF41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12" w:type="dxa"/>
            <w:vAlign w:val="center"/>
          </w:tcPr>
          <w:p w14:paraId="118F281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宋体"/>
                <w:b/>
                <w:bCs w:val="0"/>
                <w:color w:val="auto"/>
                <w:kern w:val="2"/>
                <w:sz w:val="21"/>
                <w:szCs w:val="21"/>
                <w:highlight w:val="none"/>
                <w:lang w:val="en-US" w:eastAsia="zh-CN" w:bidi="ar-SA"/>
              </w:rPr>
            </w:pPr>
            <w:r>
              <w:rPr>
                <w:rFonts w:hint="eastAsia" w:ascii="宋体" w:hAnsi="宋体" w:cs="宋体"/>
                <w:b/>
                <w:bCs w:val="0"/>
                <w:color w:val="auto"/>
                <w:sz w:val="21"/>
                <w:szCs w:val="21"/>
                <w:highlight w:val="none"/>
                <w:lang w:val="en-US" w:eastAsia="zh-CN"/>
              </w:rPr>
              <w:t>29</w:t>
            </w:r>
          </w:p>
        </w:tc>
        <w:tc>
          <w:tcPr>
            <w:tcW w:w="1536" w:type="dxa"/>
            <w:vAlign w:val="center"/>
          </w:tcPr>
          <w:p w14:paraId="31075E5F">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中标候选人公示媒介</w:t>
            </w:r>
          </w:p>
        </w:tc>
        <w:tc>
          <w:tcPr>
            <w:tcW w:w="7393" w:type="dxa"/>
            <w:vAlign w:val="center"/>
          </w:tcPr>
          <w:p w14:paraId="5710CE8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b w:val="0"/>
                <w:bCs/>
                <w:color w:val="auto"/>
                <w:sz w:val="21"/>
                <w:szCs w:val="21"/>
                <w:highlight w:val="none"/>
                <w:lang w:val="en-US" w:eastAsia="zh-CN"/>
              </w:rPr>
            </w:pPr>
            <w:r>
              <w:rPr>
                <w:rFonts w:hint="eastAsia" w:ascii="Times New Roman" w:hAnsi="Times New Roman" w:eastAsia="宋体" w:cs="Times New Roman"/>
                <w:b w:val="0"/>
                <w:bCs/>
                <w:color w:val="auto"/>
                <w:kern w:val="2"/>
                <w:sz w:val="21"/>
                <w:szCs w:val="21"/>
                <w:highlight w:val="none"/>
                <w:u w:val="none"/>
                <w:lang w:val="en-US" w:eastAsia="zh-CN" w:bidi="ar-SA"/>
              </w:rPr>
              <w:t>新疆政府采购网</w:t>
            </w:r>
            <w:r>
              <w:rPr>
                <w:rFonts w:hint="eastAsia" w:ascii="Times New Roman" w:hAnsi="Times New Roman" w:cs="Times New Roman"/>
                <w:b w:val="0"/>
                <w:bCs/>
                <w:color w:val="auto"/>
                <w:kern w:val="2"/>
                <w:sz w:val="21"/>
                <w:szCs w:val="21"/>
                <w:highlight w:val="none"/>
                <w:u w:val="none"/>
                <w:lang w:val="en-US" w:eastAsia="zh-CN" w:bidi="ar-SA"/>
              </w:rPr>
              <w:t>、</w:t>
            </w:r>
            <w:r>
              <w:rPr>
                <w:rFonts w:hint="eastAsia" w:ascii="Times New Roman" w:hAnsi="Times New Roman" w:eastAsia="宋体" w:cs="Times New Roman"/>
                <w:b w:val="0"/>
                <w:bCs/>
                <w:color w:val="auto"/>
                <w:kern w:val="2"/>
                <w:sz w:val="21"/>
                <w:szCs w:val="21"/>
                <w:highlight w:val="none"/>
                <w:u w:val="none"/>
                <w:lang w:val="en-US" w:eastAsia="zh-CN" w:bidi="ar-SA"/>
              </w:rPr>
              <w:t>克州公共资源交易网，公示期为一个工作日。</w:t>
            </w:r>
          </w:p>
        </w:tc>
      </w:tr>
      <w:tr w14:paraId="01E081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270DFBC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Times New Roman"/>
                <w:b/>
                <w:bCs w:val="0"/>
                <w:color w:val="auto"/>
                <w:kern w:val="2"/>
                <w:sz w:val="21"/>
                <w:szCs w:val="21"/>
                <w:highlight w:val="none"/>
                <w:lang w:val="en-US" w:eastAsia="zh-CN" w:bidi="ar-SA"/>
              </w:rPr>
            </w:pPr>
            <w:r>
              <w:rPr>
                <w:rFonts w:hint="eastAsia" w:ascii="宋体" w:hAnsi="宋体"/>
                <w:b/>
                <w:bCs w:val="0"/>
                <w:color w:val="auto"/>
                <w:sz w:val="21"/>
                <w:szCs w:val="21"/>
                <w:highlight w:val="none"/>
                <w:lang w:val="en-US" w:eastAsia="zh-CN"/>
              </w:rPr>
              <w:t>30</w:t>
            </w:r>
          </w:p>
        </w:tc>
        <w:tc>
          <w:tcPr>
            <w:tcW w:w="1536" w:type="dxa"/>
            <w:vAlign w:val="center"/>
          </w:tcPr>
          <w:p w14:paraId="73473EE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rPr>
              <w:t>履约担保</w:t>
            </w:r>
          </w:p>
        </w:tc>
        <w:tc>
          <w:tcPr>
            <w:tcW w:w="7393" w:type="dxa"/>
            <w:vAlign w:val="top"/>
          </w:tcPr>
          <w:p w14:paraId="0874F266">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ascii="宋体"/>
                <w:b w:val="0"/>
                <w:bCs/>
                <w:color w:val="auto"/>
                <w:szCs w:val="21"/>
                <w:highlight w:val="none"/>
                <w:lang w:val="en-US" w:eastAsia="zh-CN"/>
              </w:rPr>
            </w:pPr>
            <w:r>
              <w:rPr>
                <w:rFonts w:hint="eastAsia"/>
                <w:b w:val="0"/>
                <w:bCs/>
                <w:color w:val="auto"/>
                <w:highlight w:val="none"/>
                <w:lang w:val="en-US" w:eastAsia="zh-CN"/>
              </w:rPr>
              <w:t>中标供应商在合同签订后5个工作日内向采购人交纳中标价2%的履约保证金（本项目履约保证金接收保函形式；若以电汇、银行转账方式提交的，必须转到采购人的指定账户），如果中标供应商在建设期内没有涉及采购人的应付而未付金额或违约行为，采购人在项目验收合格后或提前终止合同后全额无息退还履约保证金。</w:t>
            </w:r>
          </w:p>
          <w:p w14:paraId="64729BAE">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highlight w:val="none"/>
                <w:lang w:val="en-US" w:eastAsia="zh-CN"/>
              </w:rPr>
            </w:pPr>
            <w:r>
              <w:rPr>
                <w:rFonts w:hint="eastAsia"/>
                <w:b w:val="0"/>
                <w:bCs/>
                <w:color w:val="auto"/>
                <w:highlight w:val="none"/>
                <w:lang w:val="en-US" w:eastAsia="zh-CN"/>
              </w:rPr>
              <w:t>2、签订合同后，如中标供应商不按合同约定履约的，履约保证金不予退还，履约保证金不足以赔偿损失的，按实际损失赔偿。</w:t>
            </w:r>
          </w:p>
          <w:p w14:paraId="771AE888">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highlight w:val="none"/>
                <w:lang w:val="en-US" w:eastAsia="zh-CN"/>
              </w:rPr>
            </w:pPr>
            <w:r>
              <w:rPr>
                <w:rFonts w:hint="eastAsia"/>
                <w:b w:val="0"/>
                <w:bCs/>
                <w:color w:val="auto"/>
                <w:highlight w:val="none"/>
                <w:lang w:val="en-US" w:eastAsia="zh-CN"/>
              </w:rPr>
              <w:t>3、如果中标供应商在供货期内没有涉及采购人的应付而未付金额或违约行为，采购人在项目验收合格后或提前终止合同后全额无息退还履约保证金。</w:t>
            </w:r>
          </w:p>
        </w:tc>
      </w:tr>
      <w:tr w14:paraId="2E29BFF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3A1102F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31</w:t>
            </w:r>
          </w:p>
        </w:tc>
        <w:tc>
          <w:tcPr>
            <w:tcW w:w="1536" w:type="dxa"/>
            <w:vAlign w:val="center"/>
          </w:tcPr>
          <w:p w14:paraId="6022808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Theme="minorEastAsia" w:hAnsiTheme="minorEastAsia" w:eastAsiaTheme="minorEastAsia" w:cstheme="minorEastAsia"/>
                <w:color w:val="auto"/>
                <w:sz w:val="21"/>
                <w:szCs w:val="21"/>
                <w:highlight w:val="none"/>
                <w:lang w:val="zh-CN" w:eastAsia="zh-CN" w:bidi="en-US"/>
              </w:rPr>
              <w:t>是否有采购进口产品</w:t>
            </w:r>
          </w:p>
        </w:tc>
        <w:tc>
          <w:tcPr>
            <w:tcW w:w="7393" w:type="dxa"/>
            <w:vAlign w:val="center"/>
          </w:tcPr>
          <w:p w14:paraId="371B8EE5">
            <w:pPr>
              <w:pStyle w:val="97"/>
              <w:ind w:left="38"/>
              <w:jc w:val="left"/>
              <w:rPr>
                <w:rFonts w:hint="eastAsia" w:asciiTheme="minorEastAsia" w:hAnsiTheme="minorEastAsia" w:eastAsiaTheme="minorEastAsia" w:cstheme="minorEastAsia"/>
                <w:color w:val="auto"/>
                <w:sz w:val="21"/>
                <w:szCs w:val="21"/>
                <w:highlight w:val="none"/>
                <w:lang w:val="zh-CN" w:eastAsia="zh-CN" w:bidi="en-US"/>
              </w:rPr>
            </w:pPr>
            <w:r>
              <w:rPr>
                <w:rFonts w:hint="eastAsia" w:asciiTheme="minorEastAsia" w:hAnsiTheme="minorEastAsia" w:eastAsiaTheme="minorEastAsia" w:cstheme="minorEastAsia"/>
                <w:color w:val="auto"/>
                <w:sz w:val="21"/>
                <w:szCs w:val="21"/>
                <w:highlight w:val="none"/>
                <w:lang w:val="zh-CN" w:eastAsia="zh-CN" w:bidi="en-US"/>
              </w:rPr>
              <w:t>☑否</w:t>
            </w:r>
          </w:p>
          <w:p w14:paraId="7117F044">
            <w:pPr>
              <w:pStyle w:val="97"/>
              <w:ind w:left="38" w:leftChars="0"/>
              <w:jc w:val="left"/>
              <w:rPr>
                <w:rFonts w:hint="eastAsia"/>
                <w:b w:val="0"/>
                <w:bCs/>
                <w:color w:val="auto"/>
                <w:highlight w:val="none"/>
                <w:lang w:val="en-US" w:eastAsia="zh-CN"/>
              </w:rPr>
            </w:pPr>
            <w:r>
              <w:rPr>
                <w:rFonts w:hint="eastAsia" w:asciiTheme="minorEastAsia" w:hAnsiTheme="minorEastAsia" w:eastAsiaTheme="minorEastAsia" w:cstheme="minorEastAsia"/>
                <w:color w:val="auto"/>
                <w:sz w:val="21"/>
                <w:szCs w:val="21"/>
                <w:highlight w:val="none"/>
                <w:lang w:val="zh-CN" w:eastAsia="zh-CN" w:bidi="en-US"/>
              </w:rPr>
              <w:t>□是，不限制满足招标文件要求的国内产品参与投标竞争</w:t>
            </w:r>
          </w:p>
        </w:tc>
      </w:tr>
      <w:tr w14:paraId="5BED781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45" w:hRule="atLeast"/>
          <w:jc w:val="center"/>
        </w:trPr>
        <w:tc>
          <w:tcPr>
            <w:tcW w:w="1012" w:type="dxa"/>
            <w:vAlign w:val="center"/>
          </w:tcPr>
          <w:p w14:paraId="5FFC482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Times New Roman"/>
                <w:b/>
                <w:bCs w:val="0"/>
                <w:color w:val="auto"/>
                <w:kern w:val="2"/>
                <w:sz w:val="21"/>
                <w:szCs w:val="21"/>
                <w:highlight w:val="none"/>
                <w:lang w:val="en-US" w:eastAsia="zh-CN" w:bidi="ar-SA"/>
              </w:rPr>
            </w:pPr>
            <w:r>
              <w:rPr>
                <w:rFonts w:hint="eastAsia" w:ascii="宋体" w:hAnsi="宋体"/>
                <w:b/>
                <w:bCs w:val="0"/>
                <w:color w:val="auto"/>
                <w:sz w:val="21"/>
                <w:szCs w:val="21"/>
                <w:highlight w:val="none"/>
                <w:lang w:val="en-US" w:eastAsia="zh-CN"/>
              </w:rPr>
              <w:t>32</w:t>
            </w:r>
          </w:p>
        </w:tc>
        <w:tc>
          <w:tcPr>
            <w:tcW w:w="1536" w:type="dxa"/>
            <w:vAlign w:val="center"/>
          </w:tcPr>
          <w:p w14:paraId="4593683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cs="宋体"/>
                <w:b/>
                <w:bCs w:val="0"/>
                <w:color w:val="auto"/>
                <w:sz w:val="21"/>
                <w:szCs w:val="21"/>
                <w:highlight w:val="none"/>
                <w:lang w:eastAsia="zh-CN"/>
              </w:rPr>
            </w:pPr>
            <w:r>
              <w:rPr>
                <w:rFonts w:hint="eastAsia" w:ascii="宋体" w:hAnsi="宋体" w:cs="宋体"/>
                <w:b/>
                <w:bCs w:val="0"/>
                <w:color w:val="auto"/>
                <w:sz w:val="21"/>
                <w:szCs w:val="21"/>
                <w:highlight w:val="none"/>
                <w:lang w:eastAsia="zh-CN"/>
              </w:rPr>
              <w:t>招标</w:t>
            </w:r>
            <w:r>
              <w:rPr>
                <w:rFonts w:hint="eastAsia" w:ascii="宋体" w:hAnsi="宋体" w:cs="宋体"/>
                <w:b/>
                <w:bCs w:val="0"/>
                <w:color w:val="auto"/>
                <w:sz w:val="21"/>
                <w:szCs w:val="21"/>
                <w:highlight w:val="none"/>
              </w:rPr>
              <w:t>文件领取</w:t>
            </w:r>
          </w:p>
        </w:tc>
        <w:tc>
          <w:tcPr>
            <w:tcW w:w="7393" w:type="dxa"/>
            <w:vAlign w:val="top"/>
          </w:tcPr>
          <w:p w14:paraId="51D61AA6">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时间：2026年9月8日至2026年9月15日，每天上午10:00至14:00，下午16:00至20:00（北京时间，法定节假日除外）</w:t>
            </w:r>
          </w:p>
          <w:p w14:paraId="6EEA48A7">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地点：供应商登陆政采云平台http://www.zcygov.cn/，在线申请获取招标文件（登录政府采购云平台 → 项目采购 → 获取招标文件→申请，审核通过后可下载招标文件，如有操作性问题，可与政采云在线客服进行咨询，咨询电话：</w:t>
            </w:r>
            <w:r>
              <w:rPr>
                <w:rFonts w:hint="eastAsia" w:ascii="宋体" w:hAnsi="宋体" w:cs="宋体"/>
                <w:b w:val="0"/>
                <w:bCs/>
                <w:color w:val="auto"/>
                <w:sz w:val="21"/>
                <w:szCs w:val="21"/>
                <w:highlight w:val="none"/>
                <w:lang w:eastAsia="zh-CN"/>
              </w:rPr>
              <w:t>95763</w:t>
            </w:r>
            <w:r>
              <w:rPr>
                <w:rFonts w:hint="eastAsia" w:ascii="宋体" w:hAnsi="宋体" w:cs="宋体"/>
                <w:b w:val="0"/>
                <w:bCs/>
                <w:color w:val="auto"/>
                <w:sz w:val="21"/>
                <w:szCs w:val="21"/>
                <w:highlight w:val="none"/>
              </w:rPr>
              <w:t>）。</w:t>
            </w:r>
          </w:p>
          <w:p w14:paraId="48BC996D">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方式：（1）线上获取（登录政府采购云平台 → 项目采购 → 获取招标文件→ 申请，审核通过后可下载招标文件）。本次招标不提供纸质版招标文件。</w:t>
            </w:r>
          </w:p>
          <w:p w14:paraId="500FA854">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（2）供应商获取招标文件前应注册成为政府采购云平台正式供应商。</w:t>
            </w:r>
          </w:p>
        </w:tc>
      </w:tr>
      <w:tr w14:paraId="789F42F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76" w:hRule="atLeast"/>
          <w:jc w:val="center"/>
        </w:trPr>
        <w:tc>
          <w:tcPr>
            <w:tcW w:w="1012" w:type="dxa"/>
            <w:vAlign w:val="center"/>
          </w:tcPr>
          <w:p w14:paraId="3C606AC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33</w:t>
            </w:r>
          </w:p>
        </w:tc>
        <w:tc>
          <w:tcPr>
            <w:tcW w:w="1536" w:type="dxa"/>
            <w:vAlign w:val="center"/>
          </w:tcPr>
          <w:p w14:paraId="46AE282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bCs w:val="0"/>
                <w:color w:val="auto"/>
                <w:sz w:val="21"/>
                <w:szCs w:val="21"/>
                <w:highlight w:val="none"/>
                <w:lang w:eastAsia="zh-CN"/>
              </w:rPr>
            </w:pPr>
            <w:r>
              <w:rPr>
                <w:rFonts w:hint="eastAsia" w:ascii="宋体" w:hAnsi="宋体" w:eastAsia="宋体" w:cs="宋体"/>
                <w:b/>
                <w:bCs w:val="0"/>
                <w:color w:val="auto"/>
                <w:szCs w:val="21"/>
                <w:highlight w:val="none"/>
              </w:rPr>
              <w:t>中小微企业政策文件</w:t>
            </w:r>
          </w:p>
        </w:tc>
        <w:tc>
          <w:tcPr>
            <w:tcW w:w="7393" w:type="dxa"/>
            <w:vAlign w:val="top"/>
          </w:tcPr>
          <w:p w14:paraId="773BCFC9">
            <w:pPr>
              <w:keepNext w:val="0"/>
              <w:keepLines w:val="0"/>
              <w:pageBreakBefore w:val="0"/>
              <w:numPr>
                <w:ilvl w:val="0"/>
                <w:numId w:val="6"/>
              </w:numPr>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rPr>
            </w:pPr>
            <w:r>
              <w:rPr>
                <w:rFonts w:hint="eastAsia" w:ascii="宋体" w:hAnsi="宋体" w:eastAsia="宋体" w:cs="宋体"/>
                <w:b w:val="0"/>
                <w:bCs/>
                <w:color w:val="auto"/>
                <w:sz w:val="21"/>
                <w:szCs w:val="21"/>
                <w:highlight w:val="none"/>
                <w:lang w:eastAsia="zh-CN"/>
              </w:rPr>
              <w:t>根据财政部、工业和信息化部关于印发《政府采购促进中小企业发展管理办法》的通知（财库[2020]46号）和</w:t>
            </w:r>
            <w:r>
              <w:rPr>
                <w:rFonts w:hint="eastAsia" w:ascii="宋体" w:hAnsi="宋体" w:eastAsia="宋体" w:cs="宋体"/>
                <w:b w:val="0"/>
                <w:bCs/>
                <w:color w:val="auto"/>
                <w:sz w:val="21"/>
                <w:szCs w:val="21"/>
                <w:highlight w:val="none"/>
                <w:lang w:val="en-US" w:eastAsia="zh-CN"/>
              </w:rPr>
              <w:t>关于进一步加大政府采购支持中小企业力度的通知-</w:t>
            </w:r>
            <w:r>
              <w:rPr>
                <w:rFonts w:hint="eastAsia" w:ascii="宋体" w:hAnsi="宋体" w:eastAsia="宋体" w:cs="宋体"/>
                <w:b w:val="0"/>
                <w:bCs/>
                <w:color w:val="auto"/>
                <w:sz w:val="21"/>
                <w:szCs w:val="21"/>
                <w:highlight w:val="none"/>
                <w:lang w:eastAsia="zh-CN"/>
              </w:rPr>
              <w:t>财库[2022]19号，供应商提供的服务属于《工业和信息化部、国家统计局、国家发展和改革委员会、财政部关于印发中小企业划型标准规定的通知》（工信部联企业[2011]300号）中规定的小型、微型企业标准的，按招标文件格式提供《中小企业声明函（</w:t>
            </w:r>
            <w:r>
              <w:rPr>
                <w:rFonts w:hint="eastAsia" w:ascii="宋体" w:hAnsi="宋体" w:cs="宋体"/>
                <w:b w:val="0"/>
                <w:bCs/>
                <w:color w:val="auto"/>
                <w:sz w:val="21"/>
                <w:szCs w:val="21"/>
                <w:highlight w:val="none"/>
                <w:lang w:val="en-US" w:eastAsia="zh-CN"/>
              </w:rPr>
              <w:t>货物</w:t>
            </w:r>
            <w:r>
              <w:rPr>
                <w:rFonts w:hint="eastAsia" w:ascii="宋体" w:hAnsi="宋体" w:eastAsia="宋体" w:cs="宋体"/>
                <w:b w:val="0"/>
                <w:bCs/>
                <w:color w:val="auto"/>
                <w:sz w:val="21"/>
                <w:szCs w:val="21"/>
                <w:highlight w:val="none"/>
                <w:lang w:eastAsia="zh-CN"/>
              </w:rPr>
              <w:t>）》。</w:t>
            </w:r>
          </w:p>
          <w:p w14:paraId="021071DB">
            <w:pPr>
              <w:keepNext w:val="0"/>
              <w:keepLines w:val="0"/>
              <w:pageBreakBefore w:val="0"/>
              <w:numPr>
                <w:ilvl w:val="0"/>
                <w:numId w:val="6"/>
              </w:numPr>
              <w:shd w:val="clear" w:color="auto" w:fill="auto"/>
              <w:kinsoku/>
              <w:wordWrap/>
              <w:overflowPunct/>
              <w:topLinePunct w:val="0"/>
              <w:autoSpaceDE/>
              <w:autoSpaceDN/>
              <w:bidi w:val="0"/>
              <w:adjustRightInd/>
              <w:snapToGrid w:val="0"/>
              <w:spacing w:line="360" w:lineRule="auto"/>
              <w:ind w:left="0" w:leftChars="0" w:firstLine="0" w:firstLineChars="0"/>
              <w:jc w:val="left"/>
              <w:textAlignment w:val="auto"/>
              <w:outlineLvl w:val="9"/>
              <w:rPr>
                <w:rFonts w:hint="eastAsia" w:ascii="宋体" w:hAnsi="宋体" w:eastAsia="宋体" w:cs="宋体"/>
                <w:b w:val="0"/>
                <w:bCs/>
                <w:color w:val="auto"/>
                <w:kern w:val="2"/>
                <w:sz w:val="21"/>
                <w:szCs w:val="21"/>
                <w:highlight w:val="none"/>
                <w:u w:val="none"/>
                <w:lang w:val="en-US" w:eastAsia="zh-CN" w:bidi="ar-SA"/>
              </w:rPr>
            </w:pPr>
            <w:r>
              <w:rPr>
                <w:rFonts w:hint="eastAsia" w:ascii="宋体" w:hAnsi="宋体" w:eastAsia="宋体" w:cs="宋体"/>
                <w:b w:val="0"/>
                <w:bCs/>
                <w:color w:val="auto"/>
                <w:kern w:val="2"/>
                <w:sz w:val="21"/>
                <w:szCs w:val="21"/>
                <w:highlight w:val="none"/>
                <w:u w:val="none"/>
                <w:lang w:val="en-US" w:eastAsia="zh-CN" w:bidi="ar-SA"/>
              </w:rPr>
              <w:t>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7B9F1164">
            <w:pPr>
              <w:keepNext w:val="0"/>
              <w:keepLines w:val="0"/>
              <w:pageBreakBefore w:val="0"/>
              <w:numPr>
                <w:ilvl w:val="0"/>
                <w:numId w:val="0"/>
              </w:numPr>
              <w:shd w:val="clear" w:color="auto" w:fill="auto"/>
              <w:kinsoku/>
              <w:wordWrap/>
              <w:overflowPunct/>
              <w:topLinePunct w:val="0"/>
              <w:autoSpaceDE/>
              <w:autoSpaceDN/>
              <w:bidi w:val="0"/>
              <w:adjustRightInd/>
              <w:snapToGrid w:val="0"/>
              <w:spacing w:line="360" w:lineRule="auto"/>
              <w:ind w:leftChars="0"/>
              <w:jc w:val="left"/>
              <w:textAlignment w:val="auto"/>
              <w:outlineLvl w:val="9"/>
              <w:rPr>
                <w:rFonts w:hint="eastAsia"/>
                <w:color w:val="auto"/>
                <w:highlight w:val="none"/>
              </w:rPr>
            </w:pPr>
            <w:r>
              <w:rPr>
                <w:rFonts w:hint="eastAsia" w:ascii="宋体" w:hAnsi="宋体" w:eastAsia="宋体" w:cs="宋体"/>
                <w:b w:val="0"/>
                <w:bCs/>
                <w:color w:val="auto"/>
                <w:szCs w:val="21"/>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314004F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12" w:type="dxa"/>
            <w:vMerge w:val="restart"/>
            <w:vAlign w:val="center"/>
          </w:tcPr>
          <w:p w14:paraId="662F7FE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34</w:t>
            </w:r>
          </w:p>
        </w:tc>
        <w:tc>
          <w:tcPr>
            <w:tcW w:w="1536" w:type="dxa"/>
            <w:vMerge w:val="restart"/>
            <w:vAlign w:val="center"/>
          </w:tcPr>
          <w:p w14:paraId="55C1648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bCs w:val="0"/>
                <w:color w:val="auto"/>
                <w:sz w:val="21"/>
                <w:szCs w:val="21"/>
                <w:highlight w:val="none"/>
                <w:lang w:eastAsia="zh-CN"/>
              </w:rPr>
            </w:pPr>
            <w:r>
              <w:rPr>
                <w:rFonts w:hint="eastAsia" w:ascii="宋体" w:hAnsi="宋体" w:eastAsia="宋体" w:cs="宋体"/>
                <w:b/>
                <w:bCs w:val="0"/>
                <w:color w:val="auto"/>
                <w:szCs w:val="21"/>
                <w:highlight w:val="none"/>
                <w:lang w:val="en-US" w:eastAsia="zh-CN"/>
              </w:rPr>
              <w:t>中小微企业政策文件说明</w:t>
            </w:r>
          </w:p>
        </w:tc>
        <w:tc>
          <w:tcPr>
            <w:tcW w:w="7393" w:type="dxa"/>
            <w:vAlign w:val="top"/>
          </w:tcPr>
          <w:p w14:paraId="5EE636B5">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lang w:val="en-US" w:eastAsia="zh-CN"/>
              </w:rPr>
            </w:pPr>
            <w:r>
              <w:rPr>
                <w:rFonts w:hint="eastAsia"/>
                <w:color w:val="auto"/>
                <w:highlight w:val="none"/>
                <w:lang w:val="en-US" w:eastAsia="zh-CN"/>
              </w:rPr>
              <w:t>1.本项目为专门面向中小企业项目，资金为全部预留。</w:t>
            </w:r>
          </w:p>
          <w:p w14:paraId="30B3088D">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rPr>
            </w:pPr>
            <w:r>
              <w:rPr>
                <w:rFonts w:hint="eastAsia"/>
                <w:color w:val="auto"/>
                <w:highlight w:val="none"/>
                <w:lang w:val="en-US" w:eastAsia="zh-CN"/>
              </w:rPr>
              <w:t>2.本采购项目中小企业划分标准所属行业为：</w:t>
            </w:r>
            <w:r>
              <w:rPr>
                <w:rFonts w:hint="eastAsia"/>
                <w:b w:val="0"/>
                <w:bCs w:val="0"/>
                <w:color w:val="auto"/>
                <w:sz w:val="20"/>
                <w:szCs w:val="18"/>
                <w:highlight w:val="none"/>
              </w:rPr>
              <w:t>工业</w:t>
            </w:r>
            <w:r>
              <w:rPr>
                <w:rFonts w:hint="eastAsia"/>
                <w:color w:val="auto"/>
                <w:highlight w:val="none"/>
                <w:lang w:val="en-US" w:eastAsia="zh-CN"/>
              </w:rPr>
              <w:t>。</w:t>
            </w:r>
          </w:p>
        </w:tc>
      </w:tr>
      <w:tr w14:paraId="16F7FF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1012" w:type="dxa"/>
            <w:vMerge w:val="continue"/>
            <w:vAlign w:val="center"/>
          </w:tcPr>
          <w:p w14:paraId="37E703B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bCs w:val="0"/>
                <w:color w:val="auto"/>
                <w:sz w:val="21"/>
                <w:szCs w:val="21"/>
                <w:highlight w:val="none"/>
                <w:lang w:val="en-US" w:eastAsia="zh-CN"/>
              </w:rPr>
            </w:pPr>
          </w:p>
        </w:tc>
        <w:tc>
          <w:tcPr>
            <w:tcW w:w="1536" w:type="dxa"/>
            <w:vMerge w:val="continue"/>
            <w:vAlign w:val="center"/>
          </w:tcPr>
          <w:p w14:paraId="2E8A514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b/>
                <w:bCs w:val="0"/>
                <w:color w:val="auto"/>
                <w:szCs w:val="21"/>
                <w:highlight w:val="none"/>
                <w:lang w:val="en-US" w:eastAsia="zh-CN"/>
              </w:rPr>
            </w:pPr>
          </w:p>
        </w:tc>
        <w:tc>
          <w:tcPr>
            <w:tcW w:w="7393" w:type="dxa"/>
            <w:vAlign w:val="top"/>
          </w:tcPr>
          <w:p w14:paraId="49AAF1DC">
            <w:pPr>
              <w:pStyle w:val="93"/>
              <w:ind w:left="0" w:firstLine="0" w:firstLineChars="0"/>
              <w:rPr>
                <w:color w:val="auto"/>
                <w:sz w:val="20"/>
                <w:szCs w:val="18"/>
                <w:highlight w:val="none"/>
              </w:rPr>
            </w:pPr>
            <w:r>
              <w:rPr>
                <w:rFonts w:hint="eastAsia"/>
                <w:color w:val="auto"/>
                <w:sz w:val="20"/>
                <w:szCs w:val="18"/>
                <w:highlight w:val="none"/>
              </w:rPr>
              <w:t>中小企业划型标准规定</w:t>
            </w:r>
          </w:p>
          <w:p w14:paraId="582F719F">
            <w:pPr>
              <w:pStyle w:val="93"/>
              <w:ind w:left="0" w:firstLine="0" w:firstLineChars="0"/>
              <w:rPr>
                <w:color w:val="auto"/>
                <w:sz w:val="20"/>
                <w:szCs w:val="18"/>
                <w:highlight w:val="none"/>
              </w:rPr>
            </w:pPr>
            <w:r>
              <w:rPr>
                <w:rFonts w:hint="eastAsia"/>
                <w:color w:val="auto"/>
                <w:sz w:val="20"/>
                <w:szCs w:val="18"/>
                <w:highlight w:val="none"/>
              </w:rPr>
              <w:t>一、根据《中华人民共和国中小企业促进法》和《国务院关于进一步促进中小企业发展的若干意见》(国发[2009]36号)，制定本规定。</w:t>
            </w:r>
          </w:p>
          <w:p w14:paraId="57774EC2">
            <w:pPr>
              <w:pStyle w:val="93"/>
              <w:ind w:left="0" w:firstLine="0" w:firstLineChars="0"/>
              <w:rPr>
                <w:color w:val="auto"/>
                <w:sz w:val="20"/>
                <w:szCs w:val="18"/>
                <w:highlight w:val="none"/>
              </w:rPr>
            </w:pPr>
            <w:r>
              <w:rPr>
                <w:rFonts w:hint="eastAsia"/>
                <w:color w:val="auto"/>
                <w:sz w:val="20"/>
                <w:szCs w:val="18"/>
                <w:highlight w:val="none"/>
              </w:rPr>
              <w:t>二、中小企业划分为中型、小型、微型三种类型，具体标准根据企业从业人员、营业收入、资产总额等指标，结合行业特点制定。</w:t>
            </w:r>
          </w:p>
          <w:p w14:paraId="33F18CE1">
            <w:pPr>
              <w:pStyle w:val="93"/>
              <w:ind w:left="0" w:firstLine="0" w:firstLineChars="0"/>
              <w:rPr>
                <w:color w:val="auto"/>
                <w:sz w:val="20"/>
                <w:szCs w:val="18"/>
                <w:highlight w:val="none"/>
              </w:rPr>
            </w:pPr>
            <w:r>
              <w:rPr>
                <w:rFonts w:hint="eastAsia"/>
                <w:color w:val="auto"/>
                <w:sz w:val="20"/>
                <w:szCs w:val="18"/>
                <w:highlight w:val="none"/>
              </w:rPr>
              <w:t>三、本规定适用的行业包括：农、林、牧、渔业，</w:t>
            </w:r>
            <w:r>
              <w:rPr>
                <w:rFonts w:hint="eastAsia"/>
                <w:b w:val="0"/>
                <w:bCs w:val="0"/>
                <w:color w:val="auto"/>
                <w:sz w:val="20"/>
                <w:szCs w:val="18"/>
                <w:highlight w:val="none"/>
              </w:rPr>
              <w:t>工业</w:t>
            </w:r>
            <w:r>
              <w:rPr>
                <w:rFonts w:hint="eastAsia"/>
                <w:color w:val="auto"/>
                <w:sz w:val="20"/>
                <w:szCs w:val="18"/>
                <w:highlight w:val="none"/>
              </w:rPr>
              <w:t>（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F483D9C">
            <w:pPr>
              <w:pStyle w:val="93"/>
              <w:ind w:left="0" w:firstLine="0" w:firstLineChars="0"/>
              <w:rPr>
                <w:color w:val="auto"/>
                <w:sz w:val="20"/>
                <w:szCs w:val="18"/>
                <w:highlight w:val="none"/>
              </w:rPr>
            </w:pPr>
            <w:r>
              <w:rPr>
                <w:rFonts w:hint="eastAsia"/>
                <w:color w:val="auto"/>
                <w:sz w:val="20"/>
                <w:szCs w:val="18"/>
                <w:highlight w:val="none"/>
              </w:rPr>
              <w:t>四、各行业划型标准为：</w:t>
            </w:r>
          </w:p>
          <w:p w14:paraId="75A58038">
            <w:pPr>
              <w:pStyle w:val="93"/>
              <w:ind w:left="0" w:firstLine="0" w:firstLineChars="0"/>
              <w:rPr>
                <w:color w:val="auto"/>
                <w:sz w:val="20"/>
                <w:szCs w:val="18"/>
                <w:highlight w:val="none"/>
              </w:rPr>
            </w:pPr>
            <w:r>
              <w:rPr>
                <w:rFonts w:hint="eastAsia"/>
                <w:color w:val="auto"/>
                <w:sz w:val="20"/>
                <w:szCs w:val="18"/>
                <w:highlight w:val="none"/>
              </w:rPr>
              <w:t>（一）农、林、牧、渔业。营业收入20000万元以下的为中小微型企业。其中，营业收入500万元及以上的为中型企业，营业收入50万元及以上的为小型企业，营业收入50万元以下的为微型企业。</w:t>
            </w:r>
          </w:p>
          <w:p w14:paraId="3E5168AE">
            <w:pPr>
              <w:pStyle w:val="93"/>
              <w:ind w:left="0" w:firstLine="0" w:firstLineChars="0"/>
              <w:rPr>
                <w:color w:val="auto"/>
                <w:sz w:val="20"/>
                <w:szCs w:val="18"/>
                <w:highlight w:val="none"/>
              </w:rPr>
            </w:pPr>
            <w:r>
              <w:rPr>
                <w:rFonts w:hint="eastAsia"/>
                <w:color w:val="auto"/>
                <w:sz w:val="20"/>
                <w:szCs w:val="18"/>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61E544C">
            <w:pPr>
              <w:pStyle w:val="93"/>
              <w:ind w:left="0" w:firstLine="0" w:firstLineChars="0"/>
              <w:rPr>
                <w:color w:val="auto"/>
                <w:sz w:val="20"/>
                <w:szCs w:val="18"/>
                <w:highlight w:val="none"/>
              </w:rPr>
            </w:pPr>
            <w:r>
              <w:rPr>
                <w:rFonts w:hint="eastAsia"/>
                <w:color w:val="auto"/>
                <w:sz w:val="20"/>
                <w:szCs w:val="18"/>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5EFF040">
            <w:pPr>
              <w:pStyle w:val="93"/>
              <w:ind w:left="0" w:firstLine="0" w:firstLineChars="0"/>
              <w:rPr>
                <w:color w:val="auto"/>
                <w:sz w:val="20"/>
                <w:szCs w:val="18"/>
                <w:highlight w:val="none"/>
              </w:rPr>
            </w:pPr>
            <w:r>
              <w:rPr>
                <w:rFonts w:hint="eastAsia"/>
                <w:color w:val="auto"/>
                <w:sz w:val="20"/>
                <w:szCs w:val="18"/>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D659118">
            <w:pPr>
              <w:pStyle w:val="93"/>
              <w:ind w:left="0" w:firstLine="0" w:firstLineChars="0"/>
              <w:rPr>
                <w:color w:val="auto"/>
                <w:sz w:val="20"/>
                <w:szCs w:val="18"/>
                <w:highlight w:val="none"/>
              </w:rPr>
            </w:pPr>
            <w:r>
              <w:rPr>
                <w:rFonts w:hint="eastAsia"/>
                <w:color w:val="auto"/>
                <w:sz w:val="20"/>
                <w:szCs w:val="18"/>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D42F068">
            <w:pPr>
              <w:pStyle w:val="93"/>
              <w:ind w:left="0" w:firstLine="0" w:firstLineChars="0"/>
              <w:rPr>
                <w:color w:val="auto"/>
                <w:sz w:val="20"/>
                <w:szCs w:val="18"/>
                <w:highlight w:val="none"/>
              </w:rPr>
            </w:pPr>
            <w:r>
              <w:rPr>
                <w:rFonts w:hint="eastAsia"/>
                <w:color w:val="auto"/>
                <w:sz w:val="20"/>
                <w:szCs w:val="18"/>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3389F3F">
            <w:pPr>
              <w:pStyle w:val="93"/>
              <w:ind w:left="0" w:firstLine="0" w:firstLineChars="0"/>
              <w:rPr>
                <w:color w:val="auto"/>
                <w:sz w:val="20"/>
                <w:szCs w:val="18"/>
                <w:highlight w:val="none"/>
              </w:rPr>
            </w:pPr>
            <w:r>
              <w:rPr>
                <w:rFonts w:hint="eastAsia"/>
                <w:color w:val="auto"/>
                <w:sz w:val="20"/>
                <w:szCs w:val="18"/>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4B4D808">
            <w:pPr>
              <w:pStyle w:val="93"/>
              <w:ind w:left="0" w:firstLine="0" w:firstLineChars="0"/>
              <w:rPr>
                <w:color w:val="auto"/>
                <w:sz w:val="20"/>
                <w:szCs w:val="18"/>
                <w:highlight w:val="none"/>
              </w:rPr>
            </w:pPr>
            <w:r>
              <w:rPr>
                <w:rFonts w:hint="eastAsia"/>
                <w:color w:val="auto"/>
                <w:sz w:val="20"/>
                <w:szCs w:val="18"/>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787444D">
            <w:pPr>
              <w:pStyle w:val="93"/>
              <w:ind w:left="0" w:firstLine="0" w:firstLineChars="0"/>
              <w:rPr>
                <w:color w:val="auto"/>
                <w:sz w:val="20"/>
                <w:szCs w:val="18"/>
                <w:highlight w:val="none"/>
              </w:rPr>
            </w:pPr>
            <w:r>
              <w:rPr>
                <w:rFonts w:hint="eastAsia"/>
                <w:color w:val="auto"/>
                <w:sz w:val="20"/>
                <w:szCs w:val="18"/>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2D6E902">
            <w:pPr>
              <w:pStyle w:val="93"/>
              <w:ind w:left="0" w:firstLine="0" w:firstLineChars="0"/>
              <w:rPr>
                <w:color w:val="auto"/>
                <w:sz w:val="20"/>
                <w:szCs w:val="18"/>
                <w:highlight w:val="none"/>
              </w:rPr>
            </w:pPr>
            <w:r>
              <w:rPr>
                <w:rFonts w:hint="eastAsia"/>
                <w:color w:val="auto"/>
                <w:sz w:val="20"/>
                <w:szCs w:val="18"/>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2ED4F39">
            <w:pPr>
              <w:pStyle w:val="93"/>
              <w:ind w:left="0" w:firstLine="0" w:firstLineChars="0"/>
              <w:rPr>
                <w:color w:val="auto"/>
                <w:sz w:val="20"/>
                <w:szCs w:val="18"/>
                <w:highlight w:val="none"/>
              </w:rPr>
            </w:pPr>
            <w:r>
              <w:rPr>
                <w:rFonts w:hint="eastAsia"/>
                <w:color w:val="auto"/>
                <w:sz w:val="20"/>
                <w:szCs w:val="18"/>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D0C9E55">
            <w:pPr>
              <w:pStyle w:val="93"/>
              <w:ind w:left="0" w:firstLine="0" w:firstLineChars="0"/>
              <w:rPr>
                <w:color w:val="auto"/>
                <w:sz w:val="20"/>
                <w:szCs w:val="18"/>
                <w:highlight w:val="none"/>
              </w:rPr>
            </w:pPr>
            <w:r>
              <w:rPr>
                <w:rFonts w:hint="eastAsia"/>
                <w:color w:val="auto"/>
                <w:sz w:val="20"/>
                <w:szCs w:val="18"/>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7C5CFC0">
            <w:pPr>
              <w:pStyle w:val="93"/>
              <w:ind w:left="0" w:firstLine="0" w:firstLineChars="0"/>
              <w:rPr>
                <w:color w:val="auto"/>
                <w:sz w:val="20"/>
                <w:szCs w:val="18"/>
                <w:highlight w:val="none"/>
              </w:rPr>
            </w:pPr>
            <w:r>
              <w:rPr>
                <w:rFonts w:hint="eastAsia"/>
                <w:color w:val="auto"/>
                <w:sz w:val="20"/>
                <w:szCs w:val="18"/>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2B3E0CC">
            <w:pPr>
              <w:pStyle w:val="93"/>
              <w:ind w:left="0" w:firstLine="0" w:firstLineChars="0"/>
              <w:rPr>
                <w:color w:val="auto"/>
                <w:sz w:val="20"/>
                <w:szCs w:val="18"/>
                <w:highlight w:val="none"/>
              </w:rPr>
            </w:pPr>
            <w:r>
              <w:rPr>
                <w:rFonts w:hint="eastAsia"/>
                <w:color w:val="auto"/>
                <w:sz w:val="20"/>
                <w:szCs w:val="18"/>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C67C67C">
            <w:pPr>
              <w:pStyle w:val="93"/>
              <w:ind w:left="0" w:firstLine="0" w:firstLineChars="0"/>
              <w:rPr>
                <w:color w:val="auto"/>
                <w:sz w:val="20"/>
                <w:szCs w:val="18"/>
                <w:highlight w:val="none"/>
              </w:rPr>
            </w:pPr>
            <w:r>
              <w:rPr>
                <w:rFonts w:hint="eastAsia"/>
                <w:color w:val="auto"/>
                <w:sz w:val="20"/>
                <w:szCs w:val="18"/>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2977EC5">
            <w:pPr>
              <w:pStyle w:val="93"/>
              <w:ind w:left="0" w:firstLine="0" w:firstLineChars="0"/>
              <w:rPr>
                <w:color w:val="auto"/>
                <w:sz w:val="20"/>
                <w:szCs w:val="18"/>
                <w:highlight w:val="none"/>
              </w:rPr>
            </w:pPr>
            <w:r>
              <w:rPr>
                <w:rFonts w:hint="eastAsia"/>
                <w:color w:val="auto"/>
                <w:sz w:val="20"/>
                <w:szCs w:val="18"/>
                <w:highlight w:val="none"/>
              </w:rPr>
              <w:t>（十六）其他未列明行业。从业人员300人以下的为中小微型企业。其中，从业人员100人及以上的为中型企业；从业人员10人及以上的为小型企业；从业人员10人以下的为微型企业。</w:t>
            </w:r>
          </w:p>
          <w:p w14:paraId="733CDCEF">
            <w:pPr>
              <w:pStyle w:val="93"/>
              <w:ind w:left="0" w:firstLine="0" w:firstLineChars="0"/>
              <w:rPr>
                <w:color w:val="auto"/>
                <w:sz w:val="20"/>
                <w:szCs w:val="18"/>
                <w:highlight w:val="none"/>
              </w:rPr>
            </w:pPr>
            <w:r>
              <w:rPr>
                <w:rFonts w:hint="eastAsia"/>
                <w:color w:val="auto"/>
                <w:sz w:val="20"/>
                <w:szCs w:val="18"/>
                <w:highlight w:val="none"/>
              </w:rPr>
              <w:t>五、企业类型的划分以统计部门的统计数据为依据。</w:t>
            </w:r>
          </w:p>
          <w:p w14:paraId="1EAC7E32">
            <w:pPr>
              <w:pStyle w:val="93"/>
              <w:ind w:left="0" w:firstLine="0" w:firstLineChars="0"/>
              <w:rPr>
                <w:color w:val="auto"/>
                <w:sz w:val="20"/>
                <w:szCs w:val="18"/>
                <w:highlight w:val="none"/>
              </w:rPr>
            </w:pPr>
            <w:r>
              <w:rPr>
                <w:rFonts w:hint="eastAsia"/>
                <w:color w:val="auto"/>
                <w:sz w:val="20"/>
                <w:szCs w:val="18"/>
                <w:highlight w:val="none"/>
              </w:rPr>
              <w:t>六、本规定适用于在中华人民共和国境内依法设立的各类所有制和各种组织形式的企业。个体工商户和本规定以外的行业，参照本规定进行划型。</w:t>
            </w:r>
          </w:p>
          <w:p w14:paraId="63C419E5">
            <w:pPr>
              <w:pStyle w:val="93"/>
              <w:ind w:left="0" w:firstLine="0" w:firstLineChars="0"/>
              <w:rPr>
                <w:color w:val="auto"/>
                <w:sz w:val="20"/>
                <w:szCs w:val="18"/>
                <w:highlight w:val="none"/>
              </w:rPr>
            </w:pPr>
            <w:r>
              <w:rPr>
                <w:rFonts w:hint="eastAsia"/>
                <w:color w:val="auto"/>
                <w:sz w:val="20"/>
                <w:szCs w:val="18"/>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5DE506BB">
            <w:pPr>
              <w:pStyle w:val="93"/>
              <w:ind w:left="0" w:firstLine="0" w:firstLineChars="0"/>
              <w:rPr>
                <w:color w:val="auto"/>
                <w:sz w:val="20"/>
                <w:szCs w:val="18"/>
                <w:highlight w:val="none"/>
              </w:rPr>
            </w:pPr>
            <w:r>
              <w:rPr>
                <w:rFonts w:hint="eastAsia"/>
                <w:color w:val="auto"/>
                <w:sz w:val="20"/>
                <w:szCs w:val="18"/>
                <w:highlight w:val="none"/>
              </w:rPr>
              <w:t>八、本规定由工业和信息化部、国家统计局会同有关部门根据《国民经济行业分类》修订情况和企业发展变化情况适时修订。</w:t>
            </w:r>
          </w:p>
          <w:p w14:paraId="42DF9EFD">
            <w:pPr>
              <w:pStyle w:val="93"/>
              <w:ind w:left="0" w:firstLine="0" w:firstLineChars="0"/>
              <w:rPr>
                <w:color w:val="auto"/>
                <w:sz w:val="20"/>
                <w:szCs w:val="18"/>
                <w:highlight w:val="none"/>
              </w:rPr>
            </w:pPr>
            <w:r>
              <w:rPr>
                <w:rFonts w:hint="eastAsia"/>
                <w:color w:val="auto"/>
                <w:sz w:val="20"/>
                <w:szCs w:val="18"/>
                <w:highlight w:val="none"/>
              </w:rPr>
              <w:t>九、本规定由工业和信息化部、国家统计局会同有关部门负责解释。</w:t>
            </w:r>
          </w:p>
          <w:p w14:paraId="3C1D3E7E">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lang w:val="en-US" w:eastAsia="zh-CN"/>
              </w:rPr>
            </w:pPr>
            <w:r>
              <w:rPr>
                <w:rFonts w:hint="eastAsia"/>
                <w:color w:val="auto"/>
                <w:sz w:val="20"/>
                <w:szCs w:val="18"/>
                <w:highlight w:val="none"/>
              </w:rPr>
              <w:t>十、本规定自发布之日起执行，原国家经贸委、原国家计委、财政部和国家统计局2003年颁布的《中小企业标准暂行规定》同时废止。</w:t>
            </w:r>
          </w:p>
        </w:tc>
      </w:tr>
      <w:tr w14:paraId="17552D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1012" w:type="dxa"/>
            <w:vAlign w:val="center"/>
          </w:tcPr>
          <w:p w14:paraId="0BBBD15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35</w:t>
            </w:r>
          </w:p>
        </w:tc>
        <w:tc>
          <w:tcPr>
            <w:tcW w:w="1536" w:type="dxa"/>
            <w:vAlign w:val="center"/>
          </w:tcPr>
          <w:p w14:paraId="0B2DF25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知识产权</w:t>
            </w:r>
          </w:p>
        </w:tc>
        <w:tc>
          <w:tcPr>
            <w:tcW w:w="7393" w:type="dxa"/>
            <w:vAlign w:val="top"/>
          </w:tcPr>
          <w:p w14:paraId="43AF135D">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default" w:eastAsia="宋体"/>
                <w:color w:val="auto"/>
                <w:sz w:val="20"/>
                <w:szCs w:val="18"/>
                <w:highlight w:val="none"/>
                <w:lang w:val="en-US" w:eastAsia="zh-CN"/>
              </w:rPr>
            </w:pPr>
            <w:r>
              <w:rPr>
                <w:rFonts w:hint="eastAsia"/>
                <w:color w:val="auto"/>
                <w:sz w:val="20"/>
                <w:szCs w:val="18"/>
                <w:highlight w:val="none"/>
                <w:lang w:val="en-US" w:eastAsia="zh-CN"/>
              </w:rPr>
              <w:t>采购人在使用货物或货物的任何部分时不受任何关于侵犯所有权和工业产权，著作权（版权）等知识产权的指控，如果任何第三方提出侵权，中标人承担一切与之有关的责任。</w:t>
            </w:r>
          </w:p>
        </w:tc>
      </w:tr>
      <w:tr w14:paraId="62FFECA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1012" w:type="dxa"/>
            <w:vAlign w:val="center"/>
          </w:tcPr>
          <w:p w14:paraId="183B4D6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36</w:t>
            </w:r>
          </w:p>
        </w:tc>
        <w:tc>
          <w:tcPr>
            <w:tcW w:w="8929" w:type="dxa"/>
            <w:gridSpan w:val="2"/>
            <w:vAlign w:val="center"/>
          </w:tcPr>
          <w:p w14:paraId="24CF47C9">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hAnsi="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低于成本价不正当竞争预防措施</w:t>
            </w:r>
            <w:r>
              <w:rPr>
                <w:rFonts w:hint="eastAsia" w:hAnsi="宋体" w:cs="宋体"/>
                <w:color w:val="auto"/>
                <w:sz w:val="21"/>
                <w:szCs w:val="21"/>
                <w:highlight w:val="none"/>
                <w:u w:val="none" w:color="000000"/>
                <w:lang w:val="en-US" w:eastAsia="zh-CN" w:bidi="en-US"/>
              </w:rPr>
              <w:t>：</w:t>
            </w:r>
          </w:p>
          <w:p w14:paraId="152FD97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依据财库〔2026〕2号《关于推动解决政府采购异常低价问题的通知》</w:t>
            </w:r>
          </w:p>
          <w:p w14:paraId="4EC69D91">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为强化政府采购异常低价审查，在此次政府采购评审中出现下列情形之一的，评审委员会应当启动异常低价投标（响应）审查程序：</w:t>
            </w:r>
          </w:p>
          <w:p w14:paraId="188E6F2E">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1.投标（响应）报价低于全部通过符合性审查供应商投标（响应）报价平均值50%的，即投标（响应）报价&lt;全部通过符合性审查供应商投标（响应）报价平均值×50%；</w:t>
            </w:r>
          </w:p>
          <w:p w14:paraId="73E23551">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2.投标（响应）报价低于通过符合性审查的次低报价供应商投标（响应）报价50%的，即投标（响应）报价&lt;通过符合性审查的次低报价供应商投标（响应）报价×50%；</w:t>
            </w:r>
          </w:p>
          <w:p w14:paraId="697BBE52">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3.投标（响应）报价低于采购项目最高限价45%的，即投标（响应）报价&lt;采购项目最高限价×45%；</w:t>
            </w:r>
          </w:p>
          <w:p w14:paraId="27ACA8A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4.评审委员会基于专业判断，认为供应商报价过低，有可能影响产品质量或者不能诚信履约的其他情形。</w:t>
            </w:r>
          </w:p>
          <w:p w14:paraId="6679E3FE">
            <w:pPr>
              <w:pStyle w:val="14"/>
              <w:ind w:left="0" w:leftChars="0" w:firstLine="424" w:firstLineChars="200"/>
              <w:rPr>
                <w:rFonts w:hint="eastAsia"/>
                <w:color w:val="auto"/>
                <w:highlight w:val="none"/>
                <w:lang w:val="en-US" w:eastAsia="zh-CN"/>
              </w:rPr>
            </w:pPr>
            <w:r>
              <w:rPr>
                <w:rFonts w:hint="eastAsia"/>
                <w:color w:val="auto"/>
                <w:highlight w:val="none"/>
                <w:lang w:val="en-US" w:eastAsia="zh-CN"/>
              </w:rPr>
              <w:t>在评审过程中，评审小组应当要求其在开标现场合理的时间内提供书面说明，并提交相关证明材料，投标人不能证明其报价合理性的，评审小组应当将其作为无效处理。</w:t>
            </w:r>
          </w:p>
          <w:p w14:paraId="18B5F70D">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sz w:val="20"/>
                <w:szCs w:val="18"/>
                <w:highlight w:val="none"/>
                <w:lang w:val="en-US" w:eastAsia="zh-CN"/>
              </w:rPr>
            </w:pPr>
            <w:r>
              <w:rPr>
                <w:rFonts w:hint="eastAsia"/>
                <w:color w:val="auto"/>
                <w:highlight w:val="none"/>
                <w:lang w:val="en-US" w:eastAsia="zh-CN"/>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00E02E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1012" w:type="dxa"/>
            <w:vAlign w:val="center"/>
          </w:tcPr>
          <w:p w14:paraId="1C02740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rPr>
            </w:pPr>
            <w:r>
              <w:rPr>
                <w:rFonts w:hint="eastAsia"/>
                <w:b/>
                <w:bCs w:val="0"/>
                <w:color w:val="auto"/>
                <w:sz w:val="21"/>
                <w:szCs w:val="21"/>
                <w:highlight w:val="none"/>
              </w:rPr>
              <w:t>备注</w:t>
            </w:r>
          </w:p>
        </w:tc>
        <w:tc>
          <w:tcPr>
            <w:tcW w:w="8929" w:type="dxa"/>
            <w:gridSpan w:val="2"/>
            <w:vAlign w:val="center"/>
          </w:tcPr>
          <w:p w14:paraId="03D555F0">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1、着重提醒各投标人注意，并认真查看采购文件中的每一个条款及要求，因误读采购文件而造成的后果，招标人概不负责。</w:t>
            </w:r>
          </w:p>
          <w:p w14:paraId="723ED60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除法律、法规和规章规定外，采购文件中用“拒绝”、“不接受”、“无效”、“不得”等文字规定，对其中任何一条的偏离，在评审时将其视为无效文件。未用上述文字规定或符号标注的条款为非实质性要求条款(即一般条款)。</w:t>
            </w:r>
          </w:p>
          <w:p w14:paraId="1DFBD02E">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20016B3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13372A9E">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5、投标人使用相同IP地址的，一经发现，相关部门将进一步核实，查实后按串通投标处理。</w:t>
            </w:r>
          </w:p>
          <w:p w14:paraId="2427B7C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6、其他：</w:t>
            </w:r>
          </w:p>
          <w:p w14:paraId="376DA58D">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（1）投标企业严格遵守国家的法律法规及招标纪律，无违法违纪及商业贿赂行为。</w:t>
            </w:r>
          </w:p>
          <w:p w14:paraId="4FF147E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（2）不管投标结果如何，供应商均应自行承担投标所需一切费用。</w:t>
            </w:r>
          </w:p>
          <w:p w14:paraId="37E26344">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（3）供应商应以书面形式保证成交后由本公司组织实施，不得以任何理由将项目转包给其他机构。</w:t>
            </w:r>
          </w:p>
          <w:p w14:paraId="086260F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highlight w:val="none"/>
              </w:rPr>
            </w:pPr>
            <w:r>
              <w:rPr>
                <w:rFonts w:hint="eastAsia" w:ascii="宋体" w:hAnsi="宋体" w:eastAsia="宋体" w:cs="宋体"/>
                <w:color w:val="auto"/>
                <w:sz w:val="21"/>
                <w:szCs w:val="21"/>
                <w:highlight w:val="none"/>
                <w:u w:val="none" w:color="000000"/>
                <w:lang w:val="en-US" w:eastAsia="zh-CN" w:bidi="en-US"/>
              </w:rPr>
              <w:t>（4）采购文件中如出现前后不一致情况，均以前附表内容为准。</w:t>
            </w:r>
          </w:p>
        </w:tc>
      </w:tr>
    </w:tbl>
    <w:p w14:paraId="7D6A5791">
      <w:pPr>
        <w:pageBreakBefore/>
        <w:shd w:val="clear" w:color="auto" w:fill="auto"/>
        <w:spacing w:before="312" w:beforeLines="100" w:after="312" w:afterLines="100" w:line="440" w:lineRule="exact"/>
        <w:jc w:val="center"/>
        <w:outlineLvl w:val="1"/>
        <w:rPr>
          <w:rFonts w:hint="eastAsia" w:ascii="宋体"/>
          <w:b/>
          <w:color w:val="auto"/>
          <w:sz w:val="28"/>
          <w:szCs w:val="32"/>
          <w:highlight w:val="none"/>
        </w:rPr>
      </w:pPr>
      <w:bookmarkStart w:id="12" w:name="_Toc31866"/>
      <w:r>
        <w:rPr>
          <w:rFonts w:hint="eastAsia" w:ascii="宋体"/>
          <w:b/>
          <w:color w:val="auto"/>
          <w:sz w:val="28"/>
          <w:szCs w:val="28"/>
          <w:highlight w:val="none"/>
        </w:rPr>
        <w:t>二、投标人须知</w:t>
      </w:r>
      <w:bookmarkEnd w:id="12"/>
    </w:p>
    <w:p w14:paraId="0EE0B2DC">
      <w:pPr>
        <w:shd w:val="clear" w:color="auto" w:fill="auto"/>
        <w:spacing w:line="440" w:lineRule="exact"/>
        <w:jc w:val="center"/>
        <w:outlineLvl w:val="2"/>
        <w:rPr>
          <w:rFonts w:hint="eastAsia" w:ascii="宋体"/>
          <w:color w:val="auto"/>
          <w:sz w:val="28"/>
          <w:szCs w:val="28"/>
          <w:highlight w:val="none"/>
        </w:rPr>
      </w:pPr>
      <w:bookmarkStart w:id="13" w:name="_Toc469495724"/>
      <w:bookmarkStart w:id="14" w:name="_Toc29178"/>
      <w:r>
        <w:rPr>
          <w:rFonts w:hint="eastAsia" w:ascii="宋体"/>
          <w:b/>
          <w:color w:val="auto"/>
          <w:sz w:val="28"/>
          <w:szCs w:val="28"/>
          <w:highlight w:val="none"/>
        </w:rPr>
        <w:t>（一）</w:t>
      </w:r>
      <w:r>
        <w:rPr>
          <w:rFonts w:hint="eastAsia" w:ascii="宋体"/>
          <w:b/>
          <w:color w:val="auto"/>
          <w:sz w:val="28"/>
          <w:szCs w:val="32"/>
          <w:highlight w:val="none"/>
        </w:rPr>
        <w:t>总  则</w:t>
      </w:r>
      <w:bookmarkEnd w:id="13"/>
      <w:bookmarkEnd w:id="14"/>
    </w:p>
    <w:p w14:paraId="3ED081E0">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1.项目概况</w:t>
      </w:r>
    </w:p>
    <w:p w14:paraId="6E6282EF">
      <w:pPr>
        <w:shd w:val="clear" w:color="auto" w:fill="auto"/>
        <w:snapToGrid w:val="0"/>
        <w:spacing w:line="440" w:lineRule="exact"/>
        <w:ind w:firstLine="424" w:firstLineChars="200"/>
        <w:rPr>
          <w:rFonts w:hint="eastAsia" w:ascii="宋体"/>
          <w:color w:val="auto"/>
          <w:szCs w:val="21"/>
          <w:highlight w:val="none"/>
          <w:u w:val="single"/>
        </w:rPr>
      </w:pPr>
      <w:r>
        <w:rPr>
          <w:rFonts w:hint="eastAsia" w:ascii="宋体"/>
          <w:color w:val="auto"/>
          <w:szCs w:val="21"/>
          <w:highlight w:val="none"/>
        </w:rPr>
        <w:t>1.1本次招标采购项目名称：见投标人须知前附表。</w:t>
      </w:r>
    </w:p>
    <w:p w14:paraId="7F8C58EE">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项目编号：见投标人须知前附表。</w:t>
      </w:r>
    </w:p>
    <w:p w14:paraId="054B86F3">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招标人：见投标人须知前附表。</w:t>
      </w:r>
    </w:p>
    <w:p w14:paraId="5CCA5133">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供货期：见投标人须知前附表。</w:t>
      </w:r>
    </w:p>
    <w:p w14:paraId="13898DD2">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供货地点：见投标人须知前附表。</w:t>
      </w:r>
    </w:p>
    <w:p w14:paraId="151572C5">
      <w:pPr>
        <w:shd w:val="clear" w:color="auto" w:fill="auto"/>
        <w:snapToGrid w:val="0"/>
        <w:spacing w:line="440" w:lineRule="exact"/>
        <w:ind w:firstLine="424" w:firstLineChars="200"/>
        <w:rPr>
          <w:rFonts w:hint="eastAsia" w:ascii="宋体"/>
          <w:color w:val="auto"/>
          <w:szCs w:val="21"/>
          <w:highlight w:val="none"/>
          <w:u w:val="single"/>
        </w:rPr>
      </w:pPr>
      <w:r>
        <w:rPr>
          <w:rFonts w:hint="eastAsia" w:ascii="宋体"/>
          <w:color w:val="auto"/>
          <w:szCs w:val="21"/>
          <w:highlight w:val="none"/>
        </w:rPr>
        <w:t>1.2招标人及联系人:见投标人须知前附表。</w:t>
      </w:r>
    </w:p>
    <w:p w14:paraId="0601611F">
      <w:pPr>
        <w:shd w:val="clear" w:color="auto" w:fill="auto"/>
        <w:snapToGrid w:val="0"/>
        <w:spacing w:line="440" w:lineRule="exact"/>
        <w:ind w:firstLine="742" w:firstLineChars="350"/>
        <w:rPr>
          <w:rFonts w:hint="eastAsia" w:ascii="宋体"/>
          <w:color w:val="auto"/>
          <w:szCs w:val="21"/>
          <w:highlight w:val="none"/>
          <w:u w:val="single"/>
        </w:rPr>
      </w:pPr>
      <w:r>
        <w:rPr>
          <w:rFonts w:hint="eastAsia" w:ascii="宋体"/>
          <w:color w:val="auto"/>
          <w:szCs w:val="21"/>
          <w:highlight w:val="none"/>
        </w:rPr>
        <w:t xml:space="preserve"> 代理机构及联系人:见投标人须知前附表。</w:t>
      </w:r>
    </w:p>
    <w:p w14:paraId="43347B57">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1.3资金来源：见投标人须知前附表。</w:t>
      </w:r>
    </w:p>
    <w:p w14:paraId="3A1C0FE9">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1.4本项目预算：见投标人须知前附表。</w:t>
      </w:r>
    </w:p>
    <w:p w14:paraId="4C8EDAB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1.5本项目控制价：见投标人须知前附表。</w:t>
      </w:r>
    </w:p>
    <w:p w14:paraId="67460635">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2.招标范围：</w:t>
      </w:r>
    </w:p>
    <w:p w14:paraId="1EA847D6">
      <w:pPr>
        <w:shd w:val="clear" w:color="auto" w:fill="auto"/>
        <w:snapToGrid w:val="0"/>
        <w:spacing w:line="440" w:lineRule="exact"/>
        <w:ind w:firstLine="424" w:firstLineChars="200"/>
        <w:rPr>
          <w:rFonts w:hint="eastAsia" w:ascii="宋体"/>
          <w:color w:val="auto"/>
          <w:szCs w:val="21"/>
          <w:highlight w:val="none"/>
          <w:u w:val="single"/>
        </w:rPr>
      </w:pPr>
      <w:r>
        <w:rPr>
          <w:rFonts w:hint="eastAsia" w:ascii="宋体"/>
          <w:color w:val="auto"/>
          <w:szCs w:val="21"/>
          <w:highlight w:val="none"/>
        </w:rPr>
        <w:t>2.1 采购内容：见投标人须知前附表。</w:t>
      </w:r>
    </w:p>
    <w:p w14:paraId="71915785">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2.2 技术要求：详见</w:t>
      </w:r>
      <w:r>
        <w:rPr>
          <w:rFonts w:hint="eastAsia" w:ascii="宋体"/>
          <w:color w:val="auto"/>
          <w:szCs w:val="21"/>
          <w:highlight w:val="none"/>
          <w:lang w:eastAsia="zh-CN"/>
        </w:rPr>
        <w:t>采购文件</w:t>
      </w:r>
      <w:r>
        <w:rPr>
          <w:rFonts w:hint="eastAsia" w:ascii="宋体"/>
          <w:color w:val="auto"/>
          <w:szCs w:val="21"/>
          <w:highlight w:val="none"/>
        </w:rPr>
        <w:t>第四章采购内容及技术要求。</w:t>
      </w:r>
    </w:p>
    <w:p w14:paraId="48DC84DE">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3.标包划分：</w:t>
      </w:r>
    </w:p>
    <w:p w14:paraId="2191D8F4">
      <w:pPr>
        <w:shd w:val="clear" w:color="auto" w:fill="auto"/>
        <w:snapToGrid w:val="0"/>
        <w:spacing w:line="440" w:lineRule="exact"/>
        <w:ind w:firstLine="424" w:firstLineChars="200"/>
        <w:jc w:val="left"/>
        <w:rPr>
          <w:rFonts w:hint="eastAsia" w:ascii="宋体"/>
          <w:color w:val="auto"/>
          <w:szCs w:val="21"/>
          <w:highlight w:val="none"/>
        </w:rPr>
      </w:pPr>
      <w:r>
        <w:rPr>
          <w:rFonts w:hint="eastAsia" w:ascii="宋体"/>
          <w:color w:val="auto"/>
          <w:szCs w:val="21"/>
          <w:highlight w:val="none"/>
        </w:rPr>
        <w:t>3.1本项目划分：</w:t>
      </w:r>
      <w:r>
        <w:rPr>
          <w:rFonts w:hint="eastAsia" w:ascii="宋体"/>
          <w:color w:val="auto"/>
          <w:szCs w:val="21"/>
          <w:highlight w:val="none"/>
          <w:u w:val="single"/>
        </w:rPr>
        <w:t xml:space="preserve"> </w:t>
      </w:r>
      <w:r>
        <w:rPr>
          <w:rFonts w:hint="eastAsia" w:ascii="宋体"/>
          <w:color w:val="auto"/>
          <w:szCs w:val="21"/>
          <w:highlight w:val="none"/>
          <w:u w:val="single"/>
          <w:lang w:val="en-US" w:eastAsia="zh-CN"/>
        </w:rPr>
        <w:t>1</w:t>
      </w:r>
      <w:r>
        <w:rPr>
          <w:rFonts w:hint="eastAsia" w:ascii="宋体"/>
          <w:color w:val="auto"/>
          <w:szCs w:val="21"/>
          <w:highlight w:val="none"/>
          <w:u w:val="single"/>
        </w:rPr>
        <w:t xml:space="preserve"> </w:t>
      </w:r>
      <w:r>
        <w:rPr>
          <w:rFonts w:hint="eastAsia" w:ascii="宋体"/>
          <w:color w:val="auto"/>
          <w:szCs w:val="21"/>
          <w:highlight w:val="none"/>
        </w:rPr>
        <w:t xml:space="preserve"> </w:t>
      </w:r>
      <w:r>
        <w:rPr>
          <w:rFonts w:hint="eastAsia"/>
          <w:color w:val="auto"/>
          <w:szCs w:val="21"/>
          <w:highlight w:val="none"/>
        </w:rPr>
        <w:t>个标包</w:t>
      </w:r>
      <w:r>
        <w:rPr>
          <w:rFonts w:hint="eastAsia" w:ascii="宋体" w:hAnsi="宋体" w:cs="宋体"/>
          <w:color w:val="auto"/>
          <w:kern w:val="0"/>
          <w:szCs w:val="21"/>
          <w:highlight w:val="none"/>
        </w:rPr>
        <w:t>。</w:t>
      </w:r>
    </w:p>
    <w:p w14:paraId="042982D8">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4.招标方式：</w:t>
      </w:r>
    </w:p>
    <w:p w14:paraId="46FA272E">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4.1本项目招标方式：见投标人须知前附表。</w:t>
      </w:r>
    </w:p>
    <w:p w14:paraId="0462EBD8">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5.计价方式：</w:t>
      </w:r>
    </w:p>
    <w:p w14:paraId="1FD5B60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5.1本次招标项目合同采用</w:t>
      </w:r>
      <w:r>
        <w:rPr>
          <w:rFonts w:hint="eastAsia" w:ascii="宋体"/>
          <w:color w:val="auto"/>
          <w:szCs w:val="21"/>
          <w:highlight w:val="none"/>
          <w:u w:val="single"/>
        </w:rPr>
        <w:t xml:space="preserve">   </w:t>
      </w:r>
      <w:r>
        <w:rPr>
          <w:rFonts w:hint="eastAsia" w:ascii="宋体"/>
          <w:color w:val="auto"/>
          <w:szCs w:val="21"/>
          <w:highlight w:val="none"/>
          <w:u w:val="single"/>
          <w:lang w:val="en-US" w:eastAsia="zh-CN"/>
        </w:rPr>
        <w:t>固定合价</w:t>
      </w:r>
      <w:r>
        <w:rPr>
          <w:rFonts w:hint="eastAsia" w:ascii="宋体"/>
          <w:color w:val="auto"/>
          <w:szCs w:val="21"/>
          <w:highlight w:val="none"/>
          <w:u w:val="single"/>
        </w:rPr>
        <w:t xml:space="preserve"> 。</w:t>
      </w:r>
    </w:p>
    <w:p w14:paraId="3B7F806F">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6.评标办法：</w:t>
      </w:r>
    </w:p>
    <w:p w14:paraId="29C2240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6.1本次招标评标采用</w:t>
      </w:r>
      <w:r>
        <w:rPr>
          <w:rFonts w:hint="eastAsia" w:ascii="宋体"/>
          <w:color w:val="auto"/>
          <w:szCs w:val="21"/>
          <w:highlight w:val="none"/>
          <w:u w:val="single"/>
        </w:rPr>
        <w:t xml:space="preserve">  </w:t>
      </w:r>
      <w:r>
        <w:rPr>
          <w:rFonts w:hint="eastAsia" w:ascii="宋体"/>
          <w:b/>
          <w:bCs/>
          <w:color w:val="auto"/>
          <w:szCs w:val="21"/>
          <w:highlight w:val="none"/>
          <w:u w:val="single"/>
        </w:rPr>
        <w:t>符合</w:t>
      </w:r>
      <w:r>
        <w:rPr>
          <w:rFonts w:hint="eastAsia" w:ascii="宋体"/>
          <w:b/>
          <w:bCs/>
          <w:color w:val="auto"/>
          <w:szCs w:val="21"/>
          <w:highlight w:val="none"/>
          <w:u w:val="single"/>
          <w:lang w:val="en-US" w:eastAsia="zh-CN"/>
        </w:rPr>
        <w:t>招标</w:t>
      </w:r>
      <w:r>
        <w:rPr>
          <w:rFonts w:hint="eastAsia" w:ascii="宋体"/>
          <w:b/>
          <w:bCs/>
          <w:color w:val="auto"/>
          <w:szCs w:val="21"/>
          <w:highlight w:val="none"/>
          <w:u w:val="single"/>
          <w:lang w:eastAsia="zh-CN"/>
        </w:rPr>
        <w:t>文件</w:t>
      </w:r>
      <w:r>
        <w:rPr>
          <w:rFonts w:hint="eastAsia" w:ascii="宋体"/>
          <w:b/>
          <w:bCs/>
          <w:color w:val="auto"/>
          <w:szCs w:val="21"/>
          <w:highlight w:val="none"/>
          <w:u w:val="single"/>
        </w:rPr>
        <w:t>的综合评分法</w:t>
      </w:r>
      <w:r>
        <w:rPr>
          <w:rFonts w:hint="eastAsia" w:ascii="宋体"/>
          <w:color w:val="auto"/>
          <w:szCs w:val="21"/>
          <w:highlight w:val="none"/>
          <w:u w:val="single"/>
        </w:rPr>
        <w:t xml:space="preserve"> </w:t>
      </w:r>
      <w:r>
        <w:rPr>
          <w:rFonts w:hint="eastAsia" w:ascii="宋体"/>
          <w:color w:val="auto"/>
          <w:szCs w:val="21"/>
          <w:highlight w:val="none"/>
        </w:rPr>
        <w:t>（详见第三章评标办法）</w:t>
      </w:r>
    </w:p>
    <w:p w14:paraId="13571AD8">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7.投标人资格：</w:t>
      </w:r>
    </w:p>
    <w:p w14:paraId="4146FFCC">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7.1参与采购活动的投标人必须是满足《中华人民共和国政府采购法》规定条件的法人、其他组织或者自然人：</w:t>
      </w:r>
    </w:p>
    <w:p w14:paraId="68544FF5">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7.2由于政府采购项目的差异性，投标人在参与具体政府采购项目活动时，应仔细阅读该项目的资质要求,具体见投标人须知前附表。</w:t>
      </w:r>
    </w:p>
    <w:p w14:paraId="192742E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1CE24068">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7.4投标人必须确保自己在信息库中注册的信息真实、准确，并保证投标文件中的有关信息与库中的信息相一致。否则，投标人因此蒙受损失，招标人概不负责。</w:t>
      </w:r>
    </w:p>
    <w:p w14:paraId="6470DD8B">
      <w:pPr>
        <w:shd w:val="clear" w:color="auto" w:fill="auto"/>
        <w:spacing w:line="440" w:lineRule="exact"/>
        <w:rPr>
          <w:rFonts w:hint="eastAsia"/>
          <w:b/>
          <w:color w:val="auto"/>
          <w:szCs w:val="21"/>
          <w:highlight w:val="none"/>
        </w:rPr>
      </w:pPr>
      <w:r>
        <w:rPr>
          <w:rFonts w:hint="eastAsia"/>
          <w:b/>
          <w:color w:val="auto"/>
          <w:szCs w:val="21"/>
          <w:highlight w:val="none"/>
        </w:rPr>
        <w:t>8. 投标费用</w:t>
      </w:r>
    </w:p>
    <w:p w14:paraId="6594808B">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8.1投标人准备和参加投标活动发生的费用自理。</w:t>
      </w:r>
    </w:p>
    <w:p w14:paraId="359C860C">
      <w:pPr>
        <w:shd w:val="clear" w:color="auto" w:fill="auto"/>
        <w:spacing w:line="440" w:lineRule="exact"/>
        <w:rPr>
          <w:rFonts w:hint="eastAsia"/>
          <w:b/>
          <w:color w:val="auto"/>
          <w:szCs w:val="21"/>
          <w:highlight w:val="none"/>
        </w:rPr>
      </w:pPr>
      <w:r>
        <w:rPr>
          <w:rFonts w:hint="eastAsia"/>
          <w:b/>
          <w:color w:val="auto"/>
          <w:szCs w:val="21"/>
          <w:highlight w:val="none"/>
        </w:rPr>
        <w:t>9.</w:t>
      </w:r>
      <w:bookmarkStart w:id="15" w:name="_Toc152042315"/>
      <w:bookmarkStart w:id="16" w:name="_Toc247527563"/>
      <w:bookmarkStart w:id="17" w:name="_Toc152045539"/>
      <w:bookmarkStart w:id="18" w:name="_Toc247513962"/>
      <w:bookmarkStart w:id="19" w:name="_Toc247592876"/>
      <w:bookmarkStart w:id="20" w:name="_Toc296602429"/>
      <w:bookmarkStart w:id="21" w:name="_Toc144974507"/>
      <w:r>
        <w:rPr>
          <w:rFonts w:hint="eastAsia"/>
          <w:b/>
          <w:color w:val="auto"/>
          <w:szCs w:val="21"/>
          <w:highlight w:val="none"/>
        </w:rPr>
        <w:t xml:space="preserve"> 踏勘现场</w:t>
      </w:r>
      <w:bookmarkEnd w:id="15"/>
      <w:bookmarkEnd w:id="16"/>
      <w:bookmarkEnd w:id="17"/>
      <w:bookmarkEnd w:id="18"/>
      <w:bookmarkEnd w:id="19"/>
      <w:bookmarkEnd w:id="20"/>
      <w:bookmarkEnd w:id="21"/>
    </w:p>
    <w:p w14:paraId="13EE556C">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9.1 投标人须知前附表规定组织踏勘现场的，招标人按投标人须知前附表规定的时间、地点组织投标人踏勘项目现场。</w:t>
      </w:r>
      <w:r>
        <w:rPr>
          <w:rFonts w:hint="eastAsia" w:ascii="宋体"/>
          <w:color w:val="auto"/>
          <w:szCs w:val="21"/>
          <w:highlight w:val="none"/>
          <w:lang w:eastAsia="zh-CN"/>
        </w:rPr>
        <w:t>如需踏勘现场，</w:t>
      </w:r>
      <w:r>
        <w:rPr>
          <w:rFonts w:hint="eastAsia"/>
          <w:color w:val="auto"/>
          <w:highlight w:val="none"/>
          <w:lang w:eastAsia="zh-CN"/>
        </w:rPr>
        <w:t>投标人自行踏勘现场的，可咨询本项目采购人或采购代理机构联系人。</w:t>
      </w:r>
      <w:r>
        <w:rPr>
          <w:rFonts w:hint="eastAsia"/>
          <w:b/>
          <w:bCs/>
          <w:color w:val="auto"/>
          <w:highlight w:val="none"/>
          <w:lang w:eastAsia="zh-CN"/>
        </w:rPr>
        <w:t>投标人自行踏勘现场的，可咨询本项目采购人或采购代理机构联系人</w:t>
      </w:r>
      <w:r>
        <w:rPr>
          <w:rFonts w:hint="eastAsia"/>
          <w:b w:val="0"/>
          <w:bCs w:val="0"/>
          <w:color w:val="auto"/>
          <w:highlight w:val="none"/>
          <w:lang w:eastAsia="zh-CN"/>
        </w:rPr>
        <w:t>。</w:t>
      </w:r>
      <w:r>
        <w:rPr>
          <w:rFonts w:hint="eastAsia" w:ascii="宋体"/>
          <w:b w:val="0"/>
          <w:bCs w:val="0"/>
          <w:color w:val="auto"/>
          <w:szCs w:val="21"/>
          <w:highlight w:val="none"/>
        </w:rPr>
        <w:t xml:space="preserve"> </w:t>
      </w:r>
    </w:p>
    <w:p w14:paraId="498BDC98">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9.2 投标人踏勘现场发生的费用自理。</w:t>
      </w:r>
    </w:p>
    <w:p w14:paraId="6F655420">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9.3 除招标人的原因外，投标人自行负责在踏勘现场中所发生的人员伤亡和财产损失。</w:t>
      </w:r>
    </w:p>
    <w:p w14:paraId="3D2431DE">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9.4 招标人在踏勘现场中介绍的场地和相关的周边环境情况，供投标人在编制投标文件时参考，招标人不对投标人据此作出的判断和决策负责。</w:t>
      </w:r>
      <w:bookmarkStart w:id="22" w:name="_Toc152045540"/>
      <w:bookmarkStart w:id="23" w:name="_Toc144974508"/>
      <w:bookmarkStart w:id="24" w:name="_Toc247513963"/>
      <w:bookmarkStart w:id="25" w:name="_Toc247527564"/>
      <w:bookmarkStart w:id="26" w:name="_Toc247592877"/>
      <w:bookmarkStart w:id="27" w:name="_Toc296602430"/>
      <w:bookmarkStart w:id="28" w:name="_Toc152042316"/>
    </w:p>
    <w:p w14:paraId="2026A394">
      <w:pPr>
        <w:shd w:val="clear" w:color="auto" w:fill="auto"/>
        <w:spacing w:line="440" w:lineRule="exact"/>
        <w:rPr>
          <w:rFonts w:hint="eastAsia"/>
          <w:b/>
          <w:color w:val="auto"/>
          <w:szCs w:val="21"/>
          <w:highlight w:val="none"/>
        </w:rPr>
      </w:pPr>
      <w:r>
        <w:rPr>
          <w:rFonts w:hint="eastAsia"/>
          <w:b/>
          <w:color w:val="auto"/>
          <w:szCs w:val="21"/>
          <w:highlight w:val="none"/>
        </w:rPr>
        <w:t>10. 投标预备会</w:t>
      </w:r>
      <w:bookmarkEnd w:id="22"/>
      <w:bookmarkEnd w:id="23"/>
      <w:bookmarkEnd w:id="24"/>
      <w:bookmarkEnd w:id="25"/>
      <w:bookmarkEnd w:id="26"/>
      <w:bookmarkEnd w:id="27"/>
      <w:bookmarkEnd w:id="28"/>
    </w:p>
    <w:p w14:paraId="1892B362">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10.1投标人须知前附表规定召开投标预备会的，招标人按投标人须知前附表规定的时间和地点召开投标预备会，澄清投标人提出的问题。</w:t>
      </w:r>
    </w:p>
    <w:p w14:paraId="02AA6812">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10.2投标人应在投标人须知前附表规定的时间前，将提出的问题送达招标人，以便招标人澄清。</w:t>
      </w:r>
    </w:p>
    <w:p w14:paraId="4B7CEFB9">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10.3招标人在投标人须知前附表规定的时间，将对投标人所提的问题进行澄清。该澄清内容为</w:t>
      </w:r>
      <w:r>
        <w:rPr>
          <w:rFonts w:hint="eastAsia" w:ascii="宋体"/>
          <w:color w:val="auto"/>
          <w:szCs w:val="21"/>
          <w:highlight w:val="none"/>
          <w:lang w:eastAsia="zh-CN"/>
        </w:rPr>
        <w:t>采购文件</w:t>
      </w:r>
      <w:r>
        <w:rPr>
          <w:rFonts w:hint="eastAsia" w:ascii="宋体"/>
          <w:color w:val="auto"/>
          <w:szCs w:val="21"/>
          <w:highlight w:val="none"/>
        </w:rPr>
        <w:t>的组成部分。</w:t>
      </w:r>
    </w:p>
    <w:p w14:paraId="194C1CE0">
      <w:pPr>
        <w:shd w:val="clear" w:color="auto" w:fill="auto"/>
        <w:spacing w:line="440" w:lineRule="exact"/>
        <w:rPr>
          <w:rFonts w:hint="eastAsia"/>
          <w:b/>
          <w:color w:val="auto"/>
          <w:szCs w:val="21"/>
          <w:highlight w:val="none"/>
        </w:rPr>
      </w:pPr>
      <w:r>
        <w:rPr>
          <w:rFonts w:hint="eastAsia"/>
          <w:b/>
          <w:color w:val="auto"/>
          <w:szCs w:val="21"/>
          <w:highlight w:val="none"/>
        </w:rPr>
        <w:t>11. 联合投标</w:t>
      </w:r>
    </w:p>
    <w:p w14:paraId="1F7995F6">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32F8BF21">
      <w:pPr>
        <w:shd w:val="clear" w:color="auto" w:fill="auto"/>
        <w:spacing w:line="400" w:lineRule="exact"/>
        <w:ind w:firstLine="412" w:firstLineChars="195"/>
        <w:rPr>
          <w:rFonts w:hint="eastAsia" w:ascii="宋体"/>
          <w:color w:val="auto"/>
          <w:szCs w:val="21"/>
          <w:highlight w:val="none"/>
        </w:rPr>
      </w:pPr>
      <w:r>
        <w:rPr>
          <w:rFonts w:hint="eastAsia" w:ascii="宋体"/>
          <w:color w:val="auto"/>
          <w:szCs w:val="21"/>
          <w:highlight w:val="none"/>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0BA4781A">
      <w:pPr>
        <w:shd w:val="clear" w:color="auto" w:fill="auto"/>
        <w:spacing w:line="400" w:lineRule="exact"/>
        <w:ind w:firstLine="414" w:firstLineChars="196"/>
        <w:rPr>
          <w:rFonts w:ascii="宋体"/>
          <w:color w:val="auto"/>
          <w:szCs w:val="21"/>
          <w:highlight w:val="none"/>
        </w:rPr>
      </w:pPr>
      <w:r>
        <w:rPr>
          <w:rFonts w:hint="eastAsia" w:ascii="宋体"/>
          <w:color w:val="auto"/>
          <w:szCs w:val="21"/>
          <w:highlight w:val="none"/>
        </w:rPr>
        <w:t>11</w:t>
      </w:r>
      <w:r>
        <w:rPr>
          <w:rFonts w:ascii="宋体"/>
          <w:color w:val="auto"/>
          <w:szCs w:val="21"/>
          <w:highlight w:val="none"/>
        </w:rPr>
        <w:t>.</w:t>
      </w:r>
      <w:r>
        <w:rPr>
          <w:rFonts w:hint="eastAsia" w:ascii="宋体"/>
          <w:color w:val="auto"/>
          <w:szCs w:val="21"/>
          <w:highlight w:val="none"/>
        </w:rPr>
        <w:t>3 联合体应当确定其中一个单位为投标的全权代表，负责参加投标的一切事务，并承担投标及履约中应承担的全部责任与义务。</w:t>
      </w:r>
    </w:p>
    <w:p w14:paraId="0763B879">
      <w:pPr>
        <w:pStyle w:val="11"/>
        <w:shd w:val="clear" w:color="auto" w:fill="auto"/>
        <w:spacing w:after="0" w:line="400" w:lineRule="exact"/>
        <w:ind w:left="0" w:leftChars="0" w:firstLine="428" w:firstLineChars="202"/>
        <w:rPr>
          <w:rFonts w:hint="eastAsia" w:ascii="宋体"/>
          <w:color w:val="auto"/>
          <w:szCs w:val="21"/>
          <w:highlight w:val="none"/>
        </w:rPr>
      </w:pPr>
      <w:r>
        <w:rPr>
          <w:rFonts w:hint="eastAsia" w:ascii="宋体"/>
          <w:color w:val="auto"/>
          <w:szCs w:val="21"/>
          <w:highlight w:val="none"/>
        </w:rPr>
        <w:t>11</w:t>
      </w:r>
      <w:r>
        <w:rPr>
          <w:rFonts w:ascii="宋体"/>
          <w:color w:val="auto"/>
          <w:szCs w:val="21"/>
          <w:highlight w:val="none"/>
        </w:rPr>
        <w:t>.</w:t>
      </w:r>
      <w:r>
        <w:rPr>
          <w:rFonts w:hint="eastAsia" w:ascii="宋体"/>
          <w:color w:val="auto"/>
          <w:szCs w:val="21"/>
          <w:highlight w:val="none"/>
        </w:rPr>
        <w:t>4 联合体各方应当共同与招标人签订采购合同，就采购合同约定的事项对招标人承担连带责任。</w:t>
      </w:r>
    </w:p>
    <w:p w14:paraId="65FD7906">
      <w:pPr>
        <w:shd w:val="clear" w:color="auto" w:fill="auto"/>
        <w:spacing w:line="440" w:lineRule="exact"/>
        <w:jc w:val="left"/>
        <w:rPr>
          <w:rFonts w:hint="eastAsia" w:ascii="宋体"/>
          <w:b/>
          <w:color w:val="auto"/>
          <w:szCs w:val="21"/>
          <w:highlight w:val="none"/>
        </w:rPr>
      </w:pPr>
      <w:r>
        <w:rPr>
          <w:rFonts w:hint="eastAsia" w:ascii="宋体"/>
          <w:b/>
          <w:color w:val="auto"/>
          <w:szCs w:val="21"/>
          <w:highlight w:val="none"/>
        </w:rPr>
        <w:t>12.招标代理费</w:t>
      </w:r>
    </w:p>
    <w:p w14:paraId="26434EB7">
      <w:pPr>
        <w:shd w:val="clear" w:color="auto" w:fill="auto"/>
        <w:spacing w:line="440" w:lineRule="exact"/>
        <w:ind w:left="212" w:leftChars="100" w:firstLine="318" w:firstLineChars="150"/>
        <w:jc w:val="left"/>
        <w:rPr>
          <w:rFonts w:hint="eastAsia" w:ascii="宋体"/>
          <w:bCs/>
          <w:color w:val="auto"/>
          <w:szCs w:val="21"/>
          <w:highlight w:val="none"/>
        </w:rPr>
      </w:pPr>
      <w:r>
        <w:rPr>
          <w:rFonts w:hint="eastAsia" w:ascii="宋体"/>
          <w:bCs/>
          <w:color w:val="auto"/>
          <w:szCs w:val="21"/>
          <w:highlight w:val="none"/>
        </w:rPr>
        <w:t>12.1</w:t>
      </w:r>
      <w:r>
        <w:rPr>
          <w:rFonts w:hint="eastAsia" w:ascii="宋体" w:hAnsi="宋体" w:eastAsia="宋体" w:cs="宋体"/>
          <w:b w:val="0"/>
          <w:bCs/>
          <w:snapToGrid w:val="0"/>
          <w:color w:val="auto"/>
          <w:sz w:val="21"/>
          <w:szCs w:val="21"/>
          <w:highlight w:val="none"/>
          <w:lang w:eastAsia="zh-CN"/>
        </w:rPr>
        <w:t>招标代理费根据《国家发展改革委关于进一步放开建设项目专业服务价格的通知》（发改价格【2015】299 号）文件等规定收费基准价格计取。</w:t>
      </w:r>
    </w:p>
    <w:p w14:paraId="582BC1A7">
      <w:pPr>
        <w:shd w:val="clear" w:color="auto" w:fill="auto"/>
        <w:spacing w:line="440" w:lineRule="exact"/>
        <w:rPr>
          <w:rFonts w:hint="eastAsia"/>
          <w:b/>
          <w:color w:val="auto"/>
          <w:szCs w:val="21"/>
          <w:highlight w:val="none"/>
        </w:rPr>
      </w:pPr>
      <w:r>
        <w:rPr>
          <w:rFonts w:hint="eastAsia"/>
          <w:b/>
          <w:color w:val="auto"/>
          <w:szCs w:val="21"/>
          <w:highlight w:val="none"/>
        </w:rPr>
        <w:t>13.投标人应注意的事项</w:t>
      </w:r>
    </w:p>
    <w:p w14:paraId="6CE121E3">
      <w:pPr>
        <w:shd w:val="clear" w:color="auto" w:fill="auto"/>
        <w:spacing w:line="440" w:lineRule="exact"/>
        <w:ind w:firstLine="424" w:firstLineChars="200"/>
        <w:rPr>
          <w:rFonts w:hint="eastAsia" w:ascii="宋体"/>
          <w:bCs/>
          <w:color w:val="auto"/>
          <w:szCs w:val="21"/>
          <w:highlight w:val="none"/>
        </w:rPr>
      </w:pPr>
      <w:r>
        <w:rPr>
          <w:rFonts w:hint="eastAsia" w:ascii="宋体" w:hAnsi="宋体"/>
          <w:color w:val="auto"/>
          <w:szCs w:val="21"/>
          <w:highlight w:val="none"/>
        </w:rPr>
        <w:t>13.1投标人一旦按规定缴纳了投标保证金并参加投标，即被认为接受了本</w:t>
      </w:r>
      <w:r>
        <w:rPr>
          <w:rFonts w:hint="eastAsia" w:ascii="宋体" w:hAnsi="宋体"/>
          <w:color w:val="auto"/>
          <w:szCs w:val="21"/>
          <w:highlight w:val="none"/>
          <w:lang w:eastAsia="zh-CN"/>
        </w:rPr>
        <w:t>采购</w:t>
      </w:r>
      <w:r>
        <w:rPr>
          <w:rFonts w:hint="eastAsia" w:ascii="宋体" w:hAnsi="宋体"/>
          <w:color w:val="auto"/>
          <w:szCs w:val="21"/>
          <w:highlight w:val="none"/>
        </w:rPr>
        <w:t>文件中的所有条件和规定。投标人必须严格按</w:t>
      </w:r>
      <w:r>
        <w:rPr>
          <w:rFonts w:hint="eastAsia" w:ascii="宋体" w:hAnsi="宋体"/>
          <w:color w:val="auto"/>
          <w:szCs w:val="21"/>
          <w:highlight w:val="none"/>
          <w:lang w:eastAsia="zh-CN"/>
        </w:rPr>
        <w:t>采购文件</w:t>
      </w:r>
      <w:r>
        <w:rPr>
          <w:rFonts w:hint="eastAsia" w:ascii="宋体" w:hAnsi="宋体"/>
          <w:color w:val="auto"/>
          <w:szCs w:val="21"/>
          <w:highlight w:val="none"/>
        </w:rPr>
        <w:t>的要求编制投标文件，投标文件宜编制页码和目录，以便评委审核。否则，由此产生的一切后果由投标人承担。</w:t>
      </w:r>
    </w:p>
    <w:p w14:paraId="6C0BB33D">
      <w:pPr>
        <w:shd w:val="clear" w:color="auto" w:fill="auto"/>
        <w:spacing w:line="440" w:lineRule="exact"/>
        <w:ind w:firstLine="424" w:firstLineChars="200"/>
        <w:rPr>
          <w:rFonts w:hint="eastAsia" w:ascii="宋体"/>
          <w:b/>
          <w:bCs w:val="0"/>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2</w:t>
      </w:r>
      <w:r>
        <w:rPr>
          <w:rFonts w:hint="eastAsia" w:ascii="宋体"/>
          <w:bCs/>
          <w:color w:val="auto"/>
          <w:szCs w:val="21"/>
          <w:highlight w:val="none"/>
        </w:rPr>
        <w:t xml:space="preserve"> 投标人对采购内容中规定的技术参数、规格等要求必须完全响应或优于</w:t>
      </w:r>
      <w:r>
        <w:rPr>
          <w:rFonts w:hint="eastAsia" w:ascii="宋体"/>
          <w:bCs/>
          <w:color w:val="auto"/>
          <w:szCs w:val="21"/>
          <w:highlight w:val="none"/>
          <w:lang w:eastAsia="zh-CN"/>
        </w:rPr>
        <w:t>采购文件</w:t>
      </w:r>
      <w:r>
        <w:rPr>
          <w:rFonts w:hint="eastAsia" w:ascii="宋体"/>
          <w:bCs/>
          <w:color w:val="auto"/>
          <w:szCs w:val="21"/>
          <w:highlight w:val="none"/>
        </w:rPr>
        <w:t>中的要求</w:t>
      </w:r>
      <w:r>
        <w:rPr>
          <w:rFonts w:hint="eastAsia" w:ascii="宋体"/>
          <w:b/>
          <w:bCs w:val="0"/>
          <w:color w:val="auto"/>
          <w:szCs w:val="21"/>
          <w:highlight w:val="none"/>
        </w:rPr>
        <w:t>。</w:t>
      </w:r>
    </w:p>
    <w:p w14:paraId="75B89FC3">
      <w:pPr>
        <w:shd w:val="clear" w:color="auto" w:fill="auto"/>
        <w:spacing w:line="440" w:lineRule="exact"/>
        <w:ind w:firstLine="414" w:firstLineChars="196"/>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3</w:t>
      </w:r>
      <w:r>
        <w:rPr>
          <w:rFonts w:hint="eastAsia" w:ascii="宋体"/>
          <w:bCs/>
          <w:color w:val="auto"/>
          <w:szCs w:val="21"/>
          <w:highlight w:val="none"/>
        </w:rPr>
        <w:t>所有投标人的投标保证金都应在</w:t>
      </w:r>
      <w:r>
        <w:rPr>
          <w:rFonts w:hint="eastAsia" w:ascii="宋体"/>
          <w:bCs/>
          <w:color w:val="auto"/>
          <w:szCs w:val="21"/>
          <w:highlight w:val="none"/>
          <w:lang w:eastAsia="zh-CN"/>
        </w:rPr>
        <w:t>采购文件</w:t>
      </w:r>
      <w:r>
        <w:rPr>
          <w:rFonts w:hint="eastAsia" w:ascii="宋体"/>
          <w:bCs/>
          <w:color w:val="auto"/>
          <w:szCs w:val="21"/>
          <w:highlight w:val="none"/>
        </w:rPr>
        <w:t>规定的投标保证金缴纳截止日期前缴纳。</w:t>
      </w:r>
    </w:p>
    <w:p w14:paraId="51ADD4F2">
      <w:pPr>
        <w:shd w:val="clear" w:color="auto" w:fill="auto"/>
        <w:spacing w:line="440" w:lineRule="exact"/>
        <w:ind w:firstLine="414" w:firstLineChars="196"/>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4</w:t>
      </w:r>
      <w:r>
        <w:rPr>
          <w:rFonts w:ascii="宋体"/>
          <w:bCs/>
          <w:color w:val="auto"/>
          <w:szCs w:val="21"/>
          <w:highlight w:val="none"/>
        </w:rPr>
        <w:t>单位负责人为同一人或者存在直接控股、管理关系的不同供应商，不得参加同一合同项下的政府采购活动。</w:t>
      </w:r>
      <w:r>
        <w:rPr>
          <w:rFonts w:ascii="宋体" w:hAnsi="宋体" w:cs="宋体"/>
          <w:color w:val="auto"/>
          <w:szCs w:val="21"/>
          <w:highlight w:val="none"/>
        </w:rPr>
        <w:t>为采购项目提供整体设计、规范编制或者项目管理、监理、检测等服务的供应商，不得再参加该采购项目的其他采购活动。</w:t>
      </w:r>
    </w:p>
    <w:p w14:paraId="7AC7101D">
      <w:pPr>
        <w:shd w:val="clear" w:color="auto" w:fill="auto"/>
        <w:snapToGrid w:val="0"/>
        <w:spacing w:line="440" w:lineRule="exact"/>
        <w:ind w:firstLine="424" w:firstLineChars="200"/>
        <w:rPr>
          <w:rFonts w:hint="eastAsia" w:ascii="宋体"/>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5</w:t>
      </w:r>
      <w:r>
        <w:rPr>
          <w:rFonts w:hint="eastAsia" w:ascii="宋体"/>
          <w:bCs/>
          <w:color w:val="auto"/>
          <w:szCs w:val="21"/>
          <w:highlight w:val="none"/>
        </w:rPr>
        <w:t>本项目只接受</w:t>
      </w:r>
      <w:r>
        <w:rPr>
          <w:rFonts w:hint="eastAsia" w:ascii="宋体"/>
          <w:color w:val="auto"/>
          <w:szCs w:val="21"/>
          <w:highlight w:val="none"/>
        </w:rPr>
        <w:t>成为新疆维吾尔自治区政府采购网正式注册入库并完成CA数字证书申领供应商</w:t>
      </w:r>
      <w:r>
        <w:rPr>
          <w:rFonts w:hint="eastAsia" w:ascii="宋体"/>
          <w:color w:val="auto"/>
          <w:szCs w:val="21"/>
          <w:highlight w:val="none"/>
          <w:lang w:eastAsia="zh-CN"/>
        </w:rPr>
        <w:t>参与投标</w:t>
      </w:r>
      <w:r>
        <w:rPr>
          <w:rFonts w:hint="eastAsia" w:ascii="宋体"/>
          <w:color w:val="auto"/>
          <w:szCs w:val="21"/>
          <w:highlight w:val="none"/>
        </w:rPr>
        <w:t>。因未注册入库、未办理CA数字证书等原因造成无法投标或投标失败等后果由供应商自行承担。</w:t>
      </w:r>
    </w:p>
    <w:p w14:paraId="4F3B0E25">
      <w:pPr>
        <w:shd w:val="clear" w:color="auto" w:fill="auto"/>
        <w:wordWrap w:val="0"/>
        <w:spacing w:line="440" w:lineRule="exact"/>
        <w:ind w:firstLine="424" w:firstLineChars="200"/>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6</w:t>
      </w:r>
      <w:r>
        <w:rPr>
          <w:rFonts w:hint="eastAsia" w:ascii="宋体"/>
          <w:bCs/>
          <w:color w:val="auto"/>
          <w:szCs w:val="21"/>
          <w:highlight w:val="none"/>
        </w:rPr>
        <w:t xml:space="preserve">  投标人被视为充分熟悉本招标项目所在地的与履行合同有关的各种情况，包括但不限于：</w:t>
      </w:r>
    </w:p>
    <w:p w14:paraId="14A04706">
      <w:pPr>
        <w:shd w:val="clear" w:color="auto" w:fill="auto"/>
        <w:spacing w:line="400" w:lineRule="exact"/>
        <w:ind w:firstLine="318" w:firstLineChars="150"/>
        <w:rPr>
          <w:rFonts w:hint="eastAsia" w:ascii="宋体"/>
          <w:bCs/>
          <w:color w:val="auto"/>
          <w:szCs w:val="21"/>
          <w:highlight w:val="none"/>
        </w:rPr>
      </w:pPr>
      <w:r>
        <w:rPr>
          <w:rFonts w:hint="eastAsia" w:ascii="宋体"/>
          <w:bCs/>
          <w:color w:val="auto"/>
          <w:szCs w:val="21"/>
          <w:highlight w:val="none"/>
        </w:rPr>
        <w:t>（1）国家对本次投标货物和服务的生产、安装调试、验收、维修等有关法律、法规及行业管理标准；</w:t>
      </w:r>
    </w:p>
    <w:p w14:paraId="321FC6D0">
      <w:pPr>
        <w:shd w:val="clear" w:color="auto" w:fill="auto"/>
        <w:spacing w:line="400" w:lineRule="exact"/>
        <w:ind w:firstLine="318" w:firstLineChars="150"/>
        <w:rPr>
          <w:rFonts w:hint="eastAsia" w:ascii="宋体"/>
          <w:bCs/>
          <w:color w:val="auto"/>
          <w:szCs w:val="21"/>
          <w:highlight w:val="none"/>
        </w:rPr>
      </w:pPr>
      <w:r>
        <w:rPr>
          <w:rFonts w:hint="eastAsia" w:ascii="宋体"/>
          <w:bCs/>
          <w:color w:val="auto"/>
          <w:szCs w:val="21"/>
          <w:highlight w:val="none"/>
        </w:rPr>
        <w:t>（2）</w:t>
      </w:r>
      <w:r>
        <w:rPr>
          <w:rFonts w:hint="eastAsia" w:ascii="宋体"/>
          <w:bCs/>
          <w:color w:val="auto"/>
          <w:szCs w:val="21"/>
          <w:highlight w:val="none"/>
          <w:lang w:eastAsia="zh-CN"/>
        </w:rPr>
        <w:t>本地区</w:t>
      </w:r>
      <w:r>
        <w:rPr>
          <w:rFonts w:hint="eastAsia" w:ascii="宋体"/>
          <w:bCs/>
          <w:color w:val="auto"/>
          <w:szCs w:val="21"/>
          <w:highlight w:val="none"/>
        </w:rPr>
        <w:t>有关管理部门的相关规定；</w:t>
      </w:r>
    </w:p>
    <w:p w14:paraId="153245ED">
      <w:pPr>
        <w:shd w:val="clear" w:color="auto" w:fill="auto"/>
        <w:spacing w:line="400" w:lineRule="exact"/>
        <w:ind w:firstLine="318" w:firstLineChars="150"/>
        <w:rPr>
          <w:rFonts w:hint="eastAsia" w:ascii="宋体"/>
          <w:bCs/>
          <w:color w:val="auto"/>
          <w:szCs w:val="21"/>
          <w:highlight w:val="none"/>
        </w:rPr>
      </w:pPr>
      <w:r>
        <w:rPr>
          <w:rFonts w:hint="eastAsia" w:ascii="宋体"/>
          <w:bCs/>
          <w:color w:val="auto"/>
          <w:szCs w:val="21"/>
          <w:highlight w:val="none"/>
        </w:rPr>
        <w:t>（3）招标人的相关场地情况、基础建设、电力供应情况及相关设计标准。</w:t>
      </w:r>
    </w:p>
    <w:p w14:paraId="1C57FDF1">
      <w:pPr>
        <w:shd w:val="clear" w:color="auto" w:fill="auto"/>
        <w:spacing w:line="400" w:lineRule="exact"/>
        <w:ind w:firstLine="318" w:firstLineChars="150"/>
        <w:rPr>
          <w:rFonts w:hint="eastAsia" w:ascii="宋体"/>
          <w:b/>
          <w:color w:val="auto"/>
          <w:sz w:val="28"/>
          <w:szCs w:val="28"/>
          <w:highlight w:val="none"/>
        </w:rPr>
      </w:pPr>
      <w:r>
        <w:rPr>
          <w:rFonts w:hint="eastAsia" w:ascii="宋体"/>
          <w:bCs/>
          <w:color w:val="auto"/>
          <w:szCs w:val="21"/>
          <w:highlight w:val="none"/>
        </w:rPr>
        <w:t>本</w:t>
      </w:r>
      <w:r>
        <w:rPr>
          <w:rFonts w:hint="eastAsia" w:ascii="宋体"/>
          <w:bCs/>
          <w:color w:val="auto"/>
          <w:szCs w:val="21"/>
          <w:highlight w:val="none"/>
          <w:lang w:eastAsia="zh-CN"/>
        </w:rPr>
        <w:t>采购文件</w:t>
      </w:r>
      <w:r>
        <w:rPr>
          <w:rFonts w:hint="eastAsia" w:ascii="宋体"/>
          <w:bCs/>
          <w:color w:val="auto"/>
          <w:szCs w:val="21"/>
          <w:highlight w:val="none"/>
        </w:rPr>
        <w:t>不再对上述情况进行描述。</w:t>
      </w:r>
      <w:bookmarkStart w:id="29" w:name="_Toc469495725"/>
    </w:p>
    <w:p w14:paraId="7692A9D5">
      <w:pPr>
        <w:shd w:val="clear" w:color="auto" w:fill="auto"/>
        <w:spacing w:before="312" w:beforeLines="100" w:after="312" w:afterLines="100" w:line="440" w:lineRule="exact"/>
        <w:jc w:val="center"/>
        <w:outlineLvl w:val="2"/>
        <w:rPr>
          <w:rFonts w:hint="eastAsia" w:ascii="宋体"/>
          <w:b/>
          <w:color w:val="auto"/>
          <w:sz w:val="28"/>
          <w:szCs w:val="28"/>
          <w:highlight w:val="none"/>
        </w:rPr>
      </w:pPr>
      <w:bookmarkStart w:id="30" w:name="_Toc12903"/>
    </w:p>
    <w:p w14:paraId="09722C01">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3737DF3D">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71BBB8B2">
      <w:pPr>
        <w:shd w:val="clear" w:color="auto" w:fill="auto"/>
        <w:spacing w:before="312" w:beforeLines="100" w:after="312" w:afterLines="100" w:line="440" w:lineRule="exact"/>
        <w:jc w:val="center"/>
        <w:outlineLvl w:val="2"/>
        <w:rPr>
          <w:rFonts w:hint="eastAsia" w:ascii="宋体" w:eastAsia="宋体"/>
          <w:b/>
          <w:color w:val="auto"/>
          <w:sz w:val="28"/>
          <w:szCs w:val="28"/>
          <w:highlight w:val="none"/>
          <w:lang w:eastAsia="zh-CN"/>
        </w:rPr>
      </w:pPr>
      <w:r>
        <w:rPr>
          <w:rFonts w:hint="eastAsia" w:ascii="宋体"/>
          <w:b/>
          <w:color w:val="auto"/>
          <w:sz w:val="28"/>
          <w:szCs w:val="28"/>
          <w:highlight w:val="none"/>
        </w:rPr>
        <w:t>（二）</w:t>
      </w:r>
      <w:bookmarkEnd w:id="29"/>
      <w:r>
        <w:rPr>
          <w:rFonts w:hint="eastAsia" w:ascii="宋体"/>
          <w:b/>
          <w:color w:val="auto"/>
          <w:sz w:val="28"/>
          <w:szCs w:val="28"/>
          <w:highlight w:val="none"/>
          <w:lang w:eastAsia="zh-CN"/>
        </w:rPr>
        <w:t>招标文件</w:t>
      </w:r>
      <w:bookmarkEnd w:id="30"/>
    </w:p>
    <w:p w14:paraId="1E1D14AE">
      <w:pPr>
        <w:shd w:val="clear" w:color="auto" w:fill="auto"/>
        <w:spacing w:line="440" w:lineRule="exact"/>
        <w:rPr>
          <w:rFonts w:hint="eastAsia"/>
          <w:b/>
          <w:color w:val="auto"/>
          <w:szCs w:val="21"/>
          <w:highlight w:val="none"/>
        </w:rPr>
      </w:pPr>
      <w:r>
        <w:rPr>
          <w:rFonts w:hint="eastAsia"/>
          <w:b/>
          <w:color w:val="auto"/>
          <w:szCs w:val="21"/>
          <w:highlight w:val="none"/>
          <w:lang w:val="en-US" w:eastAsia="zh-CN"/>
        </w:rPr>
        <w:t>14</w:t>
      </w:r>
      <w:r>
        <w:rPr>
          <w:rFonts w:hint="eastAsia"/>
          <w:b/>
          <w:color w:val="auto"/>
          <w:szCs w:val="21"/>
          <w:highlight w:val="none"/>
        </w:rPr>
        <w:t xml:space="preserve">. </w:t>
      </w:r>
      <w:r>
        <w:rPr>
          <w:rFonts w:hint="eastAsia"/>
          <w:b/>
          <w:color w:val="auto"/>
          <w:szCs w:val="21"/>
          <w:highlight w:val="none"/>
          <w:lang w:eastAsia="zh-CN"/>
        </w:rPr>
        <w:t>采购文件</w:t>
      </w:r>
      <w:r>
        <w:rPr>
          <w:rFonts w:hint="eastAsia"/>
          <w:b/>
          <w:color w:val="auto"/>
          <w:szCs w:val="21"/>
          <w:highlight w:val="none"/>
        </w:rPr>
        <w:t>的编制依据</w:t>
      </w:r>
    </w:p>
    <w:p w14:paraId="0ADD3A3C">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根据《中华人民共和国政府采购法》、《政府采购货物和服务招标投标管理办法》和《中华人民共和国</w:t>
      </w:r>
      <w:r>
        <w:rPr>
          <w:rFonts w:hint="eastAsia" w:ascii="宋体"/>
          <w:color w:val="auto"/>
          <w:szCs w:val="21"/>
          <w:highlight w:val="none"/>
          <w:lang w:eastAsia="zh-CN"/>
        </w:rPr>
        <w:t>民法典</w:t>
      </w:r>
      <w:r>
        <w:rPr>
          <w:rFonts w:hint="eastAsia" w:ascii="宋体"/>
          <w:color w:val="auto"/>
          <w:szCs w:val="21"/>
          <w:highlight w:val="none"/>
        </w:rPr>
        <w:t>》</w:t>
      </w:r>
      <w:r>
        <w:rPr>
          <w:rFonts w:hint="eastAsia" w:ascii="宋体"/>
          <w:color w:val="auto"/>
          <w:spacing w:val="-2"/>
          <w:szCs w:val="21"/>
          <w:highlight w:val="none"/>
        </w:rPr>
        <w:t>等相关法律法规和规章及部、省、市级规范性文件的规定，编制本</w:t>
      </w:r>
      <w:r>
        <w:rPr>
          <w:rFonts w:hint="eastAsia" w:ascii="宋体"/>
          <w:color w:val="auto"/>
          <w:spacing w:val="-2"/>
          <w:szCs w:val="21"/>
          <w:highlight w:val="none"/>
          <w:lang w:eastAsia="zh-CN"/>
        </w:rPr>
        <w:t>采购文件</w:t>
      </w:r>
      <w:r>
        <w:rPr>
          <w:rFonts w:hint="eastAsia" w:ascii="宋体"/>
          <w:color w:val="auto"/>
          <w:spacing w:val="-2"/>
          <w:szCs w:val="21"/>
          <w:highlight w:val="none"/>
        </w:rPr>
        <w:t>。</w:t>
      </w:r>
    </w:p>
    <w:p w14:paraId="40DE0D5D">
      <w:pPr>
        <w:shd w:val="clear" w:color="auto" w:fill="auto"/>
        <w:spacing w:line="440" w:lineRule="exact"/>
        <w:rPr>
          <w:rFonts w:hint="eastAsia"/>
          <w:b/>
          <w:color w:val="auto"/>
          <w:szCs w:val="21"/>
          <w:highlight w:val="none"/>
        </w:rPr>
      </w:pPr>
      <w:r>
        <w:rPr>
          <w:rFonts w:hint="eastAsia"/>
          <w:b/>
          <w:color w:val="auto"/>
          <w:szCs w:val="21"/>
          <w:highlight w:val="none"/>
          <w:lang w:val="en-US" w:eastAsia="zh-CN"/>
        </w:rPr>
        <w:t>15</w:t>
      </w:r>
      <w:r>
        <w:rPr>
          <w:rFonts w:hint="eastAsia"/>
          <w:b/>
          <w:color w:val="auto"/>
          <w:szCs w:val="21"/>
          <w:highlight w:val="none"/>
        </w:rPr>
        <w:t xml:space="preserve">. </w:t>
      </w:r>
      <w:r>
        <w:rPr>
          <w:rFonts w:hint="eastAsia"/>
          <w:b/>
          <w:color w:val="auto"/>
          <w:szCs w:val="21"/>
          <w:highlight w:val="none"/>
          <w:lang w:eastAsia="zh-CN"/>
        </w:rPr>
        <w:t>采购文件</w:t>
      </w:r>
      <w:r>
        <w:rPr>
          <w:rFonts w:hint="eastAsia"/>
          <w:b/>
          <w:color w:val="auto"/>
          <w:szCs w:val="21"/>
          <w:highlight w:val="none"/>
        </w:rPr>
        <w:t>的组成</w:t>
      </w:r>
    </w:p>
    <w:p w14:paraId="12049C58">
      <w:pPr>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1</w:t>
      </w:r>
      <w:r>
        <w:rPr>
          <w:rFonts w:hint="eastAsia" w:ascii="宋体"/>
          <w:color w:val="auto"/>
          <w:szCs w:val="21"/>
          <w:highlight w:val="none"/>
          <w:lang w:val="en-US" w:eastAsia="zh-CN"/>
        </w:rPr>
        <w:t>5</w:t>
      </w:r>
      <w:r>
        <w:rPr>
          <w:rFonts w:hint="eastAsia" w:ascii="宋体"/>
          <w:color w:val="auto"/>
          <w:szCs w:val="21"/>
          <w:highlight w:val="none"/>
        </w:rPr>
        <w:t xml:space="preserve">.1 </w:t>
      </w:r>
      <w:r>
        <w:rPr>
          <w:rFonts w:hint="eastAsia" w:ascii="宋体"/>
          <w:color w:val="auto"/>
          <w:szCs w:val="21"/>
          <w:highlight w:val="none"/>
          <w:lang w:eastAsia="zh-CN"/>
        </w:rPr>
        <w:t>采购文件</w:t>
      </w:r>
      <w:r>
        <w:rPr>
          <w:rFonts w:hint="eastAsia" w:ascii="宋体"/>
          <w:color w:val="auto"/>
          <w:szCs w:val="21"/>
          <w:highlight w:val="none"/>
        </w:rPr>
        <w:t>包括内容：</w:t>
      </w:r>
    </w:p>
    <w:p w14:paraId="1052AF18">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 xml:space="preserve">第一章  </w:t>
      </w:r>
      <w:r>
        <w:rPr>
          <w:rFonts w:hint="eastAsia" w:ascii="宋体"/>
          <w:color w:val="auto"/>
          <w:szCs w:val="21"/>
          <w:highlight w:val="none"/>
          <w:lang w:eastAsia="zh-CN"/>
        </w:rPr>
        <w:t>招</w:t>
      </w:r>
      <w:r>
        <w:rPr>
          <w:rFonts w:hint="eastAsia" w:ascii="宋体"/>
          <w:color w:val="auto"/>
          <w:szCs w:val="21"/>
          <w:highlight w:val="none"/>
        </w:rPr>
        <w:t>标公告</w:t>
      </w:r>
    </w:p>
    <w:p w14:paraId="0A0A95B9">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第二章  投标须知</w:t>
      </w:r>
    </w:p>
    <w:p w14:paraId="7DFBDA6C">
      <w:pPr>
        <w:shd w:val="clear" w:color="auto" w:fill="auto"/>
        <w:spacing w:line="440" w:lineRule="exact"/>
        <w:ind w:firstLine="1484" w:firstLineChars="700"/>
        <w:rPr>
          <w:rFonts w:hint="eastAsia" w:ascii="宋体"/>
          <w:color w:val="auto"/>
          <w:szCs w:val="21"/>
          <w:highlight w:val="none"/>
          <w:lang w:eastAsia="zh-CN"/>
        </w:rPr>
      </w:pPr>
      <w:r>
        <w:rPr>
          <w:rFonts w:hint="eastAsia" w:ascii="宋体"/>
          <w:color w:val="auto"/>
          <w:szCs w:val="21"/>
          <w:highlight w:val="none"/>
        </w:rPr>
        <w:t>第三章  评标办法</w:t>
      </w:r>
    </w:p>
    <w:p w14:paraId="18D040F2">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第四章  采购内容及技术要求</w:t>
      </w:r>
    </w:p>
    <w:p w14:paraId="450FA263">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第五章  合同条款及格式</w:t>
      </w:r>
    </w:p>
    <w:p w14:paraId="08E0D2CB">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第六章  投标文件格式文本</w:t>
      </w:r>
    </w:p>
    <w:p w14:paraId="3E331C85">
      <w:pPr>
        <w:shd w:val="clear" w:color="auto" w:fill="auto"/>
        <w:spacing w:line="440" w:lineRule="exact"/>
        <w:rPr>
          <w:rFonts w:hint="eastAsia" w:ascii="宋体"/>
          <w:color w:val="auto"/>
          <w:szCs w:val="21"/>
          <w:highlight w:val="none"/>
        </w:rPr>
      </w:pPr>
      <w:r>
        <w:rPr>
          <w:rFonts w:hint="eastAsia" w:ascii="宋体"/>
          <w:color w:val="auto"/>
          <w:szCs w:val="21"/>
          <w:highlight w:val="none"/>
        </w:rPr>
        <w:t xml:space="preserve">   1</w:t>
      </w:r>
      <w:r>
        <w:rPr>
          <w:rFonts w:hint="eastAsia" w:ascii="宋体"/>
          <w:color w:val="auto"/>
          <w:szCs w:val="21"/>
          <w:highlight w:val="none"/>
          <w:lang w:val="en-US" w:eastAsia="zh-CN"/>
        </w:rPr>
        <w:t>5</w:t>
      </w:r>
      <w:r>
        <w:rPr>
          <w:rFonts w:hint="eastAsia" w:ascii="宋体"/>
          <w:color w:val="auto"/>
          <w:szCs w:val="21"/>
          <w:highlight w:val="none"/>
        </w:rPr>
        <w:t>.2 除1</w:t>
      </w:r>
      <w:r>
        <w:rPr>
          <w:rFonts w:hint="eastAsia" w:ascii="宋体"/>
          <w:color w:val="auto"/>
          <w:szCs w:val="21"/>
          <w:highlight w:val="none"/>
          <w:lang w:val="en-US" w:eastAsia="zh-CN"/>
        </w:rPr>
        <w:t>5</w:t>
      </w:r>
      <w:r>
        <w:rPr>
          <w:rFonts w:hint="eastAsia" w:ascii="宋体"/>
          <w:color w:val="auto"/>
          <w:szCs w:val="21"/>
          <w:highlight w:val="none"/>
        </w:rPr>
        <w:t>.1内容外，招标答疑亦为</w:t>
      </w:r>
      <w:r>
        <w:rPr>
          <w:rFonts w:hint="eastAsia" w:ascii="宋体"/>
          <w:color w:val="auto"/>
          <w:szCs w:val="21"/>
          <w:highlight w:val="none"/>
          <w:lang w:eastAsia="zh-CN"/>
        </w:rPr>
        <w:t>采购文件</w:t>
      </w:r>
      <w:r>
        <w:rPr>
          <w:rFonts w:hint="eastAsia" w:ascii="宋体"/>
          <w:color w:val="auto"/>
          <w:szCs w:val="21"/>
          <w:highlight w:val="none"/>
        </w:rPr>
        <w:t>的组成部分，对招标人和投标人起约束作用。</w:t>
      </w:r>
    </w:p>
    <w:p w14:paraId="77EC8F07">
      <w:pPr>
        <w:pStyle w:val="13"/>
        <w:shd w:val="clear" w:color="auto" w:fill="auto"/>
        <w:wordWrap w:val="0"/>
        <w:spacing w:line="400" w:lineRule="exact"/>
        <w:rPr>
          <w:rFonts w:hint="eastAsia"/>
          <w:color w:val="auto"/>
          <w:szCs w:val="21"/>
          <w:highlight w:val="none"/>
          <w:lang w:val="en-US"/>
        </w:rPr>
      </w:pPr>
      <w:r>
        <w:rPr>
          <w:rFonts w:hint="eastAsia"/>
          <w:color w:val="auto"/>
          <w:szCs w:val="21"/>
          <w:highlight w:val="none"/>
        </w:rPr>
        <w:t xml:space="preserve">   1</w:t>
      </w:r>
      <w:r>
        <w:rPr>
          <w:rFonts w:hint="eastAsia"/>
          <w:color w:val="auto"/>
          <w:szCs w:val="21"/>
          <w:highlight w:val="none"/>
          <w:lang w:val="en-US" w:eastAsia="zh-CN"/>
        </w:rPr>
        <w:t>5</w:t>
      </w:r>
      <w:r>
        <w:rPr>
          <w:rFonts w:hint="eastAsia"/>
          <w:color w:val="auto"/>
          <w:szCs w:val="21"/>
          <w:highlight w:val="none"/>
        </w:rPr>
        <w:t>.3</w:t>
      </w:r>
      <w:r>
        <w:rPr>
          <w:rFonts w:hint="eastAsia"/>
          <w:color w:val="auto"/>
          <w:szCs w:val="21"/>
          <w:highlight w:val="none"/>
          <w:u w:val="none" w:color="auto"/>
        </w:rPr>
        <w:t>投标人应仔细阅读和检查</w:t>
      </w:r>
      <w:r>
        <w:rPr>
          <w:rFonts w:hint="eastAsia"/>
          <w:color w:val="auto"/>
          <w:szCs w:val="21"/>
          <w:highlight w:val="none"/>
          <w:u w:val="none" w:color="auto"/>
          <w:lang w:eastAsia="zh-CN"/>
        </w:rPr>
        <w:t>采购文件</w:t>
      </w:r>
      <w:r>
        <w:rPr>
          <w:rFonts w:hint="eastAsia"/>
          <w:color w:val="auto"/>
          <w:szCs w:val="21"/>
          <w:highlight w:val="none"/>
          <w:u w:val="none" w:color="auto"/>
        </w:rPr>
        <w:t>的全部内容。如发现缺页或附件不全，应及时向招标人提出，以便补齐。如有疑问，投标人应在</w:t>
      </w:r>
      <w:r>
        <w:rPr>
          <w:rFonts w:hint="eastAsia" w:ascii="宋体"/>
          <w:color w:val="auto"/>
          <w:szCs w:val="21"/>
          <w:highlight w:val="none"/>
        </w:rPr>
        <w:t>以书面形式一次性向采购人和采购代理机构提出同一环节的质疑</w:t>
      </w:r>
      <w:r>
        <w:rPr>
          <w:rFonts w:hint="eastAsia"/>
          <w:color w:val="auto"/>
          <w:szCs w:val="21"/>
          <w:highlight w:val="none"/>
          <w:u w:val="none" w:color="auto"/>
        </w:rPr>
        <w:t>。</w:t>
      </w:r>
    </w:p>
    <w:p w14:paraId="40225FE5">
      <w:pPr>
        <w:shd w:val="clear" w:color="auto" w:fill="auto"/>
        <w:wordWrap w:val="0"/>
        <w:spacing w:line="440" w:lineRule="exact"/>
        <w:rPr>
          <w:rFonts w:hint="eastAsia" w:ascii="宋体"/>
          <w:color w:val="auto"/>
          <w:szCs w:val="21"/>
          <w:highlight w:val="none"/>
        </w:rPr>
      </w:pPr>
      <w:r>
        <w:rPr>
          <w:rFonts w:hint="eastAsia" w:ascii="宋体"/>
          <w:color w:val="auto"/>
          <w:szCs w:val="21"/>
          <w:highlight w:val="none"/>
        </w:rPr>
        <w:t xml:space="preserve">   1</w:t>
      </w:r>
      <w:r>
        <w:rPr>
          <w:rFonts w:hint="eastAsia" w:ascii="宋体"/>
          <w:color w:val="auto"/>
          <w:szCs w:val="21"/>
          <w:highlight w:val="none"/>
          <w:lang w:val="en-US" w:eastAsia="zh-CN"/>
        </w:rPr>
        <w:t>5</w:t>
      </w:r>
      <w:r>
        <w:rPr>
          <w:rFonts w:hint="eastAsia" w:ascii="宋体"/>
          <w:color w:val="auto"/>
          <w:szCs w:val="21"/>
          <w:highlight w:val="none"/>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color w:val="auto"/>
          <w:szCs w:val="21"/>
          <w:highlight w:val="none"/>
          <w:lang w:eastAsia="zh-CN"/>
        </w:rPr>
        <w:t>采购文件</w:t>
      </w:r>
      <w:r>
        <w:rPr>
          <w:rFonts w:hint="eastAsia" w:ascii="宋体"/>
          <w:color w:val="auto"/>
          <w:szCs w:val="21"/>
          <w:highlight w:val="none"/>
        </w:rPr>
        <w:t>的澄清将在</w:t>
      </w:r>
      <w:r>
        <w:rPr>
          <w:rFonts w:hint="eastAsia" w:ascii="宋体"/>
          <w:color w:val="auto"/>
          <w:szCs w:val="21"/>
          <w:highlight w:val="none"/>
          <w:lang w:eastAsia="zh-CN"/>
        </w:rPr>
        <w:t>政采云平台“更正公告”栏目予以公告</w:t>
      </w:r>
      <w:r>
        <w:rPr>
          <w:rFonts w:hint="eastAsia" w:ascii="宋体"/>
          <w:color w:val="auto"/>
          <w:szCs w:val="21"/>
          <w:highlight w:val="none"/>
        </w:rPr>
        <w:t>，但不指明澄清问题的来源。如果澄清内容影响投标文件编制的，将相应延长投标截止时间。</w:t>
      </w:r>
    </w:p>
    <w:p w14:paraId="442788F0">
      <w:pPr>
        <w:shd w:val="clear" w:color="auto" w:fill="auto"/>
        <w:spacing w:line="440" w:lineRule="exact"/>
        <w:rPr>
          <w:rFonts w:hint="eastAsia" w:ascii="宋体"/>
          <w:b/>
          <w:bCs/>
          <w:color w:val="auto"/>
          <w:szCs w:val="21"/>
          <w:highlight w:val="none"/>
        </w:rPr>
      </w:pPr>
      <w:r>
        <w:rPr>
          <w:rFonts w:hint="eastAsia" w:ascii="宋体"/>
          <w:b/>
          <w:bCs/>
          <w:color w:val="auto"/>
          <w:szCs w:val="21"/>
          <w:highlight w:val="none"/>
        </w:rPr>
        <w:t>1</w:t>
      </w:r>
      <w:r>
        <w:rPr>
          <w:rFonts w:hint="eastAsia" w:ascii="宋体"/>
          <w:b/>
          <w:bCs/>
          <w:color w:val="auto"/>
          <w:szCs w:val="21"/>
          <w:highlight w:val="none"/>
          <w:lang w:val="en-US" w:eastAsia="zh-CN"/>
        </w:rPr>
        <w:t>6</w:t>
      </w:r>
      <w:r>
        <w:rPr>
          <w:rFonts w:hint="eastAsia" w:ascii="宋体"/>
          <w:b/>
          <w:bCs/>
          <w:color w:val="auto"/>
          <w:szCs w:val="21"/>
          <w:highlight w:val="none"/>
        </w:rPr>
        <w:t xml:space="preserve">. </w:t>
      </w:r>
      <w:r>
        <w:rPr>
          <w:rFonts w:hint="eastAsia" w:ascii="宋体"/>
          <w:b/>
          <w:bCs/>
          <w:color w:val="auto"/>
          <w:szCs w:val="21"/>
          <w:highlight w:val="none"/>
          <w:lang w:eastAsia="zh-CN"/>
        </w:rPr>
        <w:t>采购文件</w:t>
      </w:r>
      <w:r>
        <w:rPr>
          <w:rFonts w:hint="eastAsia" w:ascii="宋体"/>
          <w:b/>
          <w:bCs/>
          <w:color w:val="auto"/>
          <w:szCs w:val="21"/>
          <w:highlight w:val="none"/>
        </w:rPr>
        <w:t>的修改、补充、解释</w:t>
      </w:r>
    </w:p>
    <w:p w14:paraId="7AEE6AF2">
      <w:pPr>
        <w:shd w:val="clear" w:color="auto" w:fill="auto"/>
        <w:wordWrap w:val="0"/>
        <w:spacing w:line="400" w:lineRule="exact"/>
        <w:ind w:firstLine="318" w:firstLineChars="15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w:t>
      </w:r>
      <w:r>
        <w:rPr>
          <w:rFonts w:hint="eastAsia" w:ascii="宋体" w:hAnsi="宋体"/>
          <w:color w:val="auto"/>
          <w:szCs w:val="21"/>
          <w:highlight w:val="none"/>
          <w:lang w:eastAsia="zh-CN"/>
        </w:rPr>
        <w:t>采购文件</w:t>
      </w:r>
      <w:r>
        <w:rPr>
          <w:rFonts w:hint="eastAsia" w:ascii="宋体" w:hAnsi="宋体"/>
          <w:color w:val="auto"/>
          <w:szCs w:val="21"/>
          <w:highlight w:val="none"/>
        </w:rPr>
        <w:t>发出后，招标人在规定的投标截止时间前可对</w:t>
      </w:r>
      <w:r>
        <w:rPr>
          <w:rFonts w:hint="eastAsia" w:ascii="宋体" w:hAnsi="宋体"/>
          <w:color w:val="auto"/>
          <w:szCs w:val="21"/>
          <w:highlight w:val="none"/>
          <w:lang w:eastAsia="zh-CN"/>
        </w:rPr>
        <w:t>采购文件</w:t>
      </w:r>
      <w:r>
        <w:rPr>
          <w:rFonts w:hint="eastAsia" w:ascii="宋体" w:hAnsi="宋体"/>
          <w:color w:val="auto"/>
          <w:szCs w:val="21"/>
          <w:highlight w:val="none"/>
        </w:rPr>
        <w:t>进行必要的修改和补充，并以</w:t>
      </w:r>
      <w:r>
        <w:rPr>
          <w:rFonts w:hint="eastAsia" w:ascii="宋体" w:hAnsi="宋体"/>
          <w:color w:val="auto"/>
          <w:szCs w:val="21"/>
          <w:highlight w:val="none"/>
          <w:lang w:eastAsia="zh-CN"/>
        </w:rPr>
        <w:t>更正</w:t>
      </w:r>
      <w:r>
        <w:rPr>
          <w:rFonts w:hint="eastAsia" w:ascii="宋体" w:hAnsi="宋体"/>
          <w:color w:val="auto"/>
          <w:szCs w:val="21"/>
          <w:highlight w:val="none"/>
        </w:rPr>
        <w:t>公告形式在</w:t>
      </w:r>
      <w:r>
        <w:rPr>
          <w:rFonts w:hint="eastAsia" w:ascii="宋体" w:hAnsi="宋体"/>
          <w:color w:val="auto"/>
          <w:szCs w:val="21"/>
          <w:highlight w:val="none"/>
          <w:lang w:eastAsia="zh-CN"/>
        </w:rPr>
        <w:t>政采云平台</w:t>
      </w:r>
      <w:r>
        <w:rPr>
          <w:rFonts w:hint="eastAsia" w:ascii="宋体" w:hAnsi="宋体"/>
          <w:color w:val="auto"/>
          <w:szCs w:val="21"/>
          <w:highlight w:val="none"/>
        </w:rPr>
        <w:t xml:space="preserve"> “</w:t>
      </w:r>
      <w:r>
        <w:rPr>
          <w:rFonts w:hint="eastAsia" w:ascii="宋体" w:hAnsi="宋体"/>
          <w:color w:val="auto"/>
          <w:szCs w:val="21"/>
          <w:highlight w:val="none"/>
          <w:lang w:eastAsia="zh-CN"/>
        </w:rPr>
        <w:t>更正公告</w:t>
      </w:r>
      <w:r>
        <w:rPr>
          <w:rFonts w:hint="eastAsia" w:ascii="宋体" w:hAnsi="宋体"/>
          <w:color w:val="auto"/>
          <w:szCs w:val="21"/>
          <w:highlight w:val="none"/>
        </w:rPr>
        <w:t>”栏目予以公告，请各位投标人注意查看有关澄清内容，如不及时查看造成后果由投标人自负。</w:t>
      </w:r>
      <w:r>
        <w:rPr>
          <w:rFonts w:hint="eastAsia" w:ascii="宋体" w:hAnsi="宋体"/>
          <w:color w:val="auto"/>
          <w:szCs w:val="21"/>
          <w:highlight w:val="none"/>
          <w:lang w:eastAsia="zh-CN"/>
        </w:rPr>
        <w:t>采购文件</w:t>
      </w:r>
      <w:r>
        <w:rPr>
          <w:rFonts w:hint="eastAsia" w:ascii="宋体" w:hAnsi="宋体"/>
          <w:color w:val="auto"/>
          <w:szCs w:val="21"/>
          <w:highlight w:val="none"/>
        </w:rPr>
        <w:t>的修改、补充等内容作为</w:t>
      </w:r>
      <w:r>
        <w:rPr>
          <w:rFonts w:hint="eastAsia" w:ascii="宋体" w:hAnsi="宋体"/>
          <w:color w:val="auto"/>
          <w:szCs w:val="21"/>
          <w:highlight w:val="none"/>
          <w:lang w:eastAsia="zh-CN"/>
        </w:rPr>
        <w:t>采购文件</w:t>
      </w:r>
      <w:r>
        <w:rPr>
          <w:rFonts w:hint="eastAsia" w:ascii="宋体" w:hAnsi="宋体"/>
          <w:color w:val="auto"/>
          <w:szCs w:val="21"/>
          <w:highlight w:val="none"/>
        </w:rPr>
        <w:t>的组成部分，具有约束作用。</w:t>
      </w:r>
    </w:p>
    <w:p w14:paraId="1FAC20CE">
      <w:pPr>
        <w:shd w:val="clear" w:color="auto" w:fill="auto"/>
        <w:wordWrap w:val="0"/>
        <w:spacing w:line="400" w:lineRule="exact"/>
        <w:ind w:firstLine="318" w:firstLineChars="15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8F4A639">
      <w:pPr>
        <w:shd w:val="clear" w:color="auto" w:fill="auto"/>
        <w:wordWrap w:val="0"/>
        <w:spacing w:line="400" w:lineRule="exact"/>
        <w:ind w:firstLine="424" w:firstLineChars="200"/>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6</w:t>
      </w:r>
      <w:r>
        <w:rPr>
          <w:rFonts w:hint="eastAsia" w:ascii="宋体" w:hAnsi="宋体"/>
          <w:bCs/>
          <w:color w:val="auto"/>
          <w:szCs w:val="21"/>
          <w:highlight w:val="none"/>
        </w:rPr>
        <w:t>.</w:t>
      </w:r>
      <w:r>
        <w:rPr>
          <w:rFonts w:hint="eastAsia" w:ascii="宋体" w:hAnsi="宋体"/>
          <w:bCs/>
          <w:color w:val="auto"/>
          <w:szCs w:val="21"/>
          <w:highlight w:val="none"/>
          <w:lang w:val="en-US" w:eastAsia="zh-CN"/>
        </w:rPr>
        <w:t>3</w:t>
      </w:r>
      <w:r>
        <w:rPr>
          <w:rFonts w:hint="eastAsia" w:ascii="宋体" w:hAnsi="宋体"/>
          <w:bCs/>
          <w:color w:val="auto"/>
          <w:szCs w:val="21"/>
          <w:highlight w:val="none"/>
        </w:rPr>
        <w:t xml:space="preserve"> </w:t>
      </w:r>
      <w:r>
        <w:rPr>
          <w:rFonts w:hint="eastAsia" w:ascii="宋体" w:hAnsi="宋体"/>
          <w:color w:val="auto"/>
          <w:szCs w:val="21"/>
          <w:highlight w:val="none"/>
        </w:rPr>
        <w:t>供应商在规定的时间内未对采购文件提出疑问、质疑或要求澄清的，将视其为无异议。</w:t>
      </w:r>
    </w:p>
    <w:p w14:paraId="53E743EE">
      <w:pPr>
        <w:shd w:val="clear" w:color="auto" w:fill="auto"/>
        <w:spacing w:line="400" w:lineRule="exact"/>
        <w:ind w:firstLine="424" w:firstLineChars="200"/>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6</w:t>
      </w:r>
      <w:r>
        <w:rPr>
          <w:rFonts w:hint="eastAsia" w:ascii="宋体" w:hAnsi="宋体"/>
          <w:bCs/>
          <w:color w:val="auto"/>
          <w:szCs w:val="21"/>
          <w:highlight w:val="none"/>
        </w:rPr>
        <w:t>.</w:t>
      </w:r>
      <w:r>
        <w:rPr>
          <w:rFonts w:hint="eastAsia" w:ascii="宋体" w:hAnsi="宋体"/>
          <w:bCs/>
          <w:color w:val="auto"/>
          <w:szCs w:val="21"/>
          <w:highlight w:val="none"/>
          <w:lang w:val="en-US" w:eastAsia="zh-CN"/>
        </w:rPr>
        <w:t>4</w:t>
      </w:r>
      <w:r>
        <w:rPr>
          <w:rFonts w:hint="eastAsia" w:ascii="宋体" w:hAnsi="宋体"/>
          <w:bCs/>
          <w:color w:val="auto"/>
          <w:szCs w:val="21"/>
          <w:highlight w:val="none"/>
        </w:rPr>
        <w:t xml:space="preserve"> </w:t>
      </w:r>
      <w:r>
        <w:rPr>
          <w:rFonts w:hint="eastAsia" w:ascii="宋体" w:hAnsi="宋体"/>
          <w:bCs/>
          <w:color w:val="auto"/>
          <w:szCs w:val="21"/>
          <w:highlight w:val="none"/>
          <w:lang w:eastAsia="zh-CN"/>
        </w:rPr>
        <w:t>采购文件</w:t>
      </w:r>
      <w:r>
        <w:rPr>
          <w:rFonts w:hint="eastAsia" w:ascii="宋体" w:hAnsi="宋体"/>
          <w:bCs/>
          <w:color w:val="auto"/>
          <w:szCs w:val="21"/>
          <w:highlight w:val="none"/>
        </w:rPr>
        <w:t>的解释</w:t>
      </w:r>
    </w:p>
    <w:p w14:paraId="5D23F7D7">
      <w:pPr>
        <w:shd w:val="clear" w:color="auto" w:fill="auto"/>
        <w:spacing w:line="400" w:lineRule="exact"/>
        <w:ind w:firstLine="424" w:firstLineChars="200"/>
        <w:rPr>
          <w:rFonts w:hint="eastAsia" w:ascii="宋体" w:hAnsi="宋体"/>
          <w:color w:val="auto"/>
          <w:szCs w:val="21"/>
          <w:highlight w:val="none"/>
        </w:rPr>
      </w:pPr>
      <w:r>
        <w:rPr>
          <w:rFonts w:hint="eastAsia" w:ascii="宋体" w:hAnsi="宋体"/>
          <w:color w:val="auto"/>
          <w:szCs w:val="21"/>
          <w:highlight w:val="none"/>
        </w:rPr>
        <w:t>本</w:t>
      </w:r>
      <w:r>
        <w:rPr>
          <w:rFonts w:hint="eastAsia" w:ascii="宋体" w:hAnsi="宋体"/>
          <w:color w:val="auto"/>
          <w:szCs w:val="21"/>
          <w:highlight w:val="none"/>
          <w:lang w:eastAsia="zh-CN"/>
        </w:rPr>
        <w:t>采购文件</w:t>
      </w:r>
      <w:r>
        <w:rPr>
          <w:rFonts w:hint="eastAsia" w:ascii="宋体" w:hAnsi="宋体"/>
          <w:color w:val="auto"/>
          <w:szCs w:val="21"/>
          <w:highlight w:val="none"/>
        </w:rPr>
        <w:t>由招标人（或其委托的招标代理机构）负责解释。</w:t>
      </w:r>
    </w:p>
    <w:p w14:paraId="5D6CFD8A">
      <w:pPr>
        <w:shd w:val="clear" w:color="auto" w:fill="auto"/>
        <w:spacing w:line="400" w:lineRule="exact"/>
        <w:rPr>
          <w:rFonts w:ascii="宋体" w:hAnsi="宋体"/>
          <w:b/>
          <w:color w:val="auto"/>
          <w:szCs w:val="21"/>
          <w:highlight w:val="none"/>
        </w:rPr>
      </w:pPr>
      <w:r>
        <w:rPr>
          <w:rFonts w:hint="eastAsia"/>
          <w:b/>
          <w:color w:val="auto"/>
          <w:szCs w:val="21"/>
          <w:highlight w:val="none"/>
        </w:rPr>
        <w:t>1</w:t>
      </w:r>
      <w:r>
        <w:rPr>
          <w:rFonts w:hint="eastAsia"/>
          <w:b/>
          <w:color w:val="auto"/>
          <w:szCs w:val="21"/>
          <w:highlight w:val="none"/>
          <w:lang w:val="en-US" w:eastAsia="zh-CN"/>
        </w:rPr>
        <w:t>7</w:t>
      </w:r>
      <w:r>
        <w:rPr>
          <w:rFonts w:hint="eastAsia"/>
          <w:b/>
          <w:color w:val="auto"/>
          <w:szCs w:val="21"/>
          <w:highlight w:val="none"/>
        </w:rPr>
        <w:t xml:space="preserve">. </w:t>
      </w:r>
      <w:r>
        <w:rPr>
          <w:rFonts w:hint="eastAsia" w:ascii="宋体" w:hAnsi="宋体"/>
          <w:b/>
          <w:color w:val="auto"/>
          <w:szCs w:val="21"/>
          <w:highlight w:val="none"/>
          <w:lang w:eastAsia="zh-CN"/>
        </w:rPr>
        <w:t>采购文件</w:t>
      </w:r>
      <w:r>
        <w:rPr>
          <w:rFonts w:hint="eastAsia" w:ascii="宋体" w:hAnsi="宋体"/>
          <w:b/>
          <w:color w:val="auto"/>
          <w:szCs w:val="21"/>
          <w:highlight w:val="none"/>
        </w:rPr>
        <w:t>的发出</w:t>
      </w:r>
    </w:p>
    <w:p w14:paraId="1735B67A">
      <w:pPr>
        <w:shd w:val="clear" w:color="auto" w:fill="auto"/>
        <w:spacing w:line="400" w:lineRule="exact"/>
        <w:ind w:firstLine="318" w:firstLineChars="15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 xml:space="preserve">.1  </w:t>
      </w:r>
      <w:r>
        <w:rPr>
          <w:rFonts w:hint="eastAsia" w:ascii="宋体" w:hAnsi="宋体"/>
          <w:color w:val="auto"/>
          <w:szCs w:val="21"/>
          <w:highlight w:val="none"/>
          <w:lang w:eastAsia="zh-CN"/>
        </w:rPr>
        <w:t>采购文件</w:t>
      </w:r>
      <w:r>
        <w:rPr>
          <w:rFonts w:hint="eastAsia" w:ascii="宋体" w:hAnsi="宋体"/>
          <w:color w:val="auto"/>
          <w:szCs w:val="21"/>
          <w:highlight w:val="none"/>
        </w:rPr>
        <w:t>、</w:t>
      </w:r>
      <w:r>
        <w:rPr>
          <w:rFonts w:hint="eastAsia" w:ascii="宋体" w:hAnsi="宋体"/>
          <w:color w:val="auto"/>
          <w:szCs w:val="21"/>
          <w:highlight w:val="none"/>
          <w:lang w:eastAsia="zh-CN"/>
        </w:rPr>
        <w:t>采购文件</w:t>
      </w:r>
      <w:r>
        <w:rPr>
          <w:rFonts w:hint="eastAsia" w:ascii="宋体" w:hAnsi="宋体"/>
          <w:color w:val="auto"/>
          <w:szCs w:val="21"/>
          <w:highlight w:val="none"/>
        </w:rPr>
        <w:t>的澄清、修改、补充及招标答疑等均应报</w:t>
      </w:r>
      <w:r>
        <w:rPr>
          <w:rFonts w:hint="eastAsia" w:ascii="宋体" w:hAnsi="宋体"/>
          <w:color w:val="auto"/>
          <w:szCs w:val="21"/>
          <w:highlight w:val="none"/>
          <w:lang w:eastAsia="zh-CN"/>
        </w:rPr>
        <w:t>相关部门</w:t>
      </w:r>
      <w:r>
        <w:rPr>
          <w:rFonts w:hint="eastAsia" w:ascii="宋体" w:hAnsi="宋体"/>
          <w:color w:val="auto"/>
          <w:szCs w:val="21"/>
          <w:highlight w:val="none"/>
        </w:rPr>
        <w:t>备案后，方可发出。</w:t>
      </w:r>
    </w:p>
    <w:p w14:paraId="3B2701B6">
      <w:pPr>
        <w:shd w:val="clear" w:color="auto" w:fill="auto"/>
        <w:spacing w:line="440" w:lineRule="exact"/>
        <w:rPr>
          <w:rFonts w:hint="eastAsia" w:ascii="宋体"/>
          <w:color w:val="auto"/>
          <w:szCs w:val="21"/>
          <w:highlight w:val="none"/>
        </w:rPr>
      </w:pPr>
      <w:bookmarkStart w:id="31" w:name="_Toc469495726"/>
      <w:r>
        <w:rPr>
          <w:rFonts w:hint="eastAsia"/>
          <w:b/>
          <w:color w:val="auto"/>
          <w:szCs w:val="21"/>
          <w:highlight w:val="none"/>
        </w:rPr>
        <w:t>1</w:t>
      </w:r>
      <w:r>
        <w:rPr>
          <w:rFonts w:hint="eastAsia"/>
          <w:b/>
          <w:color w:val="auto"/>
          <w:szCs w:val="21"/>
          <w:highlight w:val="none"/>
          <w:lang w:val="en-US" w:eastAsia="zh-CN"/>
        </w:rPr>
        <w:t>8</w:t>
      </w:r>
      <w:r>
        <w:rPr>
          <w:rFonts w:hint="eastAsia"/>
          <w:b/>
          <w:color w:val="auto"/>
          <w:szCs w:val="21"/>
          <w:highlight w:val="none"/>
        </w:rPr>
        <w:t xml:space="preserve">. </w:t>
      </w:r>
      <w:r>
        <w:rPr>
          <w:rFonts w:hint="eastAsia" w:ascii="宋体"/>
          <w:color w:val="auto"/>
          <w:szCs w:val="21"/>
          <w:highlight w:val="none"/>
        </w:rPr>
        <w:t>凡需要设置样品情形时，必须明确是否需要随样品提交检测报告，并明确检测机构的要求、检测内容、</w:t>
      </w:r>
      <w:r>
        <w:rPr>
          <w:rFonts w:hint="eastAsia" w:ascii="宋体"/>
          <w:b w:val="0"/>
          <w:bCs w:val="0"/>
          <w:color w:val="auto"/>
          <w:szCs w:val="21"/>
          <w:highlight w:val="none"/>
        </w:rPr>
        <w:t>中标样品封存</w:t>
      </w:r>
      <w:r>
        <w:rPr>
          <w:rFonts w:hint="eastAsia" w:ascii="宋体"/>
          <w:color w:val="auto"/>
          <w:szCs w:val="21"/>
          <w:highlight w:val="none"/>
        </w:rPr>
        <w:t>等事项。（评标委员会无法判断样品是否合格且样品需要提供给第三方权威检测机构检测的,在投标人提供招标人认可的第三方权威检测机构检测报告后，评标委员会推荐的中标候选人方可生效，采购人或代理机构发布中标结果公告。</w:t>
      </w:r>
    </w:p>
    <w:p w14:paraId="308AB5DE">
      <w:pPr>
        <w:shd w:val="clear" w:color="auto" w:fill="auto"/>
        <w:spacing w:line="400" w:lineRule="exact"/>
        <w:ind w:firstLine="420"/>
        <w:rPr>
          <w:rFonts w:hint="eastAsia" w:ascii="宋体"/>
          <w:color w:val="auto"/>
          <w:szCs w:val="21"/>
          <w:highlight w:val="none"/>
        </w:rPr>
      </w:pPr>
      <w:r>
        <w:rPr>
          <w:rFonts w:hint="eastAsia" w:ascii="宋体"/>
          <w:color w:val="auto"/>
          <w:szCs w:val="21"/>
          <w:highlight w:val="none"/>
          <w:lang w:eastAsia="zh-CN"/>
        </w:rPr>
        <w:t>采购文件</w:t>
      </w:r>
      <w:r>
        <w:rPr>
          <w:rFonts w:hint="eastAsia" w:ascii="宋体"/>
          <w:color w:val="auto"/>
          <w:szCs w:val="21"/>
          <w:highlight w:val="none"/>
        </w:rPr>
        <w:t>中应明确样品送检方式、检测费用支付方法、投标人在规定时间内无法提供第三方权威检测机构检测报告的处理方式。（</w:t>
      </w:r>
      <w:r>
        <w:rPr>
          <w:rFonts w:hint="eastAsia" w:ascii="宋体"/>
          <w:color w:val="auto"/>
          <w:szCs w:val="21"/>
          <w:highlight w:val="none"/>
          <w:lang w:eastAsia="zh-CN"/>
        </w:rPr>
        <w:t>采购人</w:t>
      </w:r>
      <w:r>
        <w:rPr>
          <w:rFonts w:hint="eastAsia" w:ascii="宋体"/>
          <w:color w:val="auto"/>
          <w:szCs w:val="21"/>
          <w:highlight w:val="none"/>
        </w:rPr>
        <w:t>根据项目需求按上述要求自行描述）</w:t>
      </w:r>
    </w:p>
    <w:p w14:paraId="16079184">
      <w:pPr>
        <w:shd w:val="clear" w:color="auto" w:fill="auto"/>
        <w:spacing w:before="312" w:beforeLines="100" w:after="312" w:afterLines="100" w:line="440" w:lineRule="exact"/>
        <w:jc w:val="center"/>
        <w:outlineLvl w:val="2"/>
        <w:rPr>
          <w:rFonts w:hint="eastAsia" w:ascii="宋体"/>
          <w:b/>
          <w:color w:val="auto"/>
          <w:sz w:val="28"/>
          <w:szCs w:val="28"/>
          <w:highlight w:val="none"/>
        </w:rPr>
      </w:pPr>
      <w:bookmarkStart w:id="32" w:name="_Toc31366"/>
    </w:p>
    <w:p w14:paraId="7E7EB77C">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4D8EEF5C">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4F4B4C62">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22A520D4">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701BE11A">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6CFEC437">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7C448762">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6F27A0C4">
      <w:pPr>
        <w:shd w:val="clear" w:color="auto" w:fill="auto"/>
        <w:spacing w:before="312" w:beforeLines="100" w:after="312" w:afterLines="100" w:line="440" w:lineRule="exact"/>
        <w:jc w:val="center"/>
        <w:outlineLvl w:val="2"/>
        <w:rPr>
          <w:rFonts w:hint="eastAsia" w:ascii="宋体"/>
          <w:b/>
          <w:color w:val="auto"/>
          <w:sz w:val="28"/>
          <w:szCs w:val="28"/>
          <w:highlight w:val="none"/>
        </w:rPr>
      </w:pPr>
      <w:r>
        <w:rPr>
          <w:rFonts w:hint="eastAsia" w:ascii="宋体"/>
          <w:b/>
          <w:color w:val="auto"/>
          <w:sz w:val="28"/>
          <w:szCs w:val="28"/>
          <w:highlight w:val="none"/>
        </w:rPr>
        <w:t>（三）投标文件的编制</w:t>
      </w:r>
      <w:bookmarkEnd w:id="31"/>
      <w:bookmarkEnd w:id="32"/>
    </w:p>
    <w:p w14:paraId="79A4DAEF">
      <w:pPr>
        <w:shd w:val="clear" w:color="auto" w:fill="auto"/>
        <w:spacing w:line="440" w:lineRule="exact"/>
        <w:rPr>
          <w:rFonts w:hint="eastAsia" w:ascii="宋体" w:cs="宋体"/>
          <w:b/>
          <w:color w:val="auto"/>
          <w:szCs w:val="21"/>
          <w:highlight w:val="none"/>
        </w:rPr>
      </w:pPr>
      <w:r>
        <w:rPr>
          <w:rFonts w:hint="eastAsia"/>
          <w:b/>
          <w:color w:val="auto"/>
          <w:szCs w:val="21"/>
          <w:highlight w:val="none"/>
          <w:lang w:val="en-US" w:eastAsia="zh-CN"/>
        </w:rPr>
        <w:t>19</w:t>
      </w:r>
      <w:r>
        <w:rPr>
          <w:rFonts w:hint="eastAsia"/>
          <w:b/>
          <w:color w:val="auto"/>
          <w:szCs w:val="21"/>
          <w:highlight w:val="none"/>
        </w:rPr>
        <w:t xml:space="preserve">. </w:t>
      </w:r>
      <w:r>
        <w:rPr>
          <w:rFonts w:hint="eastAsia" w:ascii="宋体" w:cs="宋体"/>
          <w:b/>
          <w:color w:val="auto"/>
          <w:szCs w:val="21"/>
          <w:highlight w:val="none"/>
        </w:rPr>
        <w:t>投标的语言及度量衡单位</w:t>
      </w:r>
    </w:p>
    <w:p w14:paraId="40B8FA73">
      <w:pPr>
        <w:shd w:val="clear" w:color="auto" w:fill="auto"/>
        <w:spacing w:line="440" w:lineRule="exact"/>
        <w:ind w:firstLine="285" w:firstLineChars="135"/>
        <w:rPr>
          <w:rFonts w:hint="eastAsia" w:ascii="宋体"/>
          <w:color w:val="auto"/>
          <w:szCs w:val="21"/>
          <w:highlight w:val="none"/>
        </w:rPr>
      </w:pPr>
      <w:r>
        <w:rPr>
          <w:rFonts w:hint="eastAsia" w:ascii="宋体"/>
          <w:color w:val="auto"/>
          <w:szCs w:val="21"/>
          <w:highlight w:val="none"/>
          <w:lang w:val="en-US" w:eastAsia="zh-CN"/>
        </w:rPr>
        <w:t>19</w:t>
      </w:r>
      <w:r>
        <w:rPr>
          <w:rFonts w:hint="eastAsia" w:ascii="宋体"/>
          <w:color w:val="auto"/>
          <w:szCs w:val="21"/>
          <w:highlight w:val="none"/>
        </w:rPr>
        <w:t>.1</w:t>
      </w:r>
      <w:r>
        <w:rPr>
          <w:rFonts w:ascii="宋体" w:hAnsi="宋体"/>
          <w:color w:val="auto"/>
          <w:szCs w:val="21"/>
          <w:highlight w:val="none"/>
        </w:rPr>
        <w:t>投标人</w:t>
      </w:r>
      <w:r>
        <w:rPr>
          <w:rFonts w:hint="eastAsia" w:ascii="宋体" w:hAnsi="宋体"/>
          <w:color w:val="auto"/>
          <w:szCs w:val="21"/>
          <w:highlight w:val="none"/>
        </w:rPr>
        <w:t>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6F6F4254">
      <w:pPr>
        <w:shd w:val="clear" w:color="auto" w:fill="auto"/>
        <w:spacing w:line="440" w:lineRule="exact"/>
        <w:ind w:firstLine="285" w:firstLineChars="135"/>
        <w:rPr>
          <w:rFonts w:hint="eastAsia" w:ascii="宋体"/>
          <w:color w:val="auto"/>
          <w:szCs w:val="21"/>
          <w:highlight w:val="none"/>
        </w:rPr>
      </w:pPr>
      <w:r>
        <w:rPr>
          <w:rFonts w:hint="eastAsia" w:ascii="宋体"/>
          <w:color w:val="auto"/>
          <w:szCs w:val="21"/>
          <w:highlight w:val="none"/>
          <w:lang w:val="en-US" w:eastAsia="zh-CN"/>
        </w:rPr>
        <w:t>19</w:t>
      </w:r>
      <w:r>
        <w:rPr>
          <w:rFonts w:hint="eastAsia" w:ascii="宋体"/>
          <w:color w:val="auto"/>
          <w:szCs w:val="21"/>
          <w:highlight w:val="none"/>
        </w:rPr>
        <w:t>.2除</w:t>
      </w:r>
      <w:r>
        <w:rPr>
          <w:rFonts w:hint="eastAsia" w:ascii="宋体"/>
          <w:color w:val="auto"/>
          <w:szCs w:val="21"/>
          <w:highlight w:val="none"/>
          <w:lang w:eastAsia="zh-CN"/>
        </w:rPr>
        <w:t>采购文件</w:t>
      </w:r>
      <w:r>
        <w:rPr>
          <w:rFonts w:hint="eastAsia" w:ascii="宋体"/>
          <w:color w:val="auto"/>
          <w:szCs w:val="21"/>
          <w:highlight w:val="none"/>
        </w:rPr>
        <w:t>中另有规定外，投标书所使用的度量衡均须采用法定计量单位。</w:t>
      </w:r>
    </w:p>
    <w:p w14:paraId="63AFC662">
      <w:pPr>
        <w:shd w:val="clear" w:color="auto" w:fill="auto"/>
        <w:spacing w:line="400" w:lineRule="exact"/>
        <w:rPr>
          <w:rFonts w:hint="eastAsia" w:ascii="宋体" w:hAnsi="宋体"/>
          <w:b/>
          <w:color w:val="auto"/>
          <w:szCs w:val="21"/>
          <w:highlight w:val="none"/>
        </w:rPr>
      </w:pPr>
      <w:r>
        <w:rPr>
          <w:rFonts w:hint="eastAsia"/>
          <w:b/>
          <w:color w:val="auto"/>
          <w:szCs w:val="21"/>
          <w:highlight w:val="none"/>
        </w:rPr>
        <w:t>2</w:t>
      </w:r>
      <w:r>
        <w:rPr>
          <w:rFonts w:hint="eastAsia"/>
          <w:b/>
          <w:color w:val="auto"/>
          <w:szCs w:val="21"/>
          <w:highlight w:val="none"/>
          <w:lang w:val="en-US" w:eastAsia="zh-CN"/>
        </w:rPr>
        <w:t>0</w:t>
      </w:r>
      <w:r>
        <w:rPr>
          <w:rFonts w:hint="eastAsia"/>
          <w:b/>
          <w:color w:val="auto"/>
          <w:szCs w:val="21"/>
          <w:highlight w:val="none"/>
        </w:rPr>
        <w:t xml:space="preserve">. </w:t>
      </w:r>
      <w:r>
        <w:rPr>
          <w:rFonts w:hint="eastAsia" w:ascii="宋体" w:hAnsi="宋体"/>
          <w:b/>
          <w:color w:val="auto"/>
          <w:szCs w:val="21"/>
          <w:highlight w:val="none"/>
        </w:rPr>
        <w:t>投标文件的组成</w:t>
      </w:r>
    </w:p>
    <w:p w14:paraId="5AAA6F33">
      <w:pPr>
        <w:shd w:val="clear" w:color="auto" w:fill="auto"/>
        <w:spacing w:line="400" w:lineRule="exact"/>
        <w:ind w:firstLine="424" w:firstLineChars="200"/>
        <w:rPr>
          <w:rFonts w:hint="eastAsia" w:ascii="宋体"/>
          <w:color w:val="auto"/>
          <w:szCs w:val="21"/>
          <w:highlight w:val="none"/>
        </w:rPr>
      </w:pPr>
      <w:r>
        <w:rPr>
          <w:rFonts w:hint="eastAsia" w:ascii="宋体" w:hAnsi="宋体"/>
          <w:color w:val="auto"/>
          <w:szCs w:val="21"/>
          <w:highlight w:val="none"/>
        </w:rPr>
        <w:t>资格证明文件和商务及技术文件两部分。</w:t>
      </w:r>
    </w:p>
    <w:p w14:paraId="7D207322">
      <w:pPr>
        <w:shd w:val="clear" w:color="auto" w:fill="auto"/>
        <w:spacing w:line="440" w:lineRule="exact"/>
        <w:rPr>
          <w:rFonts w:hint="eastAsia" w:ascii="宋体" w:eastAsia="宋体"/>
          <w:b/>
          <w:color w:val="auto"/>
          <w:sz w:val="24"/>
          <w:szCs w:val="24"/>
          <w:highlight w:val="none"/>
          <w:lang w:eastAsia="zh-CN"/>
        </w:rPr>
      </w:pPr>
      <w:r>
        <w:rPr>
          <w:rFonts w:hint="eastAsia" w:ascii="宋体"/>
          <w:b/>
          <w:bCs w:val="0"/>
          <w:color w:val="auto"/>
          <w:sz w:val="21"/>
          <w:szCs w:val="21"/>
          <w:highlight w:val="none"/>
        </w:rPr>
        <w:t>2</w:t>
      </w:r>
      <w:r>
        <w:rPr>
          <w:rFonts w:hint="eastAsia" w:ascii="宋体"/>
          <w:b/>
          <w:bCs w:val="0"/>
          <w:color w:val="auto"/>
          <w:sz w:val="21"/>
          <w:szCs w:val="21"/>
          <w:highlight w:val="none"/>
          <w:lang w:val="en-US" w:eastAsia="zh-CN"/>
        </w:rPr>
        <w:t>0</w:t>
      </w:r>
      <w:r>
        <w:rPr>
          <w:rFonts w:hint="eastAsia" w:ascii="宋体"/>
          <w:b/>
          <w:bCs w:val="0"/>
          <w:color w:val="auto"/>
          <w:sz w:val="21"/>
          <w:szCs w:val="21"/>
          <w:highlight w:val="none"/>
        </w:rPr>
        <w:t>.1资格证明文件</w:t>
      </w:r>
      <w:r>
        <w:rPr>
          <w:rFonts w:hint="eastAsia" w:ascii="宋体"/>
          <w:b/>
          <w:bCs w:val="0"/>
          <w:color w:val="auto"/>
          <w:sz w:val="21"/>
          <w:szCs w:val="21"/>
          <w:highlight w:val="none"/>
          <w:lang w:eastAsia="zh-CN"/>
        </w:rPr>
        <w:t>（包括但不限于）</w:t>
      </w:r>
    </w:p>
    <w:p w14:paraId="33E2BA9B">
      <w:pPr>
        <w:shd w:val="clear" w:color="auto" w:fill="auto"/>
        <w:spacing w:line="440" w:lineRule="exact"/>
        <w:ind w:firstLine="310" w:firstLineChars="147"/>
        <w:rPr>
          <w:rFonts w:hint="eastAsia" w:hAnsi="宋体"/>
          <w:color w:val="auto"/>
          <w:szCs w:val="21"/>
          <w:highlight w:val="none"/>
        </w:rPr>
      </w:pPr>
      <w:r>
        <w:rPr>
          <w:rFonts w:hint="eastAsia" w:hAnsi="宋体"/>
          <w:color w:val="auto"/>
          <w:szCs w:val="21"/>
          <w:highlight w:val="none"/>
        </w:rPr>
        <w:t>资格证明</w:t>
      </w:r>
      <w:r>
        <w:rPr>
          <w:rFonts w:hint="eastAsia" w:hAnsi="宋体"/>
          <w:color w:val="auto"/>
          <w:szCs w:val="21"/>
          <w:highlight w:val="none"/>
          <w:lang w:eastAsia="zh-CN"/>
        </w:rPr>
        <w:t>文件</w:t>
      </w:r>
      <w:r>
        <w:rPr>
          <w:rFonts w:hint="eastAsia" w:hAnsi="宋体"/>
          <w:color w:val="auto"/>
          <w:szCs w:val="21"/>
          <w:highlight w:val="none"/>
        </w:rPr>
        <w:t>是证明投标人有资格参加投标和中标后有能力履行合同的文件，这些文件应能满足招标的要求，否则作无效投标处理。</w:t>
      </w:r>
    </w:p>
    <w:p w14:paraId="15D647A3">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 1、法人或者非法人组织的营业执照等证明文件复印件（须加盖本单位章）或自然人的身份证明复印件;</w:t>
      </w:r>
    </w:p>
    <w:p w14:paraId="5423E8DE">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2、法定代表人资格证明书</w:t>
      </w:r>
    </w:p>
    <w:p w14:paraId="64947930">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3、法定代表人授权书</w:t>
      </w:r>
    </w:p>
    <w:p w14:paraId="3B0854E9">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w:t>
      </w:r>
      <w:r>
        <w:rPr>
          <w:rFonts w:hint="eastAsia" w:ascii="宋体" w:hAnsi="宋体" w:cs="Times New Roman"/>
          <w:color w:val="auto"/>
          <w:szCs w:val="21"/>
          <w:highlight w:val="none"/>
          <w:lang w:val="en-US" w:eastAsia="zh-CN"/>
        </w:rPr>
        <w:t>投</w:t>
      </w:r>
      <w:r>
        <w:rPr>
          <w:rFonts w:hint="eastAsia" w:ascii="宋体" w:hAnsi="宋体" w:eastAsia="宋体" w:cs="Times New Roman"/>
          <w:color w:val="auto"/>
          <w:szCs w:val="21"/>
          <w:highlight w:val="none"/>
          <w:lang w:val="en-US" w:eastAsia="zh-CN"/>
        </w:rPr>
        <w:t>标保证金汇款凭证或保函等票据；</w:t>
      </w:r>
    </w:p>
    <w:p w14:paraId="49B1820F">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w:t>
      </w:r>
      <w:r>
        <w:rPr>
          <w:rFonts w:hint="eastAsia" w:ascii="宋体" w:hAnsi="宋体" w:cs="Times New Roman"/>
          <w:color w:val="auto"/>
          <w:szCs w:val="21"/>
          <w:highlight w:val="none"/>
          <w:lang w:val="en-US" w:eastAsia="zh-CN"/>
        </w:rPr>
        <w:t>投标企业须提供投标人（被授权在职人员）近六个月内任意一个月社保证明；</w:t>
      </w:r>
    </w:p>
    <w:p w14:paraId="7F5CF768">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6、参加政府采购活动前3年内在经营活动中没有重大违法记录的书面声明;</w:t>
      </w:r>
    </w:p>
    <w:p w14:paraId="7B8ED634">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7、</w:t>
      </w:r>
      <w:r>
        <w:rPr>
          <w:rFonts w:hint="eastAsia" w:ascii="宋体" w:hAnsi="宋体" w:cs="Times New Roman"/>
          <w:color w:val="auto"/>
          <w:szCs w:val="21"/>
          <w:highlight w:val="none"/>
          <w:lang w:val="en-US" w:eastAsia="zh-CN"/>
        </w:rPr>
        <w:t>参加政府采购活动前三年内，在经营活动中没有重大违法记录；未被“信用中国”（www.creditchina.gov.cn）及中国政府采购网 (www.ccgp.gov.cn）列入失信被执行人名单、重大税收违法失信主体、政府采购严重违法失信行为记录名单；</w:t>
      </w:r>
    </w:p>
    <w:p w14:paraId="73558906">
      <w:pPr>
        <w:shd w:val="clear" w:color="auto" w:fill="auto"/>
        <w:spacing w:line="440" w:lineRule="exact"/>
        <w:ind w:firstLine="285" w:firstLineChars="135"/>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、投标人须知资料表要求的其他资格证明文件</w:t>
      </w:r>
      <w:r>
        <w:rPr>
          <w:rFonts w:hint="eastAsia" w:ascii="宋体" w:hAnsi="宋体" w:cs="Times New Roman"/>
          <w:color w:val="auto"/>
          <w:szCs w:val="21"/>
          <w:highlight w:val="none"/>
          <w:lang w:val="en-US" w:eastAsia="zh-CN"/>
        </w:rPr>
        <w:t>。</w:t>
      </w:r>
    </w:p>
    <w:p w14:paraId="5B66126B">
      <w:pPr>
        <w:shd w:val="clear" w:color="auto" w:fill="auto"/>
        <w:spacing w:line="440" w:lineRule="exact"/>
        <w:rPr>
          <w:rFonts w:hint="eastAsia" w:ascii="Times New Roman" w:hAnsi="宋体" w:eastAsia="宋体" w:cs="Times New Roman"/>
          <w:color w:val="auto"/>
          <w:sz w:val="21"/>
          <w:szCs w:val="21"/>
          <w:highlight w:val="none"/>
        </w:rPr>
      </w:pPr>
      <w:r>
        <w:rPr>
          <w:rFonts w:hint="eastAsia" w:ascii="宋体" w:hAnsi="宋体" w:cs="宋体"/>
          <w:b/>
          <w:color w:val="auto"/>
          <w:sz w:val="21"/>
          <w:szCs w:val="21"/>
          <w:highlight w:val="none"/>
        </w:rPr>
        <w:t>2</w:t>
      </w:r>
      <w:r>
        <w:rPr>
          <w:rFonts w:hint="eastAsia" w:ascii="宋体" w:hAnsi="宋体" w:cs="宋体"/>
          <w:b/>
          <w:color w:val="auto"/>
          <w:sz w:val="21"/>
          <w:szCs w:val="21"/>
          <w:highlight w:val="none"/>
          <w:lang w:val="en-US" w:eastAsia="zh-CN"/>
        </w:rPr>
        <w:t>0</w:t>
      </w:r>
      <w:r>
        <w:rPr>
          <w:rFonts w:hint="eastAsia" w:ascii="宋体" w:hAnsi="宋体" w:cs="宋体"/>
          <w:b/>
          <w:color w:val="auto"/>
          <w:sz w:val="21"/>
          <w:szCs w:val="21"/>
          <w:highlight w:val="none"/>
        </w:rPr>
        <w:t>.2</w:t>
      </w:r>
      <w:r>
        <w:rPr>
          <w:rFonts w:hint="eastAsia" w:ascii="宋体" w:hAnsi="宋体" w:cs="宋体"/>
          <w:b/>
          <w:color w:val="auto"/>
          <w:sz w:val="21"/>
          <w:szCs w:val="21"/>
          <w:highlight w:val="none"/>
          <w:lang w:val="en-US" w:eastAsia="zh-CN"/>
        </w:rPr>
        <w:t xml:space="preserve"> 商务及技术文件</w:t>
      </w:r>
      <w:r>
        <w:rPr>
          <w:rFonts w:hint="eastAsia" w:ascii="宋体"/>
          <w:b/>
          <w:color w:val="auto"/>
          <w:sz w:val="21"/>
          <w:szCs w:val="21"/>
          <w:highlight w:val="none"/>
          <w:lang w:eastAsia="zh-CN"/>
        </w:rPr>
        <w:t>（包括但不限于）</w:t>
      </w:r>
    </w:p>
    <w:p w14:paraId="42E296CC">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1、投标函</w:t>
      </w:r>
    </w:p>
    <w:p w14:paraId="1ABCEA0B">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2、开标一览表</w:t>
      </w:r>
    </w:p>
    <w:p w14:paraId="68C68901">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3、投标分项报价表</w:t>
      </w:r>
    </w:p>
    <w:p w14:paraId="0A65B385">
      <w:pPr>
        <w:shd w:val="clear" w:color="auto" w:fill="auto"/>
        <w:spacing w:line="360" w:lineRule="auto"/>
        <w:ind w:firstLine="285" w:firstLineChars="135"/>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4、货物说明一览表</w:t>
      </w:r>
    </w:p>
    <w:p w14:paraId="26220D64">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lang w:val="en-US" w:eastAsia="zh-CN"/>
        </w:rPr>
        <w:t>、技术规格偏离表</w:t>
      </w:r>
    </w:p>
    <w:p w14:paraId="0E64B719">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lang w:val="en-US" w:eastAsia="zh-CN"/>
        </w:rPr>
        <w:t>、商务条款偏离表</w:t>
      </w:r>
    </w:p>
    <w:p w14:paraId="438C1D34">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、投标人基本情况表</w:t>
      </w:r>
    </w:p>
    <w:p w14:paraId="363EE8A4">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近年</w:t>
      </w:r>
      <w:r>
        <w:rPr>
          <w:rFonts w:hint="eastAsia" w:ascii="宋体" w:hAnsi="宋体" w:eastAsia="宋体" w:cs="Times New Roman"/>
          <w:color w:val="auto"/>
          <w:szCs w:val="21"/>
          <w:highlight w:val="none"/>
          <w:lang w:val="en-US" w:eastAsia="zh-CN"/>
        </w:rPr>
        <w:t>类似项目业绩表</w:t>
      </w:r>
    </w:p>
    <w:p w14:paraId="0737072F">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9</w:t>
      </w:r>
      <w:r>
        <w:rPr>
          <w:rFonts w:hint="eastAsia" w:ascii="宋体" w:hAnsi="宋体" w:eastAsia="宋体" w:cs="Times New Roman"/>
          <w:color w:val="auto"/>
          <w:szCs w:val="21"/>
          <w:highlight w:val="none"/>
          <w:lang w:val="en-US" w:eastAsia="zh-CN"/>
        </w:rPr>
        <w:t>、中小企业声明函(货物)</w:t>
      </w:r>
    </w:p>
    <w:p w14:paraId="4B82669B">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r>
        <w:rPr>
          <w:rFonts w:hint="eastAsia" w:asciiTheme="minorEastAsia" w:hAnsiTheme="minorEastAsia" w:eastAsiaTheme="minorEastAsia" w:cstheme="minorEastAsia"/>
          <w:color w:val="auto"/>
          <w:highlight w:val="none"/>
          <w:lang w:eastAsia="zh-CN"/>
        </w:rPr>
        <w:t>关于符合本国产品标准的声明函</w:t>
      </w:r>
    </w:p>
    <w:p w14:paraId="1DCDCBFE">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11</w:t>
      </w:r>
      <w:r>
        <w:rPr>
          <w:rFonts w:hint="eastAsia" w:ascii="宋体" w:hAnsi="宋体" w:eastAsia="宋体" w:cs="Times New Roman"/>
          <w:color w:val="auto"/>
          <w:szCs w:val="21"/>
          <w:highlight w:val="none"/>
          <w:lang w:val="en-US" w:eastAsia="zh-CN"/>
        </w:rPr>
        <w:t>、投标人关联单位的说明（格式自拟）</w:t>
      </w:r>
    </w:p>
    <w:p w14:paraId="6306AD19">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12、</w:t>
      </w:r>
      <w:r>
        <w:rPr>
          <w:rFonts w:hint="eastAsia" w:ascii="宋体" w:hAnsi="宋体" w:eastAsia="宋体" w:cs="Times New Roman"/>
          <w:color w:val="auto"/>
          <w:szCs w:val="21"/>
          <w:highlight w:val="none"/>
          <w:lang w:val="en-US" w:eastAsia="zh-CN"/>
        </w:rPr>
        <w:t>评分标准和细则中技术部分证明材料（格式自拟）</w:t>
      </w:r>
    </w:p>
    <w:p w14:paraId="32FD666E">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13</w:t>
      </w:r>
      <w:r>
        <w:rPr>
          <w:rFonts w:hint="eastAsia" w:ascii="宋体" w:hAnsi="宋体" w:eastAsia="宋体" w:cs="Times New Roman"/>
          <w:color w:val="auto"/>
          <w:szCs w:val="21"/>
          <w:highlight w:val="none"/>
          <w:lang w:val="en-US" w:eastAsia="zh-CN"/>
        </w:rPr>
        <w:t>、评分标准和细则中</w:t>
      </w:r>
      <w:r>
        <w:rPr>
          <w:rFonts w:hint="eastAsia" w:ascii="宋体" w:hAnsi="宋体" w:cs="Times New Roman"/>
          <w:color w:val="auto"/>
          <w:szCs w:val="21"/>
          <w:highlight w:val="none"/>
          <w:lang w:val="en-US" w:eastAsia="zh-CN"/>
        </w:rPr>
        <w:t>商务</w:t>
      </w:r>
      <w:r>
        <w:rPr>
          <w:rFonts w:hint="eastAsia" w:ascii="宋体" w:hAnsi="宋体" w:eastAsia="宋体" w:cs="Times New Roman"/>
          <w:color w:val="auto"/>
          <w:szCs w:val="21"/>
          <w:highlight w:val="none"/>
          <w:lang w:val="en-US" w:eastAsia="zh-CN"/>
        </w:rPr>
        <w:t>部分证明材料（格式自拟）</w:t>
      </w:r>
    </w:p>
    <w:p w14:paraId="1A6EBD8F">
      <w:pPr>
        <w:shd w:val="clear" w:color="auto" w:fill="auto"/>
        <w:spacing w:line="360" w:lineRule="auto"/>
        <w:ind w:firstLine="285" w:firstLineChars="135"/>
        <w:rPr>
          <w:rFonts w:hint="eastAsia" w:ascii="宋体" w:hAnsi="宋体" w:eastAsia="宋体" w:cs="宋体"/>
          <w:color w:val="auto"/>
          <w:sz w:val="24"/>
          <w:highlight w:val="none"/>
        </w:rPr>
      </w:pPr>
      <w:r>
        <w:rPr>
          <w:rFonts w:hint="eastAsia" w:ascii="宋体" w:hAnsi="宋体" w:cs="Times New Roman"/>
          <w:color w:val="auto"/>
          <w:szCs w:val="21"/>
          <w:highlight w:val="none"/>
          <w:lang w:val="en-US" w:eastAsia="zh-CN"/>
        </w:rPr>
        <w:t>14</w:t>
      </w:r>
      <w:r>
        <w:rPr>
          <w:rFonts w:hint="eastAsia" w:ascii="宋体" w:hAnsi="宋体" w:eastAsia="宋体" w:cs="Times New Roman"/>
          <w:color w:val="auto"/>
          <w:szCs w:val="21"/>
          <w:highlight w:val="none"/>
          <w:lang w:val="en-US" w:eastAsia="zh-CN"/>
        </w:rPr>
        <w:t>、投标人认为有必要提供的其他证明材料（格式自拟）</w:t>
      </w:r>
    </w:p>
    <w:p w14:paraId="3413D1B6">
      <w:pPr>
        <w:shd w:val="clear" w:color="auto" w:fill="auto"/>
        <w:spacing w:line="400" w:lineRule="exact"/>
        <w:ind w:firstLine="420" w:firstLineChars="199"/>
        <w:rPr>
          <w:rFonts w:hint="eastAsia" w:ascii="宋体" w:eastAsia="宋体"/>
          <w:color w:val="auto"/>
          <w:szCs w:val="21"/>
          <w:highlight w:val="none"/>
          <w:lang w:eastAsia="zh-CN"/>
        </w:rPr>
      </w:pPr>
      <w:r>
        <w:rPr>
          <w:rFonts w:hint="eastAsia" w:ascii="宋体" w:hAnsi="宋体" w:eastAsia="宋体" w:cs="宋体"/>
          <w:b/>
          <w:color w:val="auto"/>
          <w:kern w:val="0"/>
          <w:szCs w:val="21"/>
          <w:highlight w:val="none"/>
          <w:u w:val="single"/>
        </w:rPr>
        <w:t>注：以上材料须</w:t>
      </w:r>
      <w:r>
        <w:rPr>
          <w:rFonts w:hint="eastAsia" w:ascii="宋体" w:hAnsi="宋体" w:eastAsia="宋体" w:cs="宋体"/>
          <w:b/>
          <w:color w:val="auto"/>
          <w:kern w:val="0"/>
          <w:szCs w:val="21"/>
          <w:highlight w:val="none"/>
          <w:u w:val="single"/>
          <w:lang w:eastAsia="zh-CN"/>
        </w:rPr>
        <w:t>逐页</w:t>
      </w:r>
      <w:r>
        <w:rPr>
          <w:rFonts w:hint="eastAsia" w:ascii="宋体" w:hAnsi="宋体" w:eastAsia="宋体" w:cs="宋体"/>
          <w:b/>
          <w:color w:val="auto"/>
          <w:kern w:val="0"/>
          <w:szCs w:val="21"/>
          <w:highlight w:val="none"/>
          <w:u w:val="single"/>
        </w:rPr>
        <w:t>加盖单位公章</w:t>
      </w:r>
      <w:r>
        <w:rPr>
          <w:rFonts w:hint="eastAsia" w:ascii="宋体" w:hAnsi="宋体" w:eastAsia="宋体" w:cs="宋体"/>
          <w:b/>
          <w:color w:val="auto"/>
          <w:kern w:val="0"/>
          <w:szCs w:val="21"/>
          <w:highlight w:val="none"/>
          <w:u w:val="single"/>
          <w:lang w:eastAsia="zh-CN"/>
        </w:rPr>
        <w:t>。</w:t>
      </w:r>
    </w:p>
    <w:p w14:paraId="1FE66CCD">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color w:val="auto"/>
          <w:szCs w:val="21"/>
          <w:highlight w:val="none"/>
        </w:rPr>
        <w:t>2</w:t>
      </w:r>
      <w:r>
        <w:rPr>
          <w:rFonts w:hint="eastAsia" w:ascii="宋体"/>
          <w:color w:val="auto"/>
          <w:szCs w:val="21"/>
          <w:highlight w:val="none"/>
          <w:lang w:val="en-US" w:eastAsia="zh-CN"/>
        </w:rPr>
        <w:t>0</w:t>
      </w:r>
      <w:r>
        <w:rPr>
          <w:rFonts w:hint="eastAsia" w:ascii="宋体"/>
          <w:color w:val="auto"/>
          <w:szCs w:val="21"/>
          <w:highlight w:val="none"/>
        </w:rPr>
        <w:t>.</w:t>
      </w:r>
      <w:r>
        <w:rPr>
          <w:rFonts w:hint="eastAsia" w:ascii="宋体"/>
          <w:color w:val="auto"/>
          <w:szCs w:val="21"/>
          <w:highlight w:val="none"/>
          <w:lang w:val="en-US" w:eastAsia="zh-CN"/>
        </w:rPr>
        <w:t>3</w:t>
      </w:r>
      <w:r>
        <w:rPr>
          <w:rFonts w:hint="eastAsia" w:ascii="宋体" w:hAnsi="宋体" w:eastAsia="宋体" w:cs="Times New Roman"/>
          <w:color w:val="auto"/>
          <w:szCs w:val="21"/>
          <w:highlight w:val="none"/>
          <w:lang w:eastAsia="zh-CN"/>
        </w:rPr>
        <w:t>投标文件的要求</w:t>
      </w:r>
    </w:p>
    <w:p w14:paraId="76AEC8E2">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34C05BB6">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）投标文件格式应按本采购文件第六章格式要求编制，不得对采购文件格式进行增删更改，否则按无效标处理。</w:t>
      </w:r>
    </w:p>
    <w:p w14:paraId="70CC4533">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67A82ABD">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eastAsia="zh-CN"/>
        </w:rPr>
        <w:t>）投标文件为电子投标文件，电子投标文件按“政采云供应商项目采购-电子招投标操作指南”及本采购文件要求制作、加密传输。</w:t>
      </w:r>
    </w:p>
    <w:p w14:paraId="79CEE730">
      <w:pPr>
        <w:shd w:val="clear" w:color="auto" w:fill="auto"/>
        <w:spacing w:line="400" w:lineRule="exact"/>
        <w:ind w:firstLine="420" w:firstLineChars="199"/>
        <w:rPr>
          <w:rFonts w:hint="eastAsia" w:ascii="宋体"/>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）投标文件未在投标截止时间前完成传输的，视为投标文件撤回；投标文件未按时解密也未提供备份投标文件的，亦视为投标文件撤回。</w:t>
      </w:r>
    </w:p>
    <w:p w14:paraId="4CDBFEE7">
      <w:pPr>
        <w:shd w:val="clear" w:color="auto" w:fill="auto"/>
        <w:spacing w:line="440" w:lineRule="exact"/>
        <w:rPr>
          <w:rFonts w:hint="eastAsia" w:ascii="宋体"/>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1</w:t>
      </w:r>
      <w:r>
        <w:rPr>
          <w:rFonts w:hint="eastAsia" w:ascii="宋体"/>
          <w:color w:val="auto"/>
          <w:szCs w:val="21"/>
          <w:highlight w:val="none"/>
        </w:rPr>
        <w:t>.</w:t>
      </w:r>
      <w:r>
        <w:rPr>
          <w:rFonts w:hint="eastAsia" w:ascii="宋体"/>
          <w:b/>
          <w:color w:val="auto"/>
          <w:szCs w:val="21"/>
          <w:highlight w:val="none"/>
        </w:rPr>
        <w:t>投标报价</w:t>
      </w:r>
    </w:p>
    <w:p w14:paraId="2969BC0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.1投标报价文件中的单价和总价全部采用人民币表示。</w:t>
      </w:r>
    </w:p>
    <w:p w14:paraId="127DF048">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.2投标报价表上应清楚标明投标人拟提供</w:t>
      </w:r>
      <w:r>
        <w:rPr>
          <w:rFonts w:hint="eastAsia" w:ascii="宋体"/>
          <w:color w:val="auto"/>
          <w:szCs w:val="21"/>
          <w:highlight w:val="none"/>
          <w:lang w:val="en-US" w:eastAsia="zh-CN"/>
        </w:rPr>
        <w:t>货物（服务）</w:t>
      </w:r>
      <w:r>
        <w:rPr>
          <w:rFonts w:hint="eastAsia" w:ascii="宋体"/>
          <w:color w:val="auto"/>
          <w:szCs w:val="21"/>
          <w:highlight w:val="none"/>
        </w:rPr>
        <w:t>的名称、数量、单价和总价。</w:t>
      </w:r>
    </w:p>
    <w:p w14:paraId="47BD3903">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.3投标人只允许有一个方案、一个报价。</w:t>
      </w:r>
    </w:p>
    <w:p w14:paraId="14A4574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.4投标人应按“采购内容及技术参数要求”所列</w:t>
      </w:r>
      <w:r>
        <w:rPr>
          <w:rFonts w:hint="eastAsia" w:ascii="宋体"/>
          <w:color w:val="auto"/>
          <w:szCs w:val="21"/>
          <w:highlight w:val="none"/>
          <w:lang w:val="en-US" w:eastAsia="zh-CN"/>
        </w:rPr>
        <w:t>服务</w:t>
      </w:r>
      <w:r>
        <w:rPr>
          <w:rFonts w:hint="eastAsia" w:ascii="宋体"/>
          <w:color w:val="auto"/>
          <w:szCs w:val="21"/>
          <w:highlight w:val="none"/>
        </w:rPr>
        <w:t>逐项进行单价报价，并最终按</w:t>
      </w:r>
      <w:r>
        <w:rPr>
          <w:rFonts w:hint="eastAsia" w:ascii="宋体"/>
          <w:color w:val="auto"/>
          <w:szCs w:val="21"/>
          <w:highlight w:val="none"/>
          <w:lang w:val="en-US" w:eastAsia="zh-CN"/>
        </w:rPr>
        <w:t>服务</w:t>
      </w:r>
      <w:r>
        <w:rPr>
          <w:rFonts w:hint="eastAsia" w:ascii="宋体"/>
          <w:color w:val="auto"/>
          <w:szCs w:val="21"/>
          <w:highlight w:val="none"/>
        </w:rPr>
        <w:t>总量乘以货物单价报总价，不得采用总价下浮的方式进行报价。综合单价包括：设备费、安装费、材料费、辅材费、运输费、管理费、利润、风险费用、代理费、调试、验收、培训及后期服务及国家对中标单位征收的各种税费等所有一切费用，综合单价今后将不作任何调整。</w:t>
      </w:r>
    </w:p>
    <w:p w14:paraId="5C211CB2">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.5投标报价的价格是</w:t>
      </w:r>
      <w:r>
        <w:rPr>
          <w:rFonts w:hint="eastAsia" w:ascii="宋体"/>
          <w:color w:val="auto"/>
          <w:szCs w:val="21"/>
          <w:highlight w:val="none"/>
          <w:lang w:val="en-US" w:eastAsia="zh-CN"/>
        </w:rPr>
        <w:t>货物及服务</w:t>
      </w:r>
      <w:r>
        <w:rPr>
          <w:rFonts w:hint="eastAsia" w:ascii="宋体"/>
          <w:color w:val="auto"/>
          <w:szCs w:val="21"/>
          <w:highlight w:val="none"/>
        </w:rPr>
        <w:t>交货地验收价格，其总价即为履行合同的固定总价。</w:t>
      </w:r>
    </w:p>
    <w:p w14:paraId="6E99140D">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.6技术要求中规定的安装、调试和培训费用应包括在投标价格中。投标文件报价为含税价，招标人不再为此次招标支付任何费用。</w:t>
      </w:r>
    </w:p>
    <w:p w14:paraId="577D5DC3">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.7投标报价应由法定代表人或被授权人签署。</w:t>
      </w:r>
    </w:p>
    <w:p w14:paraId="06365B60">
      <w:pPr>
        <w:shd w:val="clear" w:color="auto" w:fill="auto"/>
        <w:spacing w:line="440" w:lineRule="exact"/>
        <w:ind w:firstLine="424" w:firstLineChars="200"/>
        <w:rPr>
          <w:rFonts w:hint="eastAsia" w:ascii="宋体"/>
          <w:bCs/>
          <w:color w:val="auto"/>
          <w:szCs w:val="21"/>
          <w:highlight w:val="none"/>
        </w:rPr>
      </w:pPr>
      <w:r>
        <w:rPr>
          <w:rFonts w:hint="eastAsia" w:ascii="宋体"/>
          <w:bCs/>
          <w:color w:val="auto"/>
          <w:szCs w:val="21"/>
          <w:highlight w:val="none"/>
        </w:rPr>
        <w:t>2</w:t>
      </w:r>
      <w:r>
        <w:rPr>
          <w:rFonts w:hint="eastAsia" w:ascii="宋体"/>
          <w:bCs/>
          <w:color w:val="auto"/>
          <w:szCs w:val="21"/>
          <w:highlight w:val="none"/>
          <w:lang w:val="en-US" w:eastAsia="zh-CN"/>
        </w:rPr>
        <w:t>1</w:t>
      </w:r>
      <w:r>
        <w:rPr>
          <w:rFonts w:hint="eastAsia" w:ascii="宋体"/>
          <w:bCs/>
          <w:color w:val="auto"/>
          <w:szCs w:val="21"/>
          <w:highlight w:val="none"/>
        </w:rPr>
        <w:t>.8</w:t>
      </w:r>
      <w:r>
        <w:rPr>
          <w:rFonts w:hint="eastAsia" w:ascii="宋体" w:hAnsi="宋体"/>
          <w:b/>
          <w:color w:val="auto"/>
          <w:szCs w:val="21"/>
          <w:highlight w:val="none"/>
        </w:rPr>
        <w:t>投标人投标总报价，不得高于本次招标设置的最高限价，</w:t>
      </w:r>
      <w:r>
        <w:rPr>
          <w:rFonts w:hint="eastAsia" w:ascii="宋体" w:hAnsi="宋体"/>
          <w:b/>
          <w:bCs/>
          <w:color w:val="auto"/>
          <w:szCs w:val="21"/>
          <w:highlight w:val="none"/>
        </w:rPr>
        <w:t>否则将作为无效投标处理。</w:t>
      </w:r>
    </w:p>
    <w:p w14:paraId="75601D5F">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.9如投标文件中未列明全面实现投标</w:t>
      </w:r>
      <w:r>
        <w:rPr>
          <w:rFonts w:hint="eastAsia" w:ascii="宋体"/>
          <w:color w:val="auto"/>
          <w:szCs w:val="21"/>
          <w:highlight w:val="none"/>
          <w:lang w:val="en-US" w:eastAsia="zh-CN"/>
        </w:rPr>
        <w:t>服务</w:t>
      </w:r>
      <w:r>
        <w:rPr>
          <w:rFonts w:hint="eastAsia" w:ascii="宋体"/>
          <w:color w:val="auto"/>
          <w:szCs w:val="21"/>
          <w:highlight w:val="none"/>
        </w:rPr>
        <w:t>功能而必须配置的配套或辅助设施及相应技术措施的费用，这些费用将被视为已包含在总投标价中。</w:t>
      </w:r>
    </w:p>
    <w:p w14:paraId="1E7C58A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.10总投标价中不得包含</w:t>
      </w:r>
      <w:r>
        <w:rPr>
          <w:rFonts w:hint="eastAsia" w:ascii="宋体"/>
          <w:color w:val="auto"/>
          <w:szCs w:val="21"/>
          <w:highlight w:val="none"/>
          <w:lang w:eastAsia="zh-CN"/>
        </w:rPr>
        <w:t>采购文件</w:t>
      </w:r>
      <w:r>
        <w:rPr>
          <w:rFonts w:hint="eastAsia" w:ascii="宋体"/>
          <w:color w:val="auto"/>
          <w:szCs w:val="21"/>
          <w:highlight w:val="none"/>
        </w:rPr>
        <w:t>要求以外的内容，否则，在评标时不予核减，但在授予合同时，招标人有权将这部分价格从其中标价格中扣除。</w:t>
      </w:r>
    </w:p>
    <w:p w14:paraId="03F92577">
      <w:pPr>
        <w:shd w:val="clear" w:color="auto" w:fill="auto"/>
        <w:spacing w:line="440" w:lineRule="exact"/>
        <w:ind w:firstLine="406" w:firstLineChars="192"/>
        <w:rPr>
          <w:rFonts w:hint="default" w:ascii="宋体" w:eastAsia="宋体"/>
          <w:color w:val="auto"/>
          <w:szCs w:val="21"/>
          <w:highlight w:val="none"/>
          <w:lang w:val="en-US" w:eastAsia="zh-CN"/>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.11总投标价中不得缺漏</w:t>
      </w:r>
      <w:r>
        <w:rPr>
          <w:rFonts w:hint="eastAsia" w:ascii="宋体"/>
          <w:color w:val="auto"/>
          <w:szCs w:val="21"/>
          <w:highlight w:val="none"/>
          <w:lang w:eastAsia="zh-CN"/>
        </w:rPr>
        <w:t>采购文件</w:t>
      </w:r>
      <w:r>
        <w:rPr>
          <w:rFonts w:hint="eastAsia" w:ascii="宋体"/>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宋体"/>
          <w:color w:val="auto"/>
          <w:szCs w:val="21"/>
          <w:highlight w:val="none"/>
          <w:lang w:val="en-US" w:eastAsia="zh-CN"/>
        </w:rPr>
        <w:t xml:space="preserve">    </w:t>
      </w:r>
    </w:p>
    <w:p w14:paraId="590E1ED8">
      <w:pPr>
        <w:shd w:val="clear" w:color="auto" w:fill="auto"/>
        <w:spacing w:line="440" w:lineRule="exact"/>
        <w:ind w:firstLine="406" w:firstLineChars="192"/>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.12投标人不得对从第三方采购</w:t>
      </w:r>
      <w:r>
        <w:rPr>
          <w:rFonts w:hint="eastAsia" w:ascii="宋体"/>
          <w:color w:val="auto"/>
          <w:szCs w:val="21"/>
          <w:highlight w:val="none"/>
          <w:lang w:val="en-US" w:eastAsia="zh-CN"/>
        </w:rPr>
        <w:t>货物及服务</w:t>
      </w:r>
      <w:r>
        <w:rPr>
          <w:rFonts w:hint="eastAsia" w:ascii="宋体"/>
          <w:color w:val="auto"/>
          <w:szCs w:val="21"/>
          <w:highlight w:val="none"/>
        </w:rPr>
        <w:t>的随机备品、备件另行收费，否则在计算评标价时这部分费用将不予扣除，在授予合同时将从中标价格中扣除该部分费用。</w:t>
      </w:r>
    </w:p>
    <w:p w14:paraId="362418C6">
      <w:pPr>
        <w:shd w:val="clear" w:color="auto" w:fill="auto"/>
        <w:spacing w:line="440" w:lineRule="exact"/>
        <w:ind w:firstLine="406" w:firstLineChars="192"/>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.13投标人应根据</w:t>
      </w:r>
      <w:r>
        <w:rPr>
          <w:rFonts w:hint="eastAsia" w:ascii="宋体"/>
          <w:color w:val="auto"/>
          <w:szCs w:val="21"/>
          <w:highlight w:val="none"/>
          <w:lang w:val="en-US" w:eastAsia="zh-CN"/>
        </w:rPr>
        <w:t>服务</w:t>
      </w:r>
      <w:r>
        <w:rPr>
          <w:rFonts w:hint="eastAsia" w:ascii="宋体"/>
          <w:color w:val="auto"/>
          <w:szCs w:val="21"/>
          <w:highlight w:val="none"/>
        </w:rPr>
        <w:t>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7DB8AC23">
      <w:pPr>
        <w:shd w:val="clear" w:color="auto" w:fill="auto"/>
        <w:spacing w:line="440" w:lineRule="exact"/>
        <w:rPr>
          <w:rFonts w:hint="eastAsia" w:ascii="宋体"/>
          <w:b/>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2</w:t>
      </w:r>
      <w:r>
        <w:rPr>
          <w:rFonts w:hint="eastAsia" w:ascii="宋体"/>
          <w:b/>
          <w:color w:val="auto"/>
          <w:szCs w:val="21"/>
          <w:highlight w:val="none"/>
        </w:rPr>
        <w:t>. 投标有效期</w:t>
      </w:r>
    </w:p>
    <w:p w14:paraId="49A94ECB">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2</w:t>
      </w:r>
      <w:r>
        <w:rPr>
          <w:rFonts w:hint="eastAsia" w:ascii="宋体"/>
          <w:color w:val="auto"/>
          <w:szCs w:val="21"/>
          <w:highlight w:val="none"/>
        </w:rPr>
        <w:t>.1 除投标人须知前附表另有规定外，投标有效期为60天。</w:t>
      </w:r>
    </w:p>
    <w:p w14:paraId="5196EEC6">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2</w:t>
      </w:r>
      <w:r>
        <w:rPr>
          <w:rFonts w:hint="eastAsia" w:ascii="宋体"/>
          <w:color w:val="auto"/>
          <w:szCs w:val="21"/>
          <w:highlight w:val="none"/>
        </w:rPr>
        <w:t>.2在投标有效期内，投标人撤销或修改其投标文件的，应承担</w:t>
      </w:r>
      <w:r>
        <w:rPr>
          <w:rFonts w:hint="eastAsia" w:ascii="宋体"/>
          <w:color w:val="auto"/>
          <w:szCs w:val="21"/>
          <w:highlight w:val="none"/>
          <w:lang w:eastAsia="zh-CN"/>
        </w:rPr>
        <w:t>采购文件</w:t>
      </w:r>
      <w:r>
        <w:rPr>
          <w:rFonts w:hint="eastAsia" w:ascii="宋体"/>
          <w:color w:val="auto"/>
          <w:szCs w:val="21"/>
          <w:highlight w:val="none"/>
        </w:rPr>
        <w:t>和法律规定的责任。</w:t>
      </w:r>
    </w:p>
    <w:p w14:paraId="18B8D75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2</w:t>
      </w:r>
      <w:r>
        <w:rPr>
          <w:rFonts w:hint="eastAsia" w:ascii="宋体"/>
          <w:color w:val="auto"/>
          <w:szCs w:val="21"/>
          <w:highlight w:val="none"/>
        </w:rPr>
        <w:t>.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9AB8328">
      <w:pPr>
        <w:shd w:val="clear" w:color="auto" w:fill="auto"/>
        <w:spacing w:line="440" w:lineRule="exact"/>
        <w:rPr>
          <w:rFonts w:hint="eastAsia" w:ascii="宋体"/>
          <w:b/>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3</w:t>
      </w:r>
      <w:r>
        <w:rPr>
          <w:rFonts w:hint="eastAsia" w:ascii="宋体"/>
          <w:b/>
          <w:color w:val="auto"/>
          <w:szCs w:val="21"/>
          <w:highlight w:val="none"/>
        </w:rPr>
        <w:t>. 投标保证金</w:t>
      </w:r>
    </w:p>
    <w:p w14:paraId="44402902">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2E5B72D0">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.2自中标通知书发出之日起5个工作日内退还未中标投标人的投标保证金，自政府采购合同签订之日起5个工作日内退还中标人的投标保证金。</w:t>
      </w:r>
    </w:p>
    <w:p w14:paraId="0C3FBFE8">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 xml:space="preserve">.3有下列情形之一的，投标保证金将不予退还： </w:t>
      </w:r>
    </w:p>
    <w:p w14:paraId="09F91E3C">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（1）投标人在规定的投标有效期内撤回或修改其投标文件；</w:t>
      </w:r>
    </w:p>
    <w:p w14:paraId="0375FC18">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（2）中标通知书发出后三十天内，中标人无正当理由拒签合同协议书或未按</w:t>
      </w:r>
      <w:r>
        <w:rPr>
          <w:rFonts w:hint="eastAsia" w:ascii="宋体"/>
          <w:color w:val="auto"/>
          <w:szCs w:val="21"/>
          <w:highlight w:val="none"/>
          <w:lang w:eastAsia="zh-CN"/>
        </w:rPr>
        <w:t>采购文件</w:t>
      </w:r>
      <w:r>
        <w:rPr>
          <w:rFonts w:hint="eastAsia" w:ascii="宋体"/>
          <w:color w:val="auto"/>
          <w:szCs w:val="21"/>
          <w:highlight w:val="none"/>
        </w:rPr>
        <w:t>规定提交履约担保。</w:t>
      </w:r>
    </w:p>
    <w:p w14:paraId="174BBC05">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（3）提供虚假材料谋取中标的；</w:t>
      </w:r>
    </w:p>
    <w:p w14:paraId="5D93AB86">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（4）经查实属于陪标、串通投标的等。</w:t>
      </w:r>
    </w:p>
    <w:p w14:paraId="3EBB7AE2">
      <w:pPr>
        <w:shd w:val="clear" w:color="auto" w:fill="auto"/>
        <w:spacing w:line="400" w:lineRule="exact"/>
        <w:ind w:firstLine="424" w:firstLineChars="200"/>
        <w:rPr>
          <w:rFonts w:hint="eastAsia" w:ascii="宋体"/>
          <w:color w:val="auto"/>
          <w:szCs w:val="21"/>
          <w:highlight w:val="none"/>
        </w:rPr>
      </w:pPr>
      <w:bookmarkStart w:id="33" w:name="_Toc469495727"/>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.4投标保证金按</w:t>
      </w:r>
      <w:r>
        <w:rPr>
          <w:rFonts w:hint="eastAsia" w:ascii="宋体"/>
          <w:color w:val="auto"/>
          <w:szCs w:val="21"/>
          <w:highlight w:val="none"/>
          <w:lang w:eastAsia="zh-CN"/>
        </w:rPr>
        <w:t>投标人须知前附表第</w:t>
      </w:r>
      <w:r>
        <w:rPr>
          <w:rFonts w:hint="eastAsia" w:ascii="宋体"/>
          <w:color w:val="auto"/>
          <w:szCs w:val="21"/>
          <w:highlight w:val="none"/>
          <w:lang w:val="en-US" w:eastAsia="zh-CN"/>
        </w:rPr>
        <w:t>20、21条</w:t>
      </w:r>
      <w:r>
        <w:rPr>
          <w:rFonts w:hint="eastAsia" w:ascii="宋体"/>
          <w:color w:val="auto"/>
          <w:szCs w:val="21"/>
          <w:highlight w:val="none"/>
        </w:rPr>
        <w:t>规定执行。</w:t>
      </w:r>
    </w:p>
    <w:p w14:paraId="239199A5">
      <w:pPr>
        <w:pStyle w:val="2"/>
        <w:shd w:val="clear" w:color="auto" w:fill="auto"/>
        <w:bidi w:val="0"/>
        <w:jc w:val="center"/>
        <w:rPr>
          <w:rFonts w:hint="eastAsia"/>
          <w:color w:val="auto"/>
          <w:sz w:val="28"/>
          <w:szCs w:val="28"/>
          <w:highlight w:val="none"/>
        </w:rPr>
      </w:pPr>
      <w:bookmarkStart w:id="34" w:name="_Toc352"/>
    </w:p>
    <w:p w14:paraId="573444F6">
      <w:pPr>
        <w:pStyle w:val="2"/>
        <w:shd w:val="clear" w:color="auto" w:fill="auto"/>
        <w:bidi w:val="0"/>
        <w:jc w:val="center"/>
        <w:rPr>
          <w:rFonts w:hint="eastAsia"/>
          <w:color w:val="auto"/>
          <w:sz w:val="28"/>
          <w:szCs w:val="28"/>
          <w:highlight w:val="none"/>
        </w:rPr>
      </w:pPr>
    </w:p>
    <w:p w14:paraId="707BF16E">
      <w:pPr>
        <w:pStyle w:val="2"/>
        <w:shd w:val="clear" w:color="auto" w:fill="auto"/>
        <w:bidi w:val="0"/>
        <w:jc w:val="center"/>
        <w:rPr>
          <w:rFonts w:hint="eastAsia"/>
          <w:color w:val="auto"/>
          <w:sz w:val="28"/>
          <w:szCs w:val="28"/>
          <w:highlight w:val="none"/>
        </w:rPr>
      </w:pPr>
    </w:p>
    <w:p w14:paraId="1A252991">
      <w:pPr>
        <w:pStyle w:val="2"/>
        <w:shd w:val="clear" w:color="auto" w:fill="auto"/>
        <w:bidi w:val="0"/>
        <w:jc w:val="center"/>
        <w:rPr>
          <w:rFonts w:hint="eastAsia"/>
          <w:color w:val="auto"/>
          <w:sz w:val="28"/>
          <w:szCs w:val="28"/>
          <w:highlight w:val="none"/>
        </w:rPr>
      </w:pPr>
    </w:p>
    <w:p w14:paraId="38DA625D">
      <w:pPr>
        <w:pStyle w:val="2"/>
        <w:shd w:val="clear" w:color="auto" w:fill="auto"/>
        <w:bidi w:val="0"/>
        <w:jc w:val="center"/>
        <w:rPr>
          <w:rFonts w:hint="eastAsia"/>
          <w:color w:val="auto"/>
          <w:sz w:val="28"/>
          <w:szCs w:val="28"/>
          <w:highlight w:val="none"/>
        </w:rPr>
      </w:pPr>
    </w:p>
    <w:p w14:paraId="675F3657">
      <w:pPr>
        <w:pStyle w:val="2"/>
        <w:shd w:val="clear" w:color="auto" w:fill="auto"/>
        <w:bidi w:val="0"/>
        <w:jc w:val="center"/>
        <w:rPr>
          <w:rFonts w:hint="eastAsia"/>
          <w:color w:val="auto"/>
          <w:sz w:val="28"/>
          <w:szCs w:val="28"/>
          <w:highlight w:val="none"/>
        </w:rPr>
      </w:pPr>
    </w:p>
    <w:p w14:paraId="1C7395BD">
      <w:pPr>
        <w:pStyle w:val="2"/>
        <w:shd w:val="clear" w:color="auto" w:fill="auto"/>
        <w:bidi w:val="0"/>
        <w:jc w:val="center"/>
        <w:rPr>
          <w:rFonts w:hint="eastAsia"/>
          <w:color w:val="auto"/>
          <w:sz w:val="28"/>
          <w:szCs w:val="28"/>
          <w:highlight w:val="none"/>
        </w:rPr>
      </w:pPr>
    </w:p>
    <w:p w14:paraId="35BF664E">
      <w:pPr>
        <w:rPr>
          <w:rFonts w:hint="eastAsia"/>
          <w:color w:val="auto"/>
          <w:sz w:val="28"/>
          <w:szCs w:val="28"/>
          <w:highlight w:val="none"/>
        </w:rPr>
      </w:pPr>
    </w:p>
    <w:p w14:paraId="36175CB2">
      <w:pPr>
        <w:pStyle w:val="6"/>
        <w:rPr>
          <w:rFonts w:hint="eastAsia"/>
          <w:color w:val="auto"/>
          <w:sz w:val="28"/>
          <w:szCs w:val="28"/>
          <w:highlight w:val="none"/>
        </w:rPr>
      </w:pPr>
    </w:p>
    <w:p w14:paraId="4A1FCC8E">
      <w:pPr>
        <w:rPr>
          <w:rFonts w:hint="eastAsia"/>
          <w:color w:val="auto"/>
          <w:highlight w:val="none"/>
        </w:rPr>
      </w:pPr>
    </w:p>
    <w:p w14:paraId="033727E9">
      <w:pPr>
        <w:pStyle w:val="6"/>
        <w:rPr>
          <w:rFonts w:hint="eastAsia"/>
          <w:color w:val="auto"/>
          <w:highlight w:val="none"/>
        </w:rPr>
      </w:pPr>
    </w:p>
    <w:p w14:paraId="7D3EE2EA">
      <w:pPr>
        <w:rPr>
          <w:rFonts w:hint="eastAsia"/>
          <w:color w:val="auto"/>
          <w:highlight w:val="none"/>
        </w:rPr>
      </w:pPr>
    </w:p>
    <w:p w14:paraId="732F8FD5">
      <w:pPr>
        <w:pStyle w:val="2"/>
        <w:shd w:val="clear" w:color="auto" w:fill="auto"/>
        <w:bidi w:val="0"/>
        <w:jc w:val="center"/>
        <w:rPr>
          <w:rFonts w:hint="eastAsia"/>
          <w:color w:val="auto"/>
          <w:sz w:val="28"/>
          <w:szCs w:val="28"/>
          <w:highlight w:val="none"/>
        </w:rPr>
      </w:pPr>
      <w:r>
        <w:rPr>
          <w:rFonts w:hint="eastAsia"/>
          <w:color w:val="auto"/>
          <w:sz w:val="28"/>
          <w:szCs w:val="28"/>
          <w:highlight w:val="none"/>
        </w:rPr>
        <w:t>（四）</w:t>
      </w:r>
      <w:bookmarkEnd w:id="33"/>
      <w:r>
        <w:rPr>
          <w:rFonts w:hint="eastAsia"/>
          <w:color w:val="auto"/>
          <w:sz w:val="28"/>
          <w:szCs w:val="28"/>
          <w:highlight w:val="none"/>
        </w:rPr>
        <w:t>投标文件的制作、上传及递交要求</w:t>
      </w:r>
      <w:bookmarkEnd w:id="34"/>
    </w:p>
    <w:p w14:paraId="4CFEE896">
      <w:pPr>
        <w:shd w:val="clear" w:color="auto" w:fill="auto"/>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24.</w:t>
      </w:r>
      <w:r>
        <w:rPr>
          <w:rFonts w:hint="eastAsia" w:ascii="宋体" w:hAnsi="宋体" w:eastAsia="宋体" w:cs="宋体"/>
          <w:b/>
          <w:bCs/>
          <w:color w:val="auto"/>
          <w:sz w:val="21"/>
          <w:szCs w:val="21"/>
          <w:highlight w:val="none"/>
        </w:rPr>
        <w:t>投标文件的制作要求</w:t>
      </w:r>
    </w:p>
    <w:p w14:paraId="05E4E17D">
      <w:pPr>
        <w:pStyle w:val="6"/>
        <w:shd w:val="clear" w:color="auto" w:fill="auto"/>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（1）供应商应按照投标文件组成内容及项目招标需求和</w:t>
      </w:r>
      <w:r>
        <w:rPr>
          <w:rFonts w:hint="eastAsia" w:ascii="宋体" w:hAnsi="宋体" w:eastAsia="宋体" w:cs="宋体"/>
          <w:b w:val="0"/>
          <w:bCs/>
          <w:color w:val="auto"/>
          <w:sz w:val="21"/>
          <w:szCs w:val="21"/>
          <w:highlight w:val="none"/>
          <w:lang w:eastAsia="zh-CN"/>
        </w:rPr>
        <w:t>新疆</w:t>
      </w:r>
      <w:r>
        <w:rPr>
          <w:rFonts w:hint="eastAsia" w:ascii="宋体" w:hAnsi="宋体" w:eastAsia="宋体" w:cs="宋体"/>
          <w:b w:val="0"/>
          <w:bCs/>
          <w:color w:val="auto"/>
          <w:sz w:val="21"/>
          <w:szCs w:val="21"/>
          <w:highlight w:val="none"/>
        </w:rPr>
        <w:t>政府采购云平台要求制作投标文件，不按采购文件和</w:t>
      </w:r>
      <w:r>
        <w:rPr>
          <w:rFonts w:hint="eastAsia" w:ascii="宋体" w:hAnsi="宋体" w:eastAsia="宋体" w:cs="宋体"/>
          <w:b w:val="0"/>
          <w:bCs/>
          <w:color w:val="auto"/>
          <w:sz w:val="21"/>
          <w:szCs w:val="21"/>
          <w:highlight w:val="none"/>
          <w:lang w:eastAsia="zh-CN"/>
        </w:rPr>
        <w:t>新疆</w:t>
      </w:r>
      <w:r>
        <w:rPr>
          <w:rFonts w:hint="eastAsia" w:ascii="宋体" w:hAnsi="宋体" w:eastAsia="宋体" w:cs="宋体"/>
          <w:b w:val="0"/>
          <w:bCs/>
          <w:color w:val="auto"/>
          <w:sz w:val="21"/>
          <w:szCs w:val="21"/>
          <w:highlight w:val="none"/>
        </w:rPr>
        <w:t>政府采购云平台要求制作投标文件的将视情况处理（拒收等），由此产生的责任由供应商自行承担。</w:t>
      </w:r>
    </w:p>
    <w:p w14:paraId="200B3032">
      <w:pPr>
        <w:pStyle w:val="6"/>
        <w:shd w:val="clear" w:color="auto" w:fill="auto"/>
        <w:snapToGrid w:val="0"/>
        <w:spacing w:line="360" w:lineRule="auto"/>
        <w:ind w:firstLine="424" w:firstLineChars="200"/>
        <w:rPr>
          <w:rFonts w:hint="eastAsia" w:ascii="宋体" w:hAnsi="宋体" w:eastAsia="宋体" w:cs="宋体"/>
          <w:b w:val="0"/>
          <w:color w:val="auto"/>
          <w:sz w:val="21"/>
          <w:szCs w:val="21"/>
          <w:highlight w:val="none"/>
        </w:rPr>
      </w:pPr>
      <w:r>
        <w:rPr>
          <w:rFonts w:hint="eastAsia" w:ascii="宋体" w:hAnsi="宋体" w:eastAsia="宋体" w:cs="宋体"/>
          <w:bCs/>
          <w:color w:val="auto"/>
          <w:sz w:val="21"/>
          <w:szCs w:val="21"/>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14C30564">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（2）供应商应对所提供的全部资料的真实性、有效性承担法律责任，电子投标文件中所须加盖公章部分均采用CA签章。</w:t>
      </w:r>
    </w:p>
    <w:p w14:paraId="2036DD67">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（3）投标文件以及供应商与采购组织机构就有关投标事宜的所有来往函电，均应以中文汉语书写。除签字、盖章、专用名称等特殊情形外，以中文汉语以外的文字表述的投标文件视同未提供。</w:t>
      </w:r>
    </w:p>
    <w:p w14:paraId="087AEABC">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（4）投标计量单位，采购文件已有明确规定的，使用采购文件规定的计量单位；采购文件没有规定的，应采用中华人民共和国法定计量单位（货币单位：人民币元）。</w:t>
      </w:r>
    </w:p>
    <w:p w14:paraId="09732ADF">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（5）若供应商不按采购文件的要求提供资格审查材料，其风险由供应商自行承担。</w:t>
      </w:r>
    </w:p>
    <w:p w14:paraId="22EE0906">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（6）与本次投标无关的内容请不要制作在内，确保投标文件有针对性、简洁明了。</w:t>
      </w:r>
    </w:p>
    <w:p w14:paraId="7BCD79B4">
      <w:pPr>
        <w:shd w:val="clear" w:color="auto" w:fill="auto"/>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投标文件的上传</w:t>
      </w:r>
    </w:p>
    <w:p w14:paraId="0BD76BF0">
      <w:pPr>
        <w:pStyle w:val="6"/>
        <w:shd w:val="clear" w:color="auto" w:fill="auto"/>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bidi="zh-CN"/>
        </w:rPr>
        <w:t>电子加密投标文件（“.jmbs”格式）</w:t>
      </w:r>
      <w:r>
        <w:rPr>
          <w:rFonts w:hint="eastAsia" w:ascii="宋体" w:hAnsi="宋体" w:eastAsia="宋体" w:cs="宋体"/>
          <w:b/>
          <w:bCs/>
          <w:color w:val="auto"/>
          <w:sz w:val="21"/>
          <w:szCs w:val="21"/>
          <w:highlight w:val="none"/>
        </w:rPr>
        <w:t>：</w:t>
      </w:r>
    </w:p>
    <w:p w14:paraId="3ADB9477">
      <w:pPr>
        <w:pStyle w:val="6"/>
        <w:shd w:val="clear" w:color="auto" w:fill="auto"/>
        <w:snapToGrid w:val="0"/>
        <w:spacing w:line="360" w:lineRule="auto"/>
        <w:ind w:firstLine="530" w:firstLineChars="250"/>
        <w:rPr>
          <w:rFonts w:hint="eastAsia" w:ascii="宋体" w:hAnsi="宋体" w:eastAsia="宋体" w:cs="宋体"/>
          <w:b w:val="0"/>
          <w:bCs/>
          <w:color w:val="auto"/>
          <w:sz w:val="21"/>
          <w:szCs w:val="21"/>
          <w:highlight w:val="none"/>
          <w:lang w:bidi="zh-CN"/>
        </w:rPr>
      </w:pPr>
      <w:r>
        <w:rPr>
          <w:rFonts w:hint="eastAsia" w:ascii="宋体" w:hAnsi="宋体" w:eastAsia="宋体" w:cs="宋体"/>
          <w:b w:val="0"/>
          <w:bCs/>
          <w:color w:val="auto"/>
          <w:sz w:val="21"/>
          <w:szCs w:val="21"/>
          <w:highlight w:val="none"/>
          <w:lang w:bidi="zh-CN"/>
        </w:rPr>
        <w:t>a.</w:t>
      </w:r>
      <w:r>
        <w:rPr>
          <w:rFonts w:hint="eastAsia" w:ascii="宋体" w:hAnsi="宋体" w:eastAsia="宋体" w:cs="宋体"/>
          <w:b w:val="0"/>
          <w:bCs/>
          <w:color w:val="auto"/>
          <w:kern w:val="0"/>
          <w:sz w:val="21"/>
          <w:szCs w:val="21"/>
          <w:highlight w:val="none"/>
        </w:rPr>
        <w:t xml:space="preserve"> </w:t>
      </w:r>
      <w:r>
        <w:rPr>
          <w:rFonts w:hint="eastAsia" w:ascii="宋体" w:hAnsi="宋体" w:eastAsia="宋体" w:cs="宋体"/>
          <w:b w:val="0"/>
          <w:bCs/>
          <w:color w:val="auto"/>
          <w:sz w:val="21"/>
          <w:szCs w:val="21"/>
          <w:highlight w:val="none"/>
          <w:lang w:bidi="zh-CN"/>
        </w:rPr>
        <w:t>供应商应在投标截止时间前将电子加密投标文件成功上传递交至新疆政府采购云平台，否则投标无效；</w:t>
      </w:r>
    </w:p>
    <w:p w14:paraId="28CC5BED">
      <w:pPr>
        <w:pStyle w:val="6"/>
        <w:shd w:val="clear" w:color="auto" w:fill="auto"/>
        <w:snapToGrid w:val="0"/>
        <w:spacing w:line="360" w:lineRule="auto"/>
        <w:ind w:firstLine="530" w:firstLineChars="25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bidi="zh-CN"/>
        </w:rPr>
        <w:t>b.供应商成功上传电子加密投标文件后，可自行打印投标文件接收回执。</w:t>
      </w:r>
    </w:p>
    <w:p w14:paraId="5DE7D1E2">
      <w:pPr>
        <w:shd w:val="clear" w:color="auto" w:fill="auto"/>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26.</w:t>
      </w:r>
      <w:r>
        <w:rPr>
          <w:rFonts w:hint="eastAsia" w:ascii="宋体" w:hAnsi="宋体" w:eastAsia="宋体" w:cs="宋体"/>
          <w:b/>
          <w:color w:val="auto"/>
          <w:sz w:val="21"/>
          <w:szCs w:val="21"/>
          <w:highlight w:val="none"/>
        </w:rPr>
        <w:t>投标文件的递交要求</w:t>
      </w:r>
    </w:p>
    <w:p w14:paraId="4004EC2F">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（1）供应商须按照采购文件和政采云平台的要求编制并加密投标文件。在投标文件递交截止时间以前完成投标文件的传输递交，截止时间后递交的投标文件，将被拒收。</w:t>
      </w:r>
    </w:p>
    <w:p w14:paraId="247FA40D">
      <w:pPr>
        <w:shd w:val="clear" w:color="auto" w:fill="auto"/>
        <w:tabs>
          <w:tab w:val="left" w:pos="1418"/>
        </w:tabs>
        <w:autoSpaceDE w:val="0"/>
        <w:autoSpaceDN w:val="0"/>
        <w:adjustRightInd w:val="0"/>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）如有特殊情况，采购组织机构延长截止时间和开标时间，采购组织机构和供应商的权利和义务将受到新的截止时间和开标时间的约束。</w:t>
      </w:r>
    </w:p>
    <w:p w14:paraId="69254A48">
      <w:pPr>
        <w:shd w:val="clear" w:color="auto" w:fill="auto"/>
        <w:tabs>
          <w:tab w:val="left" w:pos="1418"/>
        </w:tabs>
        <w:autoSpaceDE w:val="0"/>
        <w:autoSpaceDN w:val="0"/>
        <w:adjustRightInd w:val="0"/>
        <w:snapToGrid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27．投标文件的补充、修改与撤回</w:t>
      </w:r>
    </w:p>
    <w:p w14:paraId="1DDA7A40">
      <w:pPr>
        <w:shd w:val="clear" w:color="auto" w:fill="auto"/>
        <w:tabs>
          <w:tab w:val="left" w:pos="960"/>
          <w:tab w:val="left" w:pos="1418"/>
        </w:tabs>
        <w:autoSpaceDE w:val="0"/>
        <w:autoSpaceDN w:val="0"/>
        <w:adjustRightInd w:val="0"/>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62C05511">
      <w:pPr>
        <w:bidi w:val="0"/>
        <w:rPr>
          <w:rFonts w:hint="eastAsia"/>
          <w:color w:val="auto"/>
          <w:highlight w:val="none"/>
        </w:rPr>
      </w:pPr>
      <w:bookmarkStart w:id="35" w:name="_Toc469495728"/>
      <w:bookmarkStart w:id="36" w:name="_Toc7387"/>
    </w:p>
    <w:p w14:paraId="2681632C">
      <w:pPr>
        <w:bidi w:val="0"/>
        <w:rPr>
          <w:rFonts w:hint="eastAsia"/>
          <w:color w:val="auto"/>
          <w:highlight w:val="none"/>
        </w:rPr>
      </w:pPr>
    </w:p>
    <w:p w14:paraId="1B9C8726">
      <w:pPr>
        <w:bidi w:val="0"/>
        <w:rPr>
          <w:rFonts w:hint="eastAsia"/>
          <w:color w:val="auto"/>
          <w:highlight w:val="none"/>
        </w:rPr>
      </w:pPr>
    </w:p>
    <w:p w14:paraId="74924778">
      <w:pPr>
        <w:bidi w:val="0"/>
        <w:rPr>
          <w:rFonts w:hint="eastAsia"/>
          <w:color w:val="auto"/>
          <w:highlight w:val="none"/>
        </w:rPr>
      </w:pPr>
    </w:p>
    <w:p w14:paraId="4F0DC2E2">
      <w:pPr>
        <w:bidi w:val="0"/>
        <w:rPr>
          <w:rFonts w:hint="eastAsia"/>
          <w:color w:val="auto"/>
          <w:highlight w:val="none"/>
        </w:rPr>
      </w:pPr>
    </w:p>
    <w:p w14:paraId="1B5271E6">
      <w:pPr>
        <w:bidi w:val="0"/>
        <w:rPr>
          <w:rFonts w:hint="eastAsia"/>
          <w:color w:val="auto"/>
          <w:highlight w:val="none"/>
        </w:rPr>
      </w:pPr>
    </w:p>
    <w:p w14:paraId="72DFE71C">
      <w:pPr>
        <w:bidi w:val="0"/>
        <w:rPr>
          <w:rFonts w:hint="eastAsia"/>
          <w:color w:val="auto"/>
          <w:highlight w:val="none"/>
        </w:rPr>
      </w:pPr>
    </w:p>
    <w:p w14:paraId="6DF640F6">
      <w:pPr>
        <w:bidi w:val="0"/>
        <w:rPr>
          <w:rFonts w:hint="eastAsia"/>
          <w:color w:val="auto"/>
          <w:highlight w:val="none"/>
        </w:rPr>
      </w:pPr>
    </w:p>
    <w:p w14:paraId="2F867ACD">
      <w:pPr>
        <w:bidi w:val="0"/>
        <w:rPr>
          <w:rFonts w:hint="eastAsia"/>
          <w:color w:val="auto"/>
          <w:highlight w:val="none"/>
        </w:rPr>
      </w:pPr>
    </w:p>
    <w:p w14:paraId="598E7138">
      <w:pPr>
        <w:bidi w:val="0"/>
        <w:rPr>
          <w:rFonts w:hint="eastAsia"/>
          <w:color w:val="auto"/>
          <w:highlight w:val="none"/>
        </w:rPr>
      </w:pPr>
    </w:p>
    <w:p w14:paraId="0D35BB76">
      <w:pPr>
        <w:bidi w:val="0"/>
        <w:rPr>
          <w:rFonts w:hint="eastAsia"/>
          <w:color w:val="auto"/>
          <w:highlight w:val="none"/>
        </w:rPr>
      </w:pPr>
    </w:p>
    <w:p w14:paraId="698DA90E">
      <w:pPr>
        <w:bidi w:val="0"/>
        <w:rPr>
          <w:rFonts w:hint="eastAsia"/>
          <w:color w:val="auto"/>
          <w:highlight w:val="none"/>
        </w:rPr>
      </w:pPr>
    </w:p>
    <w:p w14:paraId="5F75A245">
      <w:pPr>
        <w:bidi w:val="0"/>
        <w:rPr>
          <w:rFonts w:hint="eastAsia"/>
          <w:color w:val="auto"/>
          <w:highlight w:val="none"/>
        </w:rPr>
      </w:pPr>
    </w:p>
    <w:p w14:paraId="401D2A87">
      <w:pPr>
        <w:bidi w:val="0"/>
        <w:rPr>
          <w:rFonts w:hint="eastAsia"/>
          <w:color w:val="auto"/>
          <w:highlight w:val="none"/>
        </w:rPr>
      </w:pPr>
    </w:p>
    <w:p w14:paraId="1E43004C">
      <w:pPr>
        <w:bidi w:val="0"/>
        <w:rPr>
          <w:rFonts w:hint="eastAsia"/>
          <w:color w:val="auto"/>
          <w:highlight w:val="none"/>
        </w:rPr>
      </w:pPr>
    </w:p>
    <w:p w14:paraId="18A09B9D">
      <w:pPr>
        <w:bidi w:val="0"/>
        <w:rPr>
          <w:rFonts w:hint="eastAsia"/>
          <w:color w:val="auto"/>
          <w:highlight w:val="none"/>
        </w:rPr>
      </w:pPr>
    </w:p>
    <w:p w14:paraId="5CDFC29B">
      <w:pPr>
        <w:bidi w:val="0"/>
        <w:rPr>
          <w:rFonts w:hint="eastAsia"/>
          <w:color w:val="auto"/>
          <w:highlight w:val="none"/>
        </w:rPr>
      </w:pPr>
    </w:p>
    <w:p w14:paraId="7FD30AA3">
      <w:pPr>
        <w:bidi w:val="0"/>
        <w:rPr>
          <w:rFonts w:hint="eastAsia"/>
          <w:color w:val="auto"/>
          <w:highlight w:val="none"/>
        </w:rPr>
      </w:pPr>
    </w:p>
    <w:p w14:paraId="5C2FB0A5">
      <w:pPr>
        <w:bidi w:val="0"/>
        <w:rPr>
          <w:rFonts w:hint="eastAsia"/>
          <w:color w:val="auto"/>
          <w:highlight w:val="none"/>
        </w:rPr>
      </w:pPr>
    </w:p>
    <w:p w14:paraId="07D02254">
      <w:pPr>
        <w:bidi w:val="0"/>
        <w:rPr>
          <w:rFonts w:hint="eastAsia"/>
          <w:color w:val="auto"/>
          <w:highlight w:val="none"/>
        </w:rPr>
      </w:pPr>
    </w:p>
    <w:p w14:paraId="14E5BBA0">
      <w:pPr>
        <w:bidi w:val="0"/>
        <w:rPr>
          <w:rFonts w:hint="eastAsia"/>
          <w:color w:val="auto"/>
          <w:highlight w:val="none"/>
        </w:rPr>
      </w:pPr>
    </w:p>
    <w:p w14:paraId="5B331104">
      <w:pPr>
        <w:bidi w:val="0"/>
        <w:rPr>
          <w:rFonts w:hint="eastAsia"/>
          <w:color w:val="auto"/>
          <w:highlight w:val="none"/>
        </w:rPr>
      </w:pPr>
    </w:p>
    <w:p w14:paraId="5310381F">
      <w:pPr>
        <w:bidi w:val="0"/>
        <w:rPr>
          <w:rFonts w:hint="eastAsia"/>
          <w:color w:val="auto"/>
          <w:highlight w:val="none"/>
        </w:rPr>
      </w:pPr>
    </w:p>
    <w:p w14:paraId="460F79B5">
      <w:pPr>
        <w:bidi w:val="0"/>
        <w:rPr>
          <w:rFonts w:hint="eastAsia"/>
          <w:color w:val="auto"/>
          <w:highlight w:val="none"/>
        </w:rPr>
      </w:pPr>
    </w:p>
    <w:p w14:paraId="4E3FADD3">
      <w:pPr>
        <w:bidi w:val="0"/>
        <w:rPr>
          <w:rFonts w:hint="eastAsia"/>
          <w:color w:val="auto"/>
          <w:highlight w:val="none"/>
        </w:rPr>
      </w:pPr>
    </w:p>
    <w:p w14:paraId="01BB0ADE">
      <w:pPr>
        <w:bidi w:val="0"/>
        <w:rPr>
          <w:rFonts w:hint="eastAsia"/>
          <w:color w:val="auto"/>
          <w:highlight w:val="none"/>
        </w:rPr>
      </w:pPr>
    </w:p>
    <w:p w14:paraId="7FE3E438">
      <w:pPr>
        <w:bidi w:val="0"/>
        <w:rPr>
          <w:rFonts w:hint="eastAsia"/>
          <w:color w:val="auto"/>
          <w:highlight w:val="none"/>
        </w:rPr>
      </w:pPr>
    </w:p>
    <w:p w14:paraId="7AA9E70C">
      <w:pPr>
        <w:bidi w:val="0"/>
        <w:rPr>
          <w:rFonts w:hint="eastAsia"/>
          <w:color w:val="auto"/>
          <w:highlight w:val="none"/>
        </w:rPr>
      </w:pPr>
    </w:p>
    <w:p w14:paraId="16022ABA">
      <w:pPr>
        <w:bidi w:val="0"/>
        <w:rPr>
          <w:rFonts w:hint="eastAsia"/>
          <w:color w:val="auto"/>
          <w:highlight w:val="none"/>
        </w:rPr>
      </w:pPr>
    </w:p>
    <w:p w14:paraId="145F4906">
      <w:pPr>
        <w:bidi w:val="0"/>
        <w:rPr>
          <w:rFonts w:hint="eastAsia"/>
          <w:color w:val="auto"/>
          <w:highlight w:val="none"/>
        </w:rPr>
      </w:pPr>
    </w:p>
    <w:p w14:paraId="5C8F637E">
      <w:pPr>
        <w:bidi w:val="0"/>
        <w:rPr>
          <w:rFonts w:hint="eastAsia"/>
          <w:color w:val="auto"/>
          <w:highlight w:val="none"/>
        </w:rPr>
      </w:pPr>
    </w:p>
    <w:p w14:paraId="17BAA348">
      <w:pPr>
        <w:bidi w:val="0"/>
        <w:rPr>
          <w:rFonts w:hint="eastAsia"/>
          <w:color w:val="auto"/>
          <w:highlight w:val="none"/>
        </w:rPr>
      </w:pPr>
    </w:p>
    <w:p w14:paraId="093005C7">
      <w:pPr>
        <w:bidi w:val="0"/>
        <w:rPr>
          <w:rFonts w:hint="eastAsia"/>
          <w:color w:val="auto"/>
          <w:highlight w:val="none"/>
        </w:rPr>
      </w:pPr>
    </w:p>
    <w:p w14:paraId="219337A8">
      <w:pPr>
        <w:bidi w:val="0"/>
        <w:rPr>
          <w:rFonts w:hint="eastAsia"/>
          <w:color w:val="auto"/>
          <w:highlight w:val="none"/>
        </w:rPr>
      </w:pPr>
    </w:p>
    <w:p w14:paraId="4817688C">
      <w:pPr>
        <w:pStyle w:val="6"/>
        <w:rPr>
          <w:rFonts w:hint="eastAsia"/>
          <w:color w:val="auto"/>
          <w:highlight w:val="none"/>
        </w:rPr>
      </w:pPr>
    </w:p>
    <w:p w14:paraId="57D52FE7">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黑体" w:eastAsia="黑体"/>
          <w:color w:val="auto"/>
          <w:sz w:val="28"/>
          <w:szCs w:val="28"/>
          <w:highlight w:val="none"/>
        </w:rPr>
      </w:pPr>
      <w:r>
        <w:rPr>
          <w:rFonts w:hint="eastAsia" w:ascii="黑体" w:eastAsia="黑体"/>
          <w:color w:val="auto"/>
          <w:sz w:val="28"/>
          <w:szCs w:val="28"/>
          <w:highlight w:val="none"/>
        </w:rPr>
        <w:t>（五）开标、评标和定标</w:t>
      </w:r>
      <w:bookmarkEnd w:id="35"/>
      <w:bookmarkEnd w:id="36"/>
    </w:p>
    <w:p w14:paraId="219B6D61">
      <w:pPr>
        <w:shd w:val="clear" w:color="auto" w:fill="auto"/>
        <w:snapToGrid w:val="0"/>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28. 开标</w:t>
      </w:r>
    </w:p>
    <w:p w14:paraId="5F81C3FB">
      <w:pPr>
        <w:shd w:val="clear" w:color="auto" w:fill="auto"/>
        <w:snapToGrid w:val="0"/>
        <w:spacing w:line="360" w:lineRule="auto"/>
        <w:rPr>
          <w:rFonts w:hint="eastAsia" w:ascii="宋体" w:hAnsi="宋体" w:eastAsia="宋体" w:cs="宋体"/>
          <w:b/>
          <w:bCs/>
          <w:color w:val="auto"/>
          <w:sz w:val="21"/>
          <w:szCs w:val="21"/>
          <w:highlight w:val="none"/>
          <w:lang w:val="en-US" w:eastAsia="zh-CN"/>
        </w:rPr>
      </w:pPr>
      <w:bookmarkStart w:id="37" w:name="_Toc73975822"/>
      <w:r>
        <w:rPr>
          <w:rFonts w:hint="eastAsia" w:ascii="宋体" w:hAnsi="宋体" w:eastAsia="宋体" w:cs="宋体"/>
          <w:b/>
          <w:bCs/>
          <w:color w:val="auto"/>
          <w:sz w:val="21"/>
          <w:szCs w:val="21"/>
          <w:highlight w:val="none"/>
          <w:lang w:val="en-US" w:eastAsia="zh-CN"/>
        </w:rPr>
        <w:t>28.1开标邀请</w:t>
      </w:r>
      <w:bookmarkEnd w:id="37"/>
    </w:p>
    <w:p w14:paraId="6530B33F">
      <w:pPr>
        <w:pStyle w:val="13"/>
        <w:shd w:val="clear" w:color="auto" w:fill="auto"/>
        <w:snapToGrid w:val="0"/>
        <w:spacing w:line="360" w:lineRule="auto"/>
        <w:ind w:firstLine="424"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开标准备：本项目开标的准备工作由采购组织机构负责落实，开标过程由采购组织机构负责记录；</w:t>
      </w:r>
    </w:p>
    <w:p w14:paraId="3883C53A">
      <w:pPr>
        <w:pStyle w:val="13"/>
        <w:shd w:val="clear" w:color="auto" w:fill="auto"/>
        <w:snapToGrid w:val="0"/>
        <w:spacing w:line="360" w:lineRule="auto"/>
        <w:ind w:firstLine="424"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开标主持：本项目开标由采购人或者采购代理机构主持；</w:t>
      </w:r>
    </w:p>
    <w:p w14:paraId="11DC4C14">
      <w:pPr>
        <w:pStyle w:val="13"/>
        <w:shd w:val="clear" w:color="auto" w:fill="auto"/>
        <w:snapToGrid w:val="0"/>
        <w:spacing w:line="360" w:lineRule="auto"/>
        <w:ind w:firstLine="424"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lang w:val="en-US" w:eastAsia="zh-CN"/>
        </w:rPr>
        <w:t>3</w:t>
      </w: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rPr>
        <w:t>开标邀请：本项目采用电子交易，采购组织机构将按照采购文件规定的时间通过“</w:t>
      </w:r>
      <w:r>
        <w:rPr>
          <w:rFonts w:hint="eastAsia" w:ascii="宋体" w:hAnsi="宋体" w:eastAsia="宋体" w:cs="宋体"/>
          <w:b w:val="0"/>
          <w:color w:val="auto"/>
          <w:sz w:val="21"/>
          <w:szCs w:val="21"/>
          <w:highlight w:val="none"/>
          <w:lang w:eastAsia="zh-CN"/>
        </w:rPr>
        <w:t>新疆</w:t>
      </w:r>
      <w:r>
        <w:rPr>
          <w:rFonts w:hint="eastAsia" w:ascii="宋体" w:hAnsi="宋体" w:eastAsia="宋体" w:cs="宋体"/>
          <w:b w:val="0"/>
          <w:color w:val="auto"/>
          <w:sz w:val="21"/>
          <w:szCs w:val="21"/>
          <w:highlight w:val="none"/>
        </w:rPr>
        <w:t>政府采购云平台，网址：</w:t>
      </w:r>
      <w:r>
        <w:rPr>
          <w:rFonts w:hint="eastAsia" w:ascii="宋体" w:hAnsi="宋体" w:eastAsia="宋体" w:cs="宋体"/>
          <w:b w:val="0"/>
          <w:color w:val="auto"/>
          <w:sz w:val="21"/>
          <w:szCs w:val="21"/>
          <w:highlight w:val="none"/>
        </w:rPr>
        <w:fldChar w:fldCharType="begin"/>
      </w:r>
      <w:r>
        <w:rPr>
          <w:rFonts w:hint="eastAsia" w:ascii="宋体" w:hAnsi="宋体" w:eastAsia="宋体" w:cs="宋体"/>
          <w:b w:val="0"/>
          <w:color w:val="auto"/>
          <w:sz w:val="21"/>
          <w:szCs w:val="21"/>
          <w:highlight w:val="none"/>
        </w:rPr>
        <w:instrText xml:space="preserve">HYPERLINK "http://www.zcygov.cn"</w:instrText>
      </w:r>
      <w:r>
        <w:rPr>
          <w:rFonts w:hint="eastAsia" w:ascii="宋体" w:hAnsi="宋体" w:eastAsia="宋体" w:cs="宋体"/>
          <w:b w:val="0"/>
          <w:color w:val="auto"/>
          <w:sz w:val="21"/>
          <w:szCs w:val="21"/>
          <w:highlight w:val="none"/>
        </w:rPr>
        <w:fldChar w:fldCharType="separate"/>
      </w:r>
      <w:r>
        <w:rPr>
          <w:rStyle w:val="40"/>
          <w:rFonts w:hint="eastAsia" w:ascii="宋体" w:hAnsi="宋体" w:eastAsia="宋体" w:cs="宋体"/>
          <w:b w:val="0"/>
          <w:color w:val="auto"/>
          <w:sz w:val="21"/>
          <w:szCs w:val="21"/>
          <w:highlight w:val="none"/>
          <w:u w:val="none"/>
        </w:rPr>
        <w:t>www.zcygov.cn</w:t>
      </w:r>
      <w:r>
        <w:rPr>
          <w:rFonts w:hint="eastAsia" w:ascii="宋体" w:hAnsi="宋体" w:eastAsia="宋体" w:cs="宋体"/>
          <w:color w:val="auto"/>
          <w:sz w:val="21"/>
          <w:szCs w:val="21"/>
          <w:highlight w:val="none"/>
        </w:rPr>
        <w:fldChar w:fldCharType="end"/>
      </w:r>
      <w:r>
        <w:rPr>
          <w:rFonts w:hint="eastAsia" w:ascii="宋体" w:hAnsi="宋体" w:eastAsia="宋体" w:cs="宋体"/>
          <w:b w:val="0"/>
          <w:color w:val="auto"/>
          <w:sz w:val="21"/>
          <w:szCs w:val="21"/>
          <w:highlight w:val="none"/>
        </w:rPr>
        <w:t>”组织开标、开启投标响应文件，所有供应商均应当准时在线参加。</w:t>
      </w:r>
    </w:p>
    <w:p w14:paraId="17E712A4">
      <w:pPr>
        <w:pStyle w:val="13"/>
        <w:shd w:val="clear" w:color="auto" w:fill="auto"/>
        <w:snapToGrid w:val="0"/>
        <w:spacing w:line="360" w:lineRule="auto"/>
        <w:ind w:firstLine="424"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lang w:val="en-US" w:eastAsia="zh-CN"/>
        </w:rPr>
        <w:t>4</w:t>
      </w: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79805835">
      <w:pPr>
        <w:shd w:val="clear" w:color="auto" w:fill="auto"/>
        <w:snapToGrid w:val="0"/>
        <w:spacing w:line="360" w:lineRule="auto"/>
        <w:outlineLvl w:val="2"/>
        <w:rPr>
          <w:rFonts w:hint="eastAsia" w:ascii="宋体" w:hAnsi="宋体" w:eastAsia="宋体" w:cs="宋体"/>
          <w:b/>
          <w:color w:val="auto"/>
          <w:sz w:val="21"/>
          <w:szCs w:val="21"/>
          <w:highlight w:val="none"/>
        </w:rPr>
      </w:pPr>
      <w:bookmarkStart w:id="38" w:name="_Toc4416"/>
      <w:bookmarkStart w:id="39" w:name="_Toc73975823"/>
      <w:r>
        <w:rPr>
          <w:rFonts w:hint="eastAsia" w:ascii="宋体" w:hAnsi="宋体" w:eastAsia="宋体" w:cs="宋体"/>
          <w:b/>
          <w:color w:val="auto"/>
          <w:sz w:val="21"/>
          <w:szCs w:val="21"/>
          <w:highlight w:val="none"/>
          <w:lang w:val="en-US" w:eastAsia="zh-CN"/>
        </w:rPr>
        <w:t>28.2</w:t>
      </w:r>
      <w:r>
        <w:rPr>
          <w:rFonts w:hint="eastAsia" w:ascii="宋体" w:hAnsi="宋体" w:eastAsia="宋体" w:cs="宋体"/>
          <w:b/>
          <w:bCs/>
          <w:color w:val="auto"/>
          <w:sz w:val="21"/>
          <w:szCs w:val="21"/>
          <w:highlight w:val="none"/>
        </w:rPr>
        <w:t>开标程序（先资格、商务技术后报价）</w:t>
      </w:r>
      <w:bookmarkEnd w:id="38"/>
      <w:bookmarkEnd w:id="39"/>
    </w:p>
    <w:p w14:paraId="24C109E4">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开标时间到后，主持人宣布开标会议开始。</w:t>
      </w:r>
    </w:p>
    <w:p w14:paraId="26A7109A">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投标文件解密（</w:t>
      </w:r>
      <w:r>
        <w:rPr>
          <w:rFonts w:hint="eastAsia" w:ascii="宋体" w:hAnsi="宋体" w:eastAsia="宋体" w:cs="宋体"/>
          <w:b/>
          <w:color w:val="auto"/>
          <w:kern w:val="0"/>
          <w:sz w:val="21"/>
          <w:szCs w:val="21"/>
          <w:highlight w:val="none"/>
        </w:rPr>
        <w:t>解密规定见《供应商须知前附表》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w:t>
      </w:r>
    </w:p>
    <w:p w14:paraId="761E9C06">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投标文件解密异常情况处理（</w:t>
      </w:r>
      <w:r>
        <w:rPr>
          <w:rFonts w:hint="eastAsia" w:ascii="宋体" w:hAnsi="宋体" w:eastAsia="宋体" w:cs="宋体"/>
          <w:b/>
          <w:color w:val="auto"/>
          <w:kern w:val="0"/>
          <w:sz w:val="21"/>
          <w:szCs w:val="21"/>
          <w:highlight w:val="none"/>
        </w:rPr>
        <w:t>处理办法见《供应商须知前附表》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w:t>
      </w:r>
    </w:p>
    <w:p w14:paraId="3DDD8B96">
      <w:pPr>
        <w:shd w:val="clear" w:color="auto" w:fill="auto"/>
        <w:snapToGrid w:val="0"/>
        <w:spacing w:line="360" w:lineRule="auto"/>
        <w:ind w:firstLine="424"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公布投标文件解密情况（投标文件成功解密的供应商名单等信息）。</w:t>
      </w:r>
    </w:p>
    <w:p w14:paraId="41B7A0F8">
      <w:pPr>
        <w:shd w:val="clear" w:color="auto" w:fill="auto"/>
        <w:snapToGrid w:val="0"/>
        <w:spacing w:line="360" w:lineRule="auto"/>
        <w:ind w:firstLine="42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开启标书信息（资格</w:t>
      </w:r>
      <w:r>
        <w:rPr>
          <w:rFonts w:hint="eastAsia" w:ascii="宋体" w:hAnsi="宋体" w:eastAsia="宋体" w:cs="宋体"/>
          <w:color w:val="auto"/>
          <w:kern w:val="0"/>
          <w:sz w:val="21"/>
          <w:szCs w:val="21"/>
          <w:highlight w:val="none"/>
          <w:lang w:eastAsia="zh-CN"/>
        </w:rPr>
        <w:t>证明</w:t>
      </w:r>
      <w:r>
        <w:rPr>
          <w:rFonts w:hint="eastAsia" w:ascii="宋体" w:hAnsi="宋体" w:eastAsia="宋体" w:cs="宋体"/>
          <w:color w:val="auto"/>
          <w:kern w:val="0"/>
          <w:sz w:val="21"/>
          <w:szCs w:val="21"/>
          <w:highlight w:val="none"/>
        </w:rPr>
        <w:t>文件、商务技术文件）。标书信息开启后，首先由采购人或采购代理机构</w:t>
      </w:r>
      <w:r>
        <w:rPr>
          <w:rFonts w:hint="eastAsia" w:ascii="宋体" w:hAnsi="宋体" w:eastAsia="宋体" w:cs="宋体"/>
          <w:color w:val="auto"/>
          <w:kern w:val="0"/>
          <w:sz w:val="21"/>
          <w:szCs w:val="21"/>
          <w:highlight w:val="none"/>
          <w:lang w:eastAsia="zh-CN"/>
        </w:rPr>
        <w:t>或评审小组</w:t>
      </w:r>
      <w:r>
        <w:rPr>
          <w:rFonts w:hint="eastAsia" w:ascii="宋体" w:hAnsi="宋体" w:eastAsia="宋体" w:cs="宋体"/>
          <w:color w:val="auto"/>
          <w:kern w:val="0"/>
          <w:sz w:val="21"/>
          <w:szCs w:val="21"/>
          <w:highlight w:val="none"/>
        </w:rPr>
        <w:t>依法对投标供应商的资格</w:t>
      </w:r>
      <w:r>
        <w:rPr>
          <w:rFonts w:hint="eastAsia" w:ascii="宋体" w:hAnsi="宋体" w:eastAsia="宋体" w:cs="宋体"/>
          <w:color w:val="auto"/>
          <w:kern w:val="0"/>
          <w:sz w:val="21"/>
          <w:szCs w:val="21"/>
          <w:highlight w:val="none"/>
          <w:lang w:eastAsia="zh-CN"/>
        </w:rPr>
        <w:t>证明</w:t>
      </w:r>
      <w:r>
        <w:rPr>
          <w:rFonts w:hint="eastAsia" w:ascii="宋体" w:hAnsi="宋体" w:eastAsia="宋体" w:cs="宋体"/>
          <w:color w:val="auto"/>
          <w:kern w:val="0"/>
          <w:sz w:val="21"/>
          <w:szCs w:val="21"/>
          <w:highlight w:val="none"/>
        </w:rPr>
        <w:t>文件进行审查， 审查结束公布投标供应商的资格符合情况。资格审查未获通过的供应商，其商务技术文件及报价文件不再进入评审。</w:t>
      </w:r>
    </w:p>
    <w:p w14:paraId="11915E8A">
      <w:pPr>
        <w:shd w:val="clear" w:color="auto" w:fill="auto"/>
        <w:snapToGrid w:val="0"/>
        <w:spacing w:line="360" w:lineRule="auto"/>
        <w:ind w:firstLine="42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商务技术评审结束后，主持人公布商务技术评审无效投标供应商名单和商务技术评审有效投标供应商名单及其商务技术得分情况</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商务技术评审无效的供应商，其报价不再进入评审。</w:t>
      </w:r>
    </w:p>
    <w:p w14:paraId="5279509A">
      <w:pPr>
        <w:shd w:val="clear" w:color="auto" w:fill="auto"/>
        <w:snapToGrid w:val="0"/>
        <w:spacing w:line="360" w:lineRule="auto"/>
        <w:ind w:firstLine="42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开启有效投标供应商的报价，公布开标一览表有关内容，</w:t>
      </w:r>
      <w:r>
        <w:rPr>
          <w:rFonts w:hint="eastAsia" w:ascii="宋体" w:hAnsi="宋体" w:eastAsia="宋体" w:cs="宋体"/>
          <w:color w:val="auto"/>
          <w:sz w:val="21"/>
          <w:szCs w:val="21"/>
          <w:highlight w:val="none"/>
          <w:lang w:bidi="zh-CN"/>
        </w:rPr>
        <w:t>并【开启签字时段】，供应商对开标纪录进行在线签字确认（不予确认的应说明理由，否则视为无异议）</w:t>
      </w:r>
      <w:r>
        <w:rPr>
          <w:rFonts w:hint="eastAsia" w:ascii="宋体" w:hAnsi="宋体" w:eastAsia="宋体" w:cs="宋体"/>
          <w:color w:val="auto"/>
          <w:kern w:val="0"/>
          <w:sz w:val="21"/>
          <w:szCs w:val="21"/>
          <w:highlight w:val="none"/>
        </w:rPr>
        <w:t>。开标结束后，由评标委员会对报价的合理性、准确性等进行审查核实</w:t>
      </w:r>
      <w:r>
        <w:rPr>
          <w:rFonts w:hint="eastAsia" w:ascii="宋体" w:hAnsi="宋体" w:eastAsia="宋体" w:cs="宋体"/>
          <w:color w:val="auto"/>
          <w:sz w:val="21"/>
          <w:szCs w:val="21"/>
          <w:highlight w:val="none"/>
        </w:rPr>
        <w:t>。</w:t>
      </w:r>
    </w:p>
    <w:p w14:paraId="5807DC75">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评审结束后，采购代理机构在系统上公布评审结果。</w:t>
      </w:r>
    </w:p>
    <w:p w14:paraId="3F0189D1">
      <w:pPr>
        <w:shd w:val="clear" w:color="auto" w:fill="auto"/>
        <w:snapToGrid w:val="0"/>
        <w:spacing w:line="360" w:lineRule="auto"/>
        <w:ind w:left="48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特别情况说明：</w:t>
      </w:r>
    </w:p>
    <w:p w14:paraId="16FE85E2">
      <w:pPr>
        <w:shd w:val="clear" w:color="auto" w:fill="auto"/>
        <w:snapToGrid w:val="0"/>
        <w:spacing w:line="360" w:lineRule="auto"/>
        <w:ind w:firstLine="374" w:firstLineChars="177"/>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（1）本项目采用电子交易，如遇“</w:t>
      </w:r>
      <w:r>
        <w:rPr>
          <w:rFonts w:hint="eastAsia" w:ascii="宋体" w:hAnsi="宋体" w:eastAsia="宋体" w:cs="宋体"/>
          <w:b/>
          <w:color w:val="auto"/>
          <w:kern w:val="0"/>
          <w:sz w:val="21"/>
          <w:szCs w:val="21"/>
          <w:highlight w:val="none"/>
          <w:lang w:eastAsia="zh-CN"/>
        </w:rPr>
        <w:t>新疆</w:t>
      </w:r>
      <w:r>
        <w:rPr>
          <w:rFonts w:hint="eastAsia" w:ascii="宋体" w:hAnsi="宋体" w:eastAsia="宋体" w:cs="宋体"/>
          <w:b/>
          <w:color w:val="auto"/>
          <w:kern w:val="0"/>
          <w:sz w:val="21"/>
          <w:szCs w:val="21"/>
          <w:highlight w:val="none"/>
        </w:rPr>
        <w:t>政府采购云平台”电子化开标或评审程序调整的，按调整后程序执行。</w:t>
      </w:r>
    </w:p>
    <w:p w14:paraId="44257CCD">
      <w:pPr>
        <w:shd w:val="clear" w:color="auto" w:fill="auto"/>
        <w:snapToGrid w:val="0"/>
        <w:spacing w:line="360" w:lineRule="auto"/>
        <w:ind w:firstLine="374" w:firstLineChars="177"/>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宋体" w:hAnsi="宋体" w:eastAsia="宋体" w:cs="宋体"/>
          <w:b/>
          <w:color w:val="auto"/>
          <w:kern w:val="0"/>
          <w:sz w:val="21"/>
          <w:szCs w:val="21"/>
          <w:highlight w:val="none"/>
          <w:u w:val="single"/>
        </w:rPr>
        <w:t>请供应商保证办理投标事宜人员电话畅通、网络在线，签字或盖章确认的时间为</w:t>
      </w:r>
      <w:r>
        <w:rPr>
          <w:rFonts w:hint="eastAsia" w:ascii="宋体" w:hAnsi="宋体" w:cs="宋体"/>
          <w:b/>
          <w:color w:val="auto"/>
          <w:kern w:val="0"/>
          <w:sz w:val="21"/>
          <w:szCs w:val="21"/>
          <w:highlight w:val="none"/>
          <w:u w:val="single"/>
          <w:lang w:eastAsia="zh-CN"/>
        </w:rPr>
        <w:t>30分钟</w:t>
      </w:r>
      <w:r>
        <w:rPr>
          <w:rFonts w:hint="eastAsia" w:ascii="宋体" w:hAnsi="宋体" w:eastAsia="宋体" w:cs="宋体"/>
          <w:b/>
          <w:color w:val="auto"/>
          <w:kern w:val="0"/>
          <w:sz w:val="21"/>
          <w:szCs w:val="21"/>
          <w:highlight w:val="none"/>
          <w:u w:val="single"/>
        </w:rPr>
        <w:t>。如未及时签字或盖章确认的，视为无异议</w:t>
      </w:r>
      <w:r>
        <w:rPr>
          <w:rFonts w:hint="eastAsia" w:ascii="宋体" w:hAnsi="宋体" w:eastAsia="宋体" w:cs="宋体"/>
          <w:b/>
          <w:color w:val="auto"/>
          <w:kern w:val="0"/>
          <w:sz w:val="21"/>
          <w:szCs w:val="21"/>
          <w:highlight w:val="none"/>
        </w:rPr>
        <w:t>。</w:t>
      </w:r>
    </w:p>
    <w:p w14:paraId="5EAC0E63">
      <w:pPr>
        <w:shd w:val="clear" w:color="auto" w:fill="auto"/>
        <w:snapToGrid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28.3</w:t>
      </w:r>
      <w:r>
        <w:rPr>
          <w:rFonts w:hint="eastAsia" w:ascii="宋体" w:hAnsi="宋体" w:eastAsia="宋体" w:cs="宋体"/>
          <w:b/>
          <w:color w:val="auto"/>
          <w:kern w:val="0"/>
          <w:sz w:val="21"/>
          <w:szCs w:val="21"/>
          <w:highlight w:val="none"/>
        </w:rPr>
        <w:t xml:space="preserve"> 投标供应商资格审查：</w:t>
      </w:r>
    </w:p>
    <w:p w14:paraId="33A50EF4">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kern w:val="0"/>
          <w:sz w:val="21"/>
          <w:szCs w:val="21"/>
          <w:highlight w:val="none"/>
        </w:rPr>
        <w:t>开标（标书信息开启）后，采购人或采购代理机构</w:t>
      </w:r>
      <w:r>
        <w:rPr>
          <w:rFonts w:hint="eastAsia" w:ascii="宋体" w:hAnsi="宋体" w:eastAsia="宋体" w:cs="宋体"/>
          <w:bCs/>
          <w:color w:val="auto"/>
          <w:kern w:val="0"/>
          <w:sz w:val="21"/>
          <w:szCs w:val="21"/>
          <w:highlight w:val="none"/>
          <w:lang w:eastAsia="zh-CN"/>
        </w:rPr>
        <w:t>或</w:t>
      </w:r>
      <w:r>
        <w:rPr>
          <w:rFonts w:hint="eastAsia" w:ascii="宋体" w:hAnsi="宋体" w:eastAsia="宋体" w:cs="宋体"/>
          <w:color w:val="auto"/>
          <w:kern w:val="0"/>
          <w:sz w:val="21"/>
          <w:szCs w:val="21"/>
          <w:highlight w:val="none"/>
          <w:lang w:eastAsia="zh-CN"/>
        </w:rPr>
        <w:t>评审小组</w:t>
      </w:r>
      <w:r>
        <w:rPr>
          <w:rFonts w:hint="eastAsia" w:ascii="宋体" w:hAnsi="宋体" w:eastAsia="宋体" w:cs="宋体"/>
          <w:bCs/>
          <w:color w:val="auto"/>
          <w:kern w:val="0"/>
          <w:sz w:val="21"/>
          <w:szCs w:val="21"/>
          <w:highlight w:val="none"/>
        </w:rPr>
        <w:t>首先依法对投标供应商的资格文件进行审查，审查各投标供应商的资格符合情况。</w:t>
      </w:r>
      <w:r>
        <w:rPr>
          <w:rFonts w:hint="eastAsia" w:ascii="宋体" w:hAnsi="宋体" w:eastAsia="宋体" w:cs="宋体"/>
          <w:color w:val="auto"/>
          <w:sz w:val="21"/>
          <w:szCs w:val="21"/>
          <w:highlight w:val="none"/>
        </w:rPr>
        <w:t>采购人或采购代理机构</w:t>
      </w:r>
      <w:r>
        <w:rPr>
          <w:rFonts w:hint="eastAsia" w:ascii="宋体" w:hAnsi="宋体" w:eastAsia="宋体" w:cs="宋体"/>
          <w:bCs/>
          <w:color w:val="auto"/>
          <w:kern w:val="0"/>
          <w:sz w:val="21"/>
          <w:szCs w:val="21"/>
          <w:highlight w:val="none"/>
          <w:lang w:eastAsia="zh-CN"/>
        </w:rPr>
        <w:t>或</w:t>
      </w:r>
      <w:r>
        <w:rPr>
          <w:rFonts w:hint="eastAsia" w:ascii="宋体" w:hAnsi="宋体" w:eastAsia="宋体" w:cs="宋体"/>
          <w:color w:val="auto"/>
          <w:kern w:val="0"/>
          <w:sz w:val="21"/>
          <w:szCs w:val="21"/>
          <w:highlight w:val="none"/>
          <w:lang w:eastAsia="zh-CN"/>
        </w:rPr>
        <w:t>评审小组</w:t>
      </w:r>
      <w:r>
        <w:rPr>
          <w:rFonts w:hint="eastAsia" w:ascii="宋体" w:hAnsi="宋体" w:eastAsia="宋体" w:cs="宋体"/>
          <w:color w:val="auto"/>
          <w:sz w:val="21"/>
          <w:szCs w:val="21"/>
          <w:highlight w:val="none"/>
        </w:rPr>
        <w:t>对投标供应商所提交的资格证明材料仅负审核的责任。如发现投标供应商所提交的资格证明材料不合法或与事实不符，采购人可取消其中标资格并追究投标供应商的法律责任。</w:t>
      </w:r>
    </w:p>
    <w:p w14:paraId="4EB20CCB">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47B6C78F">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w:t>
      </w:r>
      <w:r>
        <w:rPr>
          <w:rFonts w:hint="eastAsia" w:ascii="宋体" w:hAnsi="宋体" w:eastAsia="宋体" w:cs="宋体"/>
          <w:b w:val="0"/>
          <w:bCs/>
          <w:color w:val="auto"/>
          <w:kern w:val="0"/>
          <w:sz w:val="21"/>
          <w:szCs w:val="21"/>
          <w:highlight w:val="none"/>
        </w:rPr>
        <w:t>供应商</w:t>
      </w:r>
      <w:r>
        <w:rPr>
          <w:rFonts w:hint="eastAsia" w:ascii="宋体" w:hAnsi="宋体" w:eastAsia="宋体" w:cs="宋体"/>
          <w:b w:val="0"/>
          <w:bCs/>
          <w:color w:val="auto"/>
          <w:sz w:val="21"/>
          <w:szCs w:val="21"/>
          <w:highlight w:val="none"/>
        </w:rPr>
        <w:t>信用记录查询与使用：</w:t>
      </w:r>
      <w:r>
        <w:rPr>
          <w:rFonts w:hint="eastAsia" w:ascii="宋体" w:hAnsi="宋体" w:eastAsia="宋体" w:cs="宋体"/>
          <w:b w:val="0"/>
          <w:bCs/>
          <w:color w:val="auto"/>
          <w:kern w:val="0"/>
          <w:sz w:val="21"/>
          <w:szCs w:val="21"/>
          <w:highlight w:val="none"/>
        </w:rPr>
        <w:t>见《供应商须知前附表》。</w:t>
      </w:r>
    </w:p>
    <w:p w14:paraId="5C8FAFFF">
      <w:pPr>
        <w:shd w:val="clear" w:color="auto" w:fill="auto"/>
        <w:snapToGrid w:val="0"/>
        <w:spacing w:line="360" w:lineRule="auto"/>
        <w:outlineLvl w:val="2"/>
        <w:rPr>
          <w:rFonts w:hint="eastAsia" w:ascii="宋体" w:hAnsi="宋体" w:eastAsia="宋体" w:cs="宋体"/>
          <w:b/>
          <w:color w:val="auto"/>
          <w:sz w:val="21"/>
          <w:szCs w:val="21"/>
          <w:highlight w:val="none"/>
          <w:lang w:val="en-US" w:eastAsia="zh-CN"/>
        </w:rPr>
      </w:pPr>
      <w:bookmarkStart w:id="40" w:name="_Toc6850"/>
      <w:r>
        <w:rPr>
          <w:rFonts w:hint="eastAsia" w:ascii="宋体" w:hAnsi="宋体" w:eastAsia="宋体" w:cs="宋体"/>
          <w:b/>
          <w:color w:val="auto"/>
          <w:sz w:val="21"/>
          <w:szCs w:val="21"/>
          <w:highlight w:val="none"/>
          <w:lang w:val="en-US" w:eastAsia="zh-CN"/>
        </w:rPr>
        <w:t>29.评审工作的组织</w:t>
      </w:r>
      <w:bookmarkEnd w:id="40"/>
    </w:p>
    <w:p w14:paraId="2B373486">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采购人或采购代理机构负责组织本项目的评审工作，并依据《政府采购货物和服务招标投标管理办法（财政部第87号令）》第四十五条的相关规定履行职责。</w:t>
      </w:r>
    </w:p>
    <w:p w14:paraId="3081C800">
      <w:pPr>
        <w:shd w:val="clear" w:color="auto" w:fill="auto"/>
        <w:snapToGrid w:val="0"/>
        <w:spacing w:line="360" w:lineRule="auto"/>
        <w:outlineLvl w:val="2"/>
        <w:rPr>
          <w:rFonts w:hint="eastAsia" w:ascii="宋体" w:hAnsi="宋体" w:eastAsia="宋体" w:cs="宋体"/>
          <w:b/>
          <w:color w:val="auto"/>
          <w:sz w:val="21"/>
          <w:szCs w:val="21"/>
          <w:highlight w:val="none"/>
          <w:lang w:val="en-US" w:eastAsia="zh-CN"/>
        </w:rPr>
      </w:pPr>
      <w:bookmarkStart w:id="41" w:name="_Toc22681"/>
      <w:r>
        <w:rPr>
          <w:rFonts w:hint="eastAsia" w:ascii="宋体" w:hAnsi="宋体" w:eastAsia="宋体" w:cs="宋体"/>
          <w:b/>
          <w:color w:val="auto"/>
          <w:sz w:val="21"/>
          <w:szCs w:val="21"/>
          <w:highlight w:val="none"/>
          <w:lang w:val="en-US" w:eastAsia="zh-CN"/>
        </w:rPr>
        <w:t>30. 评标委员会的组建</w:t>
      </w:r>
      <w:bookmarkEnd w:id="41"/>
    </w:p>
    <w:p w14:paraId="31D1A93F">
      <w:pPr>
        <w:widowControl/>
        <w:shd w:val="clear" w:color="auto" w:fill="auto"/>
        <w:spacing w:line="440" w:lineRule="exact"/>
        <w:ind w:firstLine="212" w:firstLineChars="100"/>
        <w:rPr>
          <w:rFonts w:hint="eastAsia" w:ascii="宋体"/>
          <w:b/>
          <w:bCs/>
          <w:color w:val="auto"/>
          <w:szCs w:val="21"/>
          <w:highlight w:val="none"/>
        </w:rPr>
      </w:pPr>
      <w:r>
        <w:rPr>
          <w:rFonts w:hint="eastAsia" w:ascii="宋体"/>
          <w:color w:val="auto"/>
          <w:szCs w:val="21"/>
          <w:highlight w:val="none"/>
          <w:lang w:val="en-US" w:eastAsia="zh-CN"/>
        </w:rPr>
        <w:t>30</w:t>
      </w:r>
      <w:r>
        <w:rPr>
          <w:rFonts w:hint="eastAsia" w:ascii="宋体"/>
          <w:color w:val="auto"/>
          <w:szCs w:val="21"/>
          <w:highlight w:val="none"/>
        </w:rPr>
        <w:t>.1</w:t>
      </w:r>
      <w:r>
        <w:rPr>
          <w:rFonts w:hint="eastAsia" w:ascii="宋体"/>
          <w:b/>
          <w:bCs/>
          <w:color w:val="auto"/>
          <w:szCs w:val="21"/>
          <w:highlight w:val="none"/>
        </w:rPr>
        <w:t>评标委员会由采购人或采购代理机构依法组建，成员由采购人代表和评审专家组成，成员人数为</w:t>
      </w:r>
      <w:r>
        <w:rPr>
          <w:rFonts w:hint="eastAsia" w:ascii="宋体"/>
          <w:b/>
          <w:bCs/>
          <w:color w:val="auto"/>
          <w:szCs w:val="21"/>
          <w:highlight w:val="none"/>
          <w:lang w:val="en-US" w:eastAsia="zh-CN"/>
        </w:rPr>
        <w:t>5</w:t>
      </w:r>
      <w:r>
        <w:rPr>
          <w:rFonts w:hint="eastAsia" w:ascii="宋体"/>
          <w:b/>
          <w:bCs/>
          <w:color w:val="auto"/>
          <w:szCs w:val="21"/>
          <w:highlight w:val="none"/>
        </w:rPr>
        <w:t>人，其中评审专家不少于成员总数的三分之二。</w:t>
      </w:r>
    </w:p>
    <w:p w14:paraId="5C122677">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30</w:t>
      </w:r>
      <w:r>
        <w:rPr>
          <w:rFonts w:hint="eastAsia" w:ascii="宋体"/>
          <w:color w:val="auto"/>
          <w:szCs w:val="21"/>
          <w:highlight w:val="none"/>
        </w:rPr>
        <w:t>.2评审专家从</w:t>
      </w:r>
      <w:r>
        <w:rPr>
          <w:rFonts w:hint="eastAsia" w:ascii="宋体"/>
          <w:color w:val="auto"/>
          <w:szCs w:val="21"/>
          <w:highlight w:val="none"/>
          <w:lang w:eastAsia="zh-CN"/>
        </w:rPr>
        <w:t>新疆</w:t>
      </w:r>
      <w:r>
        <w:rPr>
          <w:rFonts w:hint="eastAsia" w:ascii="宋体"/>
          <w:color w:val="auto"/>
          <w:szCs w:val="21"/>
          <w:highlight w:val="none"/>
        </w:rPr>
        <w:t>政府采购云平台专家库中通过随机方式抽取产生。评标委员会成员名单在采购结果公告前保密。</w:t>
      </w:r>
    </w:p>
    <w:p w14:paraId="7E0098E9">
      <w:pPr>
        <w:widowControl/>
        <w:shd w:val="clear" w:color="auto" w:fill="auto"/>
        <w:spacing w:line="440" w:lineRule="exact"/>
        <w:ind w:firstLine="212" w:firstLineChars="10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31.评标委员会的职责</w:t>
      </w:r>
    </w:p>
    <w:p w14:paraId="6176AE46">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.1审查、评价投标文件是否符合采购文件的商务、技术等实质性要求。</w:t>
      </w:r>
    </w:p>
    <w:p w14:paraId="56ACDFC9">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.2要求供应商对投标文件有关事项作出澄清或者说明。</w:t>
      </w:r>
    </w:p>
    <w:p w14:paraId="6D6347B5">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.3对投标文件进行比较和评价。</w:t>
      </w:r>
    </w:p>
    <w:p w14:paraId="15413FBE">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.4确定中标候选人名单，以及根据采购人委托直接确定中标人。</w:t>
      </w:r>
    </w:p>
    <w:p w14:paraId="026C5A0F">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.5向采购人、采购代理机构或者有关部门报告评审中发现的违法行为。</w:t>
      </w:r>
    </w:p>
    <w:p w14:paraId="3DDC60CF">
      <w:pPr>
        <w:widowControl/>
        <w:shd w:val="clear" w:color="auto" w:fill="auto"/>
        <w:spacing w:line="440" w:lineRule="exact"/>
        <w:ind w:firstLine="212" w:firstLineChars="10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32. 评标原则</w:t>
      </w:r>
    </w:p>
    <w:p w14:paraId="1B37A743">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.1评标委员会将遵循公平、公正、科学的原则，对供应商提交的投标文件进行综合评审，评标委员会按照采购文件规定的评标细则进行评分。</w:t>
      </w:r>
    </w:p>
    <w:p w14:paraId="4064C680">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 xml:space="preserve">.2客观公正对待所有供应商，对所有投标评价均采用相同的程序和标准。 </w:t>
      </w:r>
    </w:p>
    <w:p w14:paraId="4764F9CA">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.3评标委员会成员对需要共同认定的事项存在争议的，按照少数服从多数的原则作出结论。持不同意见的评标委员会成员应当在评审报告上签署不同意见及理由，否则视为同意评审报告。</w:t>
      </w:r>
    </w:p>
    <w:p w14:paraId="479018E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3CF9D09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 xml:space="preserve">非单一产品采购项目，采购人应当根据采购项目技术构成、产品价格比重等合理确定核心产品，并在采购文件中载明。多家供应商提供的核心产品品牌相同的，按前款规定处理。      </w:t>
      </w:r>
    </w:p>
    <w:p w14:paraId="61F4C29E">
      <w:pPr>
        <w:widowControl/>
        <w:shd w:val="clear" w:color="auto" w:fill="auto"/>
        <w:spacing w:line="440" w:lineRule="exact"/>
        <w:ind w:firstLine="212" w:firstLineChars="10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33. 评委纪律</w:t>
      </w:r>
    </w:p>
    <w:p w14:paraId="71DBA333">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评标委员会成员必须严格遵守保密规定，不得泄露评审的有关情况，任何单位和个人不得干扰、影响评标的正常进行，评标委员会成员不得私下与投标供应商接触，不得出现浙江省政府采购活动现场组织管理办法中规定的其他禁止行为。</w:t>
      </w:r>
    </w:p>
    <w:p w14:paraId="5FB606E7">
      <w:pPr>
        <w:widowControl/>
        <w:shd w:val="clear" w:color="auto" w:fill="auto"/>
        <w:spacing w:line="440" w:lineRule="exact"/>
        <w:ind w:firstLine="212" w:firstLineChars="100"/>
        <w:rPr>
          <w:rFonts w:hint="eastAsia" w:ascii="宋体"/>
          <w:color w:val="auto"/>
          <w:szCs w:val="21"/>
          <w:highlight w:val="none"/>
        </w:rPr>
      </w:pPr>
      <w:r>
        <w:rPr>
          <w:rFonts w:hint="eastAsia" w:ascii="宋体" w:hAnsi="宋体" w:eastAsia="宋体" w:cs="宋体"/>
          <w:b/>
          <w:color w:val="auto"/>
          <w:sz w:val="21"/>
          <w:szCs w:val="21"/>
          <w:highlight w:val="none"/>
          <w:lang w:val="en-US" w:eastAsia="zh-CN"/>
        </w:rPr>
        <w:t>34.评标程序</w:t>
      </w:r>
    </w:p>
    <w:p w14:paraId="34476017">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1 在评审专家中推选评标委员会组长，采购人代表不得担任评标委员会组长。</w:t>
      </w:r>
    </w:p>
    <w:p w14:paraId="5075415D">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2C32E230">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3 评审人员对符合资格的供应商的投标文件的有效性、符合性、完整性和响应程度进行审查，确定是否对采购文件作出实质性响应。</w:t>
      </w:r>
    </w:p>
    <w:p w14:paraId="2E7C8B3E">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4 评审人员按采购文件规定的评审方法和评审标准，依法独立对供应商投标文件进行评估、比较，并给予评价或打分，不受任何单位和个人的干预。</w:t>
      </w:r>
    </w:p>
    <w:p w14:paraId="22300D23">
      <w:pPr>
        <w:widowControl/>
        <w:shd w:val="clear" w:color="auto" w:fill="auto"/>
        <w:spacing w:line="440" w:lineRule="exact"/>
        <w:ind w:firstLine="424"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综合评分法货物项目的价格分值占总分值的比重(即权值)为</w:t>
      </w:r>
      <w:r>
        <w:rPr>
          <w:rFonts w:hint="eastAsia" w:ascii="宋体" w:hAnsi="宋体" w:cs="宋体"/>
          <w:color w:val="auto"/>
          <w:kern w:val="0"/>
          <w:szCs w:val="21"/>
          <w:highlight w:val="none"/>
          <w:lang w:val="en-US" w:eastAsia="zh-CN"/>
        </w:rPr>
        <w:t>30</w:t>
      </w:r>
      <w:r>
        <w:rPr>
          <w:rFonts w:hint="eastAsia" w:ascii="宋体" w:hAnsi="宋体" w:eastAsia="宋体" w:cs="宋体"/>
          <w:color w:val="auto"/>
          <w:kern w:val="0"/>
          <w:szCs w:val="21"/>
          <w:highlight w:val="none"/>
        </w:rPr>
        <w:t>％，采购项目中含不同采购对象的，以占项目资金比例最高的采购对象确定其项目属性。其价格不列为评分因素，有特殊情况需要在上述规定范围外设定价格分权重的。</w:t>
      </w:r>
    </w:p>
    <w:p w14:paraId="245D79F9">
      <w:pPr>
        <w:widowControl/>
        <w:shd w:val="clear" w:color="auto" w:fill="auto"/>
        <w:spacing w:line="440" w:lineRule="exac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综合评分法中的价格分统一采用低价优先法计算，即满足</w:t>
      </w:r>
      <w:r>
        <w:rPr>
          <w:rFonts w:hint="eastAsia" w:ascii="宋体" w:hAnsi="宋体" w:eastAsia="宋体" w:cs="宋体"/>
          <w:color w:val="auto"/>
          <w:kern w:val="0"/>
          <w:szCs w:val="21"/>
          <w:highlight w:val="none"/>
          <w:lang w:eastAsia="zh-CN"/>
        </w:rPr>
        <w:t>招标</w:t>
      </w:r>
      <w:r>
        <w:rPr>
          <w:rFonts w:hint="eastAsia" w:ascii="宋体" w:hAnsi="宋体" w:eastAsia="宋体" w:cs="宋体"/>
          <w:color w:val="auto"/>
          <w:kern w:val="0"/>
          <w:szCs w:val="21"/>
          <w:highlight w:val="none"/>
        </w:rPr>
        <w:t>文件要求且最后报价最低的供应商的价格为</w:t>
      </w:r>
      <w:r>
        <w:rPr>
          <w:rFonts w:hint="eastAsia" w:ascii="宋体" w:hAnsi="宋体" w:eastAsia="宋体" w:cs="宋体"/>
          <w:color w:val="auto"/>
          <w:kern w:val="0"/>
          <w:szCs w:val="21"/>
          <w:highlight w:val="none"/>
          <w:lang w:eastAsia="zh-CN"/>
        </w:rPr>
        <w:t>招标</w:t>
      </w:r>
      <w:r>
        <w:rPr>
          <w:rFonts w:hint="eastAsia" w:ascii="宋体" w:hAnsi="宋体" w:eastAsia="宋体" w:cs="宋体"/>
          <w:color w:val="auto"/>
          <w:kern w:val="0"/>
          <w:szCs w:val="21"/>
          <w:highlight w:val="none"/>
        </w:rPr>
        <w:t>基准价，其价格分为满分。其他供应商的价格分统一按照下列公式计算：</w:t>
      </w:r>
    </w:p>
    <w:p w14:paraId="7586A98B">
      <w:pPr>
        <w:widowControl/>
        <w:shd w:val="clear" w:color="auto" w:fill="auto"/>
        <w:spacing w:line="440" w:lineRule="exac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报价得分=（基准价/</w:t>
      </w: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报价）×价格权值×100</w:t>
      </w:r>
    </w:p>
    <w:p w14:paraId="26692D2B">
      <w:pPr>
        <w:widowControl/>
        <w:shd w:val="clear" w:color="auto" w:fill="auto"/>
        <w:spacing w:line="440" w:lineRule="exact"/>
        <w:ind w:firstLine="480"/>
        <w:rPr>
          <w:rFonts w:hint="eastAsia" w:ascii="宋体"/>
          <w:color w:val="auto"/>
          <w:szCs w:val="21"/>
          <w:highlight w:val="none"/>
          <w:lang w:val="en-US" w:eastAsia="zh-CN"/>
        </w:rPr>
      </w:pPr>
      <w:r>
        <w:rPr>
          <w:rFonts w:hint="eastAsia" w:ascii="宋体" w:hAnsi="宋体" w:eastAsia="宋体" w:cs="宋体"/>
          <w:color w:val="auto"/>
          <w:kern w:val="0"/>
          <w:szCs w:val="21"/>
          <w:highlight w:val="none"/>
        </w:rPr>
        <w:t>项目评审过程中，不得去掉最后报价中的最高报价和最低报价。</w:t>
      </w:r>
    </w:p>
    <w:p w14:paraId="61A4D8A6">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1163DDDC">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宋体"/>
          <w:color w:val="auto"/>
          <w:szCs w:val="21"/>
          <w:highlight w:val="none"/>
          <w:lang w:val="en-US" w:eastAsia="zh-CN"/>
        </w:rPr>
        <w:t>30</w:t>
      </w:r>
      <w:r>
        <w:rPr>
          <w:rFonts w:hint="eastAsia" w:ascii="宋体"/>
          <w:color w:val="auto"/>
          <w:szCs w:val="21"/>
          <w:highlight w:val="none"/>
        </w:rPr>
        <w:t>%以上的）情形的，应由相关人员当场改正或作出书面说明；拒不改正又不作书面说明的，由现场监督员如实记载后存入项目档案资料。</w:t>
      </w:r>
    </w:p>
    <w:p w14:paraId="3DF2E92C">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7 评标委员会根据评审汇总情况和采购文件规定确定中标候选供应商排序名单。</w:t>
      </w:r>
    </w:p>
    <w:p w14:paraId="3EF147C4">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 xml:space="preserve">8 起草评审报告，所有评审人员须在评审报告上签字确认，对自己的评审意见承担法律责任。 </w:t>
      </w:r>
    </w:p>
    <w:p w14:paraId="3D1C58EC">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9 采购组织机构对评标委员会评审专家进行评价。</w:t>
      </w:r>
    </w:p>
    <w:p w14:paraId="38B6BEE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10 修改评审结果</w:t>
      </w:r>
    </w:p>
    <w:p w14:paraId="28F5B3A2">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评标结果汇总完成后，除下列情形外，任何人不得修改评标结果：</w:t>
      </w:r>
    </w:p>
    <w:p w14:paraId="75130101">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（1）分值汇总计算错误的；</w:t>
      </w:r>
    </w:p>
    <w:p w14:paraId="5F124B81">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（2）分项评分超出评分标准范围的；</w:t>
      </w:r>
    </w:p>
    <w:p w14:paraId="221BFD09">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（3）评标委员会成员对客观评审因素评分不一致的；</w:t>
      </w:r>
    </w:p>
    <w:p w14:paraId="0393A2D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（4）经评标委员会认定评分畸高、畸低的。</w:t>
      </w:r>
    </w:p>
    <w:p w14:paraId="0D70981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0F2BB1F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hAnsi="宋体" w:eastAsia="宋体" w:cs="宋体"/>
          <w:b/>
          <w:color w:val="auto"/>
          <w:sz w:val="21"/>
          <w:szCs w:val="21"/>
          <w:highlight w:val="none"/>
          <w:lang w:val="en-US" w:eastAsia="zh-CN"/>
        </w:rPr>
        <w:t>35．澄清、说明或补正的形式</w:t>
      </w:r>
    </w:p>
    <w:p w14:paraId="1C34C51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35.1对于投标文件中含义不明确、同类问题表述不一致或者有明显文字和计算错误的内容，评标委员会将通过“政府采购云平台”在线询标的方式要求投标供应商在规定的时间内作出必要的澄清、说明或者补正，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宋体"/>
          <w:b/>
          <w:bCs/>
          <w:color w:val="auto"/>
          <w:szCs w:val="21"/>
          <w:highlight w:val="none"/>
          <w:lang w:val="en-US" w:eastAsia="zh-CN"/>
        </w:rPr>
        <w:t>投标供应商澄清、说明或补正时间为30分钟</w:t>
      </w:r>
      <w:r>
        <w:rPr>
          <w:rFonts w:hint="eastAsia" w:ascii="宋体"/>
          <w:b w:val="0"/>
          <w:bCs w:val="0"/>
          <w:color w:val="auto"/>
          <w:szCs w:val="21"/>
          <w:highlight w:val="none"/>
          <w:lang w:val="en-US" w:eastAsia="zh-CN"/>
        </w:rPr>
        <w:t>。</w:t>
      </w:r>
    </w:p>
    <w:p w14:paraId="227C355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35.2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4300945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0B327DA7">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36．错误修正的原则</w:t>
      </w:r>
    </w:p>
    <w:p w14:paraId="03CB122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40F5E2A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投标文件报价出现前后不一致的，除采购文件另有规定外，按照下列规定修正：</w:t>
      </w:r>
    </w:p>
    <w:p w14:paraId="24DE839E">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36.1 投标函中表述的内容与报价表中不一致的，以报价表为准；报价表中的内容与报价明细表不一致的，以报价表为准；</w:t>
      </w:r>
    </w:p>
    <w:p w14:paraId="4F01080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36.2 投标文件中的大写金额和小写金额不一致的，以大写金额为准；</w:t>
      </w:r>
    </w:p>
    <w:p w14:paraId="17968FB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36.3 单价金额小数点或者百分比有明显错位的，以开标一览表的总价为准，并修改单价；</w:t>
      </w:r>
    </w:p>
    <w:p w14:paraId="7D8FD6C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36.4 总价金额与按单价汇总金额不一致的，以单价金额计算结果为准；</w:t>
      </w:r>
    </w:p>
    <w:p w14:paraId="2B93D70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36.5 若用文字表示的数值与用数字表示的数值不一致，以文字表示的数值为准；</w:t>
      </w:r>
    </w:p>
    <w:p w14:paraId="2BD94C3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36.6 如有多报（指数量超出采购文件需求）、重报（指同一货物重复报价），其投标总价在评标过程中不予调整，如其中标，其合同价按其投标单价予以调整；</w:t>
      </w:r>
    </w:p>
    <w:p w14:paraId="1E7A479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36.7 对不同文字文本投标文件的解释发生异议的，以中文文本为准；</w:t>
      </w:r>
    </w:p>
    <w:p w14:paraId="060140D0">
      <w:pPr>
        <w:shd w:val="clear" w:color="auto" w:fill="auto"/>
        <w:spacing w:line="440" w:lineRule="exact"/>
        <w:ind w:firstLine="212" w:firstLineChars="100"/>
        <w:jc w:val="left"/>
        <w:rPr>
          <w:rFonts w:hint="eastAsia" w:ascii="宋体"/>
          <w:b/>
          <w:bCs/>
          <w:color w:val="auto"/>
          <w:szCs w:val="21"/>
          <w:highlight w:val="none"/>
          <w:lang w:val="en-US" w:eastAsia="zh-CN"/>
        </w:rPr>
      </w:pPr>
      <w:r>
        <w:rPr>
          <w:rFonts w:hint="eastAsia" w:ascii="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宋体"/>
          <w:b/>
          <w:bCs/>
          <w:color w:val="auto"/>
          <w:szCs w:val="21"/>
          <w:highlight w:val="none"/>
          <w:lang w:val="en-US" w:eastAsia="zh-CN"/>
        </w:rPr>
        <w:t>修正应当采用电子询标的形式，并加盖公章（电子印章）。</w:t>
      </w:r>
    </w:p>
    <w:p w14:paraId="1EC98D70">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37．无效投标文件</w:t>
      </w:r>
    </w:p>
    <w:p w14:paraId="3B5C187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有下列情形之一的，投标文件按无效标处理：</w:t>
      </w:r>
    </w:p>
    <w:p w14:paraId="029E8F8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 报名的投标人与参加投标的投标人发生实质性变更的且未提供有效证明的；</w:t>
      </w:r>
    </w:p>
    <w:p w14:paraId="53FB55D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37.2投标人提交两份或两份以上内容不同的投标文件，未声明哪一份有效的；</w:t>
      </w:r>
    </w:p>
    <w:p w14:paraId="0C2AA10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37.3 投标文件非投标人法定代表人签署的，未提供或提供无效的法定代表人授权书；</w:t>
      </w:r>
    </w:p>
    <w:p w14:paraId="02BAE66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37.4 未按招标文件规定装订；</w:t>
      </w:r>
    </w:p>
    <w:p w14:paraId="292CECE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37.5 投标文件内容未按招标文件规定签字或盖章的；</w:t>
      </w:r>
    </w:p>
    <w:p w14:paraId="614AFE8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37.6 投标文件组成漏项或未按规定的格式编制或投标文件正、副本份数不足或内容不全或内容字迹模糊辨认不清的等而导致评标活动无法正常进行；</w:t>
      </w:r>
    </w:p>
    <w:p w14:paraId="1AA843E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37.7 投标人未按招标文件变更通知更改投标文件的；</w:t>
      </w:r>
    </w:p>
    <w:p w14:paraId="0675EF7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37.8 《开标一览表</w:t>
      </w:r>
      <w:r>
        <w:rPr>
          <w:rFonts w:hint="eastAsia" w:ascii="宋体" w:hAnsi="Times New Roman" w:eastAsia="宋体" w:cs="Times New Roman"/>
          <w:b w:val="0"/>
          <w:bCs w:val="0"/>
          <w:color w:val="auto"/>
          <w:szCs w:val="21"/>
          <w:highlight w:val="none"/>
          <w:lang w:val="en-US" w:eastAsia="zh-CN"/>
        </w:rPr>
        <w:t>》和《投标分项报价表》内容不完</w:t>
      </w:r>
      <w:r>
        <w:rPr>
          <w:rFonts w:hint="eastAsia" w:ascii="宋体"/>
          <w:b w:val="0"/>
          <w:bCs w:val="0"/>
          <w:color w:val="auto"/>
          <w:szCs w:val="21"/>
          <w:highlight w:val="none"/>
          <w:lang w:val="en-US" w:eastAsia="zh-CN"/>
        </w:rPr>
        <w:t>整且不接受修正意见或字迹不能辨认的或未提供；</w:t>
      </w:r>
    </w:p>
    <w:p w14:paraId="4ED153A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37.9 标项投标报价超过招标文件规定的预算金额或最高限价</w:t>
      </w:r>
    </w:p>
    <w:p w14:paraId="15EEE98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37.10 因投标人原因编制错误造成经评标委员会修正后的报价达到或超过投标报价的0.5%；</w:t>
      </w:r>
    </w:p>
    <w:p w14:paraId="7EE24E2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37.11 投标人的报价明显低于其他通过符合性审查投标人的报价，有可能影响产品质量或者不能诚信履约的，且在规定时间内不能合理说明原因并提供证明材料的；</w:t>
      </w:r>
    </w:p>
    <w:p w14:paraId="69BE79E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37.12 未实质性响应招标文件中条款要求的投标文件；</w:t>
      </w:r>
    </w:p>
    <w:p w14:paraId="6C0A341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37.13 不符合招标范围、技术规格、技术标准的要求无法满足采购人使用要求；</w:t>
      </w:r>
    </w:p>
    <w:p w14:paraId="09F5924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37.14 投标文件附有采购人不能接受的条款；</w:t>
      </w:r>
    </w:p>
    <w:p w14:paraId="5D9779C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37.15 投标文件中提供了赠品或者与本项目采购无关的其他商品、服务；</w:t>
      </w:r>
    </w:p>
    <w:p w14:paraId="35CA44DF">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37.16 投标文件中承诺的投标有效期少于招标文件中载明的投标有效期；</w:t>
      </w:r>
    </w:p>
    <w:p w14:paraId="69932B9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37.17投标人串通投标，妨碍其他投标人的竞争行为，损害采购人或者其他投标人的合法权益；</w:t>
      </w:r>
    </w:p>
    <w:p w14:paraId="5F6BA96F">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37.18违反国家及政府部门相关法律、法规、文件规定或经评标委员会认定的其他属于重大偏离；</w:t>
      </w:r>
    </w:p>
    <w:p w14:paraId="6DF15A87">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38．废标</w:t>
      </w:r>
    </w:p>
    <w:p w14:paraId="03328AC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 符合招标文件规定废标情形的；</w:t>
      </w:r>
    </w:p>
    <w:p w14:paraId="6573124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38.2 出现影响采购公正的违法、违规行为的；</w:t>
      </w:r>
    </w:p>
    <w:p w14:paraId="3489A814">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38.3 供应商的报价均超过了采购预算（或最高限价），采购人不能支付的;</w:t>
      </w:r>
    </w:p>
    <w:p w14:paraId="5EDB77E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38.4 因重大变故，采购任务取消的。</w:t>
      </w:r>
    </w:p>
    <w:p w14:paraId="0FC7C451">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39．突发情况处理</w:t>
      </w:r>
    </w:p>
    <w:p w14:paraId="6E02597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39.1 采购过程中出现以下情形，导致电子交易平台无法正常运行，或者无法保证电子交易的公平、公正和安全时，采购组织机构可中止电子交易活动：</w:t>
      </w:r>
    </w:p>
    <w:p w14:paraId="61F98EA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（1）电子交易平台发生故障而无法登录访问的； </w:t>
      </w:r>
    </w:p>
    <w:p w14:paraId="41D403F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（2）电子交易平台应用或数据库出现错误，不能进行正常操作的；</w:t>
      </w:r>
    </w:p>
    <w:p w14:paraId="6844069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（3）电子交易平台发现严重安全漏洞，有潜在泄密危险的；</w:t>
      </w:r>
    </w:p>
    <w:p w14:paraId="1869FB7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（4）病毒发作导致不能进行正常操作的； </w:t>
      </w:r>
    </w:p>
    <w:p w14:paraId="0F6CE5E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（5）其他无法保证电子交易的公平、公正和安全的情况。</w:t>
      </w:r>
    </w:p>
    <w:p w14:paraId="73B38B2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711CBC64">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39.2 采购代理机构或评审小组因不可抗力（不可抗力包括但不限于自然灾害、断电、传播疫病等）原因造成电子交易活动无法正常运行的，将采取以下措施：</w:t>
      </w:r>
    </w:p>
    <w:p w14:paraId="4D5F935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（1）短时间内能消除不可抗力因素的，采购代理机构或评审小组在消除不可抗力因素后继续组织电子交易活动；</w:t>
      </w:r>
    </w:p>
    <w:p w14:paraId="0CF617C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（2）长时间内无法消除不可抗力因素的，采购代理机构或评审小组将中止电子交易活动。中止电子交易活动的，采购人应当重新组织政府采购活动。</w:t>
      </w:r>
    </w:p>
    <w:p w14:paraId="65367AE3">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40.定标</w:t>
      </w:r>
    </w:p>
    <w:p w14:paraId="5230FC28">
      <w:pPr>
        <w:shd w:val="clear" w:color="auto" w:fill="auto"/>
        <w:spacing w:line="440" w:lineRule="exact"/>
        <w:ind w:firstLine="424" w:firstLineChars="200"/>
        <w:jc w:val="left"/>
        <w:rPr>
          <w:rFonts w:hint="eastAsia" w:ascii="宋体"/>
          <w:b w:val="0"/>
          <w:bCs w:val="0"/>
          <w:color w:val="auto"/>
          <w:szCs w:val="21"/>
          <w:highlight w:val="none"/>
          <w:lang w:val="en-US" w:eastAsia="zh-CN"/>
        </w:rPr>
      </w:pPr>
      <w:bookmarkStart w:id="42" w:name="_Toc469495729"/>
      <w:r>
        <w:rPr>
          <w:rFonts w:hint="eastAsia" w:ascii="宋体"/>
          <w:b w:val="0"/>
          <w:bCs w:val="0"/>
          <w:color w:val="auto"/>
          <w:szCs w:val="21"/>
          <w:highlight w:val="none"/>
          <w:lang w:val="en-US" w:eastAsia="zh-CN"/>
        </w:rPr>
        <w:t>4</w:t>
      </w:r>
      <w:r>
        <w:rPr>
          <w:rFonts w:hint="eastAsia" w:ascii="宋体" w:hAnsi="宋体" w:eastAsia="宋体" w:cs="宋体"/>
          <w:b/>
          <w:color w:val="auto"/>
          <w:sz w:val="21"/>
          <w:szCs w:val="21"/>
          <w:highlight w:val="none"/>
          <w:lang w:val="en-US" w:eastAsia="zh-CN"/>
        </w:rPr>
        <w:t>0</w:t>
      </w:r>
      <w:r>
        <w:rPr>
          <w:rFonts w:hint="eastAsia" w:ascii="宋体"/>
          <w:b w:val="0"/>
          <w:bCs w:val="0"/>
          <w:color w:val="auto"/>
          <w:szCs w:val="21"/>
          <w:highlight w:val="none"/>
          <w:lang w:val="en-US" w:eastAsia="zh-CN"/>
        </w:rPr>
        <w:t>.1采购结果确认（确定中标供应商）</w:t>
      </w:r>
    </w:p>
    <w:p w14:paraId="21253A1F">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采购结果确认（确定中标供应商）：本项目由采购人根据评标委员会提交的《评审报告》，通过“政府采购云平台”依法确认采购结果、确定中标供应商。具体流程如下：</w:t>
      </w:r>
    </w:p>
    <w:p w14:paraId="7ECE75D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（1）采购代理机构将在评审结束后2个工作日内将评审报告送采购人。</w:t>
      </w:r>
    </w:p>
    <w:p w14:paraId="3673AC9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（2）采购人将在收到评审报告之日起5个工作日内，在评审报告推荐的中标候选供应商名单中按顺序确定中标供应商，并将确认意见以书面形式回复采购代理机构。 </w:t>
      </w:r>
    </w:p>
    <w:p w14:paraId="057C608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40.2</w:t>
      </w:r>
      <w:r>
        <w:rPr>
          <w:rFonts w:hint="eastAsia" w:ascii="宋体"/>
          <w:b/>
          <w:bCs/>
          <w:color w:val="auto"/>
          <w:szCs w:val="21"/>
          <w:highlight w:val="none"/>
          <w:lang w:val="en-US" w:eastAsia="zh-CN"/>
        </w:rPr>
        <w:t>采购结果经采购人确认后2个工作日内，采购代理机构将在新疆政府采购网（www.zjzfcg.gov.cn）、克州公共资源交易网上公告采购结果，中标公告期限为1个工作日。</w:t>
      </w:r>
    </w:p>
    <w:p w14:paraId="403E5CB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41. 中标通知书</w:t>
      </w:r>
    </w:p>
    <w:p w14:paraId="7AA9F61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41.1</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eastAsia="zh-CN"/>
        </w:rPr>
        <w:t>中标</w:t>
      </w:r>
      <w:r>
        <w:rPr>
          <w:rFonts w:hint="eastAsia" w:ascii="宋体" w:hAnsi="宋体" w:eastAsia="宋体" w:cs="宋体"/>
          <w:color w:val="auto"/>
          <w:szCs w:val="21"/>
          <w:highlight w:val="none"/>
        </w:rPr>
        <w:t>通知书发出前，招标人将</w:t>
      </w:r>
      <w:r>
        <w:rPr>
          <w:rFonts w:hint="eastAsia" w:ascii="宋体" w:hAnsi="宋体" w:eastAsia="宋体" w:cs="宋体"/>
          <w:color w:val="auto"/>
          <w:szCs w:val="21"/>
          <w:highlight w:val="none"/>
          <w:lang w:eastAsia="zh-CN"/>
        </w:rPr>
        <w:t>中标</w:t>
      </w:r>
      <w:r>
        <w:rPr>
          <w:rFonts w:hint="eastAsia" w:ascii="宋体" w:hAnsi="宋体" w:eastAsia="宋体" w:cs="宋体"/>
          <w:color w:val="auto"/>
          <w:szCs w:val="21"/>
          <w:highlight w:val="none"/>
        </w:rPr>
        <w:t>侯选人的情况在</w:t>
      </w:r>
      <w:r>
        <w:rPr>
          <w:rFonts w:hint="eastAsia" w:ascii="宋体" w:hAnsi="宋体" w:eastAsia="宋体" w:cs="宋体"/>
          <w:color w:val="auto"/>
          <w:szCs w:val="21"/>
          <w:highlight w:val="none"/>
          <w:lang w:eastAsia="zh-CN"/>
        </w:rPr>
        <w:t>新疆政府采购网、</w:t>
      </w:r>
      <w:r>
        <w:rPr>
          <w:rFonts w:hint="eastAsia" w:ascii="宋体" w:hAnsi="宋体" w:eastAsia="宋体" w:cs="宋体"/>
          <w:color w:val="auto"/>
          <w:szCs w:val="21"/>
          <w:highlight w:val="none"/>
          <w:lang w:val="en-US" w:eastAsia="zh-CN"/>
        </w:rPr>
        <w:t>克州公共资源交易网</w:t>
      </w:r>
      <w:r>
        <w:rPr>
          <w:rFonts w:hint="eastAsia" w:ascii="宋体" w:hAnsi="宋体" w:eastAsia="宋体" w:cs="宋体"/>
          <w:color w:val="auto"/>
          <w:szCs w:val="21"/>
          <w:highlight w:val="none"/>
        </w:rPr>
        <w:t>予以公示，</w:t>
      </w:r>
      <w:r>
        <w:rPr>
          <w:rFonts w:hint="eastAsia" w:ascii="宋体" w:hAnsi="宋体" w:eastAsia="宋体" w:cs="宋体"/>
          <w:b/>
          <w:bCs/>
          <w:color w:val="auto"/>
          <w:szCs w:val="21"/>
          <w:highlight w:val="none"/>
        </w:rPr>
        <w:t>公示期为</w:t>
      </w:r>
      <w:r>
        <w:rPr>
          <w:rFonts w:hint="eastAsia" w:ascii="宋体" w:hAnsi="宋体" w:eastAsia="宋体" w:cs="宋体"/>
          <w:b/>
          <w:bCs/>
          <w:color w:val="auto"/>
          <w:szCs w:val="21"/>
          <w:highlight w:val="none"/>
          <w:lang w:eastAsia="zh-CN"/>
        </w:rPr>
        <w:t>一</w:t>
      </w:r>
      <w:r>
        <w:rPr>
          <w:rFonts w:hint="eastAsia" w:ascii="宋体" w:hAnsi="宋体" w:eastAsia="宋体" w:cs="宋体"/>
          <w:b/>
          <w:bCs/>
          <w:color w:val="auto"/>
          <w:szCs w:val="21"/>
          <w:highlight w:val="none"/>
        </w:rPr>
        <w:t>个工作日。</w:t>
      </w:r>
      <w:r>
        <w:rPr>
          <w:rFonts w:hint="eastAsia" w:ascii="宋体" w:hAnsi="宋体" w:eastAsia="宋体" w:cs="宋体"/>
          <w:b/>
          <w:bCs/>
          <w:color w:val="auto"/>
          <w:szCs w:val="21"/>
          <w:highlight w:val="none"/>
          <w:lang w:eastAsia="zh-CN"/>
        </w:rPr>
        <w:t>待公示期结束后，</w:t>
      </w:r>
      <w:r>
        <w:rPr>
          <w:rFonts w:hint="eastAsia" w:ascii="宋体"/>
          <w:b/>
          <w:bCs/>
          <w:color w:val="auto"/>
          <w:szCs w:val="21"/>
          <w:highlight w:val="none"/>
          <w:lang w:val="en-US" w:eastAsia="zh-CN"/>
        </w:rPr>
        <w:t>采购组织机构向中标人发出中标通知书。</w:t>
      </w:r>
    </w:p>
    <w:p w14:paraId="2EE84DC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41.2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65863B77">
      <w:pPr>
        <w:pStyle w:val="53"/>
        <w:ind w:left="0" w:leftChars="0" w:firstLine="0" w:firstLineChars="0"/>
        <w:rPr>
          <w:rFonts w:hint="eastAsia" w:ascii="宋体"/>
          <w:b w:val="0"/>
          <w:bCs w:val="0"/>
          <w:color w:val="auto"/>
          <w:szCs w:val="21"/>
          <w:highlight w:val="none"/>
          <w:lang w:val="en-US" w:eastAsia="zh-CN"/>
        </w:rPr>
      </w:pPr>
    </w:p>
    <w:p w14:paraId="5CD4F689">
      <w:pPr>
        <w:shd w:val="clear" w:color="auto" w:fill="auto"/>
        <w:spacing w:before="156" w:beforeLines="50" w:line="440" w:lineRule="exact"/>
        <w:ind w:firstLine="3102" w:firstLineChars="1100"/>
        <w:jc w:val="both"/>
        <w:outlineLvl w:val="2"/>
        <w:rPr>
          <w:rFonts w:hint="eastAsia" w:ascii="黑体" w:eastAsia="黑体"/>
          <w:color w:val="auto"/>
          <w:sz w:val="28"/>
          <w:szCs w:val="28"/>
          <w:highlight w:val="none"/>
        </w:rPr>
      </w:pPr>
      <w:bookmarkStart w:id="43" w:name="_Toc9389"/>
    </w:p>
    <w:p w14:paraId="297E174D">
      <w:pPr>
        <w:shd w:val="clear" w:color="auto" w:fill="auto"/>
        <w:spacing w:before="156" w:beforeLines="50" w:line="440" w:lineRule="exact"/>
        <w:ind w:firstLine="3102" w:firstLineChars="1100"/>
        <w:jc w:val="both"/>
        <w:outlineLvl w:val="2"/>
        <w:rPr>
          <w:rFonts w:hint="eastAsia" w:ascii="黑体" w:eastAsia="黑体"/>
          <w:color w:val="auto"/>
          <w:sz w:val="28"/>
          <w:szCs w:val="28"/>
          <w:highlight w:val="none"/>
        </w:rPr>
      </w:pPr>
    </w:p>
    <w:p w14:paraId="07D0AEE1">
      <w:pPr>
        <w:shd w:val="clear" w:color="auto" w:fill="auto"/>
        <w:spacing w:before="156" w:beforeLines="50" w:line="440" w:lineRule="exact"/>
        <w:ind w:firstLine="3102" w:firstLineChars="1100"/>
        <w:jc w:val="both"/>
        <w:outlineLvl w:val="2"/>
        <w:rPr>
          <w:rFonts w:hint="eastAsia" w:ascii="黑体" w:eastAsia="黑体"/>
          <w:color w:val="auto"/>
          <w:sz w:val="28"/>
          <w:szCs w:val="28"/>
          <w:highlight w:val="none"/>
        </w:rPr>
      </w:pPr>
    </w:p>
    <w:p w14:paraId="3F7B15C6">
      <w:pPr>
        <w:pStyle w:val="46"/>
        <w:rPr>
          <w:rFonts w:hint="eastAsia"/>
          <w:color w:val="auto"/>
          <w:highlight w:val="none"/>
        </w:rPr>
      </w:pPr>
    </w:p>
    <w:p w14:paraId="0F85EFCF">
      <w:pPr>
        <w:shd w:val="clear" w:color="auto" w:fill="auto"/>
        <w:spacing w:before="156" w:beforeLines="50" w:line="440" w:lineRule="exact"/>
        <w:ind w:firstLine="3102" w:firstLineChars="1100"/>
        <w:jc w:val="both"/>
        <w:outlineLvl w:val="2"/>
        <w:rPr>
          <w:rFonts w:hint="eastAsia" w:ascii="黑体" w:eastAsia="黑体"/>
          <w:color w:val="auto"/>
          <w:sz w:val="24"/>
          <w:highlight w:val="none"/>
        </w:rPr>
      </w:pPr>
      <w:r>
        <w:rPr>
          <w:rFonts w:hint="eastAsia" w:ascii="黑体" w:eastAsia="黑体"/>
          <w:color w:val="auto"/>
          <w:sz w:val="28"/>
          <w:szCs w:val="28"/>
          <w:highlight w:val="none"/>
        </w:rPr>
        <w:t>（六）合同的授予</w:t>
      </w:r>
      <w:bookmarkEnd w:id="42"/>
      <w:bookmarkEnd w:id="43"/>
    </w:p>
    <w:p w14:paraId="3073F26F">
      <w:pPr>
        <w:shd w:val="clear" w:color="auto" w:fill="auto"/>
        <w:spacing w:line="440" w:lineRule="exact"/>
        <w:ind w:firstLine="212" w:firstLineChars="100"/>
        <w:jc w:val="left"/>
        <w:rPr>
          <w:rFonts w:hint="eastAsia" w:ascii="宋体"/>
          <w:b w:val="0"/>
          <w:bCs w:val="0"/>
          <w:color w:val="auto"/>
          <w:szCs w:val="21"/>
          <w:highlight w:val="none"/>
          <w:lang w:val="en-US" w:eastAsia="zh-CN"/>
        </w:rPr>
      </w:pPr>
      <w:bookmarkStart w:id="44" w:name="_Toc73975842"/>
      <w:bookmarkStart w:id="45" w:name="_Toc469495730"/>
      <w:r>
        <w:rPr>
          <w:rFonts w:hint="eastAsia" w:ascii="宋体"/>
          <w:b w:val="0"/>
          <w:bCs w:val="0"/>
          <w:color w:val="auto"/>
          <w:szCs w:val="21"/>
          <w:highlight w:val="none"/>
          <w:lang w:val="en-US" w:eastAsia="zh-CN"/>
        </w:rPr>
        <w:t>42．履约保证金</w:t>
      </w:r>
      <w:bookmarkEnd w:id="44"/>
    </w:p>
    <w:p w14:paraId="32535C69">
      <w:pPr>
        <w:widowControl/>
        <w:spacing w:line="440" w:lineRule="exact"/>
        <w:ind w:firstLine="212" w:firstLineChars="100"/>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42.1 中标供应商在签订合同后5个工作日内向采购人交纳中标价</w:t>
      </w:r>
      <w:r>
        <w:rPr>
          <w:rFonts w:hint="eastAsia" w:ascii="宋体"/>
          <w:b/>
          <w:bCs/>
          <w:color w:val="auto"/>
          <w:szCs w:val="21"/>
          <w:highlight w:val="none"/>
          <w:lang w:val="en-US" w:eastAsia="zh-CN"/>
        </w:rPr>
        <w:t>2%的履约保证金</w:t>
      </w:r>
      <w:r>
        <w:rPr>
          <w:rFonts w:hint="eastAsia" w:ascii="宋体"/>
          <w:b w:val="0"/>
          <w:bCs w:val="0"/>
          <w:color w:val="auto"/>
          <w:szCs w:val="21"/>
          <w:highlight w:val="none"/>
          <w:lang w:val="en-US" w:eastAsia="zh-CN"/>
        </w:rPr>
        <w:t>（</w:t>
      </w:r>
      <w:r>
        <w:rPr>
          <w:rFonts w:hint="eastAsia" w:ascii="宋体" w:hAnsi="宋体" w:cs="宋体"/>
          <w:color w:val="auto"/>
          <w:kern w:val="0"/>
          <w:szCs w:val="21"/>
          <w:highlight w:val="none"/>
          <w:lang w:eastAsia="zh-CN"/>
        </w:rPr>
        <w:t>本项目履约保证金接收保函形式</w:t>
      </w:r>
      <w:r>
        <w:rPr>
          <w:rFonts w:hint="eastAsia" w:ascii="宋体"/>
          <w:b w:val="0"/>
          <w:bCs w:val="0"/>
          <w:color w:val="auto"/>
          <w:szCs w:val="21"/>
          <w:highlight w:val="none"/>
          <w:lang w:val="en-US" w:eastAsia="zh-CN"/>
        </w:rPr>
        <w:t>；若以电汇、银行转账方式提交的，必须转到采购人的指定账户）。</w:t>
      </w:r>
    </w:p>
    <w:p w14:paraId="7E80D80E">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42.2 签订合同后，如中标供应商不按合同约定履约的，履约保证金不予退还，履约保证金不足以赔偿损失的，按实际损失赔偿。</w:t>
      </w:r>
    </w:p>
    <w:p w14:paraId="75CD125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42.3 如果中标供应商在供货期内没有涉及采购人的应付而未付金额或违约行为，采购人在项目验收合格后或提前终止合同后全额无息退还履约保证金。</w:t>
      </w:r>
    </w:p>
    <w:p w14:paraId="285128D4">
      <w:pPr>
        <w:shd w:val="clear" w:color="auto" w:fill="auto"/>
        <w:spacing w:line="440" w:lineRule="exact"/>
        <w:ind w:firstLine="212" w:firstLineChars="100"/>
        <w:jc w:val="left"/>
        <w:rPr>
          <w:rFonts w:hint="eastAsia" w:ascii="宋体"/>
          <w:b w:val="0"/>
          <w:bCs w:val="0"/>
          <w:color w:val="auto"/>
          <w:szCs w:val="21"/>
          <w:highlight w:val="none"/>
          <w:lang w:val="en-US" w:eastAsia="zh-CN"/>
        </w:rPr>
      </w:pPr>
      <w:bookmarkStart w:id="46" w:name="_Toc73975843"/>
      <w:r>
        <w:rPr>
          <w:rFonts w:hint="eastAsia" w:ascii="宋体"/>
          <w:b w:val="0"/>
          <w:bCs w:val="0"/>
          <w:color w:val="auto"/>
          <w:szCs w:val="21"/>
          <w:highlight w:val="none"/>
          <w:lang w:val="en-US" w:eastAsia="zh-CN"/>
        </w:rPr>
        <w:t>43．签订合同及公告</w:t>
      </w:r>
      <w:bookmarkEnd w:id="46"/>
    </w:p>
    <w:p w14:paraId="03FE79D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43.1采购人在中标通知书发出之日起30日内与中标供应商签订合同。</w:t>
      </w:r>
    </w:p>
    <w:p w14:paraId="7D9B466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43.2中标供应商拖延、拒签合同的,取消中标资格。</w:t>
      </w:r>
    </w:p>
    <w:p w14:paraId="1E472C3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43.3 采购文件、中标供应商的投标文件及评标过程中有关澄清文件等均作为签订合同的依据。所签订的合同不得对采购文件和中标供应商的投标文件的内容作实质性修改。</w:t>
      </w:r>
    </w:p>
    <w:p w14:paraId="1E2ED88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43.4采购人应当自政府采购合同签订之日起2个工作日内，在省级以上财政部门指定的政府采购信息发布媒体及相关网站上公告。</w:t>
      </w:r>
    </w:p>
    <w:p w14:paraId="4DD7E80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43.5采购人应当自政府采购合同签订之日起7个工作日内，将政府采购合同副本报同级人民政府财政部门备案以及采购代理机构存档。</w:t>
      </w:r>
    </w:p>
    <w:p w14:paraId="29B18EC0">
      <w:pPr>
        <w:shd w:val="clear" w:color="auto" w:fill="auto"/>
        <w:adjustRightInd w:val="0"/>
        <w:snapToGrid w:val="0"/>
        <w:spacing w:line="440" w:lineRule="exact"/>
        <w:jc w:val="center"/>
        <w:outlineLvl w:val="2"/>
        <w:rPr>
          <w:rFonts w:hint="eastAsia" w:ascii="黑体" w:eastAsia="黑体"/>
          <w:color w:val="auto"/>
          <w:sz w:val="28"/>
          <w:szCs w:val="28"/>
          <w:highlight w:val="none"/>
        </w:rPr>
      </w:pPr>
      <w:bookmarkStart w:id="47" w:name="_Toc12698"/>
    </w:p>
    <w:p w14:paraId="14E9CC55">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1FFBC231">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4C028AEC">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60885EB6">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778A5FC5">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20E2AB71">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5FB2CF4F">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0FBBEC4D">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62B69A39">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2E4A905A">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7693D17A">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2D3DFF58">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5C963A8A">
      <w:pPr>
        <w:shd w:val="clear" w:color="auto" w:fill="auto"/>
        <w:adjustRightInd w:val="0"/>
        <w:snapToGrid w:val="0"/>
        <w:spacing w:line="440" w:lineRule="exact"/>
        <w:jc w:val="center"/>
        <w:outlineLvl w:val="2"/>
        <w:rPr>
          <w:rFonts w:hint="eastAsia" w:ascii="黑体" w:eastAsia="黑体"/>
          <w:color w:val="auto"/>
          <w:sz w:val="28"/>
          <w:szCs w:val="28"/>
          <w:highlight w:val="none"/>
        </w:rPr>
      </w:pPr>
      <w:r>
        <w:rPr>
          <w:rFonts w:hint="eastAsia" w:ascii="黑体" w:eastAsia="黑体"/>
          <w:color w:val="auto"/>
          <w:sz w:val="28"/>
          <w:szCs w:val="28"/>
          <w:highlight w:val="none"/>
        </w:rPr>
        <w:t>（七）纪律和监督</w:t>
      </w:r>
      <w:bookmarkEnd w:id="45"/>
      <w:bookmarkEnd w:id="47"/>
    </w:p>
    <w:p w14:paraId="6F748106">
      <w:pPr>
        <w:shd w:val="clear" w:color="auto" w:fill="auto"/>
        <w:spacing w:line="440" w:lineRule="exact"/>
        <w:ind w:firstLine="310" w:firstLineChars="147"/>
        <w:jc w:val="left"/>
        <w:rPr>
          <w:rFonts w:hint="eastAsia" w:ascii="宋体"/>
          <w:b/>
          <w:color w:val="auto"/>
          <w:szCs w:val="21"/>
          <w:highlight w:val="none"/>
        </w:rPr>
      </w:pPr>
      <w:r>
        <w:rPr>
          <w:rFonts w:hint="eastAsia" w:ascii="宋体"/>
          <w:b/>
          <w:color w:val="auto"/>
          <w:szCs w:val="21"/>
          <w:highlight w:val="none"/>
          <w:lang w:val="en-US" w:eastAsia="zh-CN"/>
        </w:rPr>
        <w:t>44</w:t>
      </w:r>
      <w:r>
        <w:rPr>
          <w:rFonts w:hint="eastAsia" w:ascii="宋体"/>
          <w:b/>
          <w:color w:val="auto"/>
          <w:szCs w:val="21"/>
          <w:highlight w:val="none"/>
        </w:rPr>
        <w:t xml:space="preserve">. 对招标人的纪律要求 </w:t>
      </w:r>
    </w:p>
    <w:p w14:paraId="73DD9C3E">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44</w:t>
      </w:r>
      <w:r>
        <w:rPr>
          <w:rFonts w:hint="eastAsia" w:ascii="宋体"/>
          <w:color w:val="auto"/>
          <w:kern w:val="10"/>
          <w:szCs w:val="21"/>
          <w:highlight w:val="none"/>
        </w:rPr>
        <w:t xml:space="preserve">.1招标人不得泄漏招标投标活动中应当保密的情况和资料，不得与投标人串通损害国家利益，社会公共利益或者他人合法权益。 </w:t>
      </w:r>
    </w:p>
    <w:p w14:paraId="4570D5D2">
      <w:pPr>
        <w:shd w:val="clear" w:color="auto" w:fill="auto"/>
        <w:spacing w:line="440" w:lineRule="exact"/>
        <w:ind w:firstLine="310" w:firstLineChars="147"/>
        <w:jc w:val="left"/>
        <w:rPr>
          <w:rFonts w:hint="eastAsia" w:ascii="宋体"/>
          <w:b/>
          <w:color w:val="auto"/>
          <w:szCs w:val="21"/>
          <w:highlight w:val="none"/>
        </w:rPr>
      </w:pPr>
      <w:r>
        <w:rPr>
          <w:rFonts w:hint="eastAsia" w:ascii="宋体"/>
          <w:b/>
          <w:color w:val="auto"/>
          <w:szCs w:val="21"/>
          <w:highlight w:val="none"/>
          <w:lang w:val="en-US" w:eastAsia="zh-CN"/>
        </w:rPr>
        <w:t>45</w:t>
      </w:r>
      <w:r>
        <w:rPr>
          <w:rFonts w:hint="eastAsia" w:ascii="宋体"/>
          <w:b/>
          <w:color w:val="auto"/>
          <w:szCs w:val="21"/>
          <w:highlight w:val="none"/>
        </w:rPr>
        <w:t xml:space="preserve">. 对投标人的纪律要求 </w:t>
      </w:r>
    </w:p>
    <w:p w14:paraId="20535E50">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45</w:t>
      </w:r>
      <w:r>
        <w:rPr>
          <w:rFonts w:hint="eastAsia" w:ascii="宋体"/>
          <w:color w:val="auto"/>
          <w:kern w:val="10"/>
          <w:szCs w:val="21"/>
          <w:highlight w:val="none"/>
        </w:rPr>
        <w:t>.1投标人不得相互串通投标或者与招标人串通投标，不得向招标人或者评标委员会成员行贿谋取中标，不得以他人名义投标或者以其他方式弄虚作假骗取中标；投标人不得以任何方式干扰、影响评标工作。</w:t>
      </w:r>
    </w:p>
    <w:p w14:paraId="2DE1C097">
      <w:pPr>
        <w:shd w:val="clear" w:color="auto" w:fill="auto"/>
        <w:spacing w:line="440" w:lineRule="exact"/>
        <w:ind w:firstLine="310" w:firstLineChars="147"/>
        <w:jc w:val="left"/>
        <w:rPr>
          <w:rFonts w:hint="eastAsia" w:ascii="宋体"/>
          <w:b/>
          <w:color w:val="auto"/>
          <w:szCs w:val="21"/>
          <w:highlight w:val="none"/>
        </w:rPr>
      </w:pPr>
      <w:r>
        <w:rPr>
          <w:rFonts w:hint="eastAsia" w:ascii="宋体"/>
          <w:b/>
          <w:color w:val="auto"/>
          <w:szCs w:val="21"/>
          <w:highlight w:val="none"/>
          <w:lang w:val="en-US" w:eastAsia="zh-CN"/>
        </w:rPr>
        <w:t>46</w:t>
      </w:r>
      <w:r>
        <w:rPr>
          <w:rFonts w:hint="eastAsia" w:ascii="宋体"/>
          <w:b/>
          <w:color w:val="auto"/>
          <w:szCs w:val="21"/>
          <w:highlight w:val="none"/>
        </w:rPr>
        <w:t xml:space="preserve">. 对评标委员会成员的纪律要求 </w:t>
      </w:r>
    </w:p>
    <w:p w14:paraId="67013CAC">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46</w:t>
      </w:r>
      <w:r>
        <w:rPr>
          <w:rFonts w:hint="eastAsia" w:ascii="宋体"/>
          <w:color w:val="auto"/>
          <w:kern w:val="10"/>
          <w:szCs w:val="21"/>
          <w:highlight w:val="none"/>
        </w:rPr>
        <w:t>.1评标委员会成员不得收受他人的财物或者其他好处，不得向他人透漏对投标文件的评审和比较、中标候选人的推荐情况以及评标有关的其他情况。</w:t>
      </w:r>
    </w:p>
    <w:p w14:paraId="53312F60">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46</w:t>
      </w:r>
      <w:r>
        <w:rPr>
          <w:rFonts w:hint="eastAsia" w:ascii="宋体"/>
          <w:color w:val="auto"/>
          <w:kern w:val="10"/>
          <w:szCs w:val="21"/>
          <w:highlight w:val="none"/>
        </w:rPr>
        <w:t xml:space="preserve">.2在评标活动中，评标委员会成员不得擅离职守，影响评标程序正常进行，不得使用第三章“评标办法”没有规定的评审因素和标准进行评标。 </w:t>
      </w:r>
    </w:p>
    <w:p w14:paraId="2986F586">
      <w:pPr>
        <w:shd w:val="clear" w:color="auto" w:fill="auto"/>
        <w:adjustRightInd w:val="0"/>
        <w:snapToGrid w:val="0"/>
        <w:spacing w:line="440" w:lineRule="exact"/>
        <w:ind w:firstLine="318" w:firstLineChars="150"/>
        <w:rPr>
          <w:rFonts w:hint="eastAsia" w:ascii="宋体"/>
          <w:b/>
          <w:color w:val="auto"/>
          <w:szCs w:val="21"/>
          <w:highlight w:val="none"/>
        </w:rPr>
      </w:pPr>
      <w:r>
        <w:rPr>
          <w:rFonts w:hint="eastAsia" w:ascii="宋体"/>
          <w:b/>
          <w:color w:val="auto"/>
          <w:szCs w:val="21"/>
          <w:highlight w:val="none"/>
          <w:lang w:val="en-US" w:eastAsia="zh-CN"/>
        </w:rPr>
        <w:t>47</w:t>
      </w:r>
      <w:r>
        <w:rPr>
          <w:rFonts w:hint="eastAsia" w:ascii="宋体"/>
          <w:b/>
          <w:color w:val="auto"/>
          <w:szCs w:val="21"/>
          <w:highlight w:val="none"/>
        </w:rPr>
        <w:t xml:space="preserve">. 对与评标活动有关的工作人员的纪律要求 </w:t>
      </w:r>
    </w:p>
    <w:p w14:paraId="79F5BB40">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rPr>
        <w:t>4</w:t>
      </w:r>
      <w:r>
        <w:rPr>
          <w:rFonts w:hint="eastAsia" w:ascii="宋体"/>
          <w:color w:val="auto"/>
          <w:kern w:val="10"/>
          <w:szCs w:val="21"/>
          <w:highlight w:val="none"/>
          <w:lang w:val="en-US" w:eastAsia="zh-CN"/>
        </w:rPr>
        <w:t>7</w:t>
      </w:r>
      <w:r>
        <w:rPr>
          <w:rFonts w:hint="eastAsia" w:ascii="宋体"/>
          <w:color w:val="auto"/>
          <w:kern w:val="10"/>
          <w:szCs w:val="21"/>
          <w:highlight w:val="none"/>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03AA97C">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7C88D2E4">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162E252A">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5E3E47FE">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225AB521">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4D6988B5">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5B2738D4">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629DE09F">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29668510">
      <w:pPr>
        <w:shd w:val="clear" w:color="auto" w:fill="auto"/>
        <w:spacing w:before="156" w:beforeLines="50" w:after="156" w:afterLines="50" w:line="500" w:lineRule="exact"/>
        <w:ind w:firstLine="846" w:firstLineChars="300"/>
        <w:jc w:val="center"/>
        <w:rPr>
          <w:rFonts w:hint="eastAsia" w:ascii="黑体" w:eastAsia="黑体"/>
          <w:color w:val="auto"/>
          <w:sz w:val="28"/>
          <w:szCs w:val="28"/>
          <w:highlight w:val="none"/>
        </w:rPr>
      </w:pPr>
    </w:p>
    <w:p w14:paraId="481F1416">
      <w:pPr>
        <w:shd w:val="clear" w:color="auto" w:fill="auto"/>
        <w:spacing w:before="156" w:beforeLines="50" w:after="156" w:afterLines="50" w:line="500" w:lineRule="exact"/>
        <w:ind w:firstLine="846" w:firstLineChars="300"/>
        <w:jc w:val="center"/>
        <w:rPr>
          <w:rFonts w:hint="eastAsia" w:ascii="黑体" w:hAnsi="宋体" w:eastAsia="黑体"/>
          <w:color w:val="auto"/>
          <w:sz w:val="28"/>
          <w:szCs w:val="28"/>
          <w:highlight w:val="none"/>
        </w:rPr>
      </w:pPr>
      <w:r>
        <w:rPr>
          <w:rFonts w:hint="eastAsia" w:ascii="黑体" w:eastAsia="黑体"/>
          <w:color w:val="auto"/>
          <w:sz w:val="28"/>
          <w:szCs w:val="28"/>
          <w:highlight w:val="none"/>
        </w:rPr>
        <w:t>（八）</w:t>
      </w:r>
      <w:r>
        <w:rPr>
          <w:rFonts w:hint="eastAsia" w:ascii="黑体" w:hAnsi="宋体" w:eastAsia="黑体"/>
          <w:color w:val="auto"/>
          <w:sz w:val="28"/>
          <w:szCs w:val="28"/>
          <w:highlight w:val="none"/>
        </w:rPr>
        <w:t>质疑与投诉</w:t>
      </w:r>
    </w:p>
    <w:p w14:paraId="164C7A86">
      <w:pPr>
        <w:shd w:val="clear" w:color="auto" w:fill="auto"/>
        <w:spacing w:line="440" w:lineRule="exact"/>
        <w:ind w:firstLine="310" w:firstLineChars="147"/>
        <w:jc w:val="left"/>
        <w:rPr>
          <w:rFonts w:hint="eastAsia" w:ascii="宋体" w:hAnsi="Times New Roman" w:eastAsia="宋体" w:cs="Times New Roman"/>
          <w:b/>
          <w:color w:val="auto"/>
          <w:szCs w:val="21"/>
          <w:highlight w:val="none"/>
          <w:lang w:val="en-US" w:eastAsia="zh-CN"/>
        </w:rPr>
      </w:pPr>
      <w:r>
        <w:rPr>
          <w:rFonts w:hint="eastAsia" w:ascii="宋体" w:hAnsi="Times New Roman" w:eastAsia="宋体" w:cs="Times New Roman"/>
          <w:b/>
          <w:color w:val="auto"/>
          <w:szCs w:val="21"/>
          <w:highlight w:val="none"/>
          <w:lang w:val="en-US" w:eastAsia="zh-CN"/>
        </w:rPr>
        <w:t>48．质疑和投诉</w:t>
      </w:r>
    </w:p>
    <w:p w14:paraId="749DA66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48.1.供应商认为采购文件、采购过程和中标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7F9BEFA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（一）对可以质疑的采购文件提出质疑的，为收到采购文件之日或者采购文件公告期限届满之日；</w:t>
      </w:r>
    </w:p>
    <w:p w14:paraId="216B05B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（二）对采购过程提出质疑的，为各采购程序环节结束之日；</w:t>
      </w:r>
    </w:p>
    <w:p w14:paraId="393B9B2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（三）对中标结果提出质疑的，为中标结果公告期限届满之日。</w:t>
      </w:r>
    </w:p>
    <w:p w14:paraId="0A65A89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64B3A7A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供应商为自然人的，应当由本人签字；供应商为法人或者其他组织的，应当由法定代表人、主要负责人，或者其授权代表签字或者盖章，并加盖公章。</w:t>
      </w:r>
    </w:p>
    <w:p w14:paraId="66C37EE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48.3供应商质疑、投诉应当有明确的请求和必要的证明材料。供应商投诉的事项不得超出已质疑事项的范围。采购人及采购代理机构按《政府采购质疑和投诉办法》进行处理供应商质疑事项。</w:t>
      </w:r>
    </w:p>
    <w:p w14:paraId="7FAEAE9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48.4质疑供应商对采购人、采购代理机构的质疑答复不满意，或者采购人、采购代理机构未在规定期限内作出答复的，供应商可以在答复期满后15个工作日内向同级财政部门提起投诉。</w:t>
      </w:r>
    </w:p>
    <w:p w14:paraId="6031E33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48.5</w:t>
      </w:r>
      <w:r>
        <w:rPr>
          <w:rFonts w:hint="eastAsia" w:ascii="宋体" w:hAnsi="Times New Roman" w:eastAsia="宋体" w:cs="Times New Roman"/>
          <w:b w:val="0"/>
          <w:bCs w:val="0"/>
          <w:color w:val="auto"/>
          <w:szCs w:val="21"/>
          <w:highlight w:val="none"/>
          <w:lang w:val="en-US" w:eastAsia="zh-CN"/>
        </w:rPr>
        <w:t>供应商有下列情形之一的，采购代理机构上报至</w:t>
      </w:r>
      <w:r>
        <w:rPr>
          <w:rFonts w:hint="eastAsia" w:ascii="宋体" w:cs="Times New Roman"/>
          <w:b w:val="0"/>
          <w:bCs w:val="0"/>
          <w:color w:val="auto"/>
          <w:szCs w:val="21"/>
          <w:highlight w:val="none"/>
          <w:lang w:val="en-US" w:eastAsia="zh-CN"/>
        </w:rPr>
        <w:t>阿图什市</w:t>
      </w:r>
      <w:r>
        <w:rPr>
          <w:rFonts w:hint="eastAsia" w:ascii="宋体" w:hAnsi="Times New Roman" w:eastAsia="宋体" w:cs="Times New Roman"/>
          <w:b w:val="0"/>
          <w:bCs w:val="0"/>
          <w:color w:val="auto"/>
          <w:szCs w:val="21"/>
          <w:highlight w:val="none"/>
          <w:lang w:val="en-US" w:eastAsia="zh-CN"/>
        </w:rPr>
        <w:t>财政局政府采购办，</w:t>
      </w:r>
      <w:r>
        <w:rPr>
          <w:rFonts w:hint="eastAsia" w:ascii="宋体"/>
          <w:b w:val="0"/>
          <w:bCs w:val="0"/>
          <w:color w:val="auto"/>
          <w:szCs w:val="21"/>
          <w:highlight w:val="none"/>
          <w:lang w:val="en-US" w:eastAsia="zh-CN"/>
        </w:rPr>
        <w:t>将其列入不良行为记录名单：</w:t>
      </w:r>
    </w:p>
    <w:p w14:paraId="323997C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（一）一年内三次以上质疑均查无实据的；</w:t>
      </w:r>
    </w:p>
    <w:p w14:paraId="38E5071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（二）捏造事实或者提供虚假质疑材料的。</w:t>
      </w:r>
    </w:p>
    <w:p w14:paraId="038C643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372AECC0">
      <w:pPr>
        <w:shd w:val="clear" w:color="auto" w:fill="auto"/>
        <w:spacing w:line="360" w:lineRule="exact"/>
        <w:jc w:val="center"/>
        <w:rPr>
          <w:rFonts w:hint="eastAsia" w:ascii="黑体" w:eastAsia="黑体"/>
          <w:color w:val="auto"/>
          <w:sz w:val="30"/>
          <w:szCs w:val="30"/>
          <w:highlight w:val="none"/>
        </w:rPr>
      </w:pPr>
    </w:p>
    <w:p w14:paraId="5D9A6E83">
      <w:pPr>
        <w:pStyle w:val="53"/>
        <w:shd w:val="clear" w:color="auto" w:fill="auto"/>
        <w:rPr>
          <w:rFonts w:hint="eastAsia" w:ascii="黑体" w:eastAsia="黑体"/>
          <w:color w:val="auto"/>
          <w:sz w:val="30"/>
          <w:szCs w:val="30"/>
          <w:highlight w:val="none"/>
        </w:rPr>
      </w:pPr>
    </w:p>
    <w:p w14:paraId="54835064">
      <w:pPr>
        <w:pStyle w:val="28"/>
        <w:ind w:left="0" w:leftChars="0" w:firstLine="0" w:firstLineChars="0"/>
        <w:rPr>
          <w:rFonts w:hint="eastAsia" w:ascii="宋体" w:hAnsi="宋体" w:eastAsia="宋体" w:cs="宋体"/>
          <w:b/>
          <w:bCs/>
          <w:color w:val="auto"/>
          <w:sz w:val="21"/>
          <w:szCs w:val="21"/>
          <w:highlight w:val="none"/>
          <w:lang w:eastAsia="zh-CN"/>
        </w:rPr>
      </w:pPr>
    </w:p>
    <w:p w14:paraId="0E02AA10">
      <w:pPr>
        <w:shd w:val="clear" w:color="auto" w:fill="auto"/>
        <w:jc w:val="left"/>
        <w:rPr>
          <w:rFonts w:hint="eastAsia" w:ascii="宋体" w:hAnsi="宋体" w:eastAsia="宋体" w:cs="宋体"/>
          <w:b/>
          <w:bCs/>
          <w:color w:val="auto"/>
          <w:sz w:val="21"/>
          <w:szCs w:val="21"/>
          <w:highlight w:val="none"/>
          <w:lang w:eastAsia="zh-CN"/>
        </w:rPr>
      </w:pPr>
    </w:p>
    <w:p w14:paraId="19ABAAB2">
      <w:pPr>
        <w:shd w:val="clear" w:color="auto" w:fill="auto"/>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附件：</w:t>
      </w:r>
    </w:p>
    <w:p w14:paraId="26F92824">
      <w:pPr>
        <w:shd w:val="clear" w:color="auto" w:fill="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32"/>
          <w:szCs w:val="32"/>
          <w:highlight w:val="none"/>
          <w:lang w:eastAsia="zh-CN"/>
        </w:rPr>
        <w:t>政府采购投诉书（范本）、质疑函范本</w:t>
      </w:r>
    </w:p>
    <w:p w14:paraId="74B43175">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政府采购投诉书（范本）</w:t>
      </w:r>
    </w:p>
    <w:p w14:paraId="1E08CF4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outlineLvl w:val="0"/>
        <w:rPr>
          <w:rFonts w:hint="eastAsia" w:ascii="黑体" w:hAnsi="黑体" w:eastAsia="黑体" w:cs="黑体"/>
          <w:color w:val="auto"/>
          <w:kern w:val="0"/>
          <w:sz w:val="24"/>
          <w:szCs w:val="24"/>
          <w:highlight w:val="none"/>
          <w:lang w:eastAsia="zh-CN"/>
        </w:rPr>
      </w:pPr>
      <w:bookmarkStart w:id="48" w:name="_Toc18623"/>
      <w:bookmarkStart w:id="49" w:name="_Toc22042"/>
      <w:bookmarkStart w:id="50" w:name="_Toc30403"/>
      <w:bookmarkStart w:id="51" w:name="_Toc29063"/>
      <w:bookmarkStart w:id="52" w:name="_Toc21897"/>
      <w:bookmarkStart w:id="53" w:name="_Toc4730"/>
      <w:bookmarkStart w:id="54" w:name="_Toc17515"/>
      <w:r>
        <w:rPr>
          <w:rFonts w:hint="eastAsia" w:ascii="黑体" w:hAnsi="黑体" w:eastAsia="黑体" w:cs="黑体"/>
          <w:color w:val="auto"/>
          <w:kern w:val="0"/>
          <w:sz w:val="24"/>
          <w:szCs w:val="24"/>
          <w:highlight w:val="none"/>
          <w:lang w:eastAsia="zh-CN"/>
        </w:rPr>
        <w:t>一、投诉相关主体基本情况</w:t>
      </w:r>
      <w:bookmarkEnd w:id="48"/>
      <w:bookmarkEnd w:id="49"/>
      <w:bookmarkEnd w:id="50"/>
      <w:bookmarkEnd w:id="51"/>
      <w:bookmarkEnd w:id="52"/>
      <w:bookmarkEnd w:id="53"/>
    </w:p>
    <w:p w14:paraId="7F2926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楷体_GB2312" w:hAnsi="宋体" w:eastAsia="楷体_GB2312" w:cs="宋体"/>
          <w:color w:val="auto"/>
          <w:kern w:val="0"/>
          <w:sz w:val="24"/>
          <w:szCs w:val="24"/>
          <w:highlight w:val="none"/>
        </w:rPr>
      </w:pPr>
      <w:r>
        <w:rPr>
          <w:rFonts w:hint="eastAsia" w:ascii="仿宋_GB2312" w:hAnsi="宋体" w:eastAsia="仿宋_GB2312" w:cs="宋体"/>
          <w:color w:val="auto"/>
          <w:kern w:val="0"/>
          <w:sz w:val="24"/>
          <w:szCs w:val="24"/>
          <w:highlight w:val="none"/>
        </w:rPr>
        <w:t>投诉人：</w:t>
      </w:r>
      <w:r>
        <w:rPr>
          <w:rFonts w:hint="eastAsia" w:ascii="楷体_GB2312" w:hAnsi="宋体" w:eastAsia="楷体_GB2312" w:cs="宋体"/>
          <w:color w:val="auto"/>
          <w:kern w:val="0"/>
          <w:sz w:val="24"/>
          <w:szCs w:val="24"/>
          <w:highlight w:val="none"/>
          <w:u w:val="single"/>
          <w:lang w:val="en-US" w:eastAsia="zh-CN"/>
        </w:rPr>
        <w:t xml:space="preserve">                         </w:t>
      </w:r>
      <w:r>
        <w:rPr>
          <w:rFonts w:hint="eastAsia" w:ascii="楷体_GB2312" w:hAnsi="宋体" w:eastAsia="楷体_GB2312" w:cs="宋体"/>
          <w:color w:val="auto"/>
          <w:kern w:val="0"/>
          <w:sz w:val="24"/>
          <w:szCs w:val="24"/>
          <w:highlight w:val="none"/>
        </w:rPr>
        <w:t xml:space="preserve">  </w:t>
      </w:r>
    </w:p>
    <w:p w14:paraId="4E88F0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p>
    <w:p w14:paraId="6E9919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default" w:ascii="仿宋_GB2312" w:hAnsi="宋体" w:eastAsia="仿宋_GB2312" w:cs="宋体"/>
          <w:color w:val="auto"/>
          <w:kern w:val="0"/>
          <w:sz w:val="24"/>
          <w:szCs w:val="24"/>
          <w:highlight w:val="none"/>
          <w:u w:val="none"/>
          <w:lang w:val="en-US" w:eastAsia="zh-CN"/>
        </w:rPr>
      </w:pPr>
      <w:r>
        <w:rPr>
          <w:rFonts w:hint="eastAsia" w:ascii="仿宋_GB2312" w:hAnsi="宋体" w:eastAsia="仿宋_GB2312" w:cs="宋体"/>
          <w:color w:val="auto"/>
          <w:kern w:val="0"/>
          <w:sz w:val="24"/>
          <w:szCs w:val="24"/>
          <w:highlight w:val="none"/>
          <w:u w:val="none"/>
          <w:lang w:val="en-US" w:eastAsia="zh-CN"/>
        </w:rPr>
        <w:t>法定代表人/主要负责人：</w:t>
      </w:r>
      <w:r>
        <w:rPr>
          <w:rFonts w:hint="eastAsia" w:ascii="仿宋_GB2312" w:hAnsi="宋体" w:eastAsia="仿宋_GB2312" w:cs="宋体"/>
          <w:color w:val="auto"/>
          <w:kern w:val="0"/>
          <w:sz w:val="24"/>
          <w:szCs w:val="24"/>
          <w:highlight w:val="none"/>
          <w:u w:val="single"/>
          <w:lang w:val="en-US" w:eastAsia="zh-CN"/>
        </w:rPr>
        <w:t xml:space="preserve">                             </w:t>
      </w:r>
    </w:p>
    <w:p w14:paraId="6B9C24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405E8B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p>
    <w:p w14:paraId="3E73EA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楷体_GB2312" w:hAnsi="宋体" w:eastAsia="楷体_GB2312" w:cs="宋体"/>
          <w:color w:val="auto"/>
          <w:kern w:val="0"/>
          <w:sz w:val="24"/>
          <w:szCs w:val="24"/>
          <w:highlight w:val="none"/>
          <w:u w:val="single"/>
          <w:lang w:val="en-US" w:eastAsia="zh-CN"/>
        </w:rPr>
      </w:pPr>
      <w:r>
        <w:rPr>
          <w:rFonts w:hint="eastAsia" w:ascii="仿宋_GB2312" w:hAnsi="宋体" w:eastAsia="仿宋_GB2312" w:cs="宋体"/>
          <w:color w:val="auto"/>
          <w:kern w:val="0"/>
          <w:sz w:val="24"/>
          <w:szCs w:val="24"/>
          <w:highlight w:val="none"/>
          <w:u w:val="none"/>
          <w:lang w:eastAsia="zh-CN"/>
        </w:rPr>
        <w:t>授权代表（如有）：</w:t>
      </w:r>
      <w:r>
        <w:rPr>
          <w:rFonts w:hint="eastAsia" w:ascii="楷体_GB2312" w:hAnsi="宋体" w:eastAsia="楷体_GB2312" w:cs="宋体"/>
          <w:color w:val="auto"/>
          <w:kern w:val="0"/>
          <w:sz w:val="24"/>
          <w:szCs w:val="24"/>
          <w:highlight w:val="none"/>
          <w:u w:val="single"/>
          <w:lang w:val="en-US" w:eastAsia="zh-CN"/>
        </w:rPr>
        <w:t xml:space="preserve">                         </w:t>
      </w:r>
    </w:p>
    <w:p w14:paraId="174CF7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lang w:val="en-US" w:eastAsia="zh-CN"/>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773EA5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eastAsia="zh-CN"/>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 xml:space="preserve">         </w:t>
      </w:r>
    </w:p>
    <w:p w14:paraId="25FD34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u w:val="none"/>
          <w:lang w:eastAsia="zh-CN"/>
        </w:rPr>
        <w:t>被投诉人</w:t>
      </w:r>
      <w:r>
        <w:rPr>
          <w:rFonts w:hint="eastAsia" w:ascii="仿宋_GB2312" w:hAnsi="宋体" w:eastAsia="仿宋_GB2312" w:cs="宋体"/>
          <w:color w:val="auto"/>
          <w:kern w:val="0"/>
          <w:sz w:val="24"/>
          <w:szCs w:val="24"/>
          <w:highlight w:val="none"/>
          <w:u w:val="none"/>
          <w:lang w:val="en-US" w:eastAsia="zh-CN"/>
        </w:rPr>
        <w:t>1：</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383E81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21C10D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lang w:eastAsia="zh-CN"/>
        </w:rPr>
        <w:t>联系人：</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154400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lang w:val="en-US" w:eastAsia="zh-CN"/>
        </w:rPr>
      </w:pPr>
      <w:r>
        <w:rPr>
          <w:rFonts w:hint="eastAsia" w:ascii="仿宋_GB2312" w:hAnsi="宋体" w:eastAsia="仿宋_GB2312" w:cs="宋体"/>
          <w:color w:val="auto"/>
          <w:kern w:val="0"/>
          <w:sz w:val="24"/>
          <w:szCs w:val="24"/>
          <w:highlight w:val="none"/>
          <w:u w:val="none"/>
          <w:lang w:eastAsia="zh-CN"/>
        </w:rPr>
        <w:t>被投诉人</w:t>
      </w:r>
      <w:r>
        <w:rPr>
          <w:rFonts w:hint="eastAsia" w:ascii="仿宋_GB2312" w:hAnsi="宋体" w:eastAsia="仿宋_GB2312" w:cs="宋体"/>
          <w:color w:val="auto"/>
          <w:kern w:val="0"/>
          <w:sz w:val="24"/>
          <w:szCs w:val="24"/>
          <w:highlight w:val="none"/>
          <w:u w:val="none"/>
          <w:lang w:val="en-US" w:eastAsia="zh-CN"/>
        </w:rPr>
        <w:t>2：</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7C7100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u w:val="none"/>
          <w:lang w:val="en-US" w:eastAsia="zh-CN"/>
        </w:rPr>
        <w:t>相关供应商</w:t>
      </w:r>
      <w:r>
        <w:rPr>
          <w:rFonts w:hint="eastAsia" w:ascii="仿宋_GB2312" w:hAnsi="宋体" w:eastAsia="仿宋_GB2312" w:cs="宋体"/>
          <w:color w:val="auto"/>
          <w:kern w:val="0"/>
          <w:sz w:val="24"/>
          <w:szCs w:val="24"/>
          <w:highlight w:val="none"/>
          <w:u w:val="none"/>
          <w:lang w:eastAsia="zh-CN"/>
        </w:rPr>
        <w:t>（如有）</w:t>
      </w:r>
      <w:r>
        <w:rPr>
          <w:rFonts w:hint="eastAsia" w:ascii="仿宋_GB2312" w:hAnsi="宋体" w:eastAsia="仿宋_GB2312" w:cs="宋体"/>
          <w:color w:val="auto"/>
          <w:kern w:val="0"/>
          <w:sz w:val="24"/>
          <w:szCs w:val="24"/>
          <w:highlight w:val="none"/>
          <w:u w:val="none"/>
          <w:lang w:val="en-US" w:eastAsia="zh-CN"/>
        </w:rPr>
        <w:t>：</w:t>
      </w:r>
      <w:r>
        <w:rPr>
          <w:rFonts w:hint="eastAsia" w:ascii="仿宋_GB2312" w:hAnsi="宋体" w:eastAsia="仿宋_GB2312" w:cs="宋体"/>
          <w:color w:val="auto"/>
          <w:kern w:val="0"/>
          <w:sz w:val="24"/>
          <w:szCs w:val="24"/>
          <w:highlight w:val="none"/>
          <w:u w:val="single"/>
        </w:rPr>
        <w:t xml:space="preserve">                                        </w:t>
      </w:r>
    </w:p>
    <w:p w14:paraId="3F7EB7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邮编：</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655A8A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联系人：</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1823D9B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outlineLvl w:val="0"/>
        <w:rPr>
          <w:rFonts w:hint="eastAsia" w:ascii="黑体" w:hAnsi="黑体" w:eastAsia="黑体" w:cs="黑体"/>
          <w:color w:val="auto"/>
          <w:kern w:val="0"/>
          <w:sz w:val="24"/>
          <w:szCs w:val="24"/>
          <w:highlight w:val="none"/>
          <w:lang w:eastAsia="zh-CN"/>
        </w:rPr>
      </w:pPr>
      <w:bookmarkStart w:id="55" w:name="_Toc7437"/>
      <w:bookmarkStart w:id="56" w:name="_Toc17048"/>
      <w:bookmarkStart w:id="57" w:name="_Toc10853"/>
      <w:bookmarkStart w:id="58" w:name="_Toc25214"/>
      <w:bookmarkStart w:id="59" w:name="_Toc3856"/>
      <w:bookmarkStart w:id="60" w:name="_Toc18283"/>
      <w:r>
        <w:rPr>
          <w:rFonts w:hint="eastAsia" w:ascii="黑体" w:hAnsi="黑体" w:eastAsia="黑体" w:cs="黑体"/>
          <w:color w:val="auto"/>
          <w:kern w:val="0"/>
          <w:sz w:val="24"/>
          <w:szCs w:val="24"/>
          <w:highlight w:val="none"/>
          <w:lang w:eastAsia="zh-CN"/>
        </w:rPr>
        <w:t>二、投诉项目基本情况</w:t>
      </w:r>
      <w:bookmarkEnd w:id="55"/>
      <w:bookmarkEnd w:id="56"/>
      <w:bookmarkEnd w:id="57"/>
      <w:bookmarkEnd w:id="58"/>
      <w:bookmarkEnd w:id="59"/>
      <w:bookmarkEnd w:id="60"/>
    </w:p>
    <w:p w14:paraId="3EBB30B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eastAsia="zh-CN"/>
        </w:rPr>
      </w:pPr>
      <w:r>
        <w:rPr>
          <w:rFonts w:hint="eastAsia" w:ascii="仿宋_GB2312" w:hAnsi="宋体" w:eastAsia="仿宋_GB2312" w:cs="宋体"/>
          <w:color w:val="auto"/>
          <w:kern w:val="0"/>
          <w:sz w:val="24"/>
          <w:szCs w:val="24"/>
          <w:highlight w:val="none"/>
          <w:lang w:eastAsia="zh-CN"/>
        </w:rPr>
        <w:t>采购项目名称：</w:t>
      </w:r>
    </w:p>
    <w:p w14:paraId="79A1CA6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eastAsia="zh-CN"/>
        </w:rPr>
        <w:t>采购项目编号：</w:t>
      </w:r>
      <w:r>
        <w:rPr>
          <w:rFonts w:hint="eastAsia" w:ascii="仿宋_GB2312" w:hAnsi="宋体" w:eastAsia="仿宋_GB2312" w:cs="宋体"/>
          <w:color w:val="auto"/>
          <w:kern w:val="0"/>
          <w:sz w:val="24"/>
          <w:szCs w:val="24"/>
          <w:highlight w:val="none"/>
          <w:lang w:val="en-US" w:eastAsia="zh-CN"/>
        </w:rPr>
        <w:t xml:space="preserve">        包号：</w:t>
      </w:r>
    </w:p>
    <w:p w14:paraId="178DB3A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采购人名称：</w:t>
      </w:r>
    </w:p>
    <w:p w14:paraId="74E476B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代理机构名称：</w:t>
      </w:r>
    </w:p>
    <w:p w14:paraId="4F373C6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采购文件公告：是/否 公告期限：</w:t>
      </w:r>
    </w:p>
    <w:p w14:paraId="05A9D08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采购结果公告：是/否 公告期限：</w:t>
      </w:r>
    </w:p>
    <w:p w14:paraId="55E80D4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4" w:firstLineChars="200"/>
        <w:jc w:val="left"/>
        <w:outlineLvl w:val="0"/>
        <w:rPr>
          <w:rFonts w:hint="eastAsia" w:ascii="黑体" w:hAnsi="黑体" w:eastAsia="黑体" w:cs="黑体"/>
          <w:color w:val="auto"/>
          <w:kern w:val="0"/>
          <w:sz w:val="24"/>
          <w:szCs w:val="24"/>
          <w:highlight w:val="none"/>
          <w:lang w:val="en-US" w:eastAsia="zh-CN"/>
        </w:rPr>
      </w:pPr>
      <w:bookmarkStart w:id="61" w:name="_Toc14152"/>
      <w:bookmarkStart w:id="62" w:name="_Toc13582"/>
      <w:bookmarkStart w:id="63" w:name="_Toc2182"/>
      <w:bookmarkStart w:id="64" w:name="_Toc25877"/>
      <w:bookmarkStart w:id="65" w:name="_Toc10808"/>
      <w:bookmarkStart w:id="66" w:name="_Toc13183"/>
      <w:r>
        <w:rPr>
          <w:rFonts w:hint="eastAsia" w:ascii="黑体" w:hAnsi="黑体" w:eastAsia="黑体" w:cs="黑体"/>
          <w:color w:val="auto"/>
          <w:kern w:val="0"/>
          <w:sz w:val="24"/>
          <w:szCs w:val="24"/>
          <w:highlight w:val="none"/>
          <w:lang w:val="en-US" w:eastAsia="zh-CN"/>
        </w:rPr>
        <w:t>三、质疑基本情况</w:t>
      </w:r>
      <w:bookmarkEnd w:id="61"/>
      <w:bookmarkEnd w:id="62"/>
      <w:bookmarkEnd w:id="63"/>
      <w:bookmarkEnd w:id="64"/>
      <w:bookmarkEnd w:id="65"/>
      <w:bookmarkEnd w:id="66"/>
    </w:p>
    <w:p w14:paraId="06D56FE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投诉人于    年  月  日，向       提出质疑，</w:t>
      </w:r>
    </w:p>
    <w:p w14:paraId="253DB21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质疑事项为：</w:t>
      </w:r>
    </w:p>
    <w:p w14:paraId="37AB5B8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采购人/代理机构于    年  月  日，就质疑事项做出了答复/没有在法定期限内做出答复。</w:t>
      </w:r>
    </w:p>
    <w:p w14:paraId="234CBDA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4" w:firstLineChars="200"/>
        <w:jc w:val="left"/>
        <w:outlineLvl w:val="0"/>
        <w:rPr>
          <w:rFonts w:hint="default" w:ascii="黑体" w:hAnsi="黑体" w:eastAsia="黑体" w:cs="黑体"/>
          <w:color w:val="auto"/>
          <w:kern w:val="0"/>
          <w:sz w:val="24"/>
          <w:szCs w:val="24"/>
          <w:highlight w:val="none"/>
          <w:lang w:val="en-US" w:eastAsia="zh-CN"/>
        </w:rPr>
      </w:pPr>
      <w:bookmarkStart w:id="67" w:name="_Toc17256"/>
      <w:bookmarkStart w:id="68" w:name="_Toc3347"/>
      <w:bookmarkStart w:id="69" w:name="_Toc6760"/>
      <w:bookmarkStart w:id="70" w:name="_Toc26083"/>
      <w:bookmarkStart w:id="71" w:name="_Toc23110"/>
      <w:bookmarkStart w:id="72" w:name="_Toc15203"/>
      <w:r>
        <w:rPr>
          <w:rFonts w:hint="eastAsia" w:ascii="黑体" w:hAnsi="黑体" w:eastAsia="黑体" w:cs="黑体"/>
          <w:color w:val="auto"/>
          <w:kern w:val="0"/>
          <w:sz w:val="24"/>
          <w:szCs w:val="24"/>
          <w:highlight w:val="none"/>
          <w:lang w:val="en-US" w:eastAsia="zh-CN"/>
        </w:rPr>
        <w:t>四、投诉事项具体内容</w:t>
      </w:r>
      <w:bookmarkEnd w:id="67"/>
      <w:bookmarkEnd w:id="68"/>
      <w:bookmarkEnd w:id="69"/>
      <w:bookmarkEnd w:id="70"/>
      <w:bookmarkEnd w:id="71"/>
      <w:bookmarkEnd w:id="72"/>
    </w:p>
    <w:p w14:paraId="76D3B41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投诉事项1：</w:t>
      </w:r>
    </w:p>
    <w:p w14:paraId="64A231A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事实依据：</w:t>
      </w:r>
    </w:p>
    <w:p w14:paraId="20DB1CE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法律依据1：</w:t>
      </w:r>
    </w:p>
    <w:p w14:paraId="03980F3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法律依据2：</w:t>
      </w:r>
    </w:p>
    <w:p w14:paraId="53E098F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p>
    <w:p w14:paraId="4C365D5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投诉事项2：</w:t>
      </w:r>
    </w:p>
    <w:p w14:paraId="0DFD7BDC">
      <w:pPr>
        <w:ind w:firstLine="484" w:firstLineChars="200"/>
        <w:rPr>
          <w:rFonts w:hint="eastAsia" w:ascii="仿宋_GB2312" w:hAnsi="宋体" w:eastAsia="仿宋_GB2312" w:cs="宋体"/>
          <w:color w:val="auto"/>
          <w:kern w:val="0"/>
          <w:sz w:val="24"/>
          <w:szCs w:val="24"/>
          <w:highlight w:val="none"/>
          <w:u w:val="single"/>
          <w:lang w:val="en-US" w:eastAsia="zh-CN"/>
        </w:rPr>
      </w:pPr>
      <w:r>
        <w:rPr>
          <w:rFonts w:hint="eastAsia" w:ascii="仿宋_GB2312" w:eastAsia="仿宋_GB2312"/>
          <w:color w:val="auto"/>
          <w:sz w:val="24"/>
          <w:szCs w:val="24"/>
          <w:highlight w:val="none"/>
        </w:rPr>
        <w:t>……</w:t>
      </w:r>
    </w:p>
    <w:p w14:paraId="291B84B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4" w:firstLineChars="200"/>
        <w:jc w:val="left"/>
        <w:outlineLvl w:val="0"/>
        <w:rPr>
          <w:rFonts w:hint="eastAsia" w:ascii="黑体" w:hAnsi="黑体" w:eastAsia="黑体" w:cs="黑体"/>
          <w:color w:val="auto"/>
          <w:kern w:val="0"/>
          <w:sz w:val="24"/>
          <w:szCs w:val="24"/>
          <w:highlight w:val="none"/>
          <w:lang w:eastAsia="zh-CN"/>
        </w:rPr>
      </w:pPr>
      <w:bookmarkStart w:id="73" w:name="_Toc13424"/>
      <w:bookmarkStart w:id="74" w:name="_Toc16036"/>
      <w:bookmarkStart w:id="75" w:name="_Toc16741"/>
      <w:bookmarkStart w:id="76" w:name="_Toc32324"/>
      <w:bookmarkStart w:id="77" w:name="_Toc31495"/>
      <w:bookmarkStart w:id="78" w:name="_Toc28176"/>
      <w:r>
        <w:rPr>
          <w:rFonts w:hint="eastAsia" w:ascii="黑体" w:hAnsi="黑体" w:eastAsia="黑体" w:cs="黑体"/>
          <w:color w:val="auto"/>
          <w:kern w:val="0"/>
          <w:sz w:val="24"/>
          <w:szCs w:val="24"/>
          <w:highlight w:val="none"/>
          <w:lang w:eastAsia="zh-CN"/>
        </w:rPr>
        <w:t>五、与投诉事项相关的投诉请求</w:t>
      </w:r>
      <w:bookmarkEnd w:id="73"/>
      <w:bookmarkEnd w:id="74"/>
      <w:bookmarkEnd w:id="75"/>
      <w:bookmarkEnd w:id="76"/>
      <w:bookmarkEnd w:id="77"/>
      <w:bookmarkEnd w:id="78"/>
    </w:p>
    <w:p w14:paraId="11FDABD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请求：</w:t>
      </w:r>
    </w:p>
    <w:p w14:paraId="76BCD8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rPr>
      </w:pPr>
    </w:p>
    <w:p w14:paraId="3DC5B7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eastAsia="zh-CN"/>
        </w:rPr>
        <w:t>签字（签章）</w:t>
      </w:r>
      <w:r>
        <w:rPr>
          <w:rFonts w:hint="eastAsia" w:ascii="楷体" w:hAnsi="楷体" w:eastAsia="楷体" w:cs="楷体"/>
          <w:color w:val="auto"/>
          <w:kern w:val="0"/>
          <w:sz w:val="24"/>
          <w:szCs w:val="24"/>
          <w:highlight w:val="none"/>
          <w:lang w:eastAsia="zh-CN"/>
        </w:rPr>
        <w:t>（法人代表或负责人、代理人）</w:t>
      </w:r>
      <w:r>
        <w:rPr>
          <w:rFonts w:hint="eastAsia" w:ascii="仿宋_GB2312" w:hAnsi="宋体" w:eastAsia="仿宋_GB2312" w:cs="宋体"/>
          <w:color w:val="auto"/>
          <w:kern w:val="0"/>
          <w:sz w:val="24"/>
          <w:szCs w:val="24"/>
          <w:highlight w:val="none"/>
          <w:lang w:eastAsia="zh-CN"/>
        </w:rPr>
        <w:t>：</w:t>
      </w:r>
      <w:r>
        <w:rPr>
          <w:rFonts w:hint="eastAsia" w:ascii="仿宋_GB2312" w:hAnsi="宋体" w:eastAsia="仿宋_GB2312" w:cs="宋体"/>
          <w:color w:val="auto"/>
          <w:kern w:val="0"/>
          <w:sz w:val="24"/>
          <w:szCs w:val="24"/>
          <w:highlight w:val="none"/>
          <w:lang w:val="en-US" w:eastAsia="zh-CN"/>
        </w:rPr>
        <w:t xml:space="preserve">       </w:t>
      </w:r>
    </w:p>
    <w:p w14:paraId="7E5FEC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lang w:eastAsia="zh-CN"/>
        </w:rPr>
        <w:t>公章</w:t>
      </w:r>
      <w:r>
        <w:rPr>
          <w:rFonts w:hint="eastAsia" w:ascii="楷体" w:hAnsi="楷体" w:eastAsia="楷体" w:cs="楷体"/>
          <w:color w:val="auto"/>
          <w:kern w:val="0"/>
          <w:sz w:val="24"/>
          <w:szCs w:val="24"/>
          <w:highlight w:val="none"/>
          <w:lang w:eastAsia="zh-CN"/>
        </w:rPr>
        <w:t>（单位）</w:t>
      </w:r>
      <w:r>
        <w:rPr>
          <w:rFonts w:hint="eastAsia" w:ascii="仿宋_GB2312" w:hAnsi="宋体" w:eastAsia="仿宋_GB2312" w:cs="宋体"/>
          <w:color w:val="auto"/>
          <w:kern w:val="0"/>
          <w:sz w:val="24"/>
          <w:szCs w:val="24"/>
          <w:highlight w:val="none"/>
          <w:lang w:eastAsia="zh-CN"/>
        </w:rPr>
        <w:t>：</w:t>
      </w:r>
      <w:r>
        <w:rPr>
          <w:rFonts w:hint="eastAsia" w:ascii="仿宋_GB2312" w:hAnsi="宋体" w:eastAsia="仿宋_GB2312" w:cs="宋体"/>
          <w:color w:val="auto"/>
          <w:kern w:val="0"/>
          <w:sz w:val="24"/>
          <w:szCs w:val="24"/>
          <w:highlight w:val="none"/>
        </w:rPr>
        <w:t xml:space="preserve">            </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 xml:space="preserve">  </w:t>
      </w:r>
    </w:p>
    <w:p w14:paraId="758A98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lang w:eastAsia="zh-CN"/>
        </w:rPr>
      </w:pPr>
      <w:r>
        <w:rPr>
          <w:rFonts w:hint="eastAsia" w:ascii="仿宋_GB2312" w:hAnsi="宋体" w:eastAsia="仿宋_GB2312" w:cs="宋体"/>
          <w:color w:val="auto"/>
          <w:kern w:val="0"/>
          <w:sz w:val="24"/>
          <w:szCs w:val="24"/>
          <w:highlight w:val="none"/>
          <w:lang w:eastAsia="zh-CN"/>
        </w:rPr>
        <w:t>日期：</w:t>
      </w:r>
    </w:p>
    <w:p w14:paraId="219655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eastAsia="zh-CN"/>
        </w:rPr>
      </w:pPr>
      <w:bookmarkStart w:id="79" w:name="_Toc7988"/>
      <w:r>
        <w:rPr>
          <w:rFonts w:hint="eastAsia" w:ascii="仿宋_GB2312" w:hAnsi="宋体" w:eastAsia="仿宋_GB2312" w:cs="宋体"/>
          <w:color w:val="auto"/>
          <w:kern w:val="0"/>
          <w:sz w:val="24"/>
          <w:szCs w:val="24"/>
          <w:highlight w:val="none"/>
          <w:lang w:eastAsia="zh-CN"/>
        </w:rPr>
        <w:t>附件：质疑及答复材料</w:t>
      </w:r>
    </w:p>
    <w:p w14:paraId="22FF23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outlineLvl w:val="0"/>
        <w:rPr>
          <w:rFonts w:hint="eastAsia" w:ascii="仿宋_GB2312" w:hAnsi="宋体" w:eastAsia="仿宋_GB2312" w:cs="宋体"/>
          <w:b/>
          <w:bCs/>
          <w:color w:val="auto"/>
          <w:kern w:val="0"/>
          <w:sz w:val="24"/>
          <w:szCs w:val="24"/>
          <w:highlight w:val="none"/>
          <w:lang w:eastAsia="zh-CN"/>
        </w:rPr>
      </w:pPr>
      <w:bookmarkStart w:id="80" w:name="_Toc5781"/>
      <w:bookmarkStart w:id="81" w:name="_Toc2789"/>
      <w:bookmarkStart w:id="82" w:name="_Toc29658"/>
      <w:bookmarkStart w:id="83" w:name="_Toc20349"/>
      <w:bookmarkStart w:id="84" w:name="_Toc31452"/>
      <w:r>
        <w:rPr>
          <w:rFonts w:hint="eastAsia" w:ascii="仿宋_GB2312" w:hAnsi="宋体" w:eastAsia="仿宋_GB2312" w:cs="宋体"/>
          <w:b/>
          <w:bCs/>
          <w:color w:val="auto"/>
          <w:kern w:val="0"/>
          <w:sz w:val="24"/>
          <w:szCs w:val="24"/>
          <w:highlight w:val="none"/>
          <w:lang w:eastAsia="zh-CN"/>
        </w:rPr>
        <w:t>投诉书制作说明：</w:t>
      </w:r>
      <w:bookmarkEnd w:id="79"/>
      <w:bookmarkEnd w:id="80"/>
      <w:bookmarkEnd w:id="81"/>
      <w:bookmarkEnd w:id="82"/>
      <w:bookmarkEnd w:id="83"/>
      <w:bookmarkEnd w:id="84"/>
    </w:p>
    <w:p w14:paraId="729F6D2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default"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1.投诉人应当按照</w:t>
      </w:r>
      <w:r>
        <w:rPr>
          <w:rFonts w:hint="default" w:ascii="楷体" w:hAnsi="楷体" w:eastAsia="楷体" w:cs="楷体"/>
          <w:color w:val="auto"/>
          <w:kern w:val="0"/>
          <w:sz w:val="24"/>
          <w:szCs w:val="24"/>
          <w:highlight w:val="none"/>
          <w:lang w:val="en-US" w:eastAsia="zh-CN"/>
        </w:rPr>
        <w:t>《政府采购质疑和投诉办法》</w:t>
      </w:r>
      <w:r>
        <w:rPr>
          <w:rFonts w:hint="eastAsia" w:ascii="楷体" w:hAnsi="楷体" w:eastAsia="楷体" w:cs="楷体"/>
          <w:color w:val="auto"/>
          <w:kern w:val="0"/>
          <w:sz w:val="24"/>
          <w:szCs w:val="24"/>
          <w:highlight w:val="none"/>
          <w:lang w:val="en-US" w:eastAsia="zh-CN"/>
        </w:rPr>
        <w:t>（财政部令第94号）规定提起投诉。</w:t>
      </w:r>
    </w:p>
    <w:p w14:paraId="66301F7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2.投诉人提起投诉时，应当提交投诉书和必要的证明材料，并按照被投诉人和与投诉事项有关的供应商数量提供投诉书副本。</w:t>
      </w:r>
    </w:p>
    <w:p w14:paraId="65E8F30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7688E26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4.投诉人若对项目的某一分包进行投诉，投诉书应列明具体分包号。</w:t>
      </w:r>
    </w:p>
    <w:p w14:paraId="6208219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5.投诉书应简要列明质疑事项，质疑函、质疑答复等作为附件材料提供。</w:t>
      </w:r>
    </w:p>
    <w:p w14:paraId="0295376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6.投诉书的投诉事项应具体、明确，并由必要的事实依据和法律依据。</w:t>
      </w:r>
    </w:p>
    <w:p w14:paraId="0161A7A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7.投诉书的投诉请求应与投诉事项相关。</w:t>
      </w:r>
    </w:p>
    <w:p w14:paraId="13B96C0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24"/>
          <w:szCs w:val="24"/>
          <w:highlight w:val="none"/>
          <w:lang w:val="en-US" w:eastAsia="zh-CN"/>
        </w:rPr>
        <w:t>8.投诉人为自然人的，投诉书应当由本人签字；投诉书应当由法定代表人、主要负责人，或者其授权代表签字或者盖章，并加盖公章。</w:t>
      </w:r>
    </w:p>
    <w:p w14:paraId="67D9E71C">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3567A636">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0C4E0D7C">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3D4822FC">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31A48227">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01911DC2">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26F04F04">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77A3F347">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6B3D87EB">
      <w:pPr>
        <w:shd w:val="clear" w:color="auto" w:fill="auto"/>
        <w:ind w:left="7951" w:hanging="5796" w:hangingChars="1800"/>
        <w:jc w:val="center"/>
        <w:outlineLvl w:val="0"/>
        <w:rPr>
          <w:rFonts w:hint="eastAsia" w:ascii="宋体" w:hAnsi="宋体" w:eastAsia="宋体" w:cs="宋体"/>
          <w:color w:val="auto"/>
          <w:sz w:val="32"/>
          <w:szCs w:val="32"/>
          <w:highlight w:val="none"/>
        </w:rPr>
      </w:pPr>
      <w:bookmarkStart w:id="85" w:name="_Toc8110"/>
      <w:r>
        <w:rPr>
          <w:rFonts w:hint="eastAsia" w:ascii="宋体" w:hAnsi="宋体" w:eastAsia="宋体" w:cs="宋体"/>
          <w:b/>
          <w:bCs/>
          <w:color w:val="auto"/>
          <w:sz w:val="32"/>
          <w:szCs w:val="32"/>
          <w:highlight w:val="none"/>
        </w:rPr>
        <w:t>投诉相关说明</w:t>
      </w:r>
      <w:bookmarkEnd w:id="54"/>
      <w:bookmarkEnd w:id="85"/>
    </w:p>
    <w:p w14:paraId="176D111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投诉人应当满足《政府采购法》、《政府采购法实施条例》和《政府采购供应商投诉处理办法》的相关规定。</w:t>
      </w:r>
    </w:p>
    <w:p w14:paraId="38BD46BF">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ind w:left="4036" w:leftChars="304" w:hanging="3392" w:hangingChars="1600"/>
        <w:textAlignment w:val="auto"/>
        <w:outlineLvl w:val="0"/>
        <w:rPr>
          <w:rFonts w:hint="eastAsia" w:ascii="宋体" w:hAnsi="宋体" w:eastAsia="宋体" w:cs="宋体"/>
          <w:b/>
          <w:bCs/>
          <w:color w:val="auto"/>
          <w:sz w:val="21"/>
          <w:szCs w:val="21"/>
          <w:highlight w:val="none"/>
        </w:rPr>
      </w:pPr>
      <w:bookmarkStart w:id="86" w:name="_Toc18279"/>
      <w:bookmarkStart w:id="87" w:name="_Toc11499"/>
      <w:r>
        <w:rPr>
          <w:rFonts w:hint="eastAsia" w:ascii="宋体" w:hAnsi="宋体" w:eastAsia="宋体" w:cs="宋体"/>
          <w:b/>
          <w:bCs/>
          <w:color w:val="auto"/>
          <w:sz w:val="21"/>
          <w:szCs w:val="21"/>
          <w:highlight w:val="none"/>
        </w:rPr>
        <w:t>质疑前置及时间要求</w:t>
      </w:r>
      <w:bookmarkEnd w:id="86"/>
      <w:bookmarkEnd w:id="87"/>
    </w:p>
    <w:p w14:paraId="2C67DB9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sz w:val="21"/>
          <w:szCs w:val="21"/>
          <w:highlight w:val="none"/>
        </w:rPr>
        <w:t>《中华人民共和国政府采购法》</w:t>
      </w:r>
      <w:r>
        <w:rPr>
          <w:rFonts w:hint="eastAsia" w:ascii="宋体" w:hAnsi="宋体" w:eastAsia="宋体" w:cs="宋体"/>
          <w:color w:val="auto"/>
          <w:kern w:val="0"/>
          <w:sz w:val="21"/>
          <w:szCs w:val="21"/>
          <w:highlight w:val="none"/>
          <w:shd w:val="clear" w:color="auto" w:fill="FFFFFF"/>
        </w:rPr>
        <w:t>第五十一条：供应商对政府采购活动事项有疑问的，可以向采购人提出询问，采购人应当及时作出答复，但答复的内容不得涉及商业秘密。</w:t>
      </w:r>
    </w:p>
    <w:p w14:paraId="158619F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shd w:val="clear" w:color="auto" w:fill="FFFFFF"/>
        </w:rPr>
        <w:t xml:space="preserve"> 第五十二条：供应商认为采购文件、采购过程和中标、</w:t>
      </w:r>
      <w:r>
        <w:rPr>
          <w:rFonts w:hint="eastAsia" w:ascii="宋体" w:hAnsi="宋体" w:eastAsia="宋体" w:cs="宋体"/>
          <w:color w:val="auto"/>
          <w:kern w:val="0"/>
          <w:sz w:val="21"/>
          <w:szCs w:val="21"/>
          <w:highlight w:val="none"/>
          <w:shd w:val="clear" w:color="auto" w:fill="FFFFFF"/>
          <w:lang w:eastAsia="zh-CN"/>
        </w:rPr>
        <w:t>中标</w:t>
      </w:r>
      <w:r>
        <w:rPr>
          <w:rFonts w:hint="eastAsia" w:ascii="宋体" w:hAnsi="宋体" w:eastAsia="宋体" w:cs="宋体"/>
          <w:color w:val="auto"/>
          <w:kern w:val="0"/>
          <w:sz w:val="21"/>
          <w:szCs w:val="21"/>
          <w:highlight w:val="none"/>
          <w:shd w:val="clear" w:color="auto" w:fill="FFFFFF"/>
        </w:rPr>
        <w:t>结果使自己的权益受到损害的，可以在知道或者应知其权益受到损害之日起七个工作日内，以书面形式向采购人提出质疑。</w:t>
      </w:r>
    </w:p>
    <w:p w14:paraId="249CC0EA">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4A97118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E707411">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《政府采购实施条例》第五十五条：供应商质疑、投诉应当有明确的请求和必要的证明材料。供应商投诉的事项不得超出质疑事项的范围。</w:t>
      </w:r>
    </w:p>
    <w:p w14:paraId="7E66A6F3">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 xml:space="preserve"> </w:t>
      </w:r>
      <w:bookmarkStart w:id="88" w:name="_Toc13508"/>
      <w:bookmarkStart w:id="89" w:name="_Toc26158"/>
      <w:r>
        <w:rPr>
          <w:rFonts w:hint="eastAsia" w:ascii="宋体" w:hAnsi="宋体" w:eastAsia="宋体" w:cs="宋体"/>
          <w:b/>
          <w:bCs/>
          <w:color w:val="auto"/>
          <w:sz w:val="21"/>
          <w:szCs w:val="21"/>
          <w:highlight w:val="none"/>
        </w:rPr>
        <w:t>二、书面方式</w:t>
      </w:r>
      <w:bookmarkEnd w:id="88"/>
      <w:bookmarkEnd w:id="89"/>
    </w:p>
    <w:p w14:paraId="7E6D747A">
      <w:pPr>
        <w:keepNext w:val="0"/>
        <w:keepLines w:val="0"/>
        <w:pageBreakBefore w:val="0"/>
        <w:shd w:val="clear" w:color="auto" w:fill="auto"/>
        <w:kinsoku/>
        <w:wordWrap/>
        <w:overflowPunct/>
        <w:topLinePunct w:val="0"/>
        <w:autoSpaceDE/>
        <w:autoSpaceDN/>
        <w:bidi w:val="0"/>
        <w:adjustRightInd/>
        <w:snapToGrid/>
        <w:spacing w:line="400" w:lineRule="exact"/>
        <w:ind w:left="5760" w:hanging="3816"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《政府采购供应商投诉处理办法》第八条：投诉人投诉</w:t>
      </w:r>
    </w:p>
    <w:p w14:paraId="344D4E29">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时，应当提交投诉书，并按照被投诉人以及与投诉事项有关的供应商数量提供投诉书的副本。</w:t>
      </w:r>
    </w:p>
    <w:p w14:paraId="75A9001B">
      <w:pPr>
        <w:keepNext w:val="0"/>
        <w:keepLines w:val="0"/>
        <w:pageBreakBefore w:val="0"/>
        <w:shd w:val="clear" w:color="auto" w:fill="auto"/>
        <w:kinsoku/>
        <w:wordWrap/>
        <w:overflowPunct/>
        <w:topLinePunct w:val="0"/>
        <w:autoSpaceDE/>
        <w:autoSpaceDN/>
        <w:bidi w:val="0"/>
        <w:adjustRightInd/>
        <w:snapToGrid/>
        <w:spacing w:line="400" w:lineRule="exact"/>
        <w:ind w:left="5760" w:hanging="3816"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投诉书应当包括下列主要内容：</w:t>
      </w:r>
    </w:p>
    <w:p w14:paraId="62711758">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投诉人和被投诉人的名称、地址、电话等；</w:t>
      </w:r>
    </w:p>
    <w:p w14:paraId="7D6A9959">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具体的投诉事项及事实依据；</w:t>
      </w:r>
    </w:p>
    <w:p w14:paraId="043536FD">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质疑和质疑答复情况及相关证明材料；</w:t>
      </w:r>
    </w:p>
    <w:p w14:paraId="4136F563">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提起投诉的日期。</w:t>
      </w:r>
    </w:p>
    <w:p w14:paraId="4399DEE2">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投诉书应当署名。投诉人为自然人，应当由本人签字；投诉人为法人或者其他组织的，应当由法定代表人或者主要负责人签字并加盖公章。</w:t>
      </w:r>
    </w:p>
    <w:p w14:paraId="006EB97A">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0A000B5E">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《政府采购供应商投诉处理办法》第十条：投诉人提起投诉应当符合下列条件：</w:t>
      </w:r>
    </w:p>
    <w:p w14:paraId="3648DB67">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投诉人是参与所投诉政府采购活动的供应商；</w:t>
      </w:r>
    </w:p>
    <w:p w14:paraId="39A4F745">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提起投诉诉前已依法进行质疑；</w:t>
      </w:r>
    </w:p>
    <w:p w14:paraId="33A49413">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投诉书内容符合本办法的规定；</w:t>
      </w:r>
    </w:p>
    <w:p w14:paraId="5AF58808">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在投诉有效期内提起投诉；</w:t>
      </w:r>
    </w:p>
    <w:p w14:paraId="322D0655">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属于本级财政部门管辖；</w:t>
      </w:r>
    </w:p>
    <w:p w14:paraId="1059C158">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同一投诉事项未经财政部门投诉处理；</w:t>
      </w:r>
    </w:p>
    <w:p w14:paraId="2357E403">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国务院财政部门规定的其他条件。</w:t>
      </w:r>
    </w:p>
    <w:p w14:paraId="42254B54">
      <w:pPr>
        <w:keepNext w:val="0"/>
        <w:keepLines w:val="0"/>
        <w:pageBreakBefore w:val="0"/>
        <w:shd w:val="clear" w:color="auto" w:fill="auto"/>
        <w:kinsoku/>
        <w:wordWrap/>
        <w:overflowPunct/>
        <w:topLinePunct w:val="0"/>
        <w:autoSpaceDE/>
        <w:autoSpaceDN/>
        <w:bidi w:val="0"/>
        <w:adjustRightInd/>
        <w:snapToGrid/>
        <w:spacing w:line="400" w:lineRule="exact"/>
        <w:ind w:left="5760" w:hanging="3816"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8848FE1">
      <w:pPr>
        <w:shd w:val="clear" w:color="auto" w:fill="auto"/>
        <w:outlineLvl w:val="0"/>
        <w:rPr>
          <w:rFonts w:hint="eastAsia"/>
          <w:color w:val="auto"/>
          <w:sz w:val="21"/>
          <w:szCs w:val="21"/>
          <w:highlight w:val="none"/>
        </w:rPr>
      </w:pPr>
      <w:r>
        <w:rPr>
          <w:rFonts w:hint="eastAsia"/>
          <w:color w:val="auto"/>
          <w:sz w:val="21"/>
          <w:szCs w:val="21"/>
          <w:highlight w:val="none"/>
        </w:rPr>
        <w:t xml:space="preserve"> </w:t>
      </w:r>
      <w:r>
        <w:rPr>
          <w:rFonts w:hint="eastAsia" w:ascii="宋体" w:hAnsi="宋体" w:eastAsia="宋体" w:cs="宋体"/>
          <w:b/>
          <w:bCs/>
          <w:color w:val="auto"/>
          <w:sz w:val="21"/>
          <w:szCs w:val="21"/>
          <w:highlight w:val="none"/>
        </w:rPr>
        <w:t xml:space="preserve">   </w:t>
      </w:r>
      <w:bookmarkStart w:id="90" w:name="_Toc5978"/>
      <w:bookmarkStart w:id="91" w:name="_Toc12143"/>
      <w:r>
        <w:rPr>
          <w:rFonts w:hint="eastAsia" w:ascii="宋体" w:hAnsi="宋体" w:eastAsia="宋体" w:cs="宋体"/>
          <w:b/>
          <w:bCs/>
          <w:color w:val="auto"/>
          <w:sz w:val="21"/>
          <w:szCs w:val="21"/>
          <w:highlight w:val="none"/>
        </w:rPr>
        <w:t>三、虚假、恶意投诉法律责任</w:t>
      </w:r>
      <w:bookmarkEnd w:id="90"/>
      <w:bookmarkEnd w:id="91"/>
    </w:p>
    <w:p w14:paraId="555875D0">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第七十三条：供应商捏造实施、提供虚假材料或者以非法手段取得证明材料进行投诉的，由财政部门列入不良行为记录名单，禁止其1至3年内参加政府采购活动。</w:t>
      </w:r>
    </w:p>
    <w:p w14:paraId="745EB7AA">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《政府采购供应商投诉处理办法》第二十六条：投诉人有下列情形之一的，属于虚假、恶意投诉，财政部门应当驳回投诉，将其列入不良行为记录名单，并依法予以处罚：</w:t>
      </w:r>
    </w:p>
    <w:p w14:paraId="49C5C371">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（一）1年内3次以上投诉均查无实据的；</w:t>
      </w:r>
    </w:p>
    <w:p w14:paraId="22E549C3">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（二）捏造事实或者提供虚假投诉材料的。</w:t>
      </w:r>
    </w:p>
    <w:p w14:paraId="5AFD588B">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p w14:paraId="0372EC59">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p w14:paraId="1E6FF485">
      <w:pPr>
        <w:shd w:val="clear" w:color="auto" w:fill="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递交投诉书地址</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阿图什市</w:t>
      </w:r>
      <w:r>
        <w:rPr>
          <w:rFonts w:hint="eastAsia" w:ascii="宋体" w:hAnsi="宋体" w:eastAsia="宋体" w:cs="宋体"/>
          <w:color w:val="auto"/>
          <w:sz w:val="21"/>
          <w:szCs w:val="21"/>
          <w:highlight w:val="none"/>
          <w:lang w:val="en-US" w:eastAsia="zh-CN"/>
        </w:rPr>
        <w:t>财政局政府采购办</w:t>
      </w:r>
      <w:r>
        <w:rPr>
          <w:rFonts w:hint="eastAsia" w:ascii="宋体" w:hAnsi="宋体" w:eastAsia="宋体" w:cs="宋体"/>
          <w:color w:val="auto"/>
          <w:sz w:val="21"/>
          <w:szCs w:val="21"/>
          <w:highlight w:val="none"/>
        </w:rPr>
        <w:t>监管办公室</w:t>
      </w:r>
    </w:p>
    <w:p w14:paraId="4E89055A">
      <w:pPr>
        <w:shd w:val="clear" w:color="auto" w:fill="auto"/>
        <w:jc w:val="right"/>
        <w:rPr>
          <w:rFonts w:hint="eastAsia" w:ascii="宋体" w:hAnsi="宋体" w:eastAsia="宋体" w:cs="宋体"/>
          <w:color w:val="auto"/>
          <w:sz w:val="32"/>
          <w:szCs w:val="32"/>
          <w:highlight w:val="none"/>
        </w:rPr>
      </w:pPr>
    </w:p>
    <w:p w14:paraId="45DB0956">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1ECBAD95">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26D76BC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65835A37">
      <w:pPr>
        <w:pStyle w:val="28"/>
        <w:rPr>
          <w:rFonts w:hint="eastAsia" w:ascii="宋体" w:hAnsi="宋体" w:eastAsia="宋体" w:cs="宋体"/>
          <w:b/>
          <w:bCs/>
          <w:color w:val="auto"/>
          <w:sz w:val="44"/>
          <w:szCs w:val="44"/>
          <w:highlight w:val="none"/>
        </w:rPr>
      </w:pPr>
    </w:p>
    <w:p w14:paraId="370133C3">
      <w:pPr>
        <w:pStyle w:val="28"/>
        <w:rPr>
          <w:rFonts w:hint="eastAsia" w:ascii="宋体" w:hAnsi="宋体" w:eastAsia="宋体" w:cs="宋体"/>
          <w:b/>
          <w:bCs/>
          <w:color w:val="auto"/>
          <w:sz w:val="44"/>
          <w:szCs w:val="44"/>
          <w:highlight w:val="none"/>
        </w:rPr>
      </w:pPr>
    </w:p>
    <w:p w14:paraId="65F39D71">
      <w:pPr>
        <w:pStyle w:val="28"/>
        <w:rPr>
          <w:rFonts w:hint="eastAsia" w:ascii="宋体" w:hAnsi="宋体" w:eastAsia="宋体" w:cs="宋体"/>
          <w:b/>
          <w:bCs/>
          <w:color w:val="auto"/>
          <w:sz w:val="44"/>
          <w:szCs w:val="44"/>
          <w:highlight w:val="none"/>
        </w:rPr>
      </w:pPr>
    </w:p>
    <w:p w14:paraId="3EBB2E77">
      <w:pPr>
        <w:pStyle w:val="28"/>
        <w:rPr>
          <w:rFonts w:hint="eastAsia" w:ascii="宋体" w:hAnsi="宋体" w:eastAsia="宋体" w:cs="宋体"/>
          <w:b/>
          <w:bCs/>
          <w:color w:val="auto"/>
          <w:sz w:val="44"/>
          <w:szCs w:val="44"/>
          <w:highlight w:val="none"/>
        </w:rPr>
      </w:pPr>
    </w:p>
    <w:p w14:paraId="703E9353">
      <w:pPr>
        <w:pStyle w:val="28"/>
        <w:rPr>
          <w:rFonts w:hint="eastAsia" w:ascii="宋体" w:hAnsi="宋体" w:eastAsia="宋体" w:cs="宋体"/>
          <w:b/>
          <w:bCs/>
          <w:color w:val="auto"/>
          <w:sz w:val="44"/>
          <w:szCs w:val="44"/>
          <w:highlight w:val="none"/>
        </w:rPr>
      </w:pPr>
    </w:p>
    <w:p w14:paraId="47DB42AE">
      <w:pPr>
        <w:pStyle w:val="28"/>
        <w:rPr>
          <w:rFonts w:hint="eastAsia" w:ascii="宋体" w:hAnsi="宋体" w:eastAsia="宋体" w:cs="宋体"/>
          <w:b/>
          <w:bCs/>
          <w:color w:val="auto"/>
          <w:sz w:val="44"/>
          <w:szCs w:val="44"/>
          <w:highlight w:val="none"/>
        </w:rPr>
      </w:pPr>
    </w:p>
    <w:p w14:paraId="5543256E">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0"/>
        <w:rPr>
          <w:rFonts w:hint="eastAsia" w:ascii="宋体" w:hAnsi="宋体" w:eastAsia="宋体" w:cs="宋体"/>
          <w:b/>
          <w:bCs/>
          <w:color w:val="auto"/>
          <w:sz w:val="32"/>
          <w:szCs w:val="32"/>
          <w:highlight w:val="none"/>
        </w:rPr>
      </w:pPr>
      <w:bookmarkStart w:id="92" w:name="_Toc1697"/>
    </w:p>
    <w:p w14:paraId="72EFDA8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32"/>
          <w:szCs w:val="32"/>
          <w:highlight w:val="none"/>
        </w:rPr>
      </w:pPr>
    </w:p>
    <w:p w14:paraId="170B9FF8">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32"/>
          <w:szCs w:val="32"/>
          <w:highlight w:val="none"/>
        </w:rPr>
      </w:pPr>
      <w:bookmarkStart w:id="93" w:name="_Toc27801"/>
      <w:r>
        <w:rPr>
          <w:rFonts w:hint="eastAsia" w:ascii="宋体" w:hAnsi="宋体" w:eastAsia="宋体" w:cs="宋体"/>
          <w:b/>
          <w:bCs/>
          <w:color w:val="auto"/>
          <w:sz w:val="32"/>
          <w:szCs w:val="32"/>
          <w:highlight w:val="none"/>
        </w:rPr>
        <w:t>质疑函范本</w:t>
      </w:r>
      <w:bookmarkEnd w:id="92"/>
      <w:bookmarkEnd w:id="93"/>
    </w:p>
    <w:p w14:paraId="4C14C342">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24" w:firstLineChars="200"/>
        <w:textAlignment w:val="auto"/>
        <w:outlineLvl w:val="0"/>
        <w:rPr>
          <w:rFonts w:hint="eastAsia" w:ascii="宋体" w:hAnsi="宋体" w:eastAsia="宋体" w:cs="宋体"/>
          <w:bCs/>
          <w:color w:val="auto"/>
          <w:sz w:val="21"/>
          <w:szCs w:val="21"/>
          <w:highlight w:val="none"/>
        </w:rPr>
      </w:pPr>
      <w:bookmarkStart w:id="94" w:name="_Toc9061"/>
      <w:bookmarkStart w:id="95" w:name="_Toc3401"/>
      <w:r>
        <w:rPr>
          <w:rFonts w:hint="eastAsia" w:ascii="宋体" w:hAnsi="宋体" w:eastAsia="宋体" w:cs="宋体"/>
          <w:bCs/>
          <w:color w:val="auto"/>
          <w:sz w:val="21"/>
          <w:szCs w:val="21"/>
          <w:highlight w:val="none"/>
        </w:rPr>
        <w:t>一、质疑供应商基本信息</w:t>
      </w:r>
      <w:bookmarkEnd w:id="94"/>
      <w:bookmarkEnd w:id="95"/>
    </w:p>
    <w:p w14:paraId="66BDA68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质疑供应商：</w:t>
      </w:r>
      <w:r>
        <w:rPr>
          <w:rFonts w:hint="eastAsia" w:ascii="宋体" w:hAnsi="宋体" w:eastAsia="宋体" w:cs="宋体"/>
          <w:color w:val="auto"/>
          <w:sz w:val="21"/>
          <w:szCs w:val="21"/>
          <w:highlight w:val="none"/>
          <w:u w:val="dotted"/>
        </w:rPr>
        <w:t xml:space="preserve">                         </w:t>
      </w:r>
    </w:p>
    <w:p w14:paraId="2BDD0CA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27D628B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3CE1D50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授权代表：</w:t>
      </w:r>
      <w:r>
        <w:rPr>
          <w:rFonts w:hint="eastAsia" w:ascii="宋体" w:hAnsi="宋体" w:eastAsia="宋体" w:cs="宋体"/>
          <w:color w:val="auto"/>
          <w:sz w:val="21"/>
          <w:szCs w:val="21"/>
          <w:highlight w:val="none"/>
          <w:u w:val="dotted"/>
        </w:rPr>
        <w:t xml:space="preserve">                                          </w:t>
      </w:r>
    </w:p>
    <w:p w14:paraId="1DCAFF3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39466E7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地址： </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1CA5AA8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outlineLvl w:val="0"/>
        <w:rPr>
          <w:rFonts w:hint="eastAsia" w:ascii="宋体" w:hAnsi="宋体" w:eastAsia="宋体" w:cs="宋体"/>
          <w:bCs/>
          <w:color w:val="auto"/>
          <w:sz w:val="21"/>
          <w:szCs w:val="21"/>
          <w:highlight w:val="none"/>
        </w:rPr>
      </w:pPr>
      <w:bookmarkStart w:id="96" w:name="_Toc15938"/>
      <w:bookmarkStart w:id="97" w:name="_Toc31203"/>
      <w:r>
        <w:rPr>
          <w:rFonts w:hint="eastAsia" w:ascii="宋体" w:hAnsi="宋体" w:eastAsia="宋体" w:cs="宋体"/>
          <w:bCs/>
          <w:color w:val="auto"/>
          <w:sz w:val="21"/>
          <w:szCs w:val="21"/>
          <w:highlight w:val="none"/>
        </w:rPr>
        <w:t>二、质疑项目基本情况</w:t>
      </w:r>
      <w:bookmarkEnd w:id="96"/>
      <w:bookmarkEnd w:id="97"/>
    </w:p>
    <w:p w14:paraId="27C27C7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质疑项目的名称：</w:t>
      </w:r>
      <w:r>
        <w:rPr>
          <w:rFonts w:hint="eastAsia" w:ascii="宋体" w:hAnsi="宋体" w:eastAsia="宋体" w:cs="宋体"/>
          <w:color w:val="auto"/>
          <w:sz w:val="21"/>
          <w:szCs w:val="21"/>
          <w:highlight w:val="none"/>
          <w:u w:val="dotted"/>
        </w:rPr>
        <w:t xml:space="preserve">                                     </w:t>
      </w:r>
    </w:p>
    <w:p w14:paraId="272A465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质疑项目的编号：</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包号：</w:t>
      </w:r>
      <w:r>
        <w:rPr>
          <w:rFonts w:hint="eastAsia" w:ascii="宋体" w:hAnsi="宋体" w:eastAsia="宋体" w:cs="宋体"/>
          <w:color w:val="auto"/>
          <w:sz w:val="21"/>
          <w:szCs w:val="21"/>
          <w:highlight w:val="none"/>
          <w:u w:val="dotted"/>
        </w:rPr>
        <w:t xml:space="preserve">                </w:t>
      </w:r>
    </w:p>
    <w:p w14:paraId="02D6EEF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采购人名称：</w:t>
      </w:r>
      <w:r>
        <w:rPr>
          <w:rFonts w:hint="eastAsia" w:ascii="宋体" w:hAnsi="宋体" w:eastAsia="宋体" w:cs="宋体"/>
          <w:color w:val="auto"/>
          <w:sz w:val="21"/>
          <w:szCs w:val="21"/>
          <w:highlight w:val="none"/>
          <w:u w:val="dotted"/>
        </w:rPr>
        <w:t xml:space="preserve">                                         </w:t>
      </w:r>
    </w:p>
    <w:p w14:paraId="034884C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采购文件获取日期：</w:t>
      </w:r>
      <w:r>
        <w:rPr>
          <w:rFonts w:hint="eastAsia" w:ascii="宋体" w:hAnsi="宋体" w:eastAsia="宋体" w:cs="宋体"/>
          <w:color w:val="auto"/>
          <w:sz w:val="21"/>
          <w:szCs w:val="21"/>
          <w:highlight w:val="none"/>
          <w:u w:val="dotted"/>
        </w:rPr>
        <w:t xml:space="preserve">                                   </w:t>
      </w:r>
    </w:p>
    <w:p w14:paraId="71C847E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outlineLvl w:val="0"/>
        <w:rPr>
          <w:rFonts w:hint="eastAsia" w:ascii="宋体" w:hAnsi="宋体" w:eastAsia="宋体" w:cs="宋体"/>
          <w:bCs/>
          <w:color w:val="auto"/>
          <w:sz w:val="21"/>
          <w:szCs w:val="21"/>
          <w:highlight w:val="none"/>
        </w:rPr>
      </w:pPr>
      <w:bookmarkStart w:id="98" w:name="_Toc18271"/>
      <w:bookmarkStart w:id="99" w:name="_Toc642"/>
      <w:r>
        <w:rPr>
          <w:rFonts w:hint="eastAsia" w:ascii="宋体" w:hAnsi="宋体" w:eastAsia="宋体" w:cs="宋体"/>
          <w:bCs/>
          <w:color w:val="auto"/>
          <w:sz w:val="21"/>
          <w:szCs w:val="21"/>
          <w:highlight w:val="none"/>
        </w:rPr>
        <w:t>三、质疑事项具体内容</w:t>
      </w:r>
      <w:bookmarkEnd w:id="98"/>
      <w:bookmarkEnd w:id="99"/>
    </w:p>
    <w:p w14:paraId="4B565BD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质疑事项1：</w:t>
      </w:r>
      <w:r>
        <w:rPr>
          <w:rFonts w:hint="eastAsia" w:ascii="宋体" w:hAnsi="宋体" w:eastAsia="宋体" w:cs="宋体"/>
          <w:color w:val="auto"/>
          <w:sz w:val="21"/>
          <w:szCs w:val="21"/>
          <w:highlight w:val="none"/>
          <w:u w:val="dotted"/>
        </w:rPr>
        <w:t xml:space="preserve">                                         </w:t>
      </w:r>
    </w:p>
    <w:p w14:paraId="2069864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事实依据：</w:t>
      </w:r>
      <w:r>
        <w:rPr>
          <w:rFonts w:hint="eastAsia" w:ascii="宋体" w:hAnsi="宋体" w:eastAsia="宋体" w:cs="宋体"/>
          <w:color w:val="auto"/>
          <w:sz w:val="21"/>
          <w:szCs w:val="21"/>
          <w:highlight w:val="none"/>
          <w:u w:val="dotted"/>
        </w:rPr>
        <w:t xml:space="preserve">                                           </w:t>
      </w:r>
    </w:p>
    <w:p w14:paraId="1FA893E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法律依据：</w:t>
      </w:r>
      <w:r>
        <w:rPr>
          <w:rFonts w:hint="eastAsia" w:ascii="宋体" w:hAnsi="宋体" w:eastAsia="宋体" w:cs="宋体"/>
          <w:color w:val="auto"/>
          <w:sz w:val="21"/>
          <w:szCs w:val="21"/>
          <w:highlight w:val="none"/>
          <w:u w:val="dotted"/>
        </w:rPr>
        <w:t xml:space="preserve">                                           </w:t>
      </w:r>
    </w:p>
    <w:p w14:paraId="18A82E4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质疑事项2</w:t>
      </w:r>
    </w:p>
    <w:p w14:paraId="348B55A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E7BA7F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outlineLvl w:val="0"/>
        <w:rPr>
          <w:rFonts w:hint="eastAsia" w:ascii="宋体" w:hAnsi="宋体" w:eastAsia="宋体" w:cs="宋体"/>
          <w:bCs/>
          <w:color w:val="auto"/>
          <w:sz w:val="21"/>
          <w:szCs w:val="21"/>
          <w:highlight w:val="none"/>
        </w:rPr>
      </w:pPr>
      <w:bookmarkStart w:id="100" w:name="_Toc3601"/>
      <w:bookmarkStart w:id="101" w:name="_Toc22365"/>
      <w:r>
        <w:rPr>
          <w:rFonts w:hint="eastAsia" w:ascii="宋体" w:hAnsi="宋体" w:eastAsia="宋体" w:cs="宋体"/>
          <w:bCs/>
          <w:color w:val="auto"/>
          <w:sz w:val="21"/>
          <w:szCs w:val="21"/>
          <w:highlight w:val="none"/>
        </w:rPr>
        <w:t>四、与质疑事项相关的质疑请求</w:t>
      </w:r>
      <w:bookmarkEnd w:id="100"/>
      <w:bookmarkEnd w:id="101"/>
    </w:p>
    <w:p w14:paraId="67D273D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请求：</w:t>
      </w:r>
      <w:r>
        <w:rPr>
          <w:rFonts w:hint="eastAsia" w:ascii="宋体" w:hAnsi="宋体" w:eastAsia="宋体" w:cs="宋体"/>
          <w:color w:val="auto"/>
          <w:sz w:val="21"/>
          <w:szCs w:val="21"/>
          <w:highlight w:val="none"/>
          <w:u w:val="dotted"/>
        </w:rPr>
        <w:t xml:space="preserve">                                               </w:t>
      </w:r>
    </w:p>
    <w:p w14:paraId="65E830B7">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签字(签章)：                   公章：                      </w:t>
      </w:r>
    </w:p>
    <w:p w14:paraId="04D2F252">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w:t>
      </w:r>
    </w:p>
    <w:p w14:paraId="572F34F0">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3FCBE28D">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3B647056">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质疑函制作说明：</w:t>
      </w:r>
    </w:p>
    <w:p w14:paraId="25AD3802">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1.供应商提出质疑时，应提交质疑函和必要的证明材料。</w:t>
      </w:r>
    </w:p>
    <w:p w14:paraId="1F5CAA58">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AC1AD15">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3.质疑供应商若对项目的某一分包进行质疑，质疑函中应列明具体分包号。</w:t>
      </w:r>
    </w:p>
    <w:p w14:paraId="5A9D5A6B">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4.质疑函的质疑事项应具体、明确，并有必要的事实依据和法律依据。</w:t>
      </w:r>
    </w:p>
    <w:p w14:paraId="712D38F3">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5.质疑函的质疑请求应与质疑事项相关。</w:t>
      </w:r>
    </w:p>
    <w:p w14:paraId="0335FDBF">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p w14:paraId="38CC7FDB">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30BC00C5">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544B7D09">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20FC52E6">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注意事项</w:t>
      </w:r>
    </w:p>
    <w:p w14:paraId="3F5F3BD8">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1、投标人对所附表格中要求的资料和询问应做出肯定的回答。</w:t>
      </w:r>
    </w:p>
    <w:p w14:paraId="57C8DBCC">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2、采购文件的签字人应保证他所做的声明及对一切问题的回答的真实性和准确。</w:t>
      </w:r>
    </w:p>
    <w:p w14:paraId="2FFA1645">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3、投标人提供的采购文件将由采购人使用，并据此进行评价和判断，确定投标人的能力。</w:t>
      </w:r>
    </w:p>
    <w:p w14:paraId="192B6DD9">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xml:space="preserve">4、投标人提交的文件将给予保密，但不退还。    </w:t>
      </w:r>
    </w:p>
    <w:p w14:paraId="5D921947">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xml:space="preserve">   </w:t>
      </w:r>
    </w:p>
    <w:p w14:paraId="32B8006E">
      <w:pPr>
        <w:pStyle w:val="53"/>
        <w:shd w:val="clear" w:color="auto" w:fill="auto"/>
        <w:ind w:left="0" w:leftChars="0" w:firstLine="0" w:firstLineChars="0"/>
        <w:rPr>
          <w:rFonts w:hint="eastAsia" w:ascii="黑体" w:eastAsia="黑体"/>
          <w:color w:val="auto"/>
          <w:sz w:val="30"/>
          <w:szCs w:val="30"/>
          <w:highlight w:val="none"/>
        </w:rPr>
      </w:pPr>
    </w:p>
    <w:p w14:paraId="6932813A">
      <w:pPr>
        <w:pageBreakBefore/>
        <w:shd w:val="clear" w:color="auto" w:fill="auto"/>
        <w:spacing w:line="440" w:lineRule="exact"/>
        <w:jc w:val="center"/>
        <w:outlineLvl w:val="0"/>
        <w:rPr>
          <w:rFonts w:hint="eastAsia" w:ascii="黑体" w:eastAsia="黑体"/>
          <w:color w:val="auto"/>
          <w:sz w:val="30"/>
          <w:szCs w:val="30"/>
          <w:highlight w:val="none"/>
        </w:rPr>
      </w:pPr>
      <w:bookmarkStart w:id="102" w:name="_Toc2323"/>
      <w:r>
        <w:rPr>
          <w:rFonts w:hint="eastAsia" w:ascii="黑体" w:eastAsia="黑体"/>
          <w:color w:val="auto"/>
          <w:sz w:val="30"/>
          <w:szCs w:val="30"/>
          <w:highlight w:val="none"/>
        </w:rPr>
        <w:t>第三章  评标办法</w:t>
      </w:r>
      <w:bookmarkEnd w:id="102"/>
    </w:p>
    <w:p w14:paraId="691A3945">
      <w:pPr>
        <w:shd w:val="clear" w:color="auto" w:fill="auto"/>
        <w:jc w:val="center"/>
        <w:outlineLvl w:val="1"/>
        <w:rPr>
          <w:rFonts w:hint="eastAsia" w:ascii="宋体" w:hAnsi="Times New Roman" w:eastAsia="宋体" w:cs="Times New Roman"/>
          <w:b/>
          <w:color w:val="auto"/>
          <w:sz w:val="28"/>
          <w:szCs w:val="28"/>
          <w:highlight w:val="none"/>
        </w:rPr>
      </w:pPr>
      <w:bookmarkStart w:id="103" w:name="_Toc21805"/>
      <w:bookmarkStart w:id="104" w:name="_Toc362983802"/>
      <w:bookmarkStart w:id="105" w:name="_Toc267320058"/>
      <w:bookmarkStart w:id="106" w:name="_Toc363135205"/>
      <w:r>
        <w:rPr>
          <w:rFonts w:hint="eastAsia" w:ascii="宋体" w:hAnsi="Times New Roman" w:eastAsia="宋体" w:cs="Times New Roman"/>
          <w:b/>
          <w:color w:val="auto"/>
          <w:sz w:val="28"/>
          <w:szCs w:val="28"/>
          <w:highlight w:val="none"/>
        </w:rPr>
        <w:t>一</w:t>
      </w:r>
      <w:r>
        <w:rPr>
          <w:rFonts w:hint="eastAsia" w:ascii="宋体" w:hAnsi="Times New Roman" w:eastAsia="宋体" w:cs="Times New Roman"/>
          <w:b/>
          <w:color w:val="auto"/>
          <w:sz w:val="28"/>
          <w:szCs w:val="28"/>
          <w:highlight w:val="none"/>
          <w:lang w:val="en-US" w:eastAsia="zh-CN"/>
        </w:rPr>
        <w:t xml:space="preserve">  </w:t>
      </w:r>
      <w:r>
        <w:rPr>
          <w:rFonts w:hint="eastAsia" w:ascii="宋体" w:hAnsi="Times New Roman" w:eastAsia="宋体" w:cs="Times New Roman"/>
          <w:b/>
          <w:color w:val="auto"/>
          <w:sz w:val="28"/>
          <w:szCs w:val="28"/>
          <w:highlight w:val="none"/>
        </w:rPr>
        <w:t>总  则</w:t>
      </w:r>
      <w:bookmarkEnd w:id="103"/>
    </w:p>
    <w:p w14:paraId="4224F1B0">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1、一般规定</w:t>
      </w:r>
    </w:p>
    <w:p w14:paraId="15331AF8">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1.1本项目的招标按照《中华人民共和国政府采购法》、《政府采购货物和服务招标投标管理办法》及政府采购的有关规定进行。</w:t>
      </w:r>
    </w:p>
    <w:p w14:paraId="23F4E8C9">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1.2评标必须遵循邀请、公平、公正、诚实信用的原则。</w:t>
      </w:r>
    </w:p>
    <w:p w14:paraId="369ADCB4">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1.3招标代理机构组织招标、开标、评标工作，全过程接受政府采购有关部门的监督、管理和指导。</w:t>
      </w:r>
    </w:p>
    <w:p w14:paraId="0B7710CC">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1.4评标按照招标文件规定的内容进行，采取符合招标文件要求的</w:t>
      </w:r>
      <w:r>
        <w:rPr>
          <w:rFonts w:hint="eastAsia" w:ascii="宋体" w:hAnsi="宋体" w:cs="宋体"/>
          <w:color w:val="auto"/>
          <w:szCs w:val="21"/>
          <w:highlight w:val="none"/>
          <w:lang w:val="en-US" w:eastAsia="zh-CN"/>
        </w:rPr>
        <w:t>综合评分</w:t>
      </w:r>
      <w:r>
        <w:rPr>
          <w:rFonts w:hint="eastAsia" w:ascii="宋体" w:hAnsi="宋体" w:eastAsia="宋体" w:cs="宋体"/>
          <w:color w:val="auto"/>
          <w:szCs w:val="21"/>
          <w:highlight w:val="none"/>
        </w:rPr>
        <w:t>法；</w:t>
      </w:r>
    </w:p>
    <w:p w14:paraId="0D554B1E">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1.5本办法的评标对象是指投标人按照招标文件要求提供的有效投标文件，包括投标人应评标委员会要求对原投标文件作出的正式书面澄清文件。</w:t>
      </w:r>
    </w:p>
    <w:p w14:paraId="2FDC997A">
      <w:pPr>
        <w:shd w:val="clear" w:color="auto" w:fill="auto"/>
        <w:tabs>
          <w:tab w:val="left" w:pos="567"/>
          <w:tab w:val="left" w:pos="1145"/>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2、评标组织机构的组成</w:t>
      </w:r>
    </w:p>
    <w:p w14:paraId="4FE6D387">
      <w:pPr>
        <w:widowControl/>
        <w:shd w:val="clear" w:color="auto" w:fill="auto"/>
        <w:spacing w:line="440" w:lineRule="exact"/>
        <w:ind w:firstLine="480"/>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2.1</w:t>
      </w:r>
      <w:r>
        <w:rPr>
          <w:rFonts w:hint="eastAsia" w:ascii="宋体" w:hAnsi="宋体" w:eastAsia="宋体" w:cs="宋体"/>
          <w:color w:val="auto"/>
          <w:spacing w:val="-2"/>
          <w:sz w:val="24"/>
          <w:szCs w:val="24"/>
          <w:highlight w:val="none"/>
        </w:rPr>
        <w:t xml:space="preserve"> </w:t>
      </w:r>
      <w:r>
        <w:rPr>
          <w:rFonts w:hint="eastAsia" w:ascii="宋体" w:hAnsi="宋体" w:eastAsia="宋体" w:cs="宋体"/>
          <w:b/>
          <w:bCs/>
          <w:color w:val="auto"/>
          <w:kern w:val="0"/>
          <w:szCs w:val="21"/>
          <w:highlight w:val="none"/>
          <w:lang w:bidi="ar-SA"/>
        </w:rPr>
        <w:t>评标委员会由有关技术、经济等方面的专家组成，成员人数应当为</w:t>
      </w:r>
      <w:r>
        <w:rPr>
          <w:rFonts w:hint="eastAsia" w:ascii="宋体" w:hAnsi="宋体" w:cs="宋体"/>
          <w:b/>
          <w:bCs/>
          <w:color w:val="auto"/>
          <w:kern w:val="0"/>
          <w:szCs w:val="21"/>
          <w:highlight w:val="none"/>
          <w:lang w:val="en-US" w:eastAsia="zh-CN" w:bidi="ar-SA"/>
        </w:rPr>
        <w:t>5</w:t>
      </w:r>
      <w:r>
        <w:rPr>
          <w:rFonts w:hint="eastAsia" w:ascii="宋体" w:hAnsi="宋体" w:eastAsia="宋体" w:cs="宋体"/>
          <w:b/>
          <w:bCs/>
          <w:color w:val="auto"/>
          <w:kern w:val="0"/>
          <w:szCs w:val="21"/>
          <w:highlight w:val="none"/>
          <w:lang w:bidi="ar-SA"/>
        </w:rPr>
        <w:t>人。</w:t>
      </w:r>
      <w:r>
        <w:rPr>
          <w:rFonts w:hint="eastAsia" w:ascii="宋体" w:hAnsi="宋体" w:eastAsia="宋体" w:cs="宋体"/>
          <w:color w:val="auto"/>
          <w:kern w:val="0"/>
          <w:szCs w:val="21"/>
          <w:highlight w:val="none"/>
          <w:lang w:bidi="ar-SA"/>
        </w:rPr>
        <w:t>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477CE426">
      <w:pPr>
        <w:shd w:val="clear" w:color="auto" w:fill="auto"/>
        <w:tabs>
          <w:tab w:val="left" w:pos="567"/>
          <w:tab w:val="left" w:pos="1145"/>
        </w:tabs>
        <w:spacing w:line="440" w:lineRule="exact"/>
        <w:ind w:firstLine="540" w:firstLineChars="255"/>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2.2评标工作组由有关专家组成，由评标委员会确认。</w:t>
      </w:r>
    </w:p>
    <w:p w14:paraId="08BFDF56">
      <w:pPr>
        <w:shd w:val="clear" w:color="auto" w:fill="auto"/>
        <w:tabs>
          <w:tab w:val="left" w:pos="567"/>
          <w:tab w:val="left" w:pos="1145"/>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2.3评标委员会应相对独立工作，负责评标、撰写技术、商务评标报告。采购代理机构负责评标过程中资料的保管、发放、回收，整理、汇总评标资料。</w:t>
      </w:r>
    </w:p>
    <w:p w14:paraId="7D9CC729">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3、评标委员会职责</w:t>
      </w:r>
    </w:p>
    <w:p w14:paraId="1C801653">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3.1审查投标文件是否符合招标文件要求，并作出评价；</w:t>
      </w:r>
    </w:p>
    <w:p w14:paraId="7BE9565B">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3.2要求投标人对投标文件有关事项作出解释或者澄清；</w:t>
      </w:r>
    </w:p>
    <w:p w14:paraId="669ACC6C">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3.3推荐中标候选人名单；</w:t>
      </w:r>
    </w:p>
    <w:p w14:paraId="4A1A8D2A">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3.4向招标人、招标代理机构或者有关部门报告非法干预评标工作的行为。</w:t>
      </w:r>
    </w:p>
    <w:p w14:paraId="3A193F57">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4、评标委员会义务</w:t>
      </w:r>
    </w:p>
    <w:p w14:paraId="3E5A8D70">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4.1遵纪守法，客观、公正、廉洁地履行职责；</w:t>
      </w:r>
    </w:p>
    <w:p w14:paraId="335507D2">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4.2按照招标文件规定的评标方法和评标标准进行评标，对评审意见承担个人责任；</w:t>
      </w:r>
    </w:p>
    <w:p w14:paraId="38DF37D6">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4.3对评标过程和结果，以及投标人的商业秘密保密；</w:t>
      </w:r>
    </w:p>
    <w:p w14:paraId="79EADA6A">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4.4参与评标报告的起草；</w:t>
      </w:r>
    </w:p>
    <w:p w14:paraId="6C23982F">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4.5配合有关部门的投诉处理工作；</w:t>
      </w:r>
    </w:p>
    <w:p w14:paraId="602B1D02">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4.6配合招标人、招标代理机构答复投标供应商提出的质疑。</w:t>
      </w:r>
    </w:p>
    <w:p w14:paraId="686B972B">
      <w:pPr>
        <w:shd w:val="clear" w:color="auto" w:fill="auto"/>
        <w:tabs>
          <w:tab w:val="left" w:pos="1547"/>
        </w:tabs>
        <w:spacing w:line="440" w:lineRule="exact"/>
        <w:ind w:firstLine="540" w:firstLineChars="255"/>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5、 评标程序</w:t>
      </w:r>
    </w:p>
    <w:p w14:paraId="07FD29C1">
      <w:pPr>
        <w:pStyle w:val="24"/>
        <w:shd w:val="clear" w:color="auto" w:fill="auto"/>
        <w:tabs>
          <w:tab w:val="left" w:pos="720"/>
          <w:tab w:val="clear" w:pos="0"/>
        </w:tabs>
        <w:spacing w:line="440" w:lineRule="exact"/>
        <w:ind w:firstLine="540" w:firstLineChars="255"/>
        <w:rPr>
          <w:rFonts w:hint="eastAsia" w:ascii="宋体" w:hAnsi="宋体" w:eastAsia="宋体" w:cs="宋体"/>
          <w:bCs/>
          <w:color w:val="auto"/>
          <w:szCs w:val="21"/>
          <w:highlight w:val="none"/>
          <w:lang w:bidi="ar-SA"/>
        </w:rPr>
      </w:pPr>
      <w:r>
        <w:rPr>
          <w:rFonts w:hint="eastAsia" w:ascii="宋体" w:hAnsi="宋体" w:eastAsia="宋体" w:cs="宋体"/>
          <w:bCs/>
          <w:color w:val="auto"/>
          <w:szCs w:val="21"/>
          <w:highlight w:val="none"/>
          <w:lang w:bidi="ar-SA"/>
        </w:rPr>
        <w:t>5.1本次评标首先由评标委员会对投标人的投标文件进行初审，对未能通过初审的投标文件作无效标处理；</w:t>
      </w:r>
    </w:p>
    <w:p w14:paraId="62077211">
      <w:pPr>
        <w:shd w:val="clear" w:color="auto" w:fill="auto"/>
        <w:tabs>
          <w:tab w:val="left" w:pos="720"/>
        </w:tabs>
        <w:spacing w:line="440" w:lineRule="exact"/>
        <w:ind w:firstLine="540" w:firstLineChars="255"/>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5.2对通过初审的投标人的投标文件进行详细的比较和评价。如需要，进行必要的澄清工作；</w:t>
      </w:r>
    </w:p>
    <w:p w14:paraId="4814B1E8">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5.3评标报告与推荐</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候选人</w:t>
      </w:r>
    </w:p>
    <w:p w14:paraId="62082E59">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小组各成员应当独立对每个有效响应的文件进行评价、打分，然后汇总每个供应商每项评分因素的得分。</w:t>
      </w:r>
    </w:p>
    <w:p w14:paraId="1883725A">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综合评分法</w:t>
      </w:r>
      <w:r>
        <w:rPr>
          <w:rFonts w:hint="eastAsia" w:ascii="宋体" w:hAnsi="宋体" w:cs="宋体"/>
          <w:bCs/>
          <w:color w:val="auto"/>
          <w:szCs w:val="21"/>
          <w:highlight w:val="none"/>
          <w:lang w:val="en-US" w:eastAsia="zh-CN"/>
        </w:rPr>
        <w:t>货物采购</w:t>
      </w:r>
      <w:r>
        <w:rPr>
          <w:rFonts w:hint="eastAsia" w:ascii="宋体" w:hAnsi="宋体" w:eastAsia="宋体" w:cs="宋体"/>
          <w:bCs/>
          <w:color w:val="auto"/>
          <w:szCs w:val="21"/>
          <w:highlight w:val="none"/>
        </w:rPr>
        <w:t>项目的价格分值占总分值的比重(即权值)为</w:t>
      </w:r>
      <w:r>
        <w:rPr>
          <w:rFonts w:hint="eastAsia" w:ascii="宋体" w:hAnsi="宋体" w:cs="宋体"/>
          <w:bCs/>
          <w:color w:val="auto"/>
          <w:szCs w:val="21"/>
          <w:highlight w:val="none"/>
          <w:lang w:val="en-US" w:eastAsia="zh-CN"/>
        </w:rPr>
        <w:t>30</w:t>
      </w:r>
      <w:r>
        <w:rPr>
          <w:rFonts w:hint="eastAsia" w:ascii="宋体" w:hAnsi="宋体" w:eastAsia="宋体" w:cs="宋体"/>
          <w:bCs/>
          <w:color w:val="auto"/>
          <w:szCs w:val="21"/>
          <w:highlight w:val="none"/>
        </w:rPr>
        <w:t>％，采购项目中含不同采购对象的，以占项目资金比例最高的采购对象确定其项目属性。其价格不列为评分因素，有特殊情况需要在上述规定范围外设定价格分权重的。</w:t>
      </w:r>
    </w:p>
    <w:p w14:paraId="4EDC3883">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综合评分法中的价格分统一采用低价优先法计算，即满足</w:t>
      </w:r>
      <w:r>
        <w:rPr>
          <w:rFonts w:hint="eastAsia" w:ascii="宋体" w:hAnsi="宋体" w:eastAsia="宋体" w:cs="宋体"/>
          <w:bCs/>
          <w:color w:val="auto"/>
          <w:szCs w:val="21"/>
          <w:highlight w:val="none"/>
          <w:lang w:eastAsia="zh-CN"/>
        </w:rPr>
        <w:t>招标文件</w:t>
      </w:r>
      <w:r>
        <w:rPr>
          <w:rFonts w:hint="eastAsia" w:ascii="宋体" w:hAnsi="宋体" w:eastAsia="宋体" w:cs="宋体"/>
          <w:bCs/>
          <w:color w:val="auto"/>
          <w:szCs w:val="21"/>
          <w:highlight w:val="none"/>
        </w:rPr>
        <w:t>要求且最后报价最低的供应商的价格为</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基准价，其价格分为满分。其他供应商的价格分统一按照下列公式计算：</w:t>
      </w:r>
    </w:p>
    <w:p w14:paraId="7BB4EC68">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报价得分=（</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基准价/最后</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报价）×价格权值×100</w:t>
      </w:r>
    </w:p>
    <w:p w14:paraId="73E7004D">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项目评审过程中，不得去掉最后报价中的最高报价和最低报价。</w:t>
      </w:r>
    </w:p>
    <w:p w14:paraId="5EFA220D">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小组应当根据综合评分情况，按照评审得分由高到低顺序推荐3名以上</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候选供应商符合《政府采购竞争性</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采购方式管理暂行办法》法第二十五条</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小组应当根据综合评分情况，按照评审得分由高到低顺序推荐3名以上</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候选供应商。符合本办法第二十一条第三款情形的，可以推荐2家</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候选供应商。评审得分相同的，按照最后报价由低到高的顺序推荐。评审得分且最后报价相同的，按照技术指标优劣顺序推荐。</w:t>
      </w:r>
    </w:p>
    <w:p w14:paraId="7C34B0F6">
      <w:pPr>
        <w:shd w:val="clear" w:color="auto" w:fill="auto"/>
        <w:jc w:val="center"/>
        <w:outlineLvl w:val="1"/>
        <w:rPr>
          <w:rFonts w:hint="eastAsia" w:ascii="宋体"/>
          <w:b/>
          <w:color w:val="auto"/>
          <w:sz w:val="28"/>
          <w:szCs w:val="28"/>
          <w:highlight w:val="none"/>
        </w:rPr>
      </w:pPr>
    </w:p>
    <w:p w14:paraId="0FC486E8">
      <w:pPr>
        <w:shd w:val="clear" w:color="auto" w:fill="auto"/>
        <w:jc w:val="center"/>
        <w:outlineLvl w:val="1"/>
        <w:rPr>
          <w:rFonts w:hint="eastAsia" w:ascii="宋体"/>
          <w:b/>
          <w:color w:val="auto"/>
          <w:sz w:val="28"/>
          <w:szCs w:val="28"/>
          <w:highlight w:val="none"/>
        </w:rPr>
      </w:pPr>
    </w:p>
    <w:p w14:paraId="4761F624">
      <w:pPr>
        <w:shd w:val="clear" w:color="auto" w:fill="auto"/>
        <w:jc w:val="center"/>
        <w:outlineLvl w:val="1"/>
        <w:rPr>
          <w:rFonts w:hint="eastAsia" w:ascii="宋体"/>
          <w:b/>
          <w:color w:val="auto"/>
          <w:sz w:val="28"/>
          <w:szCs w:val="28"/>
          <w:highlight w:val="none"/>
        </w:rPr>
      </w:pPr>
    </w:p>
    <w:p w14:paraId="278A5237">
      <w:pPr>
        <w:shd w:val="clear" w:color="auto" w:fill="auto"/>
        <w:jc w:val="both"/>
        <w:outlineLvl w:val="1"/>
        <w:rPr>
          <w:rFonts w:hint="eastAsia" w:ascii="宋体"/>
          <w:b/>
          <w:color w:val="auto"/>
          <w:sz w:val="28"/>
          <w:szCs w:val="28"/>
          <w:highlight w:val="none"/>
        </w:rPr>
      </w:pPr>
    </w:p>
    <w:p w14:paraId="7422B993">
      <w:pPr>
        <w:shd w:val="clear" w:color="auto" w:fill="auto"/>
        <w:jc w:val="both"/>
        <w:outlineLvl w:val="1"/>
        <w:rPr>
          <w:rFonts w:hint="eastAsia" w:ascii="宋体"/>
          <w:b/>
          <w:color w:val="auto"/>
          <w:sz w:val="28"/>
          <w:szCs w:val="28"/>
          <w:highlight w:val="none"/>
        </w:rPr>
      </w:pPr>
    </w:p>
    <w:p w14:paraId="584FEED3">
      <w:pPr>
        <w:shd w:val="clear" w:color="auto" w:fill="auto"/>
        <w:jc w:val="both"/>
        <w:outlineLvl w:val="1"/>
        <w:rPr>
          <w:rFonts w:hint="eastAsia" w:ascii="宋体"/>
          <w:b/>
          <w:color w:val="auto"/>
          <w:sz w:val="28"/>
          <w:szCs w:val="28"/>
          <w:highlight w:val="none"/>
        </w:rPr>
      </w:pPr>
    </w:p>
    <w:p w14:paraId="06D49684">
      <w:pPr>
        <w:shd w:val="clear" w:color="auto" w:fill="auto"/>
        <w:jc w:val="center"/>
        <w:outlineLvl w:val="1"/>
        <w:rPr>
          <w:rFonts w:hint="eastAsia" w:ascii="宋体"/>
          <w:b/>
          <w:color w:val="auto"/>
          <w:sz w:val="28"/>
          <w:szCs w:val="28"/>
          <w:highlight w:val="none"/>
        </w:rPr>
      </w:pPr>
      <w:bookmarkStart w:id="107" w:name="_Toc14061"/>
      <w:r>
        <w:rPr>
          <w:rFonts w:hint="eastAsia" w:ascii="宋体"/>
          <w:b/>
          <w:color w:val="auto"/>
          <w:sz w:val="28"/>
          <w:szCs w:val="28"/>
          <w:highlight w:val="none"/>
        </w:rPr>
        <w:t>二  投标文件初审</w:t>
      </w:r>
      <w:bookmarkEnd w:id="104"/>
      <w:bookmarkEnd w:id="107"/>
    </w:p>
    <w:p w14:paraId="5C1F019E">
      <w:pPr>
        <w:pStyle w:val="10"/>
        <w:rPr>
          <w:rFonts w:hint="eastAsia"/>
          <w:color w:val="auto"/>
          <w:highlight w:val="none"/>
        </w:rPr>
      </w:pPr>
    </w:p>
    <w:p w14:paraId="54120D88">
      <w:pPr>
        <w:shd w:val="clear" w:color="auto" w:fill="auto"/>
        <w:spacing w:line="400" w:lineRule="exact"/>
        <w:ind w:firstLine="310" w:firstLineChars="147"/>
        <w:rPr>
          <w:rFonts w:hint="eastAsia" w:ascii="宋体"/>
          <w:b/>
          <w:color w:val="auto"/>
          <w:szCs w:val="21"/>
          <w:highlight w:val="none"/>
        </w:rPr>
      </w:pPr>
      <w:r>
        <w:rPr>
          <w:rFonts w:hint="eastAsia" w:ascii="宋体"/>
          <w:b/>
          <w:color w:val="auto"/>
          <w:szCs w:val="21"/>
          <w:highlight w:val="none"/>
          <w:lang w:val="en-US" w:eastAsia="zh-CN"/>
        </w:rPr>
        <w:t>6</w:t>
      </w:r>
      <w:r>
        <w:rPr>
          <w:rFonts w:hint="eastAsia" w:ascii="宋体"/>
          <w:b/>
          <w:color w:val="auto"/>
          <w:szCs w:val="21"/>
          <w:highlight w:val="none"/>
        </w:rPr>
        <w:t>.资格性审查:</w:t>
      </w:r>
    </w:p>
    <w:p w14:paraId="7D76861D">
      <w:pPr>
        <w:shd w:val="clear" w:color="auto" w:fill="auto"/>
        <w:spacing w:line="400" w:lineRule="exact"/>
        <w:ind w:firstLine="310" w:firstLineChars="147"/>
        <w:rPr>
          <w:rFonts w:hint="eastAsia"/>
          <w:color w:val="auto"/>
          <w:szCs w:val="21"/>
          <w:highlight w:val="none"/>
        </w:rPr>
      </w:pPr>
      <w:r>
        <w:rPr>
          <w:rFonts w:hint="eastAsia" w:ascii="宋体"/>
          <w:color w:val="auto"/>
          <w:szCs w:val="21"/>
          <w:highlight w:val="none"/>
          <w:lang w:val="en-US" w:eastAsia="zh-CN"/>
        </w:rPr>
        <w:t>6</w:t>
      </w:r>
      <w:r>
        <w:rPr>
          <w:rFonts w:hint="eastAsia" w:ascii="宋体"/>
          <w:color w:val="auto"/>
          <w:szCs w:val="21"/>
          <w:highlight w:val="none"/>
        </w:rPr>
        <w:t>.1</w:t>
      </w:r>
      <w:r>
        <w:rPr>
          <w:rFonts w:hint="eastAsia"/>
          <w:color w:val="auto"/>
          <w:szCs w:val="21"/>
          <w:highlight w:val="none"/>
        </w:rPr>
        <w:t>评审细则</w:t>
      </w:r>
    </w:p>
    <w:tbl>
      <w:tblPr>
        <w:tblStyle w:val="29"/>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410"/>
        <w:gridCol w:w="5542"/>
        <w:gridCol w:w="1305"/>
        <w:gridCol w:w="1196"/>
      </w:tblGrid>
      <w:tr w14:paraId="14B3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6" w:type="dxa"/>
            <w:vMerge w:val="restart"/>
            <w:vAlign w:val="center"/>
          </w:tcPr>
          <w:p w14:paraId="48E65AE2">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项目</w:t>
            </w:r>
          </w:p>
        </w:tc>
        <w:tc>
          <w:tcPr>
            <w:tcW w:w="5952" w:type="dxa"/>
            <w:gridSpan w:val="2"/>
            <w:vMerge w:val="restart"/>
            <w:vAlign w:val="center"/>
          </w:tcPr>
          <w:p w14:paraId="30193C01">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评审内容</w:t>
            </w:r>
          </w:p>
        </w:tc>
        <w:tc>
          <w:tcPr>
            <w:tcW w:w="2501" w:type="dxa"/>
            <w:gridSpan w:val="2"/>
            <w:vAlign w:val="center"/>
          </w:tcPr>
          <w:p w14:paraId="231C919E">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评审意见</w:t>
            </w:r>
          </w:p>
        </w:tc>
      </w:tr>
      <w:tr w14:paraId="7160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6" w:type="dxa"/>
            <w:vMerge w:val="continue"/>
            <w:vAlign w:val="center"/>
          </w:tcPr>
          <w:p w14:paraId="5FDE89FB">
            <w:pPr>
              <w:shd w:val="clear" w:color="auto" w:fill="auto"/>
              <w:rPr>
                <w:rFonts w:hint="eastAsia" w:ascii="宋体" w:hAnsi="宋体" w:eastAsia="宋体" w:cs="宋体"/>
                <w:bCs/>
                <w:color w:val="auto"/>
                <w:kern w:val="2"/>
                <w:sz w:val="21"/>
                <w:szCs w:val="21"/>
                <w:highlight w:val="none"/>
                <w:lang w:val="en-US" w:eastAsia="zh-CN" w:bidi="ar-SA"/>
              </w:rPr>
            </w:pPr>
          </w:p>
        </w:tc>
        <w:tc>
          <w:tcPr>
            <w:tcW w:w="5952" w:type="dxa"/>
            <w:gridSpan w:val="2"/>
            <w:vMerge w:val="continue"/>
            <w:vAlign w:val="top"/>
          </w:tcPr>
          <w:p w14:paraId="708179B5">
            <w:pPr>
              <w:shd w:val="clear" w:color="auto" w:fill="auto"/>
              <w:rPr>
                <w:rFonts w:hint="eastAsia" w:ascii="宋体" w:hAnsi="宋体" w:eastAsia="宋体" w:cs="宋体"/>
                <w:bCs/>
                <w:color w:val="auto"/>
                <w:kern w:val="2"/>
                <w:sz w:val="21"/>
                <w:szCs w:val="21"/>
                <w:highlight w:val="none"/>
                <w:lang w:val="en-US" w:eastAsia="zh-CN" w:bidi="ar-SA"/>
              </w:rPr>
            </w:pPr>
          </w:p>
        </w:tc>
        <w:tc>
          <w:tcPr>
            <w:tcW w:w="1305" w:type="dxa"/>
            <w:vAlign w:val="center"/>
          </w:tcPr>
          <w:p w14:paraId="0CDE51FA">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是否合格</w:t>
            </w:r>
          </w:p>
        </w:tc>
        <w:tc>
          <w:tcPr>
            <w:tcW w:w="1196" w:type="dxa"/>
            <w:vAlign w:val="center"/>
          </w:tcPr>
          <w:p w14:paraId="090C12E4">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是否合格</w:t>
            </w:r>
          </w:p>
        </w:tc>
      </w:tr>
      <w:tr w14:paraId="6D0A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86" w:type="dxa"/>
            <w:vMerge w:val="restart"/>
            <w:vAlign w:val="center"/>
          </w:tcPr>
          <w:p w14:paraId="664047CF">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审</w:t>
            </w:r>
          </w:p>
          <w:p w14:paraId="1E45A045">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查</w:t>
            </w:r>
          </w:p>
          <w:p w14:paraId="6D52BE1C">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标</w:t>
            </w:r>
          </w:p>
          <w:p w14:paraId="3376D287">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准</w:t>
            </w:r>
          </w:p>
          <w:p w14:paraId="6042E603">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(适</w:t>
            </w:r>
          </w:p>
          <w:p w14:paraId="1A8EE36D">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用</w:t>
            </w:r>
          </w:p>
          <w:p w14:paraId="2B42F2E1">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于</w:t>
            </w:r>
          </w:p>
          <w:p w14:paraId="08B9ACBC">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资</w:t>
            </w:r>
          </w:p>
          <w:p w14:paraId="36680E40">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格</w:t>
            </w:r>
          </w:p>
          <w:p w14:paraId="2853B78B">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后</w:t>
            </w:r>
          </w:p>
          <w:p w14:paraId="694857F1">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审)</w:t>
            </w:r>
          </w:p>
        </w:tc>
        <w:tc>
          <w:tcPr>
            <w:tcW w:w="410" w:type="dxa"/>
            <w:vAlign w:val="center"/>
          </w:tcPr>
          <w:p w14:paraId="41150C5E">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w:t>
            </w:r>
          </w:p>
        </w:tc>
        <w:tc>
          <w:tcPr>
            <w:tcW w:w="5542" w:type="dxa"/>
            <w:vAlign w:val="center"/>
          </w:tcPr>
          <w:p w14:paraId="23EDE023">
            <w:pPr>
              <w:tabs>
                <w:tab w:val="left" w:pos="720"/>
              </w:tabs>
              <w:spacing w:line="440" w:lineRule="exact"/>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具备三证合一营业执照副本</w:t>
            </w:r>
            <w:r>
              <w:rPr>
                <w:rFonts w:hint="eastAsia" w:ascii="宋体" w:hAnsi="宋体" w:cs="宋体"/>
                <w:bCs/>
                <w:color w:val="auto"/>
                <w:kern w:val="2"/>
                <w:sz w:val="21"/>
                <w:szCs w:val="21"/>
                <w:highlight w:val="none"/>
                <w:lang w:val="en-US" w:eastAsia="zh-CN" w:bidi="ar-SA"/>
              </w:rPr>
              <w:t>；</w:t>
            </w:r>
          </w:p>
        </w:tc>
        <w:tc>
          <w:tcPr>
            <w:tcW w:w="1305" w:type="dxa"/>
            <w:vAlign w:val="top"/>
          </w:tcPr>
          <w:p w14:paraId="7805C5F9">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61252F83">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46C0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886" w:type="dxa"/>
            <w:vMerge w:val="continue"/>
            <w:vAlign w:val="center"/>
          </w:tcPr>
          <w:p w14:paraId="5DBEA0BB">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7CE4F037">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w:t>
            </w:r>
          </w:p>
        </w:tc>
        <w:tc>
          <w:tcPr>
            <w:tcW w:w="5542" w:type="dxa"/>
            <w:vAlign w:val="center"/>
          </w:tcPr>
          <w:p w14:paraId="6BD91729">
            <w:pPr>
              <w:tabs>
                <w:tab w:val="left" w:pos="720"/>
              </w:tabs>
              <w:spacing w:line="440" w:lineRule="exact"/>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Cs w:val="21"/>
                <w:highlight w:val="none"/>
                <w:lang w:eastAsia="zh-CN"/>
              </w:rPr>
              <w:t>法定代表人投标需提供法定代表人资格证明书，委托代理人投标需提供法定代表人授权委托书；</w:t>
            </w:r>
          </w:p>
        </w:tc>
        <w:tc>
          <w:tcPr>
            <w:tcW w:w="1305" w:type="dxa"/>
            <w:vAlign w:val="top"/>
          </w:tcPr>
          <w:p w14:paraId="253C2B60">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187A4F99">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12E5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886" w:type="dxa"/>
            <w:vMerge w:val="continue"/>
            <w:vAlign w:val="center"/>
          </w:tcPr>
          <w:p w14:paraId="3231E614">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787121DE">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w:t>
            </w:r>
          </w:p>
        </w:tc>
        <w:tc>
          <w:tcPr>
            <w:tcW w:w="5542" w:type="dxa"/>
            <w:vAlign w:val="center"/>
          </w:tcPr>
          <w:p w14:paraId="0389C667">
            <w:pPr>
              <w:pStyle w:val="25"/>
              <w:keepNext w:val="0"/>
              <w:keepLines w:val="0"/>
              <w:pageBreakBefore w:val="0"/>
              <w:widowControl/>
              <w:suppressLineNumbers w:val="0"/>
              <w:kinsoku/>
              <w:wordWrap/>
              <w:overflowPunct/>
              <w:topLinePunct w:val="0"/>
              <w:autoSpaceDE/>
              <w:autoSpaceDN/>
              <w:bidi w:val="0"/>
              <w:adjustRightInd/>
              <w:snapToGrid/>
              <w:spacing w:before="256" w:beforeAutospacing="0" w:after="256" w:afterAutospacing="0" w:line="360" w:lineRule="auto"/>
              <w:ind w:left="0" w:right="0"/>
              <w:jc w:val="both"/>
              <w:textAlignment w:val="auto"/>
              <w:rPr>
                <w:rFonts w:hint="default" w:ascii="宋体" w:hAnsi="宋体" w:eastAsia="宋体" w:cs="宋体"/>
                <w:bCs/>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投标企业须提供投标人（被授权在职人员）近六个月内任意一个月社保证明；</w:t>
            </w:r>
          </w:p>
        </w:tc>
        <w:tc>
          <w:tcPr>
            <w:tcW w:w="1305" w:type="dxa"/>
            <w:vAlign w:val="top"/>
          </w:tcPr>
          <w:p w14:paraId="18541B03">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4C3BCACE">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119E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886" w:type="dxa"/>
            <w:vMerge w:val="continue"/>
            <w:vAlign w:val="center"/>
          </w:tcPr>
          <w:p w14:paraId="41C46313">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04C8F4E7">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default"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4</w:t>
            </w:r>
          </w:p>
        </w:tc>
        <w:tc>
          <w:tcPr>
            <w:tcW w:w="5542" w:type="dxa"/>
            <w:vAlign w:val="center"/>
          </w:tcPr>
          <w:p w14:paraId="3CD43F53">
            <w:pPr>
              <w:tabs>
                <w:tab w:val="left" w:pos="720"/>
              </w:tabs>
              <w:spacing w:line="440" w:lineRule="exact"/>
              <w:jc w:val="left"/>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投标保证金汇款凭证或保函等票据；</w:t>
            </w:r>
          </w:p>
        </w:tc>
        <w:tc>
          <w:tcPr>
            <w:tcW w:w="1305" w:type="dxa"/>
            <w:vAlign w:val="top"/>
          </w:tcPr>
          <w:p w14:paraId="3DC5EBB9">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2E95C9B3">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2AC0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886" w:type="dxa"/>
            <w:vMerge w:val="continue"/>
            <w:vAlign w:val="center"/>
          </w:tcPr>
          <w:p w14:paraId="12872694">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0EEDDA3A">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5</w:t>
            </w:r>
          </w:p>
        </w:tc>
        <w:tc>
          <w:tcPr>
            <w:tcW w:w="5542" w:type="dxa"/>
            <w:vAlign w:val="center"/>
          </w:tcPr>
          <w:p w14:paraId="1D32DF11">
            <w:pPr>
              <w:widowControl/>
              <w:shd w:val="clear" w:color="auto" w:fill="auto"/>
              <w:jc w:val="left"/>
              <w:textAlignment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参加政府采购活动前三年内，在经营活动中没有重大违法记录；未被“信用中国”（www.creditchina.gov.cn）及中国政府采购网 (www.ccgp.gov.cn）列入失信被执行人名单、重大税收违法失信主体、政府采购严重违法失信行为记录名单；</w:t>
            </w:r>
          </w:p>
        </w:tc>
        <w:tc>
          <w:tcPr>
            <w:tcW w:w="1305" w:type="dxa"/>
            <w:vAlign w:val="top"/>
          </w:tcPr>
          <w:p w14:paraId="7B197749">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49FEF1E1">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1161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886" w:type="dxa"/>
            <w:vMerge w:val="continue"/>
            <w:vAlign w:val="center"/>
          </w:tcPr>
          <w:p w14:paraId="5E0D5214">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685E4A87">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default" w:ascii="宋体" w:hAnsi="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6</w:t>
            </w:r>
          </w:p>
        </w:tc>
        <w:tc>
          <w:tcPr>
            <w:tcW w:w="5542" w:type="dxa"/>
            <w:vAlign w:val="center"/>
          </w:tcPr>
          <w:p w14:paraId="0140D962">
            <w:pPr>
              <w:widowControl/>
              <w:shd w:val="clear" w:color="auto" w:fill="auto"/>
              <w:jc w:val="left"/>
              <w:textAlignment w:val="center"/>
              <w:rPr>
                <w:rFonts w:hint="eastAsia" w:cs="Times New Roman"/>
                <w:color w:val="auto"/>
                <w:kern w:val="2"/>
                <w:sz w:val="21"/>
                <w:szCs w:val="24"/>
                <w:highlight w:val="none"/>
                <w:lang w:val="en-US" w:eastAsia="zh-CN" w:bidi="ar-SA"/>
              </w:rPr>
            </w:pPr>
            <w:r>
              <w:rPr>
                <w:rFonts w:hint="eastAsia"/>
                <w:color w:val="auto"/>
                <w:highlight w:val="none"/>
              </w:rPr>
              <w:t>供应商应为中小企业</w:t>
            </w:r>
          </w:p>
        </w:tc>
        <w:tc>
          <w:tcPr>
            <w:tcW w:w="2501" w:type="dxa"/>
            <w:gridSpan w:val="2"/>
            <w:vAlign w:val="top"/>
          </w:tcPr>
          <w:p w14:paraId="1ABF5EF2">
            <w:pPr>
              <w:widowControl/>
              <w:shd w:val="clear" w:color="auto" w:fill="auto"/>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Cs w:val="21"/>
                <w:highlight w:val="none"/>
              </w:rPr>
              <w:t>请根据要求单独上传《中小企业声明函》。格式以采购文件要求为准。</w:t>
            </w:r>
          </w:p>
        </w:tc>
      </w:tr>
      <w:tr w14:paraId="1490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886" w:type="dxa"/>
            <w:vMerge w:val="continue"/>
            <w:vAlign w:val="center"/>
          </w:tcPr>
          <w:p w14:paraId="4BC322A0">
            <w:pPr>
              <w:shd w:val="clear" w:color="auto" w:fill="auto"/>
              <w:jc w:val="center"/>
              <w:rPr>
                <w:rFonts w:hint="eastAsia" w:ascii="宋体" w:hAnsi="宋体" w:eastAsia="宋体" w:cs="宋体"/>
                <w:bCs/>
                <w:color w:val="auto"/>
                <w:kern w:val="2"/>
                <w:sz w:val="21"/>
                <w:szCs w:val="21"/>
                <w:highlight w:val="none"/>
                <w:lang w:val="en-US" w:eastAsia="zh-CN" w:bidi="ar-SA"/>
              </w:rPr>
            </w:pPr>
          </w:p>
        </w:tc>
        <w:tc>
          <w:tcPr>
            <w:tcW w:w="8453" w:type="dxa"/>
            <w:gridSpan w:val="4"/>
            <w:vAlign w:val="center"/>
          </w:tcPr>
          <w:p w14:paraId="40C13DE3">
            <w:pPr>
              <w:shd w:val="clear" w:color="auto" w:fill="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评审结果“√”表示合格；“×”表示不合格，一项不合格结果为不合格，如不合格，请在结果中写明原因。</w:t>
            </w:r>
          </w:p>
        </w:tc>
      </w:tr>
    </w:tbl>
    <w:p w14:paraId="5E17D151">
      <w:pPr>
        <w:shd w:val="clear" w:color="auto" w:fill="auto"/>
        <w:spacing w:before="156" w:beforeLines="50" w:line="440" w:lineRule="exact"/>
        <w:ind w:firstLine="212" w:firstLineChars="100"/>
        <w:rPr>
          <w:rFonts w:hint="eastAsia" w:ascii="宋体" w:hAnsi="宋体"/>
          <w:b/>
          <w:color w:val="auto"/>
          <w:szCs w:val="21"/>
          <w:highlight w:val="none"/>
        </w:rPr>
      </w:pPr>
      <w:r>
        <w:rPr>
          <w:rFonts w:hint="eastAsia" w:ascii="宋体" w:hAnsi="宋体"/>
          <w:b/>
          <w:color w:val="auto"/>
          <w:szCs w:val="21"/>
          <w:highlight w:val="none"/>
          <w:lang w:val="en-US" w:eastAsia="zh-CN"/>
        </w:rPr>
        <w:t>6</w:t>
      </w:r>
      <w:r>
        <w:rPr>
          <w:rFonts w:hint="eastAsia" w:ascii="宋体" w:hAnsi="宋体"/>
          <w:b/>
          <w:color w:val="auto"/>
          <w:szCs w:val="21"/>
          <w:highlight w:val="none"/>
        </w:rPr>
        <w:t>.2如评标专家在检验电子标书过程中，如果由于投标人自身原因导致评标专家无法查看并检验电子标书中以上相关资料的，否决其投标。即使投标单位将原件携带至现场的，同样按无效投标处理。</w:t>
      </w:r>
    </w:p>
    <w:p w14:paraId="7D3C04F1">
      <w:pPr>
        <w:shd w:val="clear" w:color="auto" w:fill="auto"/>
        <w:spacing w:before="156" w:beforeLines="50" w:line="440" w:lineRule="exact"/>
        <w:ind w:firstLine="212" w:firstLineChars="100"/>
        <w:rPr>
          <w:rFonts w:hint="eastAsia" w:ascii="宋体"/>
          <w:b/>
          <w:color w:val="auto"/>
          <w:szCs w:val="21"/>
          <w:highlight w:val="none"/>
          <w:lang w:val="en-US" w:eastAsia="zh-CN"/>
        </w:rPr>
      </w:pPr>
    </w:p>
    <w:p w14:paraId="091B316E">
      <w:pPr>
        <w:shd w:val="clear" w:color="auto" w:fill="auto"/>
        <w:spacing w:before="156" w:beforeLines="50" w:line="440" w:lineRule="exact"/>
        <w:ind w:firstLine="212" w:firstLineChars="100"/>
        <w:rPr>
          <w:rFonts w:hint="eastAsia" w:ascii="宋体"/>
          <w:b/>
          <w:color w:val="auto"/>
          <w:szCs w:val="21"/>
          <w:highlight w:val="none"/>
          <w:lang w:val="en-US" w:eastAsia="zh-CN"/>
        </w:rPr>
      </w:pPr>
    </w:p>
    <w:p w14:paraId="48CC9D78">
      <w:pPr>
        <w:shd w:val="clear" w:color="auto" w:fill="auto"/>
        <w:spacing w:before="156" w:beforeLines="50" w:line="440" w:lineRule="exact"/>
        <w:rPr>
          <w:rFonts w:hint="eastAsia" w:ascii="宋体"/>
          <w:b/>
          <w:color w:val="auto"/>
          <w:szCs w:val="21"/>
          <w:highlight w:val="none"/>
          <w:lang w:val="en-US" w:eastAsia="zh-CN"/>
        </w:rPr>
      </w:pPr>
    </w:p>
    <w:p w14:paraId="4E08EC79">
      <w:pPr>
        <w:shd w:val="clear" w:color="auto" w:fill="auto"/>
        <w:spacing w:before="156" w:beforeLines="50" w:line="440" w:lineRule="exact"/>
        <w:ind w:firstLine="212" w:firstLineChars="100"/>
        <w:rPr>
          <w:rFonts w:hint="eastAsia" w:ascii="宋体"/>
          <w:b/>
          <w:color w:val="auto"/>
          <w:szCs w:val="21"/>
          <w:highlight w:val="none"/>
        </w:rPr>
      </w:pPr>
      <w:r>
        <w:rPr>
          <w:rFonts w:hint="eastAsia" w:ascii="宋体"/>
          <w:b/>
          <w:color w:val="auto"/>
          <w:szCs w:val="21"/>
          <w:highlight w:val="none"/>
          <w:lang w:val="en-US" w:eastAsia="zh-CN"/>
        </w:rPr>
        <w:t>7</w:t>
      </w:r>
      <w:r>
        <w:rPr>
          <w:rFonts w:hint="eastAsia" w:ascii="宋体"/>
          <w:b/>
          <w:color w:val="auto"/>
          <w:szCs w:val="21"/>
          <w:highlight w:val="none"/>
        </w:rPr>
        <w:t>.符合性审查</w:t>
      </w:r>
    </w:p>
    <w:p w14:paraId="518C46CB">
      <w:pPr>
        <w:shd w:val="clear" w:color="auto" w:fill="auto"/>
        <w:spacing w:line="440" w:lineRule="exact"/>
        <w:ind w:firstLine="318" w:firstLineChars="150"/>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．1评审细则</w:t>
      </w:r>
    </w:p>
    <w:tbl>
      <w:tblPr>
        <w:tblStyle w:val="29"/>
        <w:tblpPr w:leftFromText="180" w:rightFromText="180" w:vertAnchor="text" w:horzAnchor="page" w:tblpX="1293" w:tblpY="544"/>
        <w:tblW w:w="94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2"/>
        <w:gridCol w:w="495"/>
        <w:gridCol w:w="6579"/>
        <w:gridCol w:w="753"/>
        <w:gridCol w:w="749"/>
      </w:tblGrid>
      <w:tr w14:paraId="2DF59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trPr>
        <w:tc>
          <w:tcPr>
            <w:tcW w:w="922" w:type="dxa"/>
            <w:tcBorders>
              <w:top w:val="single" w:color="auto" w:sz="4" w:space="0"/>
              <w:left w:val="single" w:color="auto" w:sz="4" w:space="0"/>
            </w:tcBorders>
            <w:vAlign w:val="center"/>
          </w:tcPr>
          <w:p w14:paraId="22925304">
            <w:pPr>
              <w:jc w:val="center"/>
              <w:rPr>
                <w:rFonts w:hint="eastAsia" w:ascii="宋体" w:hAnsi="宋体" w:cs="宋体"/>
                <w:b/>
                <w:color w:val="auto"/>
                <w:sz w:val="24"/>
                <w:highlight w:val="none"/>
              </w:rPr>
            </w:pPr>
            <w:r>
              <w:rPr>
                <w:rFonts w:hint="eastAsia" w:ascii="宋体" w:hAnsi="宋体" w:cs="宋体"/>
                <w:b/>
                <w:color w:val="auto"/>
                <w:sz w:val="24"/>
                <w:highlight w:val="none"/>
              </w:rPr>
              <w:t>项目</w:t>
            </w:r>
          </w:p>
        </w:tc>
        <w:tc>
          <w:tcPr>
            <w:tcW w:w="7074" w:type="dxa"/>
            <w:gridSpan w:val="2"/>
            <w:tcBorders>
              <w:top w:val="single" w:color="auto" w:sz="4" w:space="0"/>
            </w:tcBorders>
            <w:vAlign w:val="center"/>
          </w:tcPr>
          <w:p w14:paraId="3812E03F">
            <w:pPr>
              <w:jc w:val="center"/>
              <w:rPr>
                <w:rFonts w:hint="eastAsia" w:ascii="宋体" w:hAnsi="宋体" w:cs="宋体"/>
                <w:b/>
                <w:color w:val="auto"/>
                <w:sz w:val="24"/>
                <w:highlight w:val="none"/>
              </w:rPr>
            </w:pPr>
            <w:r>
              <w:rPr>
                <w:rFonts w:hint="eastAsia" w:ascii="宋体" w:hAnsi="宋体" w:cs="宋体"/>
                <w:b/>
                <w:color w:val="auto"/>
                <w:sz w:val="24"/>
                <w:highlight w:val="none"/>
              </w:rPr>
              <w:t>评审内容</w:t>
            </w:r>
          </w:p>
        </w:tc>
        <w:tc>
          <w:tcPr>
            <w:tcW w:w="1502" w:type="dxa"/>
            <w:gridSpan w:val="2"/>
            <w:tcBorders>
              <w:top w:val="single" w:color="auto" w:sz="4" w:space="0"/>
              <w:right w:val="single" w:color="auto" w:sz="4" w:space="0"/>
            </w:tcBorders>
            <w:vAlign w:val="center"/>
          </w:tcPr>
          <w:p w14:paraId="347C98D3">
            <w:pPr>
              <w:jc w:val="center"/>
              <w:rPr>
                <w:rFonts w:hint="eastAsia" w:ascii="宋体" w:hAnsi="宋体" w:cs="宋体"/>
                <w:b/>
                <w:color w:val="auto"/>
                <w:sz w:val="24"/>
                <w:highlight w:val="none"/>
              </w:rPr>
            </w:pPr>
            <w:r>
              <w:rPr>
                <w:rFonts w:hint="eastAsia" w:ascii="宋体" w:hAnsi="宋体" w:cs="宋体"/>
                <w:b/>
                <w:color w:val="auto"/>
                <w:sz w:val="24"/>
                <w:highlight w:val="none"/>
              </w:rPr>
              <w:t>评审意见</w:t>
            </w:r>
          </w:p>
        </w:tc>
      </w:tr>
      <w:tr w14:paraId="23230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22" w:type="dxa"/>
            <w:tcBorders>
              <w:left w:val="single" w:color="auto" w:sz="4" w:space="0"/>
              <w:bottom w:val="single" w:color="auto" w:sz="4" w:space="0"/>
            </w:tcBorders>
            <w:vAlign w:val="center"/>
          </w:tcPr>
          <w:p w14:paraId="551E9004">
            <w:pPr>
              <w:rPr>
                <w:rFonts w:hint="eastAsia" w:ascii="宋体" w:hAnsi="宋体" w:cs="宋体"/>
                <w:color w:val="auto"/>
                <w:highlight w:val="none"/>
              </w:rPr>
            </w:pPr>
          </w:p>
        </w:tc>
        <w:tc>
          <w:tcPr>
            <w:tcW w:w="7074" w:type="dxa"/>
            <w:gridSpan w:val="2"/>
            <w:tcBorders>
              <w:bottom w:val="single" w:color="auto" w:sz="4" w:space="0"/>
            </w:tcBorders>
            <w:vAlign w:val="top"/>
          </w:tcPr>
          <w:p w14:paraId="243B09D4">
            <w:pPr>
              <w:rPr>
                <w:rFonts w:hint="eastAsia" w:ascii="宋体" w:hAnsi="宋体" w:cs="宋体"/>
                <w:color w:val="auto"/>
                <w:highlight w:val="none"/>
              </w:rPr>
            </w:pPr>
          </w:p>
        </w:tc>
        <w:tc>
          <w:tcPr>
            <w:tcW w:w="753" w:type="dxa"/>
            <w:vAlign w:val="center"/>
          </w:tcPr>
          <w:p w14:paraId="75382AB4">
            <w:pPr>
              <w:jc w:val="center"/>
              <w:rPr>
                <w:rFonts w:hint="eastAsia" w:ascii="宋体" w:hAnsi="宋体" w:cs="宋体"/>
                <w:b/>
                <w:color w:val="auto"/>
                <w:sz w:val="24"/>
                <w:highlight w:val="none"/>
              </w:rPr>
            </w:pPr>
            <w:r>
              <w:rPr>
                <w:rFonts w:hint="eastAsia" w:ascii="宋体" w:hAnsi="宋体" w:cs="宋体"/>
                <w:color w:val="auto"/>
                <w:spacing w:val="-2"/>
                <w:szCs w:val="21"/>
                <w:highlight w:val="none"/>
              </w:rPr>
              <w:t>√</w:t>
            </w:r>
          </w:p>
        </w:tc>
        <w:tc>
          <w:tcPr>
            <w:tcW w:w="749" w:type="dxa"/>
            <w:tcBorders>
              <w:right w:val="single" w:color="auto" w:sz="4" w:space="0"/>
            </w:tcBorders>
            <w:vAlign w:val="center"/>
          </w:tcPr>
          <w:p w14:paraId="6312EB38">
            <w:pPr>
              <w:ind w:firstLine="208" w:firstLineChars="100"/>
              <w:rPr>
                <w:rFonts w:hint="eastAsia" w:ascii="宋体" w:hAnsi="宋体" w:cs="宋体"/>
                <w:b/>
                <w:color w:val="auto"/>
                <w:sz w:val="24"/>
                <w:highlight w:val="none"/>
              </w:rPr>
            </w:pPr>
            <w:r>
              <w:rPr>
                <w:rFonts w:hint="eastAsia" w:ascii="宋体" w:hAnsi="宋体" w:cs="宋体"/>
                <w:color w:val="auto"/>
                <w:spacing w:val="-2"/>
                <w:szCs w:val="21"/>
                <w:highlight w:val="none"/>
              </w:rPr>
              <w:t>×</w:t>
            </w:r>
          </w:p>
        </w:tc>
      </w:tr>
      <w:tr w14:paraId="6913C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922" w:type="dxa"/>
            <w:vMerge w:val="restart"/>
            <w:tcBorders>
              <w:top w:val="single" w:color="auto" w:sz="4" w:space="0"/>
              <w:left w:val="single" w:color="auto" w:sz="4" w:space="0"/>
              <w:right w:val="single" w:color="auto" w:sz="4" w:space="0"/>
            </w:tcBorders>
            <w:vAlign w:val="center"/>
          </w:tcPr>
          <w:p w14:paraId="222B157A">
            <w:pPr>
              <w:jc w:val="center"/>
              <w:rPr>
                <w:rFonts w:hint="eastAsia" w:ascii="宋体" w:hAnsi="宋体" w:cs="宋体"/>
                <w:color w:val="auto"/>
                <w:szCs w:val="21"/>
                <w:highlight w:val="none"/>
              </w:rPr>
            </w:pPr>
            <w:r>
              <w:rPr>
                <w:rFonts w:hint="eastAsia" w:ascii="宋体" w:hAnsi="宋体" w:cs="宋体"/>
                <w:color w:val="auto"/>
                <w:szCs w:val="21"/>
                <w:highlight w:val="none"/>
              </w:rPr>
              <w:t>审</w:t>
            </w:r>
          </w:p>
          <w:p w14:paraId="12662529">
            <w:pPr>
              <w:jc w:val="center"/>
              <w:rPr>
                <w:rFonts w:hint="eastAsia" w:ascii="宋体" w:hAnsi="宋体" w:cs="宋体"/>
                <w:color w:val="auto"/>
                <w:szCs w:val="21"/>
                <w:highlight w:val="none"/>
              </w:rPr>
            </w:pPr>
            <w:r>
              <w:rPr>
                <w:rFonts w:hint="eastAsia" w:ascii="宋体" w:hAnsi="宋体" w:cs="宋体"/>
                <w:color w:val="auto"/>
                <w:szCs w:val="21"/>
                <w:highlight w:val="none"/>
              </w:rPr>
              <w:t>查</w:t>
            </w:r>
          </w:p>
          <w:p w14:paraId="34FBB54C">
            <w:pPr>
              <w:jc w:val="center"/>
              <w:rPr>
                <w:rFonts w:hint="eastAsia" w:ascii="宋体" w:hAnsi="宋体" w:cs="宋体"/>
                <w:color w:val="auto"/>
                <w:szCs w:val="21"/>
                <w:highlight w:val="none"/>
              </w:rPr>
            </w:pPr>
            <w:r>
              <w:rPr>
                <w:rFonts w:hint="eastAsia" w:ascii="宋体" w:hAnsi="宋体" w:cs="宋体"/>
                <w:color w:val="auto"/>
                <w:szCs w:val="21"/>
                <w:highlight w:val="none"/>
              </w:rPr>
              <w:t>标</w:t>
            </w:r>
          </w:p>
          <w:p w14:paraId="7B694B59">
            <w:pPr>
              <w:jc w:val="center"/>
              <w:rPr>
                <w:rFonts w:hint="eastAsia" w:ascii="宋体" w:hAnsi="宋体" w:cs="宋体"/>
                <w:color w:val="auto"/>
                <w:szCs w:val="21"/>
                <w:highlight w:val="none"/>
              </w:rPr>
            </w:pPr>
            <w:r>
              <w:rPr>
                <w:rFonts w:hint="eastAsia" w:ascii="宋体" w:hAnsi="宋体" w:cs="宋体"/>
                <w:color w:val="auto"/>
                <w:szCs w:val="21"/>
                <w:highlight w:val="none"/>
              </w:rPr>
              <w:t>准</w:t>
            </w:r>
          </w:p>
        </w:tc>
        <w:tc>
          <w:tcPr>
            <w:tcW w:w="495" w:type="dxa"/>
            <w:tcBorders>
              <w:top w:val="single" w:color="auto" w:sz="4" w:space="0"/>
              <w:left w:val="single" w:color="auto" w:sz="4" w:space="0"/>
              <w:right w:val="single" w:color="auto" w:sz="4" w:space="0"/>
            </w:tcBorders>
            <w:vAlign w:val="center"/>
          </w:tcPr>
          <w:p w14:paraId="23396938">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1</w:t>
            </w:r>
          </w:p>
        </w:tc>
        <w:tc>
          <w:tcPr>
            <w:tcW w:w="6579" w:type="dxa"/>
            <w:tcBorders>
              <w:top w:val="single" w:color="auto" w:sz="4" w:space="0"/>
              <w:left w:val="single" w:color="auto" w:sz="4" w:space="0"/>
              <w:right w:val="single" w:color="auto" w:sz="4" w:space="0"/>
            </w:tcBorders>
            <w:vAlign w:val="center"/>
          </w:tcPr>
          <w:p w14:paraId="0E631D61">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由政府立项核准、审批的采购项目, 报价</w:t>
            </w:r>
            <w:r>
              <w:rPr>
                <w:rFonts w:hint="eastAsia" w:ascii="宋体" w:hAnsi="Times New Roman" w:eastAsia="宋体" w:cs="Times New Roman"/>
                <w:color w:val="auto"/>
                <w:szCs w:val="21"/>
                <w:highlight w:val="none"/>
                <w:lang w:val="en-US" w:eastAsia="zh-CN"/>
              </w:rPr>
              <w:t>未</w:t>
            </w:r>
            <w:r>
              <w:rPr>
                <w:rFonts w:hint="eastAsia" w:ascii="宋体" w:hAnsi="Times New Roman" w:eastAsia="宋体" w:cs="Times New Roman"/>
                <w:color w:val="auto"/>
                <w:szCs w:val="21"/>
                <w:highlight w:val="none"/>
              </w:rPr>
              <w:t>高于设定的采购</w:t>
            </w:r>
            <w:r>
              <w:rPr>
                <w:rFonts w:hint="eastAsia" w:ascii="宋体" w:cs="Times New Roman"/>
                <w:color w:val="auto"/>
                <w:szCs w:val="21"/>
                <w:highlight w:val="none"/>
                <w:lang w:val="en-US" w:eastAsia="zh-CN"/>
              </w:rPr>
              <w:t>最高限价</w:t>
            </w:r>
            <w:r>
              <w:rPr>
                <w:rFonts w:hint="eastAsia" w:ascii="宋体" w:hAnsi="Times New Roman" w:eastAsia="宋体" w:cs="Times New Roman"/>
                <w:color w:val="auto"/>
                <w:szCs w:val="21"/>
                <w:highlight w:val="none"/>
              </w:rPr>
              <w:t>的；</w:t>
            </w:r>
          </w:p>
        </w:tc>
        <w:tc>
          <w:tcPr>
            <w:tcW w:w="753" w:type="dxa"/>
            <w:tcBorders>
              <w:left w:val="single" w:color="auto" w:sz="4" w:space="0"/>
              <w:right w:val="single" w:color="auto" w:sz="4" w:space="0"/>
            </w:tcBorders>
            <w:vAlign w:val="top"/>
          </w:tcPr>
          <w:p w14:paraId="0C0B0FD5">
            <w:pPr>
              <w:jc w:val="center"/>
              <w:rPr>
                <w:rFonts w:hint="eastAsia" w:ascii="宋体" w:hAnsi="宋体" w:cs="宋体"/>
                <w:b/>
                <w:color w:val="auto"/>
                <w:szCs w:val="21"/>
                <w:highlight w:val="none"/>
              </w:rPr>
            </w:pPr>
          </w:p>
        </w:tc>
        <w:tc>
          <w:tcPr>
            <w:tcW w:w="749" w:type="dxa"/>
            <w:tcBorders>
              <w:left w:val="single" w:color="auto" w:sz="4" w:space="0"/>
              <w:right w:val="single" w:color="auto" w:sz="4" w:space="0"/>
            </w:tcBorders>
            <w:vAlign w:val="top"/>
          </w:tcPr>
          <w:p w14:paraId="421DF06C">
            <w:pPr>
              <w:jc w:val="center"/>
              <w:rPr>
                <w:rFonts w:hint="eastAsia" w:ascii="宋体" w:hAnsi="宋体" w:cs="宋体"/>
                <w:b/>
                <w:color w:val="auto"/>
                <w:szCs w:val="21"/>
                <w:highlight w:val="none"/>
              </w:rPr>
            </w:pPr>
          </w:p>
        </w:tc>
      </w:tr>
      <w:tr w14:paraId="38FFE3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922" w:type="dxa"/>
            <w:vMerge w:val="continue"/>
            <w:tcBorders>
              <w:left w:val="single" w:color="auto" w:sz="4" w:space="0"/>
              <w:right w:val="single" w:color="auto" w:sz="4" w:space="0"/>
            </w:tcBorders>
            <w:vAlign w:val="center"/>
          </w:tcPr>
          <w:p w14:paraId="51467CED">
            <w:pPr>
              <w:rPr>
                <w:rFonts w:hint="eastAsia" w:ascii="宋体" w:hAnsi="宋体" w:cs="宋体"/>
                <w:color w:val="auto"/>
                <w:highlight w:val="none"/>
              </w:rPr>
            </w:pPr>
          </w:p>
        </w:tc>
        <w:tc>
          <w:tcPr>
            <w:tcW w:w="495" w:type="dxa"/>
            <w:tcBorders>
              <w:top w:val="single" w:color="auto" w:sz="4" w:space="0"/>
              <w:left w:val="single" w:color="auto" w:sz="4" w:space="0"/>
              <w:bottom w:val="single" w:color="auto" w:sz="4" w:space="0"/>
              <w:right w:val="single" w:color="auto" w:sz="4" w:space="0"/>
            </w:tcBorders>
            <w:vAlign w:val="center"/>
          </w:tcPr>
          <w:p w14:paraId="029CCE5A">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2</w:t>
            </w:r>
          </w:p>
        </w:tc>
        <w:tc>
          <w:tcPr>
            <w:tcW w:w="6579" w:type="dxa"/>
            <w:tcBorders>
              <w:top w:val="single" w:color="auto" w:sz="4" w:space="0"/>
              <w:left w:val="single" w:color="auto" w:sz="4" w:space="0"/>
              <w:bottom w:val="single" w:color="auto" w:sz="4" w:space="0"/>
              <w:right w:val="single" w:color="auto" w:sz="4" w:space="0"/>
            </w:tcBorders>
            <w:vAlign w:val="center"/>
          </w:tcPr>
          <w:p w14:paraId="662F2CC8">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法定代表人身份证明及授权委托书有效，且符合招标文件规定的格式。</w:t>
            </w:r>
          </w:p>
        </w:tc>
        <w:tc>
          <w:tcPr>
            <w:tcW w:w="753" w:type="dxa"/>
            <w:tcBorders>
              <w:left w:val="single" w:color="auto" w:sz="4" w:space="0"/>
            </w:tcBorders>
            <w:vAlign w:val="top"/>
          </w:tcPr>
          <w:p w14:paraId="5D10528E">
            <w:pPr>
              <w:rPr>
                <w:rFonts w:hint="eastAsia" w:ascii="宋体" w:hAnsi="宋体" w:cs="宋体"/>
                <w:color w:val="auto"/>
                <w:szCs w:val="21"/>
                <w:highlight w:val="none"/>
              </w:rPr>
            </w:pPr>
          </w:p>
        </w:tc>
        <w:tc>
          <w:tcPr>
            <w:tcW w:w="749" w:type="dxa"/>
            <w:tcBorders>
              <w:right w:val="single" w:color="auto" w:sz="4" w:space="0"/>
            </w:tcBorders>
            <w:vAlign w:val="top"/>
          </w:tcPr>
          <w:p w14:paraId="425DB1CD">
            <w:pPr>
              <w:rPr>
                <w:rFonts w:hint="eastAsia" w:ascii="宋体" w:hAnsi="宋体" w:cs="宋体"/>
                <w:color w:val="auto"/>
                <w:szCs w:val="21"/>
                <w:highlight w:val="none"/>
              </w:rPr>
            </w:pPr>
          </w:p>
        </w:tc>
      </w:tr>
      <w:tr w14:paraId="59DDAC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922" w:type="dxa"/>
            <w:vMerge w:val="continue"/>
            <w:tcBorders>
              <w:left w:val="single" w:color="auto" w:sz="4" w:space="0"/>
              <w:right w:val="single" w:color="auto" w:sz="4" w:space="0"/>
            </w:tcBorders>
            <w:vAlign w:val="center"/>
          </w:tcPr>
          <w:p w14:paraId="5FEE989C">
            <w:pPr>
              <w:rPr>
                <w:rFonts w:hint="eastAsia" w:ascii="宋体" w:hAnsi="宋体" w:cs="宋体"/>
                <w:color w:val="auto"/>
                <w:highlight w:val="none"/>
              </w:rPr>
            </w:pPr>
          </w:p>
        </w:tc>
        <w:tc>
          <w:tcPr>
            <w:tcW w:w="495" w:type="dxa"/>
            <w:tcBorders>
              <w:top w:val="single" w:color="auto" w:sz="4" w:space="0"/>
              <w:left w:val="single" w:color="auto" w:sz="4" w:space="0"/>
              <w:right w:val="single" w:color="auto" w:sz="4" w:space="0"/>
            </w:tcBorders>
            <w:vAlign w:val="center"/>
          </w:tcPr>
          <w:p w14:paraId="37FF1C78">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3</w:t>
            </w:r>
          </w:p>
        </w:tc>
        <w:tc>
          <w:tcPr>
            <w:tcW w:w="6579" w:type="dxa"/>
            <w:tcBorders>
              <w:top w:val="single" w:color="auto" w:sz="4" w:space="0"/>
              <w:left w:val="single" w:color="auto" w:sz="4" w:space="0"/>
              <w:right w:val="single" w:color="auto" w:sz="4" w:space="0"/>
            </w:tcBorders>
            <w:vAlign w:val="center"/>
          </w:tcPr>
          <w:p w14:paraId="6C3E95BF">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只有一个方案投标。</w:t>
            </w:r>
          </w:p>
        </w:tc>
        <w:tc>
          <w:tcPr>
            <w:tcW w:w="753" w:type="dxa"/>
            <w:tcBorders>
              <w:left w:val="single" w:color="auto" w:sz="4" w:space="0"/>
            </w:tcBorders>
            <w:vAlign w:val="top"/>
          </w:tcPr>
          <w:p w14:paraId="2D0E57FA">
            <w:pPr>
              <w:rPr>
                <w:rFonts w:hint="eastAsia" w:ascii="宋体" w:hAnsi="宋体" w:cs="宋体"/>
                <w:color w:val="auto"/>
                <w:szCs w:val="21"/>
                <w:highlight w:val="none"/>
              </w:rPr>
            </w:pPr>
          </w:p>
        </w:tc>
        <w:tc>
          <w:tcPr>
            <w:tcW w:w="749" w:type="dxa"/>
            <w:tcBorders>
              <w:right w:val="single" w:color="auto" w:sz="4" w:space="0"/>
            </w:tcBorders>
            <w:vAlign w:val="top"/>
          </w:tcPr>
          <w:p w14:paraId="1322E435">
            <w:pPr>
              <w:rPr>
                <w:rFonts w:hint="eastAsia" w:ascii="宋体" w:hAnsi="宋体" w:cs="宋体"/>
                <w:color w:val="auto"/>
                <w:szCs w:val="21"/>
                <w:highlight w:val="none"/>
              </w:rPr>
            </w:pPr>
          </w:p>
        </w:tc>
      </w:tr>
      <w:tr w14:paraId="0738C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922" w:type="dxa"/>
            <w:vMerge w:val="continue"/>
            <w:tcBorders>
              <w:left w:val="single" w:color="auto" w:sz="4" w:space="0"/>
              <w:right w:val="single" w:color="auto" w:sz="4" w:space="0"/>
            </w:tcBorders>
            <w:vAlign w:val="center"/>
          </w:tcPr>
          <w:p w14:paraId="23DA524D">
            <w:pPr>
              <w:rPr>
                <w:rFonts w:hint="eastAsia" w:ascii="宋体" w:hAnsi="宋体" w:cs="宋体"/>
                <w:color w:val="auto"/>
                <w:highlight w:val="none"/>
              </w:rPr>
            </w:pPr>
          </w:p>
        </w:tc>
        <w:tc>
          <w:tcPr>
            <w:tcW w:w="495" w:type="dxa"/>
            <w:tcBorders>
              <w:left w:val="single" w:color="auto" w:sz="4" w:space="0"/>
            </w:tcBorders>
            <w:vAlign w:val="center"/>
          </w:tcPr>
          <w:p w14:paraId="3CA2DCF1">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4</w:t>
            </w:r>
          </w:p>
        </w:tc>
        <w:tc>
          <w:tcPr>
            <w:tcW w:w="6579" w:type="dxa"/>
            <w:tcBorders>
              <w:right w:val="single" w:color="auto" w:sz="4" w:space="0"/>
            </w:tcBorders>
            <w:vAlign w:val="center"/>
          </w:tcPr>
          <w:p w14:paraId="39D20A3D">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投标文件内容齐全、无遗漏。</w:t>
            </w:r>
          </w:p>
        </w:tc>
        <w:tc>
          <w:tcPr>
            <w:tcW w:w="753" w:type="dxa"/>
            <w:tcBorders>
              <w:left w:val="single" w:color="auto" w:sz="4" w:space="0"/>
            </w:tcBorders>
            <w:vAlign w:val="top"/>
          </w:tcPr>
          <w:p w14:paraId="6DACD687">
            <w:pPr>
              <w:rPr>
                <w:rFonts w:hint="eastAsia" w:ascii="宋体" w:hAnsi="宋体" w:cs="宋体"/>
                <w:color w:val="auto"/>
                <w:szCs w:val="21"/>
                <w:highlight w:val="none"/>
              </w:rPr>
            </w:pPr>
          </w:p>
        </w:tc>
        <w:tc>
          <w:tcPr>
            <w:tcW w:w="749" w:type="dxa"/>
            <w:tcBorders>
              <w:right w:val="single" w:color="auto" w:sz="4" w:space="0"/>
            </w:tcBorders>
            <w:vAlign w:val="top"/>
          </w:tcPr>
          <w:p w14:paraId="52250DFE">
            <w:pPr>
              <w:rPr>
                <w:rFonts w:hint="eastAsia" w:ascii="宋体" w:hAnsi="宋体" w:cs="宋体"/>
                <w:color w:val="auto"/>
                <w:szCs w:val="21"/>
                <w:highlight w:val="none"/>
              </w:rPr>
            </w:pPr>
          </w:p>
        </w:tc>
      </w:tr>
      <w:tr w14:paraId="5E296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6" w:hRule="atLeast"/>
        </w:trPr>
        <w:tc>
          <w:tcPr>
            <w:tcW w:w="922" w:type="dxa"/>
            <w:vMerge w:val="continue"/>
            <w:tcBorders>
              <w:left w:val="single" w:color="auto" w:sz="4" w:space="0"/>
              <w:right w:val="single" w:color="auto" w:sz="4" w:space="0"/>
            </w:tcBorders>
            <w:vAlign w:val="center"/>
          </w:tcPr>
          <w:p w14:paraId="22295A71">
            <w:pPr>
              <w:rPr>
                <w:rFonts w:hint="eastAsia" w:ascii="宋体" w:hAnsi="宋体" w:cs="宋体"/>
                <w:color w:val="auto"/>
                <w:highlight w:val="none"/>
              </w:rPr>
            </w:pPr>
          </w:p>
        </w:tc>
        <w:tc>
          <w:tcPr>
            <w:tcW w:w="495" w:type="dxa"/>
            <w:tcBorders>
              <w:left w:val="single" w:color="auto" w:sz="4" w:space="0"/>
              <w:bottom w:val="single" w:color="auto" w:sz="4" w:space="0"/>
            </w:tcBorders>
            <w:vAlign w:val="center"/>
          </w:tcPr>
          <w:p w14:paraId="46C2A2B1">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5</w:t>
            </w:r>
          </w:p>
        </w:tc>
        <w:tc>
          <w:tcPr>
            <w:tcW w:w="6579" w:type="dxa"/>
            <w:tcBorders>
              <w:bottom w:val="single" w:color="auto" w:sz="4" w:space="0"/>
              <w:right w:val="single" w:color="auto" w:sz="4" w:space="0"/>
            </w:tcBorders>
            <w:vAlign w:val="center"/>
          </w:tcPr>
          <w:p w14:paraId="08D0D563">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对招标文件规定的招标内容全部作出响应。</w:t>
            </w:r>
          </w:p>
        </w:tc>
        <w:tc>
          <w:tcPr>
            <w:tcW w:w="753" w:type="dxa"/>
            <w:tcBorders>
              <w:left w:val="single" w:color="auto" w:sz="4" w:space="0"/>
              <w:bottom w:val="single" w:color="auto" w:sz="4" w:space="0"/>
            </w:tcBorders>
            <w:vAlign w:val="top"/>
          </w:tcPr>
          <w:p w14:paraId="53F86B7B">
            <w:pPr>
              <w:rPr>
                <w:rFonts w:hint="eastAsia" w:ascii="宋体" w:hAnsi="宋体" w:cs="宋体"/>
                <w:color w:val="auto"/>
                <w:szCs w:val="21"/>
                <w:highlight w:val="none"/>
              </w:rPr>
            </w:pPr>
          </w:p>
        </w:tc>
        <w:tc>
          <w:tcPr>
            <w:tcW w:w="749" w:type="dxa"/>
            <w:tcBorders>
              <w:bottom w:val="single" w:color="auto" w:sz="4" w:space="0"/>
              <w:right w:val="single" w:color="auto" w:sz="4" w:space="0"/>
            </w:tcBorders>
            <w:vAlign w:val="top"/>
          </w:tcPr>
          <w:p w14:paraId="517D6B65">
            <w:pPr>
              <w:rPr>
                <w:rFonts w:hint="eastAsia" w:ascii="宋体" w:hAnsi="宋体" w:cs="宋体"/>
                <w:color w:val="auto"/>
                <w:szCs w:val="21"/>
                <w:highlight w:val="none"/>
              </w:rPr>
            </w:pPr>
          </w:p>
        </w:tc>
      </w:tr>
      <w:tr w14:paraId="72A12D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922" w:type="dxa"/>
            <w:vMerge w:val="continue"/>
            <w:tcBorders>
              <w:left w:val="single" w:color="auto" w:sz="4" w:space="0"/>
              <w:right w:val="single" w:color="auto" w:sz="4" w:space="0"/>
            </w:tcBorders>
            <w:vAlign w:val="center"/>
          </w:tcPr>
          <w:p w14:paraId="0CFF9EC3">
            <w:pPr>
              <w:rPr>
                <w:rFonts w:hint="eastAsia" w:ascii="宋体" w:hAnsi="宋体" w:cs="宋体"/>
                <w:color w:val="auto"/>
                <w:highlight w:val="none"/>
              </w:rPr>
            </w:pPr>
          </w:p>
        </w:tc>
        <w:tc>
          <w:tcPr>
            <w:tcW w:w="495" w:type="dxa"/>
            <w:tcBorders>
              <w:top w:val="single" w:color="auto" w:sz="4" w:space="0"/>
              <w:left w:val="single" w:color="auto" w:sz="4" w:space="0"/>
              <w:bottom w:val="single" w:color="auto" w:sz="4" w:space="0"/>
              <w:right w:val="single" w:color="auto" w:sz="4" w:space="0"/>
            </w:tcBorders>
            <w:vAlign w:val="center"/>
          </w:tcPr>
          <w:p w14:paraId="6773809D">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6</w:t>
            </w:r>
          </w:p>
        </w:tc>
        <w:tc>
          <w:tcPr>
            <w:tcW w:w="6579" w:type="dxa"/>
            <w:tcBorders>
              <w:top w:val="single" w:color="auto" w:sz="4" w:space="0"/>
              <w:left w:val="single" w:color="auto" w:sz="4" w:space="0"/>
              <w:bottom w:val="single" w:color="auto" w:sz="4" w:space="0"/>
              <w:right w:val="single" w:color="auto" w:sz="4" w:space="0"/>
            </w:tcBorders>
            <w:vAlign w:val="center"/>
          </w:tcPr>
          <w:p w14:paraId="1A49A606">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满足招标文件提出的技术和质量要求。</w:t>
            </w:r>
          </w:p>
        </w:tc>
        <w:tc>
          <w:tcPr>
            <w:tcW w:w="753" w:type="dxa"/>
            <w:tcBorders>
              <w:top w:val="single" w:color="auto" w:sz="4" w:space="0"/>
              <w:left w:val="single" w:color="auto" w:sz="4" w:space="0"/>
              <w:bottom w:val="single" w:color="auto" w:sz="4" w:space="0"/>
              <w:right w:val="single" w:color="auto" w:sz="4" w:space="0"/>
            </w:tcBorders>
            <w:vAlign w:val="top"/>
          </w:tcPr>
          <w:p w14:paraId="1B152322">
            <w:pPr>
              <w:rPr>
                <w:rFonts w:hint="eastAsia" w:ascii="宋体" w:hAnsi="宋体" w:cs="宋体"/>
                <w:color w:val="auto"/>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top"/>
          </w:tcPr>
          <w:p w14:paraId="4F5EB8F0">
            <w:pPr>
              <w:rPr>
                <w:rFonts w:hint="eastAsia" w:ascii="宋体" w:hAnsi="宋体" w:cs="宋体"/>
                <w:color w:val="auto"/>
                <w:szCs w:val="21"/>
                <w:highlight w:val="none"/>
              </w:rPr>
            </w:pPr>
          </w:p>
        </w:tc>
      </w:tr>
      <w:tr w14:paraId="605FE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6" w:hRule="atLeast"/>
        </w:trPr>
        <w:tc>
          <w:tcPr>
            <w:tcW w:w="922" w:type="dxa"/>
            <w:vMerge w:val="continue"/>
            <w:tcBorders>
              <w:left w:val="single" w:color="auto" w:sz="4" w:space="0"/>
              <w:right w:val="single" w:color="auto" w:sz="4" w:space="0"/>
            </w:tcBorders>
            <w:vAlign w:val="center"/>
          </w:tcPr>
          <w:p w14:paraId="69447AA3">
            <w:pPr>
              <w:rPr>
                <w:rFonts w:hint="eastAsia" w:ascii="宋体" w:hAnsi="宋体" w:cs="宋体"/>
                <w:color w:val="auto"/>
                <w:highlight w:val="none"/>
              </w:rPr>
            </w:pPr>
          </w:p>
        </w:tc>
        <w:tc>
          <w:tcPr>
            <w:tcW w:w="495" w:type="dxa"/>
            <w:tcBorders>
              <w:top w:val="single" w:color="auto" w:sz="4" w:space="0"/>
              <w:left w:val="single" w:color="auto" w:sz="4" w:space="0"/>
            </w:tcBorders>
            <w:vAlign w:val="center"/>
          </w:tcPr>
          <w:p w14:paraId="35685EF3">
            <w:pPr>
              <w:shd w:val="clear" w:color="auto" w:fill="auto"/>
              <w:spacing w:line="400" w:lineRule="exact"/>
              <w:jc w:val="center"/>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w:t>
            </w:r>
          </w:p>
        </w:tc>
        <w:tc>
          <w:tcPr>
            <w:tcW w:w="6579" w:type="dxa"/>
            <w:tcBorders>
              <w:top w:val="single" w:color="auto" w:sz="4" w:space="0"/>
              <w:right w:val="single" w:color="auto" w:sz="4" w:space="0"/>
            </w:tcBorders>
            <w:vAlign w:val="center"/>
          </w:tcPr>
          <w:p w14:paraId="74C413BE">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供货</w:t>
            </w:r>
            <w:r>
              <w:rPr>
                <w:rFonts w:hint="eastAsia" w:ascii="宋体" w:hAnsi="Times New Roman" w:eastAsia="宋体" w:cs="Times New Roman"/>
                <w:color w:val="auto"/>
                <w:szCs w:val="21"/>
                <w:highlight w:val="none"/>
              </w:rPr>
              <w:t>期限满足招标文件要求。</w:t>
            </w:r>
          </w:p>
        </w:tc>
        <w:tc>
          <w:tcPr>
            <w:tcW w:w="753" w:type="dxa"/>
            <w:tcBorders>
              <w:top w:val="single" w:color="auto" w:sz="4" w:space="0"/>
              <w:left w:val="single" w:color="auto" w:sz="4" w:space="0"/>
            </w:tcBorders>
            <w:vAlign w:val="top"/>
          </w:tcPr>
          <w:p w14:paraId="3C52950F">
            <w:pPr>
              <w:rPr>
                <w:rFonts w:hint="eastAsia" w:ascii="宋体" w:hAnsi="宋体" w:cs="宋体"/>
                <w:color w:val="auto"/>
                <w:szCs w:val="21"/>
                <w:highlight w:val="none"/>
              </w:rPr>
            </w:pPr>
          </w:p>
        </w:tc>
        <w:tc>
          <w:tcPr>
            <w:tcW w:w="749" w:type="dxa"/>
            <w:tcBorders>
              <w:top w:val="single" w:color="auto" w:sz="4" w:space="0"/>
              <w:right w:val="single" w:color="auto" w:sz="4" w:space="0"/>
            </w:tcBorders>
            <w:vAlign w:val="top"/>
          </w:tcPr>
          <w:p w14:paraId="4249E3E7">
            <w:pPr>
              <w:rPr>
                <w:rFonts w:hint="eastAsia" w:ascii="宋体" w:hAnsi="宋体" w:cs="宋体"/>
                <w:color w:val="auto"/>
                <w:szCs w:val="21"/>
                <w:highlight w:val="none"/>
              </w:rPr>
            </w:pPr>
          </w:p>
        </w:tc>
      </w:tr>
      <w:tr w14:paraId="597558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922" w:type="dxa"/>
            <w:vMerge w:val="continue"/>
            <w:tcBorders>
              <w:left w:val="single" w:color="auto" w:sz="4" w:space="0"/>
              <w:right w:val="single" w:color="auto" w:sz="4" w:space="0"/>
            </w:tcBorders>
            <w:vAlign w:val="center"/>
          </w:tcPr>
          <w:p w14:paraId="393B0362">
            <w:pPr>
              <w:rPr>
                <w:rFonts w:hint="eastAsia" w:ascii="宋体" w:hAnsi="宋体" w:cs="宋体"/>
                <w:color w:val="auto"/>
                <w:highlight w:val="none"/>
              </w:rPr>
            </w:pPr>
          </w:p>
        </w:tc>
        <w:tc>
          <w:tcPr>
            <w:tcW w:w="495" w:type="dxa"/>
            <w:tcBorders>
              <w:left w:val="single" w:color="auto" w:sz="4" w:space="0"/>
            </w:tcBorders>
            <w:vAlign w:val="center"/>
          </w:tcPr>
          <w:p w14:paraId="5DCA719F">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8</w:t>
            </w:r>
          </w:p>
        </w:tc>
        <w:tc>
          <w:tcPr>
            <w:tcW w:w="6579" w:type="dxa"/>
            <w:tcBorders>
              <w:right w:val="single" w:color="auto" w:sz="4" w:space="0"/>
            </w:tcBorders>
            <w:vAlign w:val="center"/>
          </w:tcPr>
          <w:p w14:paraId="3670F3C3">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宋体" w:eastAsia="宋体" w:cs="宋体"/>
                <w:color w:val="auto"/>
                <w:kern w:val="0"/>
                <w:sz w:val="20"/>
                <w:szCs w:val="20"/>
                <w:highlight w:val="none"/>
                <w:lang w:val="en-US" w:eastAsia="zh-CN" w:bidi="ar"/>
              </w:rPr>
              <w:t>售后服务满足</w:t>
            </w:r>
            <w:r>
              <w:rPr>
                <w:rFonts w:hint="eastAsia" w:ascii="宋体" w:hAnsi="宋体" w:cs="宋体"/>
                <w:color w:val="auto"/>
                <w:kern w:val="0"/>
                <w:sz w:val="20"/>
                <w:szCs w:val="20"/>
                <w:highlight w:val="none"/>
                <w:lang w:val="en-US" w:eastAsia="zh-CN" w:bidi="ar"/>
              </w:rPr>
              <w:t>招标</w:t>
            </w:r>
            <w:r>
              <w:rPr>
                <w:rFonts w:hint="eastAsia" w:ascii="宋体" w:hAnsi="宋体" w:eastAsia="宋体" w:cs="宋体"/>
                <w:color w:val="auto"/>
                <w:kern w:val="0"/>
                <w:sz w:val="20"/>
                <w:szCs w:val="20"/>
                <w:highlight w:val="none"/>
                <w:lang w:val="en-US" w:eastAsia="zh-CN" w:bidi="ar"/>
              </w:rPr>
              <w:t>文件要求。</w:t>
            </w:r>
          </w:p>
        </w:tc>
        <w:tc>
          <w:tcPr>
            <w:tcW w:w="753" w:type="dxa"/>
            <w:tcBorders>
              <w:left w:val="single" w:color="auto" w:sz="4" w:space="0"/>
            </w:tcBorders>
            <w:vAlign w:val="top"/>
          </w:tcPr>
          <w:p w14:paraId="7A200038">
            <w:pPr>
              <w:rPr>
                <w:rFonts w:hint="eastAsia" w:ascii="宋体" w:hAnsi="宋体" w:cs="宋体"/>
                <w:color w:val="auto"/>
                <w:szCs w:val="21"/>
                <w:highlight w:val="none"/>
              </w:rPr>
            </w:pPr>
          </w:p>
        </w:tc>
        <w:tc>
          <w:tcPr>
            <w:tcW w:w="749" w:type="dxa"/>
            <w:tcBorders>
              <w:right w:val="single" w:color="auto" w:sz="4" w:space="0"/>
            </w:tcBorders>
            <w:vAlign w:val="top"/>
          </w:tcPr>
          <w:p w14:paraId="0AB1A33B">
            <w:pPr>
              <w:rPr>
                <w:rFonts w:hint="eastAsia" w:ascii="宋体" w:hAnsi="宋体" w:cs="宋体"/>
                <w:color w:val="auto"/>
                <w:szCs w:val="21"/>
                <w:highlight w:val="none"/>
              </w:rPr>
            </w:pPr>
          </w:p>
        </w:tc>
      </w:tr>
      <w:tr w14:paraId="7FA33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922" w:type="dxa"/>
            <w:vMerge w:val="continue"/>
            <w:tcBorders>
              <w:left w:val="single" w:color="auto" w:sz="4" w:space="0"/>
              <w:right w:val="single" w:color="auto" w:sz="4" w:space="0"/>
            </w:tcBorders>
            <w:vAlign w:val="center"/>
          </w:tcPr>
          <w:p w14:paraId="68BAC2D3">
            <w:pPr>
              <w:rPr>
                <w:rFonts w:hint="eastAsia" w:ascii="宋体" w:hAnsi="宋体" w:cs="宋体"/>
                <w:color w:val="auto"/>
                <w:highlight w:val="none"/>
              </w:rPr>
            </w:pPr>
          </w:p>
        </w:tc>
        <w:tc>
          <w:tcPr>
            <w:tcW w:w="495" w:type="dxa"/>
            <w:tcBorders>
              <w:left w:val="single" w:color="auto" w:sz="4" w:space="0"/>
            </w:tcBorders>
            <w:vAlign w:val="center"/>
          </w:tcPr>
          <w:p w14:paraId="2E0B71E6">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9</w:t>
            </w:r>
          </w:p>
        </w:tc>
        <w:tc>
          <w:tcPr>
            <w:tcW w:w="6579" w:type="dxa"/>
            <w:tcBorders>
              <w:right w:val="single" w:color="auto" w:sz="4" w:space="0"/>
            </w:tcBorders>
            <w:vAlign w:val="center"/>
          </w:tcPr>
          <w:p w14:paraId="406CC301">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投标有效期满足招标文件要求。</w:t>
            </w:r>
          </w:p>
        </w:tc>
        <w:tc>
          <w:tcPr>
            <w:tcW w:w="753" w:type="dxa"/>
            <w:tcBorders>
              <w:left w:val="single" w:color="auto" w:sz="4" w:space="0"/>
            </w:tcBorders>
            <w:vAlign w:val="top"/>
          </w:tcPr>
          <w:p w14:paraId="6FCB14C0">
            <w:pPr>
              <w:rPr>
                <w:rFonts w:hint="eastAsia" w:ascii="宋体" w:hAnsi="宋体" w:cs="宋体"/>
                <w:color w:val="auto"/>
                <w:szCs w:val="21"/>
                <w:highlight w:val="none"/>
              </w:rPr>
            </w:pPr>
          </w:p>
        </w:tc>
        <w:tc>
          <w:tcPr>
            <w:tcW w:w="749" w:type="dxa"/>
            <w:tcBorders>
              <w:right w:val="single" w:color="auto" w:sz="4" w:space="0"/>
            </w:tcBorders>
            <w:vAlign w:val="top"/>
          </w:tcPr>
          <w:p w14:paraId="3A871BCB">
            <w:pPr>
              <w:rPr>
                <w:rFonts w:hint="eastAsia" w:ascii="宋体" w:hAnsi="宋体" w:cs="宋体"/>
                <w:color w:val="auto"/>
                <w:szCs w:val="21"/>
                <w:highlight w:val="none"/>
              </w:rPr>
            </w:pPr>
          </w:p>
        </w:tc>
      </w:tr>
      <w:tr w14:paraId="21DD5F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922" w:type="dxa"/>
            <w:vMerge w:val="continue"/>
            <w:tcBorders>
              <w:left w:val="single" w:color="auto" w:sz="4" w:space="0"/>
              <w:right w:val="single" w:color="auto" w:sz="4" w:space="0"/>
            </w:tcBorders>
            <w:vAlign w:val="center"/>
          </w:tcPr>
          <w:p w14:paraId="427AACF1">
            <w:pPr>
              <w:rPr>
                <w:rFonts w:hint="eastAsia" w:ascii="宋体" w:hAnsi="宋体" w:cs="宋体"/>
                <w:color w:val="auto"/>
                <w:highlight w:val="none"/>
              </w:rPr>
            </w:pPr>
          </w:p>
        </w:tc>
        <w:tc>
          <w:tcPr>
            <w:tcW w:w="495" w:type="dxa"/>
            <w:tcBorders>
              <w:left w:val="single" w:color="auto" w:sz="4" w:space="0"/>
            </w:tcBorders>
            <w:vAlign w:val="center"/>
          </w:tcPr>
          <w:p w14:paraId="44A0D1F1">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10</w:t>
            </w:r>
          </w:p>
        </w:tc>
        <w:tc>
          <w:tcPr>
            <w:tcW w:w="6579" w:type="dxa"/>
            <w:tcBorders>
              <w:right w:val="single" w:color="auto" w:sz="4" w:space="0"/>
            </w:tcBorders>
            <w:vAlign w:val="center"/>
          </w:tcPr>
          <w:p w14:paraId="272CF448">
            <w:pPr>
              <w:shd w:val="clear" w:color="auto" w:fill="auto"/>
              <w:spacing w:line="400" w:lineRule="exact"/>
              <w:jc w:val="left"/>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rPr>
              <w:t>投标人详细地址、联系人、电话</w:t>
            </w:r>
            <w:r>
              <w:rPr>
                <w:rFonts w:hint="eastAsia" w:ascii="宋体" w:hAnsi="Times New Roman" w:eastAsia="宋体" w:cs="Times New Roman"/>
                <w:color w:val="auto"/>
                <w:szCs w:val="21"/>
                <w:highlight w:val="none"/>
                <w:lang w:eastAsia="zh-CN"/>
              </w:rPr>
              <w:t>。</w:t>
            </w:r>
          </w:p>
        </w:tc>
        <w:tc>
          <w:tcPr>
            <w:tcW w:w="753" w:type="dxa"/>
            <w:tcBorders>
              <w:left w:val="single" w:color="auto" w:sz="4" w:space="0"/>
            </w:tcBorders>
            <w:vAlign w:val="top"/>
          </w:tcPr>
          <w:p w14:paraId="34B2460A">
            <w:pPr>
              <w:rPr>
                <w:rFonts w:hint="eastAsia" w:ascii="宋体" w:hAnsi="宋体" w:cs="宋体"/>
                <w:color w:val="auto"/>
                <w:szCs w:val="21"/>
                <w:highlight w:val="none"/>
              </w:rPr>
            </w:pPr>
          </w:p>
        </w:tc>
        <w:tc>
          <w:tcPr>
            <w:tcW w:w="749" w:type="dxa"/>
            <w:tcBorders>
              <w:right w:val="single" w:color="auto" w:sz="4" w:space="0"/>
            </w:tcBorders>
            <w:vAlign w:val="top"/>
          </w:tcPr>
          <w:p w14:paraId="3721A82E">
            <w:pPr>
              <w:rPr>
                <w:rFonts w:hint="eastAsia" w:ascii="宋体" w:hAnsi="宋体" w:cs="宋体"/>
                <w:color w:val="auto"/>
                <w:szCs w:val="21"/>
                <w:highlight w:val="none"/>
              </w:rPr>
            </w:pPr>
          </w:p>
        </w:tc>
      </w:tr>
      <w:tr w14:paraId="33A71C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1" w:hRule="atLeast"/>
        </w:trPr>
        <w:tc>
          <w:tcPr>
            <w:tcW w:w="7996" w:type="dxa"/>
            <w:gridSpan w:val="3"/>
            <w:tcBorders>
              <w:left w:val="single" w:color="auto" w:sz="4" w:space="0"/>
              <w:right w:val="single" w:color="auto" w:sz="4" w:space="0"/>
            </w:tcBorders>
            <w:vAlign w:val="center"/>
          </w:tcPr>
          <w:p w14:paraId="4244BF9A">
            <w:pPr>
              <w:jc w:val="center"/>
              <w:rPr>
                <w:rFonts w:hint="eastAsia" w:ascii="宋体" w:hAnsi="宋体" w:cs="宋体"/>
                <w:color w:val="auto"/>
                <w:sz w:val="20"/>
                <w:szCs w:val="20"/>
                <w:highlight w:val="none"/>
              </w:rPr>
            </w:pPr>
            <w:r>
              <w:rPr>
                <w:rFonts w:hint="eastAsia" w:ascii="宋体" w:hAnsi="宋体" w:cs="宋体"/>
                <w:color w:val="auto"/>
                <w:spacing w:val="-2"/>
                <w:szCs w:val="21"/>
                <w:highlight w:val="none"/>
                <w:lang w:eastAsia="zh-CN"/>
              </w:rPr>
              <w:t>评审结果：须写通过或者不通过</w:t>
            </w:r>
          </w:p>
        </w:tc>
        <w:tc>
          <w:tcPr>
            <w:tcW w:w="1502" w:type="dxa"/>
            <w:gridSpan w:val="2"/>
            <w:tcBorders>
              <w:left w:val="single" w:color="auto" w:sz="4" w:space="0"/>
              <w:right w:val="single" w:color="auto" w:sz="4" w:space="0"/>
            </w:tcBorders>
            <w:vAlign w:val="center"/>
          </w:tcPr>
          <w:p w14:paraId="77FD758A">
            <w:pPr>
              <w:rPr>
                <w:rFonts w:hint="eastAsia" w:ascii="宋体" w:hAnsi="宋体" w:cs="宋体"/>
                <w:color w:val="auto"/>
                <w:szCs w:val="21"/>
                <w:highlight w:val="none"/>
              </w:rPr>
            </w:pPr>
          </w:p>
        </w:tc>
      </w:tr>
      <w:tr w14:paraId="053DF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trPr>
        <w:tc>
          <w:tcPr>
            <w:tcW w:w="9498" w:type="dxa"/>
            <w:gridSpan w:val="5"/>
            <w:tcBorders>
              <w:left w:val="single" w:color="auto" w:sz="4" w:space="0"/>
              <w:bottom w:val="single" w:color="auto" w:sz="4" w:space="0"/>
              <w:right w:val="single" w:color="auto" w:sz="4" w:space="0"/>
            </w:tcBorders>
            <w:vAlign w:val="center"/>
          </w:tcPr>
          <w:p w14:paraId="0F65DF2B">
            <w:pPr>
              <w:ind w:firstLine="373" w:firstLineChars="180"/>
              <w:rPr>
                <w:rFonts w:hint="eastAsia" w:ascii="宋体" w:hAnsi="宋体" w:cs="宋体"/>
                <w:color w:val="auto"/>
                <w:szCs w:val="21"/>
                <w:highlight w:val="none"/>
              </w:rPr>
            </w:pPr>
            <w:r>
              <w:rPr>
                <w:rFonts w:hint="eastAsia" w:ascii="宋体" w:hAnsi="宋体" w:cs="宋体"/>
                <w:color w:val="auto"/>
                <w:spacing w:val="-2"/>
                <w:szCs w:val="21"/>
                <w:highlight w:val="none"/>
              </w:rPr>
              <w:t xml:space="preserve">结论：通过评审打“√”，未通过评审打“×”   </w:t>
            </w:r>
            <w:r>
              <w:rPr>
                <w:rFonts w:hint="eastAsia" w:ascii="宋体" w:hAnsi="宋体" w:cs="宋体"/>
                <w:color w:val="auto"/>
                <w:szCs w:val="21"/>
                <w:highlight w:val="none"/>
              </w:rPr>
              <w:t>注：如有一项不合格，作废标处理。</w:t>
            </w:r>
          </w:p>
        </w:tc>
      </w:tr>
    </w:tbl>
    <w:p w14:paraId="3FAFC659">
      <w:pPr>
        <w:shd w:val="clear" w:color="auto" w:fill="auto"/>
        <w:spacing w:line="400" w:lineRule="exact"/>
        <w:rPr>
          <w:rFonts w:hint="eastAsia" w:ascii="宋体"/>
          <w:color w:val="auto"/>
          <w:szCs w:val="21"/>
          <w:highlight w:val="none"/>
          <w:lang w:val="en-US" w:eastAsia="zh-CN"/>
        </w:rPr>
      </w:pPr>
    </w:p>
    <w:p w14:paraId="6AE246B8">
      <w:pPr>
        <w:shd w:val="clear" w:color="auto" w:fill="auto"/>
        <w:spacing w:line="400" w:lineRule="exact"/>
        <w:ind w:firstLine="510" w:firstLineChars="241"/>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.2评委会判定投标文件的响应性只根据投标文件本身的内容，而不寻求外部的证据，但投标有不真实不正确的内容时除外。</w:t>
      </w:r>
    </w:p>
    <w:p w14:paraId="2C542F56">
      <w:pPr>
        <w:shd w:val="clear" w:color="auto" w:fill="auto"/>
        <w:spacing w:line="400" w:lineRule="exact"/>
        <w:ind w:firstLine="510" w:firstLineChars="241"/>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.3如果投标文件实质上没有响应</w:t>
      </w:r>
      <w:r>
        <w:rPr>
          <w:rFonts w:hint="eastAsia" w:ascii="宋体"/>
          <w:color w:val="auto"/>
          <w:szCs w:val="21"/>
          <w:highlight w:val="none"/>
          <w:lang w:eastAsia="zh-CN"/>
        </w:rPr>
        <w:t>采购文件</w:t>
      </w:r>
      <w:r>
        <w:rPr>
          <w:rFonts w:hint="eastAsia" w:ascii="宋体"/>
          <w:color w:val="auto"/>
          <w:szCs w:val="21"/>
          <w:highlight w:val="none"/>
        </w:rPr>
        <w:t>的要求，评委会将予以拒绝，投标人不得通过修正或撤销不符合要求的偏离或保留，而使其投标成为实质上响应的投标。</w:t>
      </w:r>
    </w:p>
    <w:p w14:paraId="220C7154">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 xml:space="preserve"> </w:t>
      </w:r>
      <w:r>
        <w:rPr>
          <w:rFonts w:hint="eastAsia" w:ascii="宋体"/>
          <w:color w:val="auto"/>
          <w:szCs w:val="21"/>
          <w:highlight w:val="none"/>
          <w:lang w:val="en-US" w:eastAsia="zh-CN"/>
        </w:rPr>
        <w:t>7</w:t>
      </w:r>
      <w:r>
        <w:rPr>
          <w:rFonts w:hint="eastAsia" w:ascii="宋体"/>
          <w:color w:val="auto"/>
          <w:szCs w:val="21"/>
          <w:highlight w:val="none"/>
        </w:rPr>
        <w:t>.4投标人可在现场</w:t>
      </w:r>
      <w:r>
        <w:rPr>
          <w:rFonts w:hint="eastAsia" w:ascii="宋体"/>
          <w:color w:val="auto"/>
          <w:szCs w:val="21"/>
          <w:highlight w:val="none"/>
          <w:lang w:eastAsia="zh-CN"/>
        </w:rPr>
        <w:t>30分钟</w:t>
      </w:r>
      <w:r>
        <w:rPr>
          <w:rFonts w:hint="eastAsia" w:ascii="宋体"/>
          <w:color w:val="auto"/>
          <w:szCs w:val="21"/>
          <w:highlight w:val="none"/>
        </w:rPr>
        <w:t>内对评标委员会的评审结论提出异议，评标委员会根据</w:t>
      </w:r>
      <w:r>
        <w:rPr>
          <w:rFonts w:hint="eastAsia" w:ascii="宋体"/>
          <w:color w:val="auto"/>
          <w:szCs w:val="21"/>
          <w:highlight w:val="none"/>
          <w:lang w:eastAsia="zh-CN"/>
        </w:rPr>
        <w:t>采购文件</w:t>
      </w:r>
      <w:r>
        <w:rPr>
          <w:rFonts w:hint="eastAsia" w:ascii="宋体"/>
          <w:color w:val="auto"/>
          <w:szCs w:val="21"/>
          <w:highlight w:val="none"/>
        </w:rPr>
        <w:t>及有关规定对投标人的异议进行复议</w:t>
      </w:r>
    </w:p>
    <w:p w14:paraId="66335DD6">
      <w:pPr>
        <w:shd w:val="clear" w:color="auto" w:fill="auto"/>
        <w:spacing w:line="400" w:lineRule="exact"/>
        <w:ind w:firstLine="530" w:firstLineChars="250"/>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.5只有通过初审的投标人才能进入下一步评标程序。</w:t>
      </w:r>
    </w:p>
    <w:p w14:paraId="2283D359">
      <w:pPr>
        <w:shd w:val="clear" w:color="auto" w:fill="auto"/>
        <w:spacing w:line="400" w:lineRule="exact"/>
        <w:ind w:firstLine="424" w:firstLineChars="200"/>
        <w:rPr>
          <w:rFonts w:hint="eastAsia" w:ascii="宋体" w:hAnsi="宋体"/>
          <w:b/>
          <w:color w:val="auto"/>
          <w:szCs w:val="21"/>
          <w:highlight w:val="none"/>
        </w:rPr>
      </w:pPr>
      <w:r>
        <w:rPr>
          <w:rFonts w:hint="eastAsia" w:ascii="宋体" w:hAnsi="宋体"/>
          <w:b/>
          <w:color w:val="auto"/>
          <w:szCs w:val="21"/>
          <w:highlight w:val="none"/>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bookmarkStart w:id="108" w:name="_Toc362983803"/>
    </w:p>
    <w:p w14:paraId="16970EFF">
      <w:pPr>
        <w:shd w:val="clear" w:color="auto" w:fill="auto"/>
        <w:spacing w:line="400" w:lineRule="exact"/>
        <w:ind w:firstLine="3102" w:firstLineChars="1100"/>
        <w:rPr>
          <w:rFonts w:hint="eastAsia" w:ascii="宋体"/>
          <w:b/>
          <w:color w:val="auto"/>
          <w:sz w:val="28"/>
          <w:szCs w:val="28"/>
          <w:highlight w:val="none"/>
        </w:rPr>
      </w:pPr>
    </w:p>
    <w:p w14:paraId="38F1EB16">
      <w:pPr>
        <w:shd w:val="clear" w:color="auto" w:fill="auto"/>
        <w:spacing w:line="400" w:lineRule="exact"/>
        <w:jc w:val="center"/>
        <w:rPr>
          <w:rFonts w:hint="eastAsia" w:ascii="宋体"/>
          <w:b/>
          <w:color w:val="auto"/>
          <w:sz w:val="24"/>
          <w:highlight w:val="none"/>
        </w:rPr>
      </w:pPr>
      <w:r>
        <w:rPr>
          <w:rFonts w:hint="eastAsia" w:ascii="宋体"/>
          <w:b/>
          <w:color w:val="auto"/>
          <w:sz w:val="28"/>
          <w:szCs w:val="28"/>
          <w:highlight w:val="none"/>
        </w:rPr>
        <w:t>三  投标文件的澄清和补正</w:t>
      </w:r>
      <w:bookmarkEnd w:id="108"/>
    </w:p>
    <w:p w14:paraId="7C63990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8．澄清、说明或补正的形式</w:t>
      </w:r>
    </w:p>
    <w:p w14:paraId="74AA4DB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30分钟。</w:t>
      </w:r>
    </w:p>
    <w:p w14:paraId="32FD2A8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2760BD4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45A3221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9．错误修正的原则</w:t>
      </w:r>
    </w:p>
    <w:p w14:paraId="357D779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7A6DB2E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投标文件报价出现前后不一致的，除采购文件另有规定外，按照下列规定修正：</w:t>
      </w:r>
    </w:p>
    <w:p w14:paraId="48E09E54">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9.1 投标函中表述的内容与报价表中不一致的，以报价表为准；报价表中的内容与报价明细表不一致的，以报价表为准；</w:t>
      </w:r>
    </w:p>
    <w:p w14:paraId="1375788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9.2 投标文件中的大写金额和小写金额不一致的，以大写金额为准；</w:t>
      </w:r>
    </w:p>
    <w:p w14:paraId="6E3FDF1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9.3 单价金额小数点或者百分比有明显错位的，以开标一览表的总价为准，并修改单价；</w:t>
      </w:r>
    </w:p>
    <w:p w14:paraId="56B8736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9.4 总价金额与按单价汇总金额不一致的，以单价金额计算结果为准；</w:t>
      </w:r>
    </w:p>
    <w:p w14:paraId="5C0C5F9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9.5 若用文字表示的数值与用数字表示的数值不一致，以文字表示的数值为准；</w:t>
      </w:r>
    </w:p>
    <w:p w14:paraId="6965717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9.6 如有多报（指数量超出采购文件需求）、重报（指同一货物重复报价），其投标总价在评标过程中不予调整，如其中标，其合同价按其投标单价予以调整；</w:t>
      </w:r>
    </w:p>
    <w:p w14:paraId="5660F8F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9.7 对不同文字文本投标文件的解释发生异议的，以中文文本为准；</w:t>
      </w:r>
    </w:p>
    <w:p w14:paraId="6175F1E9">
      <w:pPr>
        <w:shd w:val="clear" w:color="auto" w:fill="auto"/>
        <w:spacing w:line="440" w:lineRule="exact"/>
        <w:ind w:firstLine="212" w:firstLineChars="100"/>
        <w:jc w:val="left"/>
        <w:rPr>
          <w:rFonts w:hint="eastAsia" w:ascii="宋体"/>
          <w:color w:val="auto"/>
          <w:szCs w:val="21"/>
          <w:highlight w:val="none"/>
        </w:rPr>
      </w:pPr>
      <w:r>
        <w:rPr>
          <w:rFonts w:hint="eastAsia" w:ascii="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48D1EA68">
      <w:pPr>
        <w:shd w:val="clear" w:color="auto" w:fill="auto"/>
        <w:spacing w:line="400" w:lineRule="exact"/>
        <w:jc w:val="center"/>
        <w:outlineLvl w:val="1"/>
        <w:rPr>
          <w:rFonts w:hint="eastAsia" w:ascii="宋体"/>
          <w:b/>
          <w:color w:val="auto"/>
          <w:sz w:val="24"/>
          <w:highlight w:val="none"/>
        </w:rPr>
      </w:pPr>
      <w:bookmarkStart w:id="109" w:name="_Toc1842"/>
    </w:p>
    <w:p w14:paraId="3C6AC637">
      <w:pPr>
        <w:shd w:val="clear" w:color="auto" w:fill="auto"/>
        <w:spacing w:line="400" w:lineRule="exact"/>
        <w:jc w:val="center"/>
        <w:outlineLvl w:val="1"/>
        <w:rPr>
          <w:rFonts w:hint="eastAsia" w:ascii="宋体"/>
          <w:b/>
          <w:color w:val="auto"/>
          <w:sz w:val="24"/>
          <w:highlight w:val="none"/>
        </w:rPr>
      </w:pPr>
    </w:p>
    <w:p w14:paraId="31086E09">
      <w:pPr>
        <w:shd w:val="clear" w:color="auto" w:fill="auto"/>
        <w:spacing w:line="400" w:lineRule="exact"/>
        <w:jc w:val="center"/>
        <w:outlineLvl w:val="1"/>
        <w:rPr>
          <w:rFonts w:hint="eastAsia" w:ascii="宋体"/>
          <w:b/>
          <w:color w:val="auto"/>
          <w:sz w:val="24"/>
          <w:highlight w:val="none"/>
        </w:rPr>
      </w:pPr>
    </w:p>
    <w:p w14:paraId="4AC676B9">
      <w:pPr>
        <w:shd w:val="clear" w:color="auto" w:fill="auto"/>
        <w:spacing w:line="400" w:lineRule="exact"/>
        <w:jc w:val="center"/>
        <w:outlineLvl w:val="1"/>
        <w:rPr>
          <w:rFonts w:hint="eastAsia" w:ascii="宋体"/>
          <w:b/>
          <w:color w:val="auto"/>
          <w:sz w:val="24"/>
          <w:highlight w:val="none"/>
        </w:rPr>
      </w:pPr>
      <w:r>
        <w:rPr>
          <w:rFonts w:hint="eastAsia" w:ascii="宋体"/>
          <w:b/>
          <w:color w:val="auto"/>
          <w:sz w:val="24"/>
          <w:highlight w:val="none"/>
        </w:rPr>
        <w:t>四 比较与评价</w:t>
      </w:r>
      <w:bookmarkEnd w:id="109"/>
    </w:p>
    <w:p w14:paraId="076B2788">
      <w:pPr>
        <w:shd w:val="clear" w:color="auto" w:fill="auto"/>
        <w:tabs>
          <w:tab w:val="left" w:pos="720"/>
        </w:tabs>
        <w:spacing w:line="440" w:lineRule="exact"/>
        <w:ind w:firstLine="540" w:firstLineChars="255"/>
        <w:rPr>
          <w:rFonts w:hint="eastAsia" w:ascii="宋体" w:hAnsi="宋体" w:eastAsia="宋体" w:cs="宋体"/>
          <w:color w:val="auto"/>
          <w:szCs w:val="21"/>
          <w:highlight w:val="none"/>
          <w:lang w:bidi="ar-SA"/>
        </w:rPr>
      </w:pPr>
      <w:bookmarkStart w:id="110" w:name="_Toc362983805"/>
      <w:r>
        <w:rPr>
          <w:rFonts w:hint="eastAsia" w:ascii="宋体" w:hAnsi="宋体" w:eastAsia="宋体" w:cs="宋体"/>
          <w:color w:val="auto"/>
          <w:szCs w:val="21"/>
          <w:highlight w:val="none"/>
          <w:lang w:val="en-US" w:eastAsia="zh-CN" w:bidi="ar-SA"/>
        </w:rPr>
        <w:t>10.1</w:t>
      </w:r>
      <w:r>
        <w:rPr>
          <w:rFonts w:hint="eastAsia" w:ascii="宋体" w:hAnsi="宋体" w:eastAsia="宋体" w:cs="宋体"/>
          <w:color w:val="auto"/>
          <w:szCs w:val="21"/>
          <w:highlight w:val="none"/>
          <w:lang w:bidi="ar-SA"/>
        </w:rPr>
        <w:t>评标委员会按招标文件中规定的评标方法和标准，对资格性检查和符合性检查合格的投标文件进行商务和技术评估、综合比较与评价。</w:t>
      </w:r>
    </w:p>
    <w:p w14:paraId="4A1C4A35">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val="en-US" w:eastAsia="zh-CN" w:bidi="ar-SA"/>
        </w:rPr>
        <w:t>10.2</w:t>
      </w:r>
      <w:r>
        <w:rPr>
          <w:rFonts w:hint="eastAsia" w:ascii="宋体" w:hAnsi="宋体" w:eastAsia="宋体" w:cs="宋体"/>
          <w:color w:val="auto"/>
          <w:szCs w:val="21"/>
          <w:highlight w:val="none"/>
          <w:lang w:bidi="ar-SA"/>
        </w:rPr>
        <w:t>评标委员会根据商务和技术评估的结果，采用综合评分法，分别对投标文件的商务、技术、价格等内容进行打分。其中，商务评估、技术评估、价格评估的评分权值（详见附件1）。</w:t>
      </w:r>
    </w:p>
    <w:p w14:paraId="38EBF796">
      <w:pPr>
        <w:shd w:val="clear" w:color="auto" w:fill="auto"/>
        <w:spacing w:line="440" w:lineRule="exact"/>
        <w:ind w:firstLine="544" w:firstLineChars="257"/>
        <w:rPr>
          <w:rFonts w:hint="eastAsia" w:ascii="宋体" w:hAnsi="宋体" w:eastAsia="宋体" w:cs="宋体"/>
          <w:bCs/>
          <w:color w:val="auto"/>
          <w:szCs w:val="21"/>
          <w:highlight w:val="none"/>
          <w:lang w:bidi="ar-SA"/>
        </w:rPr>
      </w:pPr>
      <w:r>
        <w:rPr>
          <w:rFonts w:hint="eastAsia" w:ascii="宋体" w:hAnsi="宋体" w:eastAsia="宋体" w:cs="宋体"/>
          <w:color w:val="auto"/>
          <w:szCs w:val="21"/>
          <w:highlight w:val="none"/>
          <w:lang w:val="en-US" w:eastAsia="zh-CN" w:bidi="ar-SA"/>
        </w:rPr>
        <w:t>10.</w:t>
      </w:r>
      <w:r>
        <w:rPr>
          <w:rFonts w:hint="eastAsia" w:ascii="宋体" w:hAnsi="宋体" w:eastAsia="宋体" w:cs="宋体"/>
          <w:bCs/>
          <w:color w:val="auto"/>
          <w:szCs w:val="21"/>
          <w:highlight w:val="none"/>
          <w:lang w:val="en-US" w:eastAsia="zh-CN" w:bidi="ar-SA"/>
        </w:rPr>
        <w:t>2.1</w:t>
      </w:r>
      <w:r>
        <w:rPr>
          <w:rFonts w:hint="eastAsia" w:ascii="宋体" w:hAnsi="宋体" w:eastAsia="宋体" w:cs="宋体"/>
          <w:bCs/>
          <w:color w:val="auto"/>
          <w:szCs w:val="21"/>
          <w:highlight w:val="none"/>
          <w:lang w:bidi="ar-SA"/>
        </w:rPr>
        <w:t>评委打分办法</w:t>
      </w:r>
    </w:p>
    <w:p w14:paraId="129CB32A">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bCs/>
          <w:color w:val="auto"/>
          <w:szCs w:val="21"/>
          <w:highlight w:val="none"/>
          <w:lang w:bidi="ar-SA"/>
        </w:rPr>
        <w:t>（1）</w:t>
      </w:r>
      <w:r>
        <w:rPr>
          <w:rFonts w:hint="eastAsia" w:ascii="宋体" w:hAnsi="宋体" w:eastAsia="宋体" w:cs="宋体"/>
          <w:color w:val="auto"/>
          <w:szCs w:val="21"/>
          <w:highlight w:val="none"/>
          <w:lang w:bidi="ar-SA"/>
        </w:rPr>
        <w:t>参加评分的评委应尽力体现客观、实事求是，避免学派偏见和个人偏好。</w:t>
      </w:r>
    </w:p>
    <w:p w14:paraId="2A344B7C">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（2）衡量、对比的依据，应以招标文件、投标文件、提供的正式试验数据、质询澄清中的文字为准，口头回答和收集的资料只作为参考。</w:t>
      </w:r>
    </w:p>
    <w:p w14:paraId="0B7AB14E">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（3）评分主要是为比较各投标人的价格、商务和技术综合排序。</w:t>
      </w:r>
    </w:p>
    <w:p w14:paraId="2BDA20B9">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（4）评委打分采取记名形式。</w:t>
      </w:r>
    </w:p>
    <w:p w14:paraId="714BFFFB">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（5）各评委根据提供的技术打分表独立自主打分，任何人不得要求评委统一打分或统一确定等次顺序。</w:t>
      </w:r>
    </w:p>
    <w:p w14:paraId="60D95B1A">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（6）对打分表中的每项条款，各评委应根据投标文件、澄清材料、招标文件要求，按满足的程度给投标人打分。</w:t>
      </w:r>
    </w:p>
    <w:p w14:paraId="55860A8D">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（7）评分程序</w:t>
      </w:r>
    </w:p>
    <w:p w14:paraId="49EC1C3B">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1)就投标人的投标文件对照整理出商务、技术评标因素对比表、偏差表，并在经过校核的基础上逐项打分。</w:t>
      </w:r>
    </w:p>
    <w:p w14:paraId="6EF42A5A">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2)各评委独立完成打分后，将评分表交给代理机构，由代理机构组织进行分数统计。</w:t>
      </w:r>
    </w:p>
    <w:p w14:paraId="5EE5FD65">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3)最终汇总表中各投标人得分应为评委打分的算术平均值。</w:t>
      </w:r>
    </w:p>
    <w:p w14:paraId="2B8600AD">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0D761817">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5FF59158">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72406C64">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77BEC7CF">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4F74B9E1">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1549EB61">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07801A86">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43114864">
      <w:pPr>
        <w:pStyle w:val="6"/>
        <w:ind w:left="0" w:leftChars="0" w:firstLine="0" w:firstLineChars="0"/>
        <w:rPr>
          <w:rFonts w:hint="eastAsia"/>
          <w:color w:val="auto"/>
          <w:highlight w:val="none"/>
        </w:rPr>
      </w:pPr>
    </w:p>
    <w:p w14:paraId="5574C533">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（8）评分标准和细则（综合评分法评分标准）</w:t>
      </w:r>
    </w:p>
    <w:p w14:paraId="330B555E">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标项1</w:t>
      </w:r>
    </w:p>
    <w:tbl>
      <w:tblPr>
        <w:tblStyle w:val="30"/>
        <w:tblW w:w="9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260"/>
        <w:gridCol w:w="782"/>
        <w:gridCol w:w="6678"/>
      </w:tblGrid>
      <w:tr w14:paraId="0522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top"/>
          </w:tcPr>
          <w:p w14:paraId="3F06A556">
            <w:pPr>
              <w:widowControl w:val="0"/>
              <w:spacing w:before="204" w:line="223" w:lineRule="auto"/>
              <w:ind w:left="123" w:leftChars="0"/>
              <w:jc w:val="center"/>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序号</w:t>
            </w:r>
          </w:p>
        </w:tc>
        <w:tc>
          <w:tcPr>
            <w:tcW w:w="1260" w:type="dxa"/>
            <w:vAlign w:val="top"/>
          </w:tcPr>
          <w:p w14:paraId="1DF95DAA">
            <w:pPr>
              <w:widowControl w:val="0"/>
              <w:spacing w:before="204" w:line="223" w:lineRule="auto"/>
              <w:ind w:left="123" w:lef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4"/>
                <w:sz w:val="21"/>
                <w:szCs w:val="21"/>
                <w:highlight w:val="none"/>
              </w:rPr>
              <w:t>评分因素</w:t>
            </w:r>
          </w:p>
        </w:tc>
        <w:tc>
          <w:tcPr>
            <w:tcW w:w="782" w:type="dxa"/>
            <w:vAlign w:val="top"/>
          </w:tcPr>
          <w:p w14:paraId="7EDD058A">
            <w:pPr>
              <w:widowControl w:val="0"/>
              <w:spacing w:before="204" w:line="224" w:lineRule="auto"/>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4"/>
                <w:sz w:val="21"/>
                <w:szCs w:val="21"/>
                <w:highlight w:val="none"/>
              </w:rPr>
              <w:t>分值</w:t>
            </w:r>
          </w:p>
        </w:tc>
        <w:tc>
          <w:tcPr>
            <w:tcW w:w="6678" w:type="dxa"/>
            <w:vAlign w:val="top"/>
          </w:tcPr>
          <w:p w14:paraId="610584FA">
            <w:pPr>
              <w:widowControl w:val="0"/>
              <w:spacing w:before="204" w:line="225" w:lineRule="auto"/>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4"/>
                <w:sz w:val="21"/>
                <w:szCs w:val="21"/>
                <w:highlight w:val="none"/>
              </w:rPr>
              <w:t>说明</w:t>
            </w:r>
          </w:p>
        </w:tc>
      </w:tr>
      <w:tr w14:paraId="5BB6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center"/>
          </w:tcPr>
          <w:p w14:paraId="7D5627D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1</w:t>
            </w:r>
          </w:p>
        </w:tc>
        <w:tc>
          <w:tcPr>
            <w:tcW w:w="1260" w:type="dxa"/>
            <w:vAlign w:val="center"/>
          </w:tcPr>
          <w:p w14:paraId="4B65CB9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报价得分</w:t>
            </w:r>
          </w:p>
        </w:tc>
        <w:tc>
          <w:tcPr>
            <w:tcW w:w="782" w:type="dxa"/>
            <w:vAlign w:val="center"/>
          </w:tcPr>
          <w:p w14:paraId="0FAB57D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30分</w:t>
            </w:r>
          </w:p>
        </w:tc>
        <w:tc>
          <w:tcPr>
            <w:tcW w:w="6678" w:type="dxa"/>
            <w:vAlign w:val="center"/>
          </w:tcPr>
          <w:p w14:paraId="68B0804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投标报价采用综合评分法计算，价格分统一采用低价优先法计算，即满足采购文件要求且投标价格最低的投标报价为评标基准价，其价格分为满分。其他投标人的价格分统一按照下列公式计算：投标报价得分=（评标基准价÷投标报价）×价格权值×100。（保留小数点后两位）</w:t>
            </w:r>
          </w:p>
        </w:tc>
      </w:tr>
      <w:tr w14:paraId="56FA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jc w:val="center"/>
        </w:trPr>
        <w:tc>
          <w:tcPr>
            <w:tcW w:w="738" w:type="dxa"/>
            <w:vAlign w:val="center"/>
          </w:tcPr>
          <w:p w14:paraId="0F80C60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2</w:t>
            </w:r>
          </w:p>
        </w:tc>
        <w:tc>
          <w:tcPr>
            <w:tcW w:w="1260" w:type="dxa"/>
            <w:vAlign w:val="center"/>
          </w:tcPr>
          <w:p w14:paraId="737F82F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产品技术指标符合程度评价</w:t>
            </w:r>
          </w:p>
        </w:tc>
        <w:tc>
          <w:tcPr>
            <w:tcW w:w="782" w:type="dxa"/>
            <w:vAlign w:val="center"/>
          </w:tcPr>
          <w:p w14:paraId="2B4B277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val="en-US" w:eastAsia="zh-CN"/>
              </w:rPr>
              <w:t>36分</w:t>
            </w:r>
          </w:p>
        </w:tc>
        <w:tc>
          <w:tcPr>
            <w:tcW w:w="6678" w:type="dxa"/>
            <w:vAlign w:val="center"/>
          </w:tcPr>
          <w:p w14:paraId="1CFD3A1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1、各投标人针对招标文件技术规范要求中参数的响应情况。满足招标文件基本参数要求得10分。</w:t>
            </w:r>
          </w:p>
          <w:p w14:paraId="701B523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2、技术参数中标注“▲”的为主要参数，全部满足招标文件技术参数并提供完整资料得26分，一个不满足扣3分，扣完为止。</w:t>
            </w:r>
          </w:p>
          <w:p w14:paraId="0E43E41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注：“▲”投标人需根据采购需求提供真实有效的证明文件，根据投标人提供相关的证明文件内容为准。</w:t>
            </w:r>
          </w:p>
        </w:tc>
      </w:tr>
      <w:tr w14:paraId="723C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jc w:val="center"/>
        </w:trPr>
        <w:tc>
          <w:tcPr>
            <w:tcW w:w="738" w:type="dxa"/>
            <w:vAlign w:val="center"/>
          </w:tcPr>
          <w:p w14:paraId="575D048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3</w:t>
            </w:r>
          </w:p>
        </w:tc>
        <w:tc>
          <w:tcPr>
            <w:tcW w:w="1260" w:type="dxa"/>
            <w:vAlign w:val="center"/>
          </w:tcPr>
          <w:p w14:paraId="75E52E2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供货方案及保障措施</w:t>
            </w:r>
          </w:p>
        </w:tc>
        <w:tc>
          <w:tcPr>
            <w:tcW w:w="782" w:type="dxa"/>
            <w:vAlign w:val="center"/>
          </w:tcPr>
          <w:p w14:paraId="71EFB1C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eastAsia="zh-CN"/>
              </w:rPr>
              <w:t>8分</w:t>
            </w:r>
          </w:p>
        </w:tc>
        <w:tc>
          <w:tcPr>
            <w:tcW w:w="6678" w:type="dxa"/>
            <w:vAlign w:val="top"/>
          </w:tcPr>
          <w:p w14:paraId="1AB5CB2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评审专家对供应商提供的方案及保障措施进行评审。</w:t>
            </w:r>
          </w:p>
          <w:p w14:paraId="25329AF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方案(4分)</w:t>
            </w:r>
          </w:p>
          <w:p w14:paraId="57F0665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1.方案全面详尽，逻辑清晰，方案明确，与本项目的实际情况契合度高、针对性和操作性强、可执行力强的得4分；</w:t>
            </w:r>
          </w:p>
          <w:p w14:paraId="02F360F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2.方案明确、具体，内容描述简单扼要，与本项目的实际情况相符，可操作性较高的得3分；</w:t>
            </w:r>
          </w:p>
          <w:p w14:paraId="6940828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3.方案可行，符合本项目的实际情况的得2分；</w:t>
            </w:r>
          </w:p>
          <w:p w14:paraId="691B3AF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2B98D6E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p w14:paraId="235E523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保障措施(4分)</w:t>
            </w:r>
          </w:p>
          <w:p w14:paraId="715DB90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1.措施全面详尽，逻辑清晰，方案明确，与本项目的实际情况契合度高、针对性和操作性强、可执行力强的得4分；</w:t>
            </w:r>
          </w:p>
          <w:p w14:paraId="3B7F3DD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2.措施明确、具体，内容描述简单扼要，与本项目的实际情况相符，可操作性较高的得3分；</w:t>
            </w:r>
          </w:p>
          <w:p w14:paraId="32C604C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3.措施可行，符合本项目的实际情况的得2分；</w:t>
            </w:r>
          </w:p>
          <w:p w14:paraId="64A3C96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2DD0BEB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tc>
      </w:tr>
      <w:tr w14:paraId="46D5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738" w:type="dxa"/>
            <w:vAlign w:val="center"/>
          </w:tcPr>
          <w:p w14:paraId="0AEC4B1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4</w:t>
            </w:r>
          </w:p>
        </w:tc>
        <w:tc>
          <w:tcPr>
            <w:tcW w:w="1260" w:type="dxa"/>
            <w:vAlign w:val="center"/>
          </w:tcPr>
          <w:p w14:paraId="4DD63D8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质量方案及保障措施</w:t>
            </w:r>
          </w:p>
        </w:tc>
        <w:tc>
          <w:tcPr>
            <w:tcW w:w="782" w:type="dxa"/>
            <w:vAlign w:val="center"/>
          </w:tcPr>
          <w:p w14:paraId="5E1195F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eastAsia="zh-CN"/>
              </w:rPr>
              <w:t>8分</w:t>
            </w:r>
          </w:p>
        </w:tc>
        <w:tc>
          <w:tcPr>
            <w:tcW w:w="6678" w:type="dxa"/>
            <w:vAlign w:val="center"/>
          </w:tcPr>
          <w:p w14:paraId="2EB871A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评审专家对供应商提供的方案及保障措施进行评审。</w:t>
            </w:r>
          </w:p>
          <w:p w14:paraId="3BCB7DA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方案(4分)</w:t>
            </w:r>
          </w:p>
          <w:p w14:paraId="7926EF1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1.方案全面详尽，逻辑清晰，方案明确，与本项目的实际情况契合度高、针对性和操作性强、可执行力强的得4分；</w:t>
            </w:r>
          </w:p>
          <w:p w14:paraId="692A753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2.方案明确、具体，内容描述简单扼要，与本项目的实际情况相符，可操作性较高的得3分；</w:t>
            </w:r>
          </w:p>
          <w:p w14:paraId="51DDC4C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3.方案可行，符合本项目的实际情况的得2分；</w:t>
            </w:r>
          </w:p>
          <w:p w14:paraId="10BDF08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6A75403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p w14:paraId="7A58D843">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eastAsia="zh-CN"/>
              </w:rPr>
              <w:t>保障措施(4分)</w:t>
            </w:r>
            <w:r>
              <w:rPr>
                <w:rFonts w:hint="eastAsia" w:ascii="宋体" w:hAnsi="宋体" w:eastAsia="宋体" w:cs="宋体"/>
                <w:color w:val="auto"/>
                <w:spacing w:val="14"/>
                <w:sz w:val="21"/>
                <w:szCs w:val="21"/>
                <w:highlight w:val="none"/>
                <w:lang w:val="en-US" w:eastAsia="zh-CN"/>
              </w:rPr>
              <w:t xml:space="preserve">  </w:t>
            </w:r>
          </w:p>
          <w:p w14:paraId="23E78B2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1.措施全面详尽，逻辑清晰，方案明确，与本项目的实际情况契合度高、</w:t>
            </w:r>
          </w:p>
          <w:p w14:paraId="05D3E5B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针对性和操作性强、可执行力强的得4分；</w:t>
            </w:r>
          </w:p>
          <w:p w14:paraId="2503E84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2.措施明确、具体，内容描述简单扼要，与本项目的实际情况相符，可操作性较高的得3分；</w:t>
            </w:r>
          </w:p>
          <w:p w14:paraId="5D63E7D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3.措施可行，符合本项目的实际情况的得2分；</w:t>
            </w:r>
          </w:p>
          <w:p w14:paraId="1358EC8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07CEBB3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tc>
      </w:tr>
      <w:tr w14:paraId="536B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jc w:val="center"/>
        </w:trPr>
        <w:tc>
          <w:tcPr>
            <w:tcW w:w="738" w:type="dxa"/>
            <w:vAlign w:val="center"/>
          </w:tcPr>
          <w:p w14:paraId="44BEC50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5</w:t>
            </w:r>
          </w:p>
        </w:tc>
        <w:tc>
          <w:tcPr>
            <w:tcW w:w="1260" w:type="dxa"/>
            <w:vAlign w:val="center"/>
          </w:tcPr>
          <w:p w14:paraId="469BD96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培训方案及保障措施</w:t>
            </w:r>
          </w:p>
        </w:tc>
        <w:tc>
          <w:tcPr>
            <w:tcW w:w="782" w:type="dxa"/>
            <w:vAlign w:val="center"/>
          </w:tcPr>
          <w:p w14:paraId="3EC7428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eastAsia="zh-CN"/>
              </w:rPr>
              <w:t>8分</w:t>
            </w:r>
          </w:p>
        </w:tc>
        <w:tc>
          <w:tcPr>
            <w:tcW w:w="6678" w:type="dxa"/>
            <w:vAlign w:val="center"/>
          </w:tcPr>
          <w:p w14:paraId="6DA5FD7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评审专家对供应商提供的方案及保障措施进行评审。</w:t>
            </w:r>
          </w:p>
          <w:p w14:paraId="43A2ECE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方案(4分)</w:t>
            </w:r>
          </w:p>
          <w:p w14:paraId="1B73FF8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1.方案全面详尽，逻辑清晰，方案明确，与本项目的实际情况契合度高、针对性和操作性强、可执行力强的得4分；</w:t>
            </w:r>
          </w:p>
          <w:p w14:paraId="21EDD1F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2.方案明确、具体，内容描述简单扼要，与本项目的实际情况相符，可操作性较高的得3分；</w:t>
            </w:r>
          </w:p>
          <w:p w14:paraId="16817F2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3.方案可行，符合本项目的实际情况的得2分；</w:t>
            </w:r>
          </w:p>
          <w:p w14:paraId="0C5EEDD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7BF83D3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p w14:paraId="4B35F1C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保障措施(4分)</w:t>
            </w:r>
          </w:p>
          <w:p w14:paraId="1F71010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1.措施全面详尽，逻辑清晰，方案明确，与本项目的实际情况契合度高、 针对性和操作性强、可执行力强的得4分；</w:t>
            </w:r>
          </w:p>
          <w:p w14:paraId="375F445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2.措施明确、具体，内容描述简单扼要，与本项目的实际情况相符，可 操作性较高的得3分；</w:t>
            </w:r>
          </w:p>
          <w:p w14:paraId="66AFF03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3.措施可行，符合本项目的实际情况的得2分；</w:t>
            </w:r>
          </w:p>
          <w:p w14:paraId="37102A9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7F93E26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tc>
      </w:tr>
      <w:tr w14:paraId="4407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jc w:val="center"/>
        </w:trPr>
        <w:tc>
          <w:tcPr>
            <w:tcW w:w="738" w:type="dxa"/>
            <w:vAlign w:val="center"/>
          </w:tcPr>
          <w:p w14:paraId="1B4D950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6</w:t>
            </w:r>
          </w:p>
        </w:tc>
        <w:tc>
          <w:tcPr>
            <w:tcW w:w="1260" w:type="dxa"/>
            <w:vAlign w:val="center"/>
          </w:tcPr>
          <w:p w14:paraId="440A470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售后服务方案及保障措施</w:t>
            </w:r>
          </w:p>
        </w:tc>
        <w:tc>
          <w:tcPr>
            <w:tcW w:w="782" w:type="dxa"/>
            <w:vAlign w:val="center"/>
          </w:tcPr>
          <w:p w14:paraId="0FAD625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10分</w:t>
            </w:r>
          </w:p>
        </w:tc>
        <w:tc>
          <w:tcPr>
            <w:tcW w:w="6678" w:type="dxa"/>
            <w:vAlign w:val="center"/>
          </w:tcPr>
          <w:p w14:paraId="4313F9F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评审专家对供应商提供的方案及保障措施进行评审。</w:t>
            </w:r>
          </w:p>
          <w:p w14:paraId="48F3633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方案(5分)</w:t>
            </w:r>
          </w:p>
          <w:p w14:paraId="2F34A553">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1.方案全面详尽，逻辑清晰，方案明确，与本项目的实际情况契合度高、针对性和操作性强、可执行力强的得5分；</w:t>
            </w:r>
          </w:p>
          <w:p w14:paraId="0D5A797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2.方案明确、具体，内容描述简单扼要，与本项目的实际情况相符，可操作性较高的得3分；</w:t>
            </w:r>
          </w:p>
          <w:p w14:paraId="07F26B6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3.方案可行，符合本项目的实际情况的得2分；</w:t>
            </w:r>
          </w:p>
          <w:p w14:paraId="1226ADC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7CA53CF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p w14:paraId="1DE1811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保障措施(5分)</w:t>
            </w:r>
          </w:p>
          <w:p w14:paraId="1D21FEE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1.措施全面详尽，逻辑清晰，方案明确，与本项目的实际情况契合度高、针对性和操作性强、可执行力强的得5分；</w:t>
            </w:r>
          </w:p>
          <w:p w14:paraId="7A2BAC1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2.措施明确、具体，内容描述简单扼要，与本项目的实际情况相符，可操作性较高的得3分；</w:t>
            </w:r>
          </w:p>
          <w:p w14:paraId="2D83E37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3.措施可行，符合本项目的实际情况的得2分；</w:t>
            </w:r>
          </w:p>
          <w:p w14:paraId="0D1FD30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4.基本满足招标文件及项目要求的得1分；</w:t>
            </w:r>
          </w:p>
          <w:p w14:paraId="4D090A3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5.缺项不得分。</w:t>
            </w:r>
          </w:p>
        </w:tc>
      </w:tr>
    </w:tbl>
    <w:p w14:paraId="65F366E7">
      <w:pPr>
        <w:shd w:val="clear" w:color="auto" w:fill="auto"/>
        <w:snapToGrid w:val="0"/>
        <w:spacing w:line="400" w:lineRule="exact"/>
        <w:jc w:val="left"/>
        <w:rPr>
          <w:rFonts w:hint="eastAsia" w:ascii="宋体" w:hAnsi="宋体" w:eastAsia="宋体" w:cs="宋体"/>
          <w:color w:val="auto"/>
          <w:szCs w:val="21"/>
          <w:highlight w:val="none"/>
          <w:lang w:val="en-US" w:eastAsia="zh-CN"/>
        </w:rPr>
      </w:pPr>
    </w:p>
    <w:p w14:paraId="6C442531">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备注:</w:t>
      </w:r>
    </w:p>
    <w:p w14:paraId="3C5954A3">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1、根据《政府采购</w:t>
      </w:r>
      <w:r>
        <w:rPr>
          <w:rFonts w:hint="eastAsia" w:ascii="宋体" w:hAnsi="宋体" w:cs="宋体"/>
          <w:color w:val="auto"/>
          <w:szCs w:val="21"/>
          <w:highlight w:val="none"/>
          <w:lang w:val="en-US" w:eastAsia="zh-CN"/>
        </w:rPr>
        <w:t>货物</w:t>
      </w:r>
      <w:r>
        <w:rPr>
          <w:rFonts w:hint="eastAsia" w:ascii="宋体" w:hAnsi="宋体" w:eastAsia="宋体" w:cs="宋体"/>
          <w:color w:val="auto"/>
          <w:szCs w:val="21"/>
          <w:highlight w:val="none"/>
          <w:lang w:val="en-US" w:eastAsia="zh-CN"/>
        </w:rPr>
        <w:t>和服务招投标管理办法》第87号令第六十条：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CE98363">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2、供应商在评标过程中，所进行的力图影响评标结果的不符合招标规则的活动，可能导致其被取消中标资格。</w:t>
      </w:r>
    </w:p>
    <w:p w14:paraId="63A7EE75">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3、与招标文件有重大偏离的投标文件将被拒绝。</w:t>
      </w:r>
    </w:p>
    <w:p w14:paraId="21BCB3B2">
      <w:pPr>
        <w:shd w:val="clear" w:color="auto" w:fill="auto"/>
        <w:snapToGrid w:val="0"/>
        <w:spacing w:line="400" w:lineRule="exact"/>
        <w:ind w:firstLine="424"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附：对于商务部分（投标报价）的评分，按以下方法进行：价格分统一采用低价优先法计算，即满足招标文件要求且评标价格最低的报价为评标基准价，其价格分为满分。其他投标人的价格分统一按照下列公式计算：报价得分=(评标基准价／评标价格)×</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%×100</w:t>
      </w:r>
    </w:p>
    <w:p w14:paraId="35E0D4FD">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w:t>
      </w:r>
      <w:r>
        <w:rPr>
          <w:rFonts w:hint="eastAsia" w:ascii="宋体" w:hAnsi="宋体" w:cs="宋体"/>
          <w:color w:val="auto"/>
          <w:szCs w:val="21"/>
          <w:highlight w:val="none"/>
          <w:lang w:val="en-US" w:eastAsia="zh-CN"/>
        </w:rPr>
        <w:t>中标</w:t>
      </w:r>
      <w:r>
        <w:rPr>
          <w:rFonts w:hint="eastAsia" w:ascii="宋体" w:hAnsi="宋体" w:eastAsia="宋体" w:cs="宋体"/>
          <w:color w:val="auto"/>
          <w:szCs w:val="21"/>
          <w:highlight w:val="none"/>
          <w:lang w:val="en-US" w:eastAsia="zh-CN"/>
        </w:rPr>
        <w:t>候选人。</w:t>
      </w:r>
    </w:p>
    <w:p w14:paraId="2CF97556">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5、最低报价不作为评标的唯一依据。采购人不承诺将合同授予报价最低的投标人。</w:t>
      </w:r>
    </w:p>
    <w:p w14:paraId="1B3A78F9">
      <w:pPr>
        <w:shd w:val="clear" w:color="auto" w:fill="auto"/>
        <w:spacing w:before="156" w:beforeLines="50" w:line="400" w:lineRule="exact"/>
        <w:jc w:val="left"/>
        <w:outlineLvl w:val="1"/>
        <w:rPr>
          <w:rFonts w:hint="eastAsia" w:ascii="宋体" w:hAnsi="宋体" w:eastAsia="宋体" w:cs="宋体"/>
          <w:color w:val="auto"/>
          <w:szCs w:val="21"/>
          <w:highlight w:val="none"/>
          <w:lang w:val="en-US" w:eastAsia="zh-CN"/>
        </w:rPr>
      </w:pPr>
      <w:bookmarkStart w:id="111" w:name="_Toc7876"/>
      <w:r>
        <w:rPr>
          <w:rFonts w:hint="eastAsia" w:ascii="宋体" w:hAnsi="宋体" w:eastAsia="宋体" w:cs="宋体"/>
          <w:color w:val="auto"/>
          <w:szCs w:val="21"/>
          <w:highlight w:val="none"/>
          <w:lang w:val="en-US" w:eastAsia="zh-CN"/>
        </w:rPr>
        <w:t>6、经评标委员会评议，认为投标报价过高、超出采购人预算的项目，可以不确立中标人，做为废标处理。</w:t>
      </w:r>
      <w:bookmarkEnd w:id="111"/>
    </w:p>
    <w:p w14:paraId="321A166E">
      <w:pPr>
        <w:shd w:val="clear" w:color="auto" w:fill="auto"/>
        <w:spacing w:before="156" w:beforeLines="50" w:line="400" w:lineRule="exact"/>
        <w:jc w:val="center"/>
        <w:outlineLvl w:val="1"/>
        <w:rPr>
          <w:rFonts w:hint="eastAsia" w:ascii="宋体"/>
          <w:b w:val="0"/>
          <w:bCs/>
          <w:color w:val="auto"/>
          <w:sz w:val="24"/>
          <w:highlight w:val="none"/>
        </w:rPr>
      </w:pPr>
      <w:bookmarkStart w:id="112" w:name="_Toc17440"/>
      <w:r>
        <w:rPr>
          <w:rFonts w:hint="eastAsia" w:ascii="宋体"/>
          <w:b w:val="0"/>
          <w:bCs/>
          <w:color w:val="auto"/>
          <w:sz w:val="24"/>
          <w:highlight w:val="none"/>
        </w:rPr>
        <w:t>五</w:t>
      </w:r>
      <w:r>
        <w:rPr>
          <w:rFonts w:hint="eastAsia" w:ascii="宋体"/>
          <w:b w:val="0"/>
          <w:bCs/>
          <w:color w:val="auto"/>
          <w:sz w:val="24"/>
          <w:highlight w:val="none"/>
          <w:lang w:eastAsia="zh-CN"/>
        </w:rPr>
        <w:t>、</w:t>
      </w:r>
      <w:r>
        <w:rPr>
          <w:rFonts w:hint="eastAsia" w:ascii="宋体"/>
          <w:b w:val="0"/>
          <w:bCs/>
          <w:color w:val="auto"/>
          <w:sz w:val="24"/>
          <w:highlight w:val="none"/>
        </w:rPr>
        <w:t>推荐中标候选人</w:t>
      </w:r>
      <w:bookmarkEnd w:id="112"/>
    </w:p>
    <w:p w14:paraId="7C21529E">
      <w:pPr>
        <w:shd w:val="clear" w:color="auto" w:fill="auto"/>
        <w:snapToGrid w:val="0"/>
        <w:spacing w:line="400" w:lineRule="exact"/>
        <w:ind w:firstLine="424" w:firstLineChars="200"/>
        <w:rPr>
          <w:rFonts w:hint="eastAsia" w:ascii="宋体"/>
          <w:b w:val="0"/>
          <w:bCs/>
          <w:color w:val="auto"/>
          <w:szCs w:val="21"/>
          <w:highlight w:val="none"/>
        </w:rPr>
      </w:pPr>
      <w:r>
        <w:rPr>
          <w:rFonts w:hint="eastAsia" w:ascii="宋体"/>
          <w:b w:val="0"/>
          <w:bCs/>
          <w:color w:val="auto"/>
          <w:szCs w:val="21"/>
          <w:highlight w:val="none"/>
          <w:lang w:val="en-US" w:eastAsia="zh-CN"/>
        </w:rPr>
        <w:t>11.1</w:t>
      </w:r>
      <w:r>
        <w:rPr>
          <w:rFonts w:hint="eastAsia" w:ascii="宋体" w:hAnsi="宋体"/>
          <w:b w:val="0"/>
          <w:bCs/>
          <w:color w:val="auto"/>
          <w:szCs w:val="21"/>
          <w:highlight w:val="none"/>
        </w:rPr>
        <w:t>评标委员会推荐</w:t>
      </w:r>
      <w:r>
        <w:rPr>
          <w:rFonts w:hint="eastAsia" w:ascii="宋体" w:hAnsi="宋体"/>
          <w:b w:val="0"/>
          <w:bCs/>
          <w:color w:val="auto"/>
          <w:szCs w:val="21"/>
          <w:highlight w:val="none"/>
          <w:lang w:val="en-US" w:eastAsia="zh-CN"/>
        </w:rPr>
        <w:t>3</w:t>
      </w:r>
      <w:r>
        <w:rPr>
          <w:rFonts w:hint="eastAsia" w:ascii="宋体" w:hAnsi="宋体"/>
          <w:b w:val="0"/>
          <w:bCs/>
          <w:color w:val="auto"/>
          <w:szCs w:val="21"/>
          <w:highlight w:val="none"/>
        </w:rPr>
        <w:t>名中标候选人，并标明排序。</w:t>
      </w:r>
    </w:p>
    <w:p w14:paraId="3C0A6613">
      <w:pPr>
        <w:shd w:val="clear" w:color="auto" w:fill="auto"/>
        <w:spacing w:line="400" w:lineRule="exact"/>
        <w:ind w:firstLine="414" w:firstLineChars="196"/>
        <w:rPr>
          <w:rFonts w:hint="eastAsia" w:ascii="宋体" w:hAnsi="宋体"/>
          <w:b w:val="0"/>
          <w:bCs/>
          <w:color w:val="auto"/>
          <w:szCs w:val="21"/>
          <w:highlight w:val="none"/>
        </w:rPr>
      </w:pPr>
      <w:r>
        <w:rPr>
          <w:rFonts w:hint="eastAsia" w:ascii="宋体" w:hAnsi="宋体"/>
          <w:b w:val="0"/>
          <w:bCs/>
          <w:color w:val="auto"/>
          <w:szCs w:val="21"/>
          <w:highlight w:val="none"/>
          <w:lang w:val="en-US" w:eastAsia="zh-CN"/>
        </w:rPr>
        <w:t>11.2</w:t>
      </w:r>
      <w:r>
        <w:rPr>
          <w:rFonts w:hint="eastAsia" w:ascii="宋体" w:hAnsi="宋体"/>
          <w:b w:val="0"/>
          <w:bCs/>
          <w:color w:val="auto"/>
          <w:szCs w:val="21"/>
          <w:highlight w:val="none"/>
        </w:rPr>
        <w:t>如出现报价相同情况，则由招标人现场抽签确定中标候选人排名顺序。</w:t>
      </w:r>
    </w:p>
    <w:p w14:paraId="4AD2C1EF">
      <w:pPr>
        <w:shd w:val="clear" w:color="auto" w:fill="auto"/>
        <w:snapToGrid w:val="0"/>
        <w:spacing w:line="400" w:lineRule="exact"/>
        <w:ind w:firstLine="424" w:firstLineChars="200"/>
        <w:rPr>
          <w:rFonts w:hint="eastAsia" w:ascii="宋体" w:hAnsi="宋体"/>
          <w:b w:val="0"/>
          <w:bCs/>
          <w:color w:val="auto"/>
          <w:szCs w:val="21"/>
          <w:highlight w:val="none"/>
        </w:rPr>
      </w:pPr>
      <w:r>
        <w:rPr>
          <w:rFonts w:hint="eastAsia" w:ascii="宋体" w:hAnsi="宋体"/>
          <w:b w:val="0"/>
          <w:bCs/>
          <w:color w:val="auto"/>
          <w:szCs w:val="21"/>
          <w:highlight w:val="none"/>
          <w:lang w:val="en-US" w:eastAsia="zh-CN"/>
        </w:rPr>
        <w:t>12.</w:t>
      </w:r>
      <w:r>
        <w:rPr>
          <w:rFonts w:hint="eastAsia" w:ascii="宋体" w:hAnsi="宋体"/>
          <w:b w:val="0"/>
          <w:bCs/>
          <w:color w:val="auto"/>
          <w:szCs w:val="21"/>
          <w:highlight w:val="none"/>
        </w:rPr>
        <w:t>无效投标条款</w:t>
      </w:r>
    </w:p>
    <w:p w14:paraId="768D1277">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12</w:t>
      </w:r>
      <w:r>
        <w:rPr>
          <w:rFonts w:hint="eastAsia" w:ascii="宋体" w:hAnsi="宋体" w:cs="宋体"/>
          <w:b w:val="0"/>
          <w:bCs/>
          <w:color w:val="auto"/>
          <w:szCs w:val="21"/>
          <w:highlight w:val="none"/>
        </w:rPr>
        <w:t>.1投标文件有下列情形之一的,其投标文件拒收:</w:t>
      </w:r>
    </w:p>
    <w:p w14:paraId="49478429">
      <w:pPr>
        <w:shd w:val="clear" w:color="auto" w:fill="auto"/>
        <w:snapToGrid w:val="0"/>
        <w:spacing w:line="400" w:lineRule="exact"/>
        <w:ind w:firstLine="424" w:firstLineChars="200"/>
        <w:jc w:val="left"/>
        <w:rPr>
          <w:rFonts w:hint="eastAsia" w:ascii="宋体" w:hAnsi="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cs="宋体"/>
          <w:b w:val="0"/>
          <w:bCs/>
          <w:color w:val="auto"/>
          <w:szCs w:val="21"/>
          <w:highlight w:val="none"/>
        </w:rPr>
        <w:t>未在开标截止时间前通过网上招标投标系统递交有效电子投标文件的，开标系统不予接收。</w:t>
      </w:r>
    </w:p>
    <w:p w14:paraId="06023906">
      <w:pPr>
        <w:shd w:val="clear" w:color="auto" w:fill="auto"/>
        <w:snapToGrid w:val="0"/>
        <w:spacing w:line="400" w:lineRule="exact"/>
        <w:ind w:firstLine="424" w:firstLineChars="200"/>
        <w:jc w:val="left"/>
        <w:rPr>
          <w:rFonts w:hint="eastAsia" w:ascii="宋体" w:hAnsi="宋体"/>
          <w:b w:val="0"/>
          <w:bCs/>
          <w:color w:val="auto"/>
          <w:szCs w:val="21"/>
          <w:highlight w:val="none"/>
        </w:rPr>
      </w:pPr>
      <w:r>
        <w:rPr>
          <w:rFonts w:hint="eastAsia" w:ascii="宋体" w:hAnsi="宋体" w:cs="宋体"/>
          <w:b w:val="0"/>
          <w:bCs/>
          <w:color w:val="auto"/>
          <w:szCs w:val="21"/>
          <w:highlight w:val="none"/>
        </w:rPr>
        <w:t>（2）</w:t>
      </w:r>
      <w:r>
        <w:rPr>
          <w:rFonts w:hint="eastAsia" w:ascii="宋体" w:hAnsi="宋体"/>
          <w:b w:val="0"/>
          <w:bCs/>
          <w:color w:val="auto"/>
          <w:szCs w:val="21"/>
          <w:highlight w:val="none"/>
        </w:rPr>
        <w:t>所有投标人应在规定时间里完成投标文件的解密工作【投标人</w:t>
      </w:r>
      <w:r>
        <w:rPr>
          <w:rFonts w:hint="eastAsia" w:ascii="宋体" w:hAnsi="宋体"/>
          <w:b w:val="0"/>
          <w:bCs/>
          <w:color w:val="auto"/>
          <w:szCs w:val="21"/>
          <w:highlight w:val="none"/>
          <w:lang w:eastAsia="zh-CN"/>
        </w:rPr>
        <w:t>使用</w:t>
      </w:r>
      <w:r>
        <w:rPr>
          <w:rFonts w:hint="eastAsia" w:ascii="宋体" w:hAnsi="宋体"/>
          <w:b w:val="0"/>
          <w:bCs/>
          <w:color w:val="auto"/>
          <w:szCs w:val="21"/>
          <w:highlight w:val="none"/>
        </w:rPr>
        <w:t>其有效加密</w:t>
      </w:r>
    </w:p>
    <w:p w14:paraId="37305F51">
      <w:pPr>
        <w:shd w:val="clear" w:color="auto" w:fill="auto"/>
        <w:snapToGrid w:val="0"/>
        <w:spacing w:line="400" w:lineRule="exact"/>
        <w:jc w:val="left"/>
        <w:rPr>
          <w:rFonts w:hint="eastAsia" w:ascii="宋体" w:hAnsi="宋体" w:cs="宋体"/>
          <w:b w:val="0"/>
          <w:bCs/>
          <w:color w:val="auto"/>
          <w:szCs w:val="21"/>
          <w:highlight w:val="none"/>
        </w:rPr>
      </w:pPr>
      <w:r>
        <w:rPr>
          <w:rFonts w:hint="eastAsia" w:ascii="宋体" w:hAnsi="宋体"/>
          <w:b w:val="0"/>
          <w:bCs/>
          <w:color w:val="auto"/>
          <w:szCs w:val="21"/>
          <w:highlight w:val="none"/>
        </w:rPr>
        <w:t>锁（CA锁）</w:t>
      </w:r>
      <w:r>
        <w:rPr>
          <w:rFonts w:hint="eastAsia" w:ascii="宋体" w:hAnsi="宋体"/>
          <w:b w:val="0"/>
          <w:bCs/>
          <w:color w:val="auto"/>
          <w:szCs w:val="21"/>
          <w:highlight w:val="none"/>
          <w:lang w:eastAsia="zh-CN"/>
        </w:rPr>
        <w:t>进行</w:t>
      </w:r>
      <w:r>
        <w:rPr>
          <w:rFonts w:hint="eastAsia" w:ascii="宋体" w:hAnsi="宋体"/>
          <w:b w:val="0"/>
          <w:bCs/>
          <w:color w:val="auto"/>
          <w:szCs w:val="21"/>
          <w:highlight w:val="none"/>
        </w:rPr>
        <w:t>解密（因投标人原因未能提供有效CA锁对其投标文件进行解密的，其投标文件按无效标处理），以网上招投标系统解密倒计时为准】，因系统原因未能成功解密的投标文件，可导入</w:t>
      </w:r>
      <w:r>
        <w:rPr>
          <w:rFonts w:hint="eastAsia" w:ascii="宋体" w:hAnsi="宋体"/>
          <w:b w:val="0"/>
          <w:bCs/>
          <w:color w:val="auto"/>
          <w:szCs w:val="21"/>
          <w:highlight w:val="none"/>
          <w:lang w:eastAsia="zh-CN"/>
        </w:rPr>
        <w:t>备份投标文件</w:t>
      </w:r>
      <w:r>
        <w:rPr>
          <w:rFonts w:hint="eastAsia" w:ascii="宋体" w:hAnsi="宋体"/>
          <w:b w:val="0"/>
          <w:bCs/>
          <w:color w:val="auto"/>
          <w:szCs w:val="21"/>
          <w:highlight w:val="none"/>
        </w:rPr>
        <w:t>。</w:t>
      </w:r>
      <w:r>
        <w:rPr>
          <w:rFonts w:hint="eastAsia" w:ascii="宋体" w:hAnsi="宋体"/>
          <w:b w:val="0"/>
          <w:bCs/>
          <w:color w:val="auto"/>
          <w:szCs w:val="21"/>
          <w:highlight w:val="none"/>
          <w:lang w:eastAsia="zh-CN"/>
        </w:rPr>
        <w:t>备份投标文件</w:t>
      </w:r>
      <w:r>
        <w:rPr>
          <w:rFonts w:hint="eastAsia" w:ascii="宋体" w:hAnsi="宋体"/>
          <w:b w:val="0"/>
          <w:bCs/>
          <w:color w:val="auto"/>
          <w:szCs w:val="21"/>
          <w:highlight w:val="none"/>
        </w:rPr>
        <w:t>也无法导入的，则投标文件被否决。</w:t>
      </w:r>
    </w:p>
    <w:p w14:paraId="2E42725D">
      <w:pPr>
        <w:shd w:val="clear" w:color="auto" w:fill="auto"/>
        <w:snapToGrid w:val="0"/>
        <w:spacing w:line="400" w:lineRule="exact"/>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  </w:t>
      </w:r>
      <w:r>
        <w:rPr>
          <w:rFonts w:hint="eastAsia" w:ascii="宋体" w:hAnsi="宋体" w:cs="宋体"/>
          <w:b w:val="0"/>
          <w:bCs/>
          <w:color w:val="auto"/>
          <w:szCs w:val="21"/>
          <w:highlight w:val="none"/>
          <w:lang w:val="en-US" w:eastAsia="zh-CN"/>
        </w:rPr>
        <w:t>12</w:t>
      </w:r>
      <w:r>
        <w:rPr>
          <w:rFonts w:hint="eastAsia" w:ascii="宋体" w:hAnsi="宋体" w:cs="宋体"/>
          <w:b w:val="0"/>
          <w:bCs/>
          <w:color w:val="auto"/>
          <w:szCs w:val="21"/>
          <w:highlight w:val="none"/>
        </w:rPr>
        <w:t>.2投标人有下列情形之一的,资格审查后其投标作无效投标处理：</w:t>
      </w:r>
    </w:p>
    <w:p w14:paraId="144FB84B">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(1)法定代表人参加开标会议未携带有效的法定代表人身份证明原件和本人身份证的；委托代理人参加开标会议未携带有效的法定代表人授权书和本人身份证；</w:t>
      </w:r>
    </w:p>
    <w:p w14:paraId="1E7B0884">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(2)投标人为本项目提供招标代理服务的；</w:t>
      </w:r>
    </w:p>
    <w:p w14:paraId="0F47D88A">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(3)投标人与在本项目代理机构存在相互任职或工作的；</w:t>
      </w:r>
    </w:p>
    <w:p w14:paraId="15ACA786">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(4)投标保证金未按规定要求缴纳的；</w:t>
      </w:r>
    </w:p>
    <w:p w14:paraId="46ADAE13">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(5)</w:t>
      </w:r>
      <w:r>
        <w:rPr>
          <w:rFonts w:hint="eastAsia" w:ascii="宋体" w:hAnsi="宋体"/>
          <w:b w:val="0"/>
          <w:bCs/>
          <w:color w:val="auto"/>
          <w:szCs w:val="21"/>
          <w:highlight w:val="none"/>
        </w:rPr>
        <w:t>评标专家无法查看并检验电子标书中相关资料的；</w:t>
      </w:r>
    </w:p>
    <w:p w14:paraId="2F7963F9">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(6)投标人超出营业范围投标的；</w:t>
      </w:r>
    </w:p>
    <w:p w14:paraId="08D146FC">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(7)联合体投标未提交联合体协议的；</w:t>
      </w:r>
    </w:p>
    <w:p w14:paraId="25BCE502">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(8)被暂停营业的；</w:t>
      </w:r>
    </w:p>
    <w:p w14:paraId="17FD4066">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(9)被暂停或取消投标资格的；</w:t>
      </w:r>
    </w:p>
    <w:p w14:paraId="2603A2B1">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(10)财产被接管或冻结的；</w:t>
      </w:r>
    </w:p>
    <w:p w14:paraId="2E73AD15">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(11)投标人单位负责人为同一人或者存在控股、管理关系的不同单位的；</w:t>
      </w:r>
    </w:p>
    <w:p w14:paraId="12255B58">
      <w:pPr>
        <w:shd w:val="clear" w:color="auto" w:fill="auto"/>
        <w:snapToGrid w:val="0"/>
        <w:spacing w:line="400" w:lineRule="exact"/>
        <w:ind w:firstLine="318" w:firstLineChars="150"/>
        <w:jc w:val="left"/>
        <w:rPr>
          <w:rFonts w:hint="eastAsia" w:ascii="宋体" w:hAnsi="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投</w:t>
      </w:r>
      <w:r>
        <w:rPr>
          <w:rFonts w:hint="eastAsia" w:ascii="宋体" w:hAnsi="宋体" w:cs="宋体"/>
          <w:b w:val="0"/>
          <w:bCs/>
          <w:color w:val="auto"/>
          <w:szCs w:val="21"/>
          <w:highlight w:val="none"/>
        </w:rPr>
        <w:t>标人基本资格条件和特定资格条件中有一项及以上不符合要求的；</w:t>
      </w:r>
    </w:p>
    <w:p w14:paraId="05A0A21A">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（13）投标人使用相同的MAC地址进行报名的；</w:t>
      </w:r>
    </w:p>
    <w:p w14:paraId="6D2B4868">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（14）其它情形，经评标委员会委提出按无效投标处理，并经公共资源交易监督部门核准的；</w:t>
      </w:r>
    </w:p>
    <w:p w14:paraId="13A2FCD3">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（15）投标人使用相同IP地址报名的，一经发现，监管部门将进一步核实，查实后按串通投标处理；</w:t>
      </w:r>
    </w:p>
    <w:p w14:paraId="16535960">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（16）</w:t>
      </w:r>
      <w:r>
        <w:rPr>
          <w:rFonts w:hint="eastAsia" w:ascii="宋体" w:hAnsi="宋体" w:cs="宋体"/>
          <w:b w:val="0"/>
          <w:bCs/>
          <w:color w:val="auto"/>
          <w:szCs w:val="21"/>
          <w:highlight w:val="none"/>
          <w:lang w:eastAsia="zh-CN"/>
        </w:rPr>
        <w:t>采购文件</w:t>
      </w:r>
      <w:r>
        <w:rPr>
          <w:rFonts w:hint="eastAsia" w:ascii="宋体" w:hAnsi="宋体" w:cs="宋体"/>
          <w:b w:val="0"/>
          <w:bCs/>
          <w:color w:val="auto"/>
          <w:szCs w:val="21"/>
          <w:highlight w:val="none"/>
        </w:rPr>
        <w:t>规定的其它无效投标情形。</w:t>
      </w:r>
    </w:p>
    <w:p w14:paraId="31A2BCCD">
      <w:pPr>
        <w:shd w:val="clear" w:color="auto" w:fill="auto"/>
        <w:snapToGrid w:val="0"/>
        <w:spacing w:line="400" w:lineRule="exact"/>
        <w:ind w:firstLine="424"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12</w:t>
      </w:r>
      <w:r>
        <w:rPr>
          <w:rFonts w:hint="eastAsia" w:ascii="宋体" w:hAnsi="宋体" w:cs="宋体"/>
          <w:b w:val="0"/>
          <w:bCs/>
          <w:color w:val="auto"/>
          <w:szCs w:val="21"/>
          <w:highlight w:val="none"/>
        </w:rPr>
        <w:t>.3 投标人有下列情形之一的,符合性审查后其投标按无效投标处理：</w:t>
      </w:r>
    </w:p>
    <w:p w14:paraId="6D5236A0">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(1)投标文件签字、盖章不全，经评标委员会一致认定对开评标内容有实质性影响并经监督部门核准的；</w:t>
      </w:r>
    </w:p>
    <w:p w14:paraId="784A64A2">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rPr>
        <w:t>)未按规定的格式填写，实质性内容不全或关键字迹模糊、无法辨认; 经监督部门核准的；</w:t>
      </w:r>
    </w:p>
    <w:p w14:paraId="650652D6">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rPr>
        <w:t>)同一投标人提交两个以上不同的投标文件或者投标报价，但</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规定提交备选方案的除外；</w:t>
      </w:r>
    </w:p>
    <w:p w14:paraId="14D68B67">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rPr>
        <w:t>)投标文件没有对</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的实质性要求和条件作出响应;</w:t>
      </w:r>
    </w:p>
    <w:p w14:paraId="509747FD">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5</w:t>
      </w:r>
      <w:r>
        <w:rPr>
          <w:rFonts w:hint="eastAsia" w:ascii="宋体" w:hAnsi="宋体" w:eastAsia="宋体" w:cs="宋体"/>
          <w:b w:val="0"/>
          <w:bCs/>
          <w:color w:val="auto"/>
          <w:szCs w:val="21"/>
          <w:highlight w:val="none"/>
        </w:rPr>
        <w:t>)投标报价超出规定的投标限价或公布的采购预算的；注：投标人的投标报价各项单价均不得高于</w:t>
      </w:r>
      <w:r>
        <w:rPr>
          <w:rFonts w:hint="eastAsia" w:ascii="宋体" w:hAnsi="宋体" w:eastAsia="宋体" w:cs="宋体"/>
          <w:b w:val="0"/>
          <w:bCs/>
          <w:color w:val="auto"/>
          <w:szCs w:val="21"/>
          <w:highlight w:val="none"/>
          <w:lang w:eastAsia="zh-CN"/>
        </w:rPr>
        <w:t>招标文件</w:t>
      </w:r>
      <w:r>
        <w:rPr>
          <w:rFonts w:hint="eastAsia" w:ascii="宋体" w:hAnsi="宋体" w:eastAsia="宋体" w:cs="宋体"/>
          <w:b w:val="0"/>
          <w:bCs/>
          <w:color w:val="auto"/>
          <w:szCs w:val="21"/>
          <w:highlight w:val="none"/>
        </w:rPr>
        <w:t>给定的单价最高限价，否则，其投标文件将按无效投标处理。</w:t>
      </w:r>
    </w:p>
    <w:p w14:paraId="04453F09">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rPr>
        <w:t>)不按评标委员会要求澄清、说明或补正的，或者评标委员会根据</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的规定对</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的计算错误进行修正后，投标人不接受修正的投标报价的。</w:t>
      </w:r>
    </w:p>
    <w:p w14:paraId="13227AAB">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7</w:t>
      </w:r>
      <w:r>
        <w:rPr>
          <w:rFonts w:hint="eastAsia" w:ascii="宋体" w:hAnsi="宋体" w:eastAsia="宋体" w:cs="宋体"/>
          <w:b w:val="0"/>
          <w:bCs/>
          <w:color w:val="auto"/>
          <w:szCs w:val="21"/>
          <w:highlight w:val="none"/>
        </w:rPr>
        <w:t>）其它情形，经评标委员会委提出按无效投标处理，并经公共资源交易监督部门核准的；</w:t>
      </w:r>
    </w:p>
    <w:p w14:paraId="54F8203E">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8</w:t>
      </w:r>
      <w:r>
        <w:rPr>
          <w:rFonts w:hint="eastAsia" w:ascii="宋体" w:hAnsi="宋体" w:eastAsia="宋体" w:cs="宋体"/>
          <w:b w:val="0"/>
          <w:bCs/>
          <w:color w:val="auto"/>
          <w:szCs w:val="21"/>
          <w:highlight w:val="none"/>
        </w:rPr>
        <w:t>）未按照</w:t>
      </w:r>
      <w:r>
        <w:rPr>
          <w:rFonts w:hint="eastAsia" w:ascii="宋体" w:hAnsi="宋体" w:eastAsia="宋体" w:cs="宋体"/>
          <w:b w:val="0"/>
          <w:bCs/>
          <w:color w:val="auto"/>
          <w:szCs w:val="21"/>
          <w:highlight w:val="none"/>
          <w:lang w:eastAsia="zh-CN"/>
        </w:rPr>
        <w:t>招标文件</w:t>
      </w:r>
      <w:r>
        <w:rPr>
          <w:rFonts w:hint="eastAsia" w:ascii="宋体" w:hAnsi="宋体" w:eastAsia="宋体" w:cs="宋体"/>
          <w:b w:val="0"/>
          <w:bCs/>
          <w:color w:val="auto"/>
          <w:szCs w:val="21"/>
          <w:highlight w:val="none"/>
        </w:rPr>
        <w:t>的规定提交投标保证金的；</w:t>
      </w:r>
    </w:p>
    <w:p w14:paraId="7441F45A">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9</w:t>
      </w:r>
      <w:r>
        <w:rPr>
          <w:rFonts w:hint="eastAsia" w:ascii="宋体" w:hAnsi="宋体" w:eastAsia="宋体" w:cs="宋体"/>
          <w:b w:val="0"/>
          <w:bCs/>
          <w:color w:val="auto"/>
          <w:szCs w:val="21"/>
          <w:highlight w:val="none"/>
        </w:rPr>
        <w:t>）投标文件含有采购人不能接受的附加条件的;</w:t>
      </w:r>
    </w:p>
    <w:p w14:paraId="44D42A6C">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10</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规定的其它无效投标情形。</w:t>
      </w:r>
    </w:p>
    <w:p w14:paraId="576173DB">
      <w:pPr>
        <w:shd w:val="clear" w:color="auto" w:fill="auto"/>
        <w:snapToGrid w:val="0"/>
        <w:spacing w:line="400" w:lineRule="exact"/>
        <w:ind w:firstLine="424"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.4 投标人有下列情形之一的, 详细评审后其投标按无效投标处理：</w:t>
      </w:r>
    </w:p>
    <w:p w14:paraId="7F7C69D2">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投标产品不符合必须强制执行的国家标准的；</w:t>
      </w:r>
    </w:p>
    <w:p w14:paraId="39A03860">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投标人有串通投标、弄虚作假、行贿等违法行为；</w:t>
      </w:r>
    </w:p>
    <w:p w14:paraId="26DD1B44">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投标文件含有违反国家法律、法规的内容，或附有招标人不能接受的条件的；</w:t>
      </w:r>
    </w:p>
    <w:p w14:paraId="75F09524">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在同一项目（或同一标段）中有多个投标人有效投标报价接近最高限价，且评标委员会认为报价出现异常的，可以宣布其投标无效；</w:t>
      </w:r>
    </w:p>
    <w:p w14:paraId="6948A768">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（5）报价明显低于其他投标人，且不能证明报价合理性的投标无效；</w:t>
      </w:r>
    </w:p>
    <w:p w14:paraId="48894E10">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（6）拒不确认评标委员会评审修正的投标无效；</w:t>
      </w:r>
    </w:p>
    <w:p w14:paraId="065A9F19">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（7）其它情形，经评标委员会委提出按无效投标处理，并经公共资源交易监督部门核准的；</w:t>
      </w:r>
    </w:p>
    <w:p w14:paraId="63642C9E">
      <w:pPr>
        <w:ind w:firstLine="424" w:firstLineChars="200"/>
        <w:jc w:val="both"/>
        <w:rPr>
          <w:rFonts w:hint="eastAsia" w:ascii="Times New Roman" w:hAnsi="Times New Roman" w:eastAsia="宋体" w:cs="Times New Roman"/>
          <w:b/>
          <w:bCs/>
          <w:color w:val="auto"/>
          <w:sz w:val="32"/>
          <w:szCs w:val="40"/>
          <w:highlight w:val="none"/>
          <w:lang w:val="en-US" w:eastAsia="zh-CN"/>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采购文件</w:t>
      </w:r>
      <w:r>
        <w:rPr>
          <w:rFonts w:hint="eastAsia" w:ascii="宋体" w:hAnsi="宋体" w:eastAsia="宋体" w:cs="宋体"/>
          <w:color w:val="auto"/>
          <w:szCs w:val="21"/>
          <w:highlight w:val="none"/>
        </w:rPr>
        <w:t>规定的其它无效投标情形。</w:t>
      </w:r>
      <w:bookmarkEnd w:id="105"/>
      <w:bookmarkEnd w:id="106"/>
      <w:bookmarkEnd w:id="110"/>
      <w:bookmarkStart w:id="113" w:name="OLE_LINK4"/>
    </w:p>
    <w:p w14:paraId="3C802A2B">
      <w:pPr>
        <w:jc w:val="center"/>
        <w:rPr>
          <w:rFonts w:hint="eastAsia" w:ascii="Times New Roman" w:hAnsi="Times New Roman" w:eastAsia="宋体" w:cs="Times New Roman"/>
          <w:b/>
          <w:bCs/>
          <w:color w:val="auto"/>
          <w:sz w:val="32"/>
          <w:szCs w:val="40"/>
          <w:highlight w:val="none"/>
          <w:lang w:val="en-US" w:eastAsia="zh-CN"/>
        </w:rPr>
        <w:sectPr>
          <w:footerReference r:id="rId6" w:type="default"/>
          <w:pgSz w:w="11905" w:h="16838"/>
          <w:pgMar w:top="1440" w:right="1797" w:bottom="1440" w:left="1797" w:header="850" w:footer="992" w:gutter="0"/>
          <w:pgNumType w:fmt="decimal" w:start="1"/>
          <w:cols w:space="0" w:num="1"/>
          <w:rtlGutter w:val="0"/>
          <w:docGrid w:type="linesAndChars" w:linePitch="332" w:charSpace="614"/>
        </w:sectPr>
      </w:pPr>
    </w:p>
    <w:p w14:paraId="16BBE312">
      <w:pPr>
        <w:shd w:val="clear"/>
        <w:jc w:val="center"/>
        <w:rPr>
          <w:rFonts w:hint="eastAsia" w:ascii="Times New Roman" w:hAnsi="Times New Roman" w:eastAsia="宋体" w:cs="Times New Roman"/>
          <w:b/>
          <w:bCs/>
          <w:color w:val="auto"/>
          <w:sz w:val="32"/>
          <w:szCs w:val="40"/>
          <w:highlight w:val="none"/>
          <w:lang w:val="en-US" w:eastAsia="zh-CN"/>
        </w:rPr>
      </w:pPr>
      <w:r>
        <w:rPr>
          <w:rFonts w:hint="eastAsia" w:ascii="Times New Roman" w:hAnsi="Times New Roman" w:eastAsia="宋体" w:cs="Times New Roman"/>
          <w:b/>
          <w:bCs/>
          <w:color w:val="auto"/>
          <w:sz w:val="32"/>
          <w:szCs w:val="40"/>
          <w:highlight w:val="none"/>
          <w:lang w:val="en-US" w:eastAsia="zh-CN"/>
        </w:rPr>
        <w:t>第四章、采购内容及技术要求</w:t>
      </w:r>
    </w:p>
    <w:p w14:paraId="23FA7E0B">
      <w:pPr>
        <w:pStyle w:val="10"/>
        <w:shd w:val="clear"/>
        <w:spacing w:before="18" w:line="231" w:lineRule="auto"/>
        <w:jc w:val="center"/>
        <w:rPr>
          <w:rFonts w:hint="eastAsia"/>
          <w:b/>
          <w:bCs/>
          <w:color w:val="auto"/>
          <w:spacing w:val="1"/>
          <w:sz w:val="28"/>
          <w:szCs w:val="28"/>
          <w:highlight w:val="none"/>
        </w:rPr>
      </w:pPr>
      <w:r>
        <w:rPr>
          <w:rFonts w:hint="eastAsia"/>
          <w:b/>
          <w:bCs/>
          <w:color w:val="auto"/>
          <w:spacing w:val="1"/>
          <w:sz w:val="28"/>
          <w:szCs w:val="28"/>
          <w:highlight w:val="none"/>
        </w:rPr>
        <w:t>自治区2026年阿图什市“扩优提质类”资金建设项目（设备采购）二次</w:t>
      </w:r>
    </w:p>
    <w:p w14:paraId="1C5F736D">
      <w:pPr>
        <w:pStyle w:val="10"/>
        <w:shd w:val="clear"/>
        <w:spacing w:before="18" w:line="231" w:lineRule="auto"/>
        <w:jc w:val="center"/>
        <w:rPr>
          <w:b/>
          <w:bCs/>
          <w:color w:val="auto"/>
          <w:spacing w:val="1"/>
          <w:sz w:val="28"/>
          <w:szCs w:val="28"/>
          <w:highlight w:val="none"/>
        </w:rPr>
      </w:pPr>
      <w:r>
        <w:rPr>
          <w:rFonts w:hint="eastAsia"/>
          <w:b/>
          <w:bCs/>
          <w:color w:val="auto"/>
          <w:spacing w:val="1"/>
          <w:sz w:val="28"/>
          <w:szCs w:val="28"/>
          <w:highlight w:val="none"/>
          <w:lang w:eastAsia="zh-CN"/>
        </w:rPr>
        <w:t>（</w:t>
      </w:r>
      <w:r>
        <w:rPr>
          <w:rFonts w:hint="eastAsia"/>
          <w:b/>
          <w:bCs/>
          <w:color w:val="auto"/>
          <w:spacing w:val="1"/>
          <w:sz w:val="28"/>
          <w:szCs w:val="28"/>
          <w:highlight w:val="none"/>
          <w:lang w:val="en-US" w:eastAsia="zh-CN"/>
        </w:rPr>
        <w:t>一包</w:t>
      </w:r>
      <w:r>
        <w:rPr>
          <w:rFonts w:hint="eastAsia"/>
          <w:b/>
          <w:bCs/>
          <w:color w:val="auto"/>
          <w:spacing w:val="1"/>
          <w:sz w:val="28"/>
          <w:szCs w:val="28"/>
          <w:highlight w:val="none"/>
          <w:lang w:eastAsia="zh-CN"/>
        </w:rPr>
        <w:t>）</w:t>
      </w:r>
      <w:r>
        <w:rPr>
          <w:rFonts w:hint="eastAsia"/>
          <w:b/>
          <w:bCs/>
          <w:color w:val="auto"/>
          <w:spacing w:val="1"/>
          <w:sz w:val="28"/>
          <w:szCs w:val="28"/>
          <w:highlight w:val="none"/>
        </w:rPr>
        <w:t>采购内容及技术要求</w:t>
      </w:r>
    </w:p>
    <w:p w14:paraId="1DE8F7E4">
      <w:pPr>
        <w:pStyle w:val="10"/>
        <w:shd w:val="clear"/>
        <w:spacing w:before="18" w:line="231" w:lineRule="auto"/>
        <w:rPr>
          <w:color w:val="auto"/>
          <w:sz w:val="23"/>
          <w:szCs w:val="23"/>
          <w:highlight w:val="none"/>
        </w:rPr>
      </w:pPr>
      <w:r>
        <w:rPr>
          <w:b/>
          <w:bCs/>
          <w:color w:val="auto"/>
          <w:spacing w:val="1"/>
          <w:sz w:val="23"/>
          <w:szCs w:val="23"/>
          <w:highlight w:val="none"/>
        </w:rPr>
        <w:t>一、技术要求</w:t>
      </w:r>
    </w:p>
    <w:p w14:paraId="3B2F2244">
      <w:pPr>
        <w:jc w:val="center"/>
        <w:rPr>
          <w:highlight w:val="none"/>
        </w:rPr>
      </w:pPr>
    </w:p>
    <w:tbl>
      <w:tblPr>
        <w:tblStyle w:val="29"/>
        <w:tblW w:w="90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2"/>
        <w:gridCol w:w="1116"/>
        <w:gridCol w:w="885"/>
        <w:gridCol w:w="650"/>
        <w:gridCol w:w="653"/>
        <w:gridCol w:w="3096"/>
        <w:gridCol w:w="691"/>
        <w:gridCol w:w="730"/>
        <w:gridCol w:w="640"/>
      </w:tblGrid>
      <w:tr w14:paraId="7B297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2B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7CDD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玩教具</w:t>
            </w:r>
          </w:p>
          <w:p w14:paraId="4164E3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类别</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47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玩教具名称</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7E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8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91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参数</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77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98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总价</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BE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1880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DD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44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85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大型积木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18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D0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D9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78件/箱，原生食品级工程塑料原料，精密模具一次成型后经拼插组装而成，产品强韧度高、圆润度好，经多次使用不断裂、不易磨损，对于培养提高孩子的抓握、插入、扣紧和旋转等能力有很大的帮助，还能培养训练孩子的手眼协调能力，提高孩子的想象力和创造力。</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D03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A833">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7F3C">
            <w:pPr>
              <w:jc w:val="center"/>
              <w:rPr>
                <w:rFonts w:hint="eastAsia" w:ascii="宋体" w:hAnsi="宋体" w:eastAsia="宋体" w:cs="宋体"/>
                <w:i w:val="0"/>
                <w:iCs w:val="0"/>
                <w:color w:val="auto"/>
                <w:sz w:val="18"/>
                <w:szCs w:val="18"/>
                <w:highlight w:val="none"/>
                <w:u w:val="none"/>
              </w:rPr>
            </w:pPr>
          </w:p>
        </w:tc>
      </w:tr>
      <w:tr w14:paraId="172A6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5A0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3C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8B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中型积木（178片松木积木）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E5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A8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32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1、优质新西兰松木  2、工艺：上一次清漆，磨圆角、光滑无毛刺。 </w:t>
            </w:r>
            <w:r>
              <w:rPr>
                <w:rFonts w:hint="eastAsia" w:ascii="宋体" w:hAnsi="宋体" w:eastAsia="宋体" w:cs="宋体"/>
                <w:color w:val="auto"/>
                <w:sz w:val="21"/>
                <w:szCs w:val="21"/>
                <w:highlight w:val="none"/>
              </w:rPr>
              <w:t>▲</w:t>
            </w:r>
            <w:r>
              <w:rPr>
                <w:rFonts w:hint="eastAsia" w:ascii="宋体" w:hAnsi="宋体" w:eastAsia="宋体" w:cs="宋体"/>
                <w:i w:val="0"/>
                <w:iCs w:val="0"/>
                <w:color w:val="auto"/>
                <w:kern w:val="0"/>
                <w:sz w:val="18"/>
                <w:szCs w:val="18"/>
                <w:highlight w:val="none"/>
                <w:u w:val="none"/>
                <w:lang w:val="en-US" w:eastAsia="zh-CN" w:bidi="ar"/>
              </w:rPr>
              <w:t>3.提供第三方权威检测机构出具的GB6675-2014国标检测报告（检测报告必须包括: 1.GB 6675.1-2014-玩具安全第1部分：基本规范；2.GB6675.2-2014-玩具第2部分：机械与物理性能；3.GB6675.3-2014玩具安全第3部分：易燃性能；4.GB6675.1-2014-章节5.3.7-邻苯二甲酸酯增塑剂；5.GB6675.1-2014章节5.3.3&amp;GB6675.4-2014-特定元素的迁移共5个项目检测合格！）                           178片积木 ；产品形状16个，产品最长尺寸24*6*1.5cm。最小尺寸3*3*3cm ；形状名称：方块，尺寸cm：6*6*3，数量：24块；形状名称：基本块，尺寸cm：12*6*3，数量：12块；形状名称：小三角，尺寸cm：6*6*3，数量：16块形状名称：三角块，尺寸cm：12*6*3，数量：4块；形状名称：小方块，尺寸cm：3*3*3，数量：46块；形状名称：长方块，尺寸cm：6*3*3，数量：24块；形状名称：中长方块，尺寸cm：12*3*3，数量：12块；形状名称：大长方块，尺寸cm：24*6*1.5，数量：4块；形状名称：短圆棍，尺寸cm：Φ3*6，数量：16块；形状名称：长圆棍，尺寸cm：Φ3*12，数量：8块；形状名称：圆拱块，尺寸cm：24*12*3，数量：2块；形状名称：大半圆，尺寸cm：12*6*3，数量：2块；形状名称：桥形块，尺寸cm：12*6*3，数量：2块；形状名称：小半圆，尺寸cm：Φ6*3，数量：2块；形状名称：大叉路，尺寸cm：24*16*3，数量：2块；形状名称：歌德门，尺寸cm：11*4*3，数量：2块</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D24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E11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6004">
            <w:pPr>
              <w:jc w:val="center"/>
              <w:rPr>
                <w:rFonts w:hint="eastAsia" w:ascii="宋体" w:hAnsi="宋体" w:eastAsia="宋体" w:cs="宋体"/>
                <w:i w:val="0"/>
                <w:iCs w:val="0"/>
                <w:color w:val="auto"/>
                <w:sz w:val="18"/>
                <w:szCs w:val="18"/>
                <w:highlight w:val="none"/>
                <w:u w:val="none"/>
              </w:rPr>
            </w:pPr>
          </w:p>
        </w:tc>
      </w:tr>
      <w:tr w14:paraId="6AD17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FA37">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E2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32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小型积木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9A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86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DDA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荷木；规格：包装18*18*21cm。积木块规格：正方立柱：5*2.5*2.5cm/14块、正方体：2.5*2.5*2.5cm/30块、小长方体：5*2.5*1.2cm/28块、大长方体：7.5*2.5*1.2cm/10块、圆柱体：φ2.5*5cm/4块、等腰三角形4.7*2.4*2.5cm/6块、半圆形：4.3*2*2.5cm/4块、拱形：5*2.5*2.5cm/4块.采用环保水性油漆</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9829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255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DF99">
            <w:pPr>
              <w:jc w:val="center"/>
              <w:rPr>
                <w:rFonts w:hint="eastAsia" w:ascii="宋体" w:hAnsi="宋体" w:eastAsia="宋体" w:cs="宋体"/>
                <w:i w:val="0"/>
                <w:iCs w:val="0"/>
                <w:color w:val="auto"/>
                <w:sz w:val="18"/>
                <w:szCs w:val="18"/>
                <w:highlight w:val="none"/>
                <w:u w:val="none"/>
              </w:rPr>
            </w:pPr>
          </w:p>
        </w:tc>
      </w:tr>
      <w:tr w14:paraId="2A7DA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8CA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BE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E8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接插构造玩具（几何雪花片）</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A5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51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78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锻炼幼儿手眼协调与精细动作，认识多种几何造型，自由拼搭创造，发展空间思维，提升观察力、专注力与逻辑构思能力。</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2、件数：219件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684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4F8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D152">
            <w:pPr>
              <w:jc w:val="center"/>
              <w:rPr>
                <w:rFonts w:hint="eastAsia" w:ascii="宋体" w:hAnsi="宋体" w:eastAsia="宋体" w:cs="宋体"/>
                <w:i w:val="0"/>
                <w:iCs w:val="0"/>
                <w:color w:val="auto"/>
                <w:sz w:val="18"/>
                <w:szCs w:val="18"/>
                <w:highlight w:val="none"/>
                <w:u w:val="none"/>
              </w:rPr>
            </w:pPr>
          </w:p>
        </w:tc>
      </w:tr>
      <w:tr w14:paraId="792F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96F04">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E9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BF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接插构造玩具（好乐积木）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28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6A8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C59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锻炼幼儿手眼协调与精细动作，自由拼搭组合，建立空间认知，激发想象力，锻炼逻辑构思、问题解决能力，提升专注力。</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2、件数：100件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518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1AA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A5DB">
            <w:pPr>
              <w:jc w:val="center"/>
              <w:rPr>
                <w:rFonts w:hint="eastAsia" w:ascii="宋体" w:hAnsi="宋体" w:eastAsia="宋体" w:cs="宋体"/>
                <w:i w:val="0"/>
                <w:iCs w:val="0"/>
                <w:color w:val="auto"/>
                <w:sz w:val="18"/>
                <w:szCs w:val="18"/>
                <w:highlight w:val="none"/>
                <w:u w:val="none"/>
              </w:rPr>
            </w:pPr>
          </w:p>
        </w:tc>
      </w:tr>
      <w:tr w14:paraId="2D8D4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142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8C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0E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接插构造玩具（轮管积木）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9B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25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08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锻炼幼儿手部精细动作与手眼协调，自由拼接管道与轮组构件，感知空间结构，观察滚动传动现象，激发创造力，培养逻辑搭建思维。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2、件数：145件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D72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3918">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586A">
            <w:pPr>
              <w:jc w:val="center"/>
              <w:rPr>
                <w:rFonts w:hint="eastAsia" w:ascii="宋体" w:hAnsi="宋体" w:eastAsia="宋体" w:cs="宋体"/>
                <w:i w:val="0"/>
                <w:iCs w:val="0"/>
                <w:color w:val="auto"/>
                <w:sz w:val="18"/>
                <w:szCs w:val="18"/>
                <w:highlight w:val="none"/>
                <w:u w:val="none"/>
              </w:rPr>
            </w:pPr>
          </w:p>
        </w:tc>
      </w:tr>
      <w:tr w14:paraId="72343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F2AF">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ED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1E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接插构造玩具（动物宝宝）</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BD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03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D3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锻炼幼儿手部拧动操作能力与手眼协调，识别造型与色彩，通过拆装配对提升观察力，培养专注力，感知对应关系。</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2、件数：132件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C751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3105">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A8AA">
            <w:pPr>
              <w:jc w:val="center"/>
              <w:rPr>
                <w:rFonts w:hint="eastAsia" w:ascii="宋体" w:hAnsi="宋体" w:eastAsia="宋体" w:cs="宋体"/>
                <w:i w:val="0"/>
                <w:iCs w:val="0"/>
                <w:color w:val="auto"/>
                <w:sz w:val="18"/>
                <w:szCs w:val="18"/>
                <w:highlight w:val="none"/>
                <w:u w:val="none"/>
              </w:rPr>
            </w:pPr>
          </w:p>
        </w:tc>
      </w:tr>
      <w:tr w14:paraId="11478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9"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E5D6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31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A0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螺旋玩具（螺丝碰对）</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AF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3B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57D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锻炼幼儿手部精细动作，认识形状尺寸，练习螺丝匹配对接，提升观察力与配对能力，培养专注力与逻辑判断力。</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2、件数：112件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505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C1EA">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C9C2">
            <w:pPr>
              <w:jc w:val="center"/>
              <w:rPr>
                <w:rFonts w:hint="eastAsia" w:ascii="宋体" w:hAnsi="宋体" w:eastAsia="宋体" w:cs="宋体"/>
                <w:i w:val="0"/>
                <w:iCs w:val="0"/>
                <w:color w:val="auto"/>
                <w:sz w:val="18"/>
                <w:szCs w:val="18"/>
                <w:highlight w:val="none"/>
                <w:u w:val="none"/>
              </w:rPr>
            </w:pPr>
          </w:p>
        </w:tc>
      </w:tr>
      <w:tr w14:paraId="3D733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C823">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EF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D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螺旋玩具（弯管积木）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EB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15B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AB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锻炼幼儿手部精细动作与手眼协调，自由拼接搭建管路造型，感知空间方位，启发想象力，培养逻辑构思与创意搭建能力。</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2、件数：145件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1DF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ACC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C022">
            <w:pPr>
              <w:jc w:val="center"/>
              <w:rPr>
                <w:rFonts w:hint="eastAsia" w:ascii="宋体" w:hAnsi="宋体" w:eastAsia="宋体" w:cs="宋体"/>
                <w:i w:val="0"/>
                <w:iCs w:val="0"/>
                <w:color w:val="auto"/>
                <w:sz w:val="18"/>
                <w:szCs w:val="18"/>
                <w:highlight w:val="none"/>
                <w:u w:val="none"/>
              </w:rPr>
            </w:pPr>
          </w:p>
        </w:tc>
      </w:tr>
      <w:tr w14:paraId="6571B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9"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61C0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11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38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螺旋玩具（螺丝连接）</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BF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9F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78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提升手眼锻炼手部力量与手眼协调，感知构件组装结构，发展空间认知，提升动手能力、专注力与逻辑思维。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2、件数：145件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BEAF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BF7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A377">
            <w:pPr>
              <w:jc w:val="center"/>
              <w:rPr>
                <w:rFonts w:hint="eastAsia" w:ascii="宋体" w:hAnsi="宋体" w:eastAsia="宋体" w:cs="宋体"/>
                <w:i w:val="0"/>
                <w:iCs w:val="0"/>
                <w:color w:val="auto"/>
                <w:sz w:val="18"/>
                <w:szCs w:val="18"/>
                <w:highlight w:val="none"/>
                <w:u w:val="none"/>
              </w:rPr>
            </w:pPr>
          </w:p>
        </w:tc>
      </w:tr>
      <w:tr w14:paraId="7529C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B4D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60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8D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螺旋玩具（花轮）</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8D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24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BB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锻炼幼儿手部抓握、旋转操控能力，提升手眼协调；感知色彩与转动变化，激发观察力，培养专注力，感受运动与因果关系。</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2、件数：145件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3A6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A90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5DAB">
            <w:pPr>
              <w:jc w:val="center"/>
              <w:rPr>
                <w:rFonts w:hint="eastAsia" w:ascii="宋体" w:hAnsi="宋体" w:eastAsia="宋体" w:cs="宋体"/>
                <w:i w:val="0"/>
                <w:iCs w:val="0"/>
                <w:color w:val="auto"/>
                <w:sz w:val="18"/>
                <w:szCs w:val="18"/>
                <w:highlight w:val="none"/>
                <w:u w:val="none"/>
              </w:rPr>
            </w:pPr>
          </w:p>
        </w:tc>
      </w:tr>
      <w:tr w14:paraId="54621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8D9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9F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C7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穿编玩具（小串珠）</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5D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177</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A0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B6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锻炼幼儿手指精细动作与手眼协调，辨识色彩、大小造型，学习排序、配对，培养专注力与秩序感，启发基础逻辑思维。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2、件数：258件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D99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60A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C85A">
            <w:pPr>
              <w:jc w:val="center"/>
              <w:rPr>
                <w:rFonts w:hint="eastAsia" w:ascii="宋体" w:hAnsi="宋体" w:eastAsia="宋体" w:cs="宋体"/>
                <w:i w:val="0"/>
                <w:iCs w:val="0"/>
                <w:color w:val="auto"/>
                <w:sz w:val="18"/>
                <w:szCs w:val="18"/>
                <w:highlight w:val="none"/>
                <w:u w:val="none"/>
              </w:rPr>
            </w:pPr>
          </w:p>
        </w:tc>
      </w:tr>
      <w:tr w14:paraId="7955D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9"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C3B5">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A4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C2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穿编玩具（字母穿线）</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835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177</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35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AB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锻炼幼儿手眼协调与手指精细动作，辨识英文字母形态，培养专注力，开展早期字母认知启蒙。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需要我把串珠、几何纽扣、字母穿线三段统一格式汇总给你吗？1、材质：环保塑料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2、件数：268件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07BA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C0F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C3E5">
            <w:pPr>
              <w:jc w:val="center"/>
              <w:rPr>
                <w:rFonts w:hint="eastAsia" w:ascii="宋体" w:hAnsi="宋体" w:eastAsia="宋体" w:cs="宋体"/>
                <w:i w:val="0"/>
                <w:iCs w:val="0"/>
                <w:color w:val="auto"/>
                <w:sz w:val="18"/>
                <w:szCs w:val="18"/>
                <w:highlight w:val="none"/>
                <w:u w:val="none"/>
              </w:rPr>
            </w:pPr>
          </w:p>
        </w:tc>
      </w:tr>
      <w:tr w14:paraId="2DF88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4B4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28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2B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穿编玩具（几何纽扣）</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43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177</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7F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30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几何纽扣玩具锻炼幼儿手部精细动作与手眼协调，认识不同几何图形、色彩，学习图形配对与分类，培养观察力、专注力，建立基础图形认知。极简</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2、件数：220件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C4B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1D4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E0CF">
            <w:pPr>
              <w:jc w:val="center"/>
              <w:rPr>
                <w:rFonts w:hint="eastAsia" w:ascii="宋体" w:hAnsi="宋体" w:eastAsia="宋体" w:cs="宋体"/>
                <w:i w:val="0"/>
                <w:iCs w:val="0"/>
                <w:color w:val="auto"/>
                <w:sz w:val="18"/>
                <w:szCs w:val="18"/>
                <w:highlight w:val="none"/>
                <w:u w:val="none"/>
              </w:rPr>
            </w:pPr>
          </w:p>
        </w:tc>
      </w:tr>
      <w:tr w14:paraId="42E4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9"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398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D5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构造类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BD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穿编玩具（数字穿线）</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A5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177</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54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57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手部发展：锻炼手指精细动作、手眼协调，提升手腕控制能力；</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认知启蒙：认识颜色、形状、大小，建立排序、配对、分类概念；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思维培养：感知规律与秩序，锻炼逻辑思维、专注力与耐心；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能力拓展：激发想象力，鼓励自主创作，建立早期空间感知。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1、材质：环保塑料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2、件数：358件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701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E64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4AC8">
            <w:pPr>
              <w:jc w:val="center"/>
              <w:rPr>
                <w:rFonts w:hint="eastAsia" w:ascii="宋体" w:hAnsi="宋体" w:eastAsia="宋体" w:cs="宋体"/>
                <w:i w:val="0"/>
                <w:iCs w:val="0"/>
                <w:color w:val="auto"/>
                <w:sz w:val="18"/>
                <w:szCs w:val="18"/>
                <w:highlight w:val="none"/>
                <w:u w:val="none"/>
              </w:rPr>
            </w:pPr>
          </w:p>
        </w:tc>
      </w:tr>
      <w:tr w14:paraId="3760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98F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E3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67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角色游戏玩具（医生急救箱）</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9E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6B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C2F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整体组装尺寸：22.5*15*9.5cm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产品是由1个听诊器/1把剪刀/1把钳子/1个药樽/1个温度计/1把镊子/1把手术刀/1个牙镜/1个 筒/1个眼镜及1个医药箱组成，其功能时让儿童模仿医生工作；耳镜/1个针，温度计中的刻罗盘可以360°任意转动；针筒柄在一定力度的作用下可以下压，松开后可以自动弹起；剪刀及钳子可以完成张开及合拢动作.</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22B3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451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8460">
            <w:pPr>
              <w:jc w:val="center"/>
              <w:rPr>
                <w:rFonts w:hint="eastAsia" w:ascii="宋体" w:hAnsi="宋体" w:eastAsia="宋体" w:cs="宋体"/>
                <w:i w:val="0"/>
                <w:iCs w:val="0"/>
                <w:color w:val="auto"/>
                <w:sz w:val="18"/>
                <w:szCs w:val="18"/>
                <w:highlight w:val="none"/>
                <w:u w:val="none"/>
              </w:rPr>
            </w:pPr>
          </w:p>
        </w:tc>
      </w:tr>
      <w:tr w14:paraId="270DE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F394">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19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B6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角色游戏玩具（交警游戏套装）</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D2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40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63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规格：5件/套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包含可穿戴道具服饰、交通信号灯、喇叭、声光警报声警灯、警棍。</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590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B00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38EB">
            <w:pPr>
              <w:jc w:val="center"/>
              <w:rPr>
                <w:rFonts w:hint="eastAsia" w:ascii="宋体" w:hAnsi="宋体" w:eastAsia="宋体" w:cs="宋体"/>
                <w:i w:val="0"/>
                <w:iCs w:val="0"/>
                <w:color w:val="auto"/>
                <w:sz w:val="18"/>
                <w:szCs w:val="18"/>
                <w:highlight w:val="none"/>
                <w:u w:val="none"/>
              </w:rPr>
            </w:pPr>
          </w:p>
        </w:tc>
      </w:tr>
      <w:tr w14:paraId="26180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7C1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8F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0B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角色游戏玩具（折叠式购物车）</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95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54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24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整体组装尺寸：43.4*21.6*48.4cm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此产品由车身，车底及16个食物盒组成，车身及车底可组装成购物车，组装好的购物车可以在地面上推动，可供小朋友模仿购物，车身可以用来盛放食物盒等配件。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E3F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CDB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0AC0">
            <w:pPr>
              <w:jc w:val="center"/>
              <w:rPr>
                <w:rFonts w:hint="eastAsia" w:ascii="宋体" w:hAnsi="宋体" w:eastAsia="宋体" w:cs="宋体"/>
                <w:i w:val="0"/>
                <w:iCs w:val="0"/>
                <w:color w:val="auto"/>
                <w:sz w:val="18"/>
                <w:szCs w:val="18"/>
                <w:highlight w:val="none"/>
                <w:u w:val="none"/>
              </w:rPr>
            </w:pPr>
          </w:p>
        </w:tc>
      </w:tr>
      <w:tr w14:paraId="3C23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5"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C03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6D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1A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角色游戏玩具（手工雪糕坊）</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8B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3C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3BE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彩盒尺寸：21×6.5×30cm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此产品由手工雪糕坊配件组成，可以供小孩子模拟制作雪糕玩乐；2)，将小图案条a/b插在雪糕机嘴位置，调整不同图案对准机嘴，再将不同颜色适量的橡皮泥放入雪糕机顶部的孔内，用力轻轻压下顶盖，橡皮泥即可从机嘴位置挤出自己想要的不同雪糕图案；3)，船形碟、小高脚杯和雪糕杯可用来盛放雪糕、甜点。</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200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E76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5169">
            <w:pPr>
              <w:jc w:val="center"/>
              <w:rPr>
                <w:rFonts w:hint="eastAsia" w:ascii="宋体" w:hAnsi="宋体" w:eastAsia="宋体" w:cs="宋体"/>
                <w:i w:val="0"/>
                <w:iCs w:val="0"/>
                <w:color w:val="auto"/>
                <w:sz w:val="18"/>
                <w:szCs w:val="18"/>
                <w:highlight w:val="none"/>
                <w:u w:val="none"/>
              </w:rPr>
            </w:pPr>
          </w:p>
        </w:tc>
      </w:tr>
      <w:tr w14:paraId="2ABA1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3DA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77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1F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角色游戏玩具（烹饪锅具）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D8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9A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F2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规格：包装尺寸29.2X24.3X5.3cm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材质：榉木+MDF</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配置：燃气灶*1个，规格：23*16.5cm；砧板*1块，15.5*11.4cm；汤锅*1个，规格：11.7cm；锅盖*1个，规格：10cm；平底锅*1个，规格：17.6cm；调料瓶*2个，规格：6.5*3.5cm；调料盘*1个，规格：12.9*5.6*19.7cm；刀叉组合*3个，规格：12cm；蔬菜肉类*8 个。</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0B5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CD78">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CA53">
            <w:pPr>
              <w:jc w:val="center"/>
              <w:rPr>
                <w:rFonts w:hint="eastAsia" w:ascii="宋体" w:hAnsi="宋体" w:eastAsia="宋体" w:cs="宋体"/>
                <w:i w:val="0"/>
                <w:iCs w:val="0"/>
                <w:color w:val="auto"/>
                <w:sz w:val="18"/>
                <w:szCs w:val="18"/>
                <w:highlight w:val="none"/>
                <w:u w:val="none"/>
              </w:rPr>
            </w:pPr>
          </w:p>
        </w:tc>
      </w:tr>
      <w:tr w14:paraId="0180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A61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B9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7E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角色游戏玩具（消防）</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25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33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5B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规格：15件/套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材质：木制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配件：消防衣34*38.5cm*1、消防帽23*28cm*1、灭火器直径3.7cm*1、对讲机*1、喇叭*1、火焰*1、铲子*1、斧子*1、盾牌*1、哨子*1、手电筒*1、标志桶*1、指南针*1接水器*1、消防栓*1</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729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12F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3AE5">
            <w:pPr>
              <w:jc w:val="center"/>
              <w:rPr>
                <w:rFonts w:hint="eastAsia" w:ascii="宋体" w:hAnsi="宋体" w:eastAsia="宋体" w:cs="宋体"/>
                <w:i w:val="0"/>
                <w:iCs w:val="0"/>
                <w:color w:val="auto"/>
                <w:sz w:val="18"/>
                <w:szCs w:val="18"/>
                <w:highlight w:val="none"/>
                <w:u w:val="none"/>
              </w:rPr>
            </w:pPr>
          </w:p>
        </w:tc>
      </w:tr>
      <w:tr w14:paraId="3891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AD4A">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1B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12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桌面表演游戏玩具（蔬菜食物套）</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EF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F3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61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规格：22件/套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配件：剥壳*1、剥壳螃蟹*1、 剥壳龙虾*1、 剥壳鸡蛋*1、 烤鸡*1、 剥壳蒜头*1、 西红柿*1、 茄子*1、 剥壳白菜三瓣 *1、剥壳洋葱*1、 彩椒*1、 辣椒*1、 剥壳豌豆*1、 剥壳包菜*1、 剥壳大葱*1、 剥壳花生*1、 南瓜*1、 胡萝卜*1、 番薯 *1、剥壳玉米*1、 剥壳紫包菜*1、 手提收纳盒带轮子*1、</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6105">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C0A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709C">
            <w:pPr>
              <w:jc w:val="center"/>
              <w:rPr>
                <w:rFonts w:hint="eastAsia" w:ascii="宋体" w:hAnsi="宋体" w:eastAsia="宋体" w:cs="宋体"/>
                <w:i w:val="0"/>
                <w:iCs w:val="0"/>
                <w:color w:val="auto"/>
                <w:sz w:val="18"/>
                <w:szCs w:val="18"/>
                <w:highlight w:val="none"/>
                <w:u w:val="none"/>
              </w:rPr>
            </w:pPr>
          </w:p>
        </w:tc>
      </w:tr>
      <w:tr w14:paraId="2F7DF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0DA0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A1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D4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桌面表演游戏玩具（甜品组）</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80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E8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A30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规格：23.3*18*5.5cm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材质：MDF+荷木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BE8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A01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E142">
            <w:pPr>
              <w:jc w:val="center"/>
              <w:rPr>
                <w:rFonts w:hint="eastAsia" w:ascii="宋体" w:hAnsi="宋体" w:eastAsia="宋体" w:cs="宋体"/>
                <w:i w:val="0"/>
                <w:iCs w:val="0"/>
                <w:color w:val="auto"/>
                <w:sz w:val="18"/>
                <w:szCs w:val="18"/>
                <w:highlight w:val="none"/>
                <w:u w:val="none"/>
              </w:rPr>
            </w:pPr>
          </w:p>
        </w:tc>
      </w:tr>
      <w:tr w14:paraId="72AC8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C8D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21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9C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桌面表演游戏玩具（美味的糖果）</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C0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D2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D6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规格：23*20.5*3.5cm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材质：木制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配件：共19件，糖果托盘（21*19.5*1cm）*1，形状各异糖果*15，帆布收纳袋*1。巧克力6*3.5*2cm*2</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A28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D7C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D123">
            <w:pPr>
              <w:jc w:val="center"/>
              <w:rPr>
                <w:rFonts w:hint="eastAsia" w:ascii="宋体" w:hAnsi="宋体" w:eastAsia="宋体" w:cs="宋体"/>
                <w:i w:val="0"/>
                <w:iCs w:val="0"/>
                <w:color w:val="auto"/>
                <w:sz w:val="18"/>
                <w:szCs w:val="18"/>
                <w:highlight w:val="none"/>
                <w:u w:val="none"/>
              </w:rPr>
            </w:pPr>
          </w:p>
        </w:tc>
      </w:tr>
      <w:tr w14:paraId="28EC1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EBD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8C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5A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桌面表演游戏玩具（咖啡组）</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B7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5D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55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规格：18.7*18.7*9cm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材质：实木+密度板</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BE5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511A">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E5FE">
            <w:pPr>
              <w:jc w:val="center"/>
              <w:rPr>
                <w:rFonts w:hint="eastAsia" w:ascii="宋体" w:hAnsi="宋体" w:eastAsia="宋体" w:cs="宋体"/>
                <w:i w:val="0"/>
                <w:iCs w:val="0"/>
                <w:color w:val="auto"/>
                <w:sz w:val="18"/>
                <w:szCs w:val="18"/>
                <w:highlight w:val="none"/>
                <w:u w:val="none"/>
              </w:rPr>
            </w:pPr>
          </w:p>
        </w:tc>
      </w:tr>
      <w:tr w14:paraId="30823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BD14">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BC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D1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头饰</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55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22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1C6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无纺布十二生肖头饰帽；规格：约23*18cm；12个/套；材质：无纺布。</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523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37A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564C">
            <w:pPr>
              <w:jc w:val="center"/>
              <w:rPr>
                <w:rFonts w:hint="eastAsia" w:ascii="宋体" w:hAnsi="宋体" w:eastAsia="宋体" w:cs="宋体"/>
                <w:i w:val="0"/>
                <w:iCs w:val="0"/>
                <w:color w:val="auto"/>
                <w:sz w:val="18"/>
                <w:szCs w:val="18"/>
                <w:highlight w:val="none"/>
                <w:u w:val="none"/>
              </w:rPr>
            </w:pPr>
          </w:p>
        </w:tc>
      </w:tr>
      <w:tr w14:paraId="052A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4185">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9A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38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模型</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2E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41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86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规格：产品尺寸19*3*7.5cm，材质：木质，一套5个人物形象。</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78F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724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91EE">
            <w:pPr>
              <w:jc w:val="center"/>
              <w:rPr>
                <w:rFonts w:hint="eastAsia" w:ascii="宋体" w:hAnsi="宋体" w:eastAsia="宋体" w:cs="宋体"/>
                <w:i w:val="0"/>
                <w:iCs w:val="0"/>
                <w:color w:val="auto"/>
                <w:sz w:val="18"/>
                <w:szCs w:val="18"/>
                <w:highlight w:val="none"/>
                <w:u w:val="none"/>
              </w:rPr>
            </w:pPr>
          </w:p>
        </w:tc>
      </w:tr>
      <w:tr w14:paraId="0437B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500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E9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40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模型人物、车辆、动植物等</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C2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3D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91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21.3*20.5*5.5cm材质：木制；配件：共29件，包含游戏地图（35*35cm）*1，消防车（72*20*45mm）*1，救护车（75*20*42mm）*1，警车（80*20*40mm）*1，垃圾车（82*20*51mm）*1，校车（79*20*48mm）*1，出租车（80*20*51mm）*1，道闸（底座45*45mm、闸杆长122mm）*1，红绿灯标志牌（φ30*92mm）*1，注意行人标志牌（φ30*80mm）*1，注意儿童标志牌（φ30*80mm）*1，慢行标志牌（φ30*80mm）*1，停车场标志牌（φ30*84mm）*1，停车标志牌（φ30*84mm）*1，直行标志牌（φ30*82mm）*1，行人专用道标志牌（φ30*82mm）*1，禁止停车标志牌（φ30*82mm）*1，停车让行标志牌（φ30*83mm）*1，禁止驶入标志牌（φ30*83mm）*1，限速50标志牌（φ30*83mm）*1，限速30标志牌（φ30*83mm）*1，禁止停车标志牌（φ30*83mm）*1，禁止行人进入标志牌（φ30*83mm）*1，禁止鸣笛标志牌（φ30*83mm）*1，注意落石标志牌（φ30*80mm）*1，环形交叉路口标志牌（φ30*80mm）*1，注意信号灯标志牌（φ30*80mm）*1，无人看守铁路道口标志牌（φ30*80mm）*1，塑封袋*1；</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771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C26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4791">
            <w:pPr>
              <w:jc w:val="center"/>
              <w:rPr>
                <w:rFonts w:hint="eastAsia" w:ascii="宋体" w:hAnsi="宋体" w:eastAsia="宋体" w:cs="宋体"/>
                <w:i w:val="0"/>
                <w:iCs w:val="0"/>
                <w:color w:val="auto"/>
                <w:sz w:val="18"/>
                <w:szCs w:val="18"/>
                <w:highlight w:val="none"/>
                <w:u w:val="none"/>
              </w:rPr>
            </w:pPr>
          </w:p>
        </w:tc>
      </w:tr>
      <w:tr w14:paraId="5B12F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3F30">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89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角色、表演类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6C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指偶、袋偶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34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0C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F4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1、指偶-人物：6个/套，高7.5cm，毛绒布+PP棉；2、袋偶：5个/套，材质;纸</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92A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3BA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B577">
            <w:pPr>
              <w:jc w:val="center"/>
              <w:rPr>
                <w:rFonts w:hint="eastAsia" w:ascii="宋体" w:hAnsi="宋体" w:eastAsia="宋体" w:cs="宋体"/>
                <w:i w:val="0"/>
                <w:iCs w:val="0"/>
                <w:color w:val="auto"/>
                <w:sz w:val="18"/>
                <w:szCs w:val="18"/>
                <w:highlight w:val="none"/>
                <w:u w:val="none"/>
              </w:rPr>
            </w:pPr>
          </w:p>
        </w:tc>
      </w:tr>
      <w:tr w14:paraId="36608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2F3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54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C1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小风车</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AA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77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95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尺寸：对角20cm，杆长30cm，总长40cm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ED4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F423">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78CF">
            <w:pPr>
              <w:jc w:val="center"/>
              <w:rPr>
                <w:rFonts w:hint="eastAsia" w:ascii="宋体" w:hAnsi="宋体" w:eastAsia="宋体" w:cs="宋体"/>
                <w:i w:val="0"/>
                <w:iCs w:val="0"/>
                <w:color w:val="auto"/>
                <w:sz w:val="18"/>
                <w:szCs w:val="18"/>
                <w:highlight w:val="none"/>
                <w:u w:val="none"/>
              </w:rPr>
            </w:pPr>
          </w:p>
        </w:tc>
      </w:tr>
      <w:tr w14:paraId="2B22D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5CF34">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45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9D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陀螺</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65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8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C1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环保安全木质，含手柄发射架（13cm）、拉线、带孔陀螺柄；旋转台直径约7cm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D4AB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6C28">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5A79">
            <w:pPr>
              <w:jc w:val="center"/>
              <w:rPr>
                <w:rFonts w:hint="eastAsia" w:ascii="宋体" w:hAnsi="宋体" w:eastAsia="宋体" w:cs="宋体"/>
                <w:i w:val="0"/>
                <w:iCs w:val="0"/>
                <w:color w:val="auto"/>
                <w:sz w:val="18"/>
                <w:szCs w:val="18"/>
                <w:highlight w:val="none"/>
                <w:u w:val="none"/>
              </w:rPr>
            </w:pPr>
          </w:p>
        </w:tc>
      </w:tr>
      <w:tr w14:paraId="3991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24A4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2E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9B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万花筒</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23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B7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2C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尺寸:19(d)*4.5cm,材质:纸质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30C5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C40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BD3D">
            <w:pPr>
              <w:jc w:val="center"/>
              <w:rPr>
                <w:rFonts w:hint="eastAsia" w:ascii="宋体" w:hAnsi="宋体" w:eastAsia="宋体" w:cs="宋体"/>
                <w:i w:val="0"/>
                <w:iCs w:val="0"/>
                <w:color w:val="auto"/>
                <w:sz w:val="18"/>
                <w:szCs w:val="18"/>
                <w:highlight w:val="none"/>
                <w:u w:val="none"/>
              </w:rPr>
            </w:pPr>
          </w:p>
        </w:tc>
      </w:tr>
      <w:tr w14:paraId="78532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F37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38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16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寒暑表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92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31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09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温度-40~50°C，尺寸：60*10*228mm，材质：ABS</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7BA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270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DF6B">
            <w:pPr>
              <w:jc w:val="center"/>
              <w:rPr>
                <w:rFonts w:hint="eastAsia" w:ascii="宋体" w:hAnsi="宋体" w:eastAsia="宋体" w:cs="宋体"/>
                <w:i w:val="0"/>
                <w:iCs w:val="0"/>
                <w:color w:val="auto"/>
                <w:sz w:val="18"/>
                <w:szCs w:val="18"/>
                <w:highlight w:val="none"/>
                <w:u w:val="none"/>
              </w:rPr>
            </w:pPr>
          </w:p>
        </w:tc>
      </w:tr>
      <w:tr w14:paraId="1E5A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8B61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83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47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磁铁块</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D2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1770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7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D0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底座1个、条形磁铁2块、U形磁铁1块、磁力小车2个、圆形磁铁6块、悬浮棍1根、指南针1个、铁粉盒1个</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B562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D9B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443F">
            <w:pPr>
              <w:jc w:val="center"/>
              <w:rPr>
                <w:rFonts w:hint="eastAsia" w:ascii="宋体" w:hAnsi="宋体" w:eastAsia="宋体" w:cs="宋体"/>
                <w:i w:val="0"/>
                <w:iCs w:val="0"/>
                <w:color w:val="auto"/>
                <w:sz w:val="18"/>
                <w:szCs w:val="18"/>
                <w:highlight w:val="none"/>
                <w:u w:val="none"/>
              </w:rPr>
            </w:pPr>
          </w:p>
        </w:tc>
      </w:tr>
      <w:tr w14:paraId="514A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86C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54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68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沙水箱（池）</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2F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F7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28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60*60*43.5cm（配沙滩工具13件），材质为环保型工程塑料，注塑工艺精密模具一次成型后拼合组装而成，产品强度高、耐折弯、热胀冷缩应力小。成形后期经修边、锐角毛刺打磨处理，无安全隐患。生产原材料为原生料，不添加回收料。色母添加剂为标准色母，产品耐紫外线、不褪色，色彩符合儿童视觉习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6A2F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CA8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88E3">
            <w:pPr>
              <w:jc w:val="center"/>
              <w:rPr>
                <w:rFonts w:hint="eastAsia" w:ascii="宋体" w:hAnsi="宋体" w:eastAsia="宋体" w:cs="宋体"/>
                <w:i w:val="0"/>
                <w:iCs w:val="0"/>
                <w:color w:val="auto"/>
                <w:sz w:val="18"/>
                <w:szCs w:val="18"/>
                <w:highlight w:val="none"/>
                <w:u w:val="none"/>
              </w:rPr>
            </w:pPr>
          </w:p>
        </w:tc>
      </w:tr>
      <w:tr w14:paraId="1FC07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4337">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03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3F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沙水玩具配件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C5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37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63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材质：环保塑料，13件套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包含铲子、小桶、洒水壶、小动物等</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262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75F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E55C">
            <w:pPr>
              <w:jc w:val="center"/>
              <w:rPr>
                <w:rFonts w:hint="eastAsia" w:ascii="宋体" w:hAnsi="宋体" w:eastAsia="宋体" w:cs="宋体"/>
                <w:i w:val="0"/>
                <w:iCs w:val="0"/>
                <w:color w:val="auto"/>
                <w:sz w:val="18"/>
                <w:szCs w:val="18"/>
                <w:highlight w:val="none"/>
                <w:u w:val="none"/>
              </w:rPr>
            </w:pPr>
          </w:p>
        </w:tc>
      </w:tr>
      <w:tr w14:paraId="310FE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DE6F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0B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E6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磁性玩具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4D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0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BD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规格：35件套；包含：磁性蝴蝶*2、U型磁铁、条形磁铁*2、环形磁铁*6、小车车身*2、胶圈*4、车轮*8、指南针、多功能底座、立柱头、车轴*4、铁砂盒、挡板、立柱、收纳盒</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B58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A35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3548">
            <w:pPr>
              <w:jc w:val="center"/>
              <w:rPr>
                <w:rFonts w:hint="eastAsia" w:ascii="宋体" w:hAnsi="宋体" w:eastAsia="宋体" w:cs="宋体"/>
                <w:i w:val="0"/>
                <w:iCs w:val="0"/>
                <w:color w:val="auto"/>
                <w:sz w:val="18"/>
                <w:szCs w:val="18"/>
                <w:highlight w:val="none"/>
                <w:u w:val="none"/>
              </w:rPr>
            </w:pPr>
          </w:p>
        </w:tc>
      </w:tr>
      <w:tr w14:paraId="6BBE5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29C7">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B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41F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弹跳玩具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10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DE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70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材质：ABS；尺寸：65mm*30mm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546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AA2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E332">
            <w:pPr>
              <w:jc w:val="center"/>
              <w:rPr>
                <w:rFonts w:hint="eastAsia" w:ascii="宋体" w:hAnsi="宋体" w:eastAsia="宋体" w:cs="宋体"/>
                <w:i w:val="0"/>
                <w:iCs w:val="0"/>
                <w:color w:val="auto"/>
                <w:sz w:val="18"/>
                <w:szCs w:val="18"/>
                <w:highlight w:val="none"/>
                <w:u w:val="none"/>
              </w:rPr>
            </w:pPr>
          </w:p>
        </w:tc>
      </w:tr>
      <w:tr w14:paraId="67472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5D9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C8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BB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滑动或滑轮玩具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0D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AB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3B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由底座、支架、横梁、单滑轮1个、双滑轮1个构成。底座采用塑料注塑成型，底座中间有一直径4mm的通孔。支架杆采用塑料注塑成型，上端为圆弧，宽15mm，下端宽24mm，整体厚度为8mm。横梁为塑料制品，长不小于100mm，横梁上应有悬挂滑轮的圆孔2个。</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188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DC1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7102">
            <w:pPr>
              <w:jc w:val="center"/>
              <w:rPr>
                <w:rFonts w:hint="eastAsia" w:ascii="宋体" w:hAnsi="宋体" w:eastAsia="宋体" w:cs="宋体"/>
                <w:i w:val="0"/>
                <w:iCs w:val="0"/>
                <w:color w:val="auto"/>
                <w:sz w:val="18"/>
                <w:szCs w:val="18"/>
                <w:highlight w:val="none"/>
                <w:u w:val="none"/>
              </w:rPr>
            </w:pPr>
          </w:p>
        </w:tc>
      </w:tr>
      <w:tr w14:paraId="736F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D6D5">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C9F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A4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教师计算器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54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61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2C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10档计数器，实木框架，算珠采用榉木材质，尺寸20*18*5cm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6B9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278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E7B6">
            <w:pPr>
              <w:jc w:val="center"/>
              <w:rPr>
                <w:rFonts w:hint="eastAsia" w:ascii="宋体" w:hAnsi="宋体" w:eastAsia="宋体" w:cs="宋体"/>
                <w:i w:val="0"/>
                <w:iCs w:val="0"/>
                <w:color w:val="auto"/>
                <w:sz w:val="18"/>
                <w:szCs w:val="18"/>
                <w:highlight w:val="none"/>
                <w:u w:val="none"/>
              </w:rPr>
            </w:pPr>
          </w:p>
        </w:tc>
      </w:tr>
      <w:tr w14:paraId="58706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326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37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42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幼儿计算器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6D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F0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7EC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五档竖式计数器，塑料材质，尺寸10*4*11cm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350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C6D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E0A0">
            <w:pPr>
              <w:jc w:val="center"/>
              <w:rPr>
                <w:rFonts w:hint="eastAsia" w:ascii="宋体" w:hAnsi="宋体" w:eastAsia="宋体" w:cs="宋体"/>
                <w:i w:val="0"/>
                <w:iCs w:val="0"/>
                <w:color w:val="auto"/>
                <w:sz w:val="18"/>
                <w:szCs w:val="18"/>
                <w:highlight w:val="none"/>
                <w:u w:val="none"/>
              </w:rPr>
            </w:pPr>
          </w:p>
        </w:tc>
      </w:tr>
      <w:tr w14:paraId="29B38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49D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72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97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小型计数材料</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E0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D0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盒</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E5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塑料方形计数棒100根、四种颜色每种颜色25根，长度分别为：5CM/6CM/7CM/8CM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F093">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87C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B84E">
            <w:pPr>
              <w:jc w:val="center"/>
              <w:rPr>
                <w:rFonts w:hint="eastAsia" w:ascii="宋体" w:hAnsi="宋体" w:eastAsia="宋体" w:cs="宋体"/>
                <w:i w:val="0"/>
                <w:iCs w:val="0"/>
                <w:color w:val="auto"/>
                <w:sz w:val="18"/>
                <w:szCs w:val="18"/>
                <w:highlight w:val="none"/>
                <w:u w:val="none"/>
              </w:rPr>
            </w:pPr>
          </w:p>
        </w:tc>
      </w:tr>
      <w:tr w14:paraId="0FFA8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1B4F">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FA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8E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几何图形片</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3A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90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AE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塑料几何图形片10种：等腰三角形（底40mm*高20mm）、半圆形（直径30mm）、正方形（30*30mm）、梯形（底50mm*高30mm），等边三角形（底30mm*高25mm）、大长方形（45*30mm）、小长方形20*30mm、平行四边形（30*20mm）、圆形（直径30mm）、钝角三角形（底65mm*高20mm），塑料盒装</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AF0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8BE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6BEA">
            <w:pPr>
              <w:jc w:val="center"/>
              <w:rPr>
                <w:rFonts w:hint="eastAsia" w:ascii="宋体" w:hAnsi="宋体" w:eastAsia="宋体" w:cs="宋体"/>
                <w:i w:val="0"/>
                <w:iCs w:val="0"/>
                <w:color w:val="auto"/>
                <w:sz w:val="18"/>
                <w:szCs w:val="18"/>
                <w:highlight w:val="none"/>
                <w:u w:val="none"/>
              </w:rPr>
            </w:pPr>
          </w:p>
        </w:tc>
      </w:tr>
      <w:tr w14:paraId="0AE09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E66A">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3C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04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图形投放盒</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76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1B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EE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材质：木质，尺寸：27*12.5*9cm，两个抽屉、分别可进行颜色分类和形状分类</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A3F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040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79C9">
            <w:pPr>
              <w:jc w:val="center"/>
              <w:rPr>
                <w:rFonts w:hint="eastAsia" w:ascii="宋体" w:hAnsi="宋体" w:eastAsia="宋体" w:cs="宋体"/>
                <w:i w:val="0"/>
                <w:iCs w:val="0"/>
                <w:color w:val="auto"/>
                <w:sz w:val="18"/>
                <w:szCs w:val="18"/>
                <w:highlight w:val="none"/>
                <w:u w:val="none"/>
              </w:rPr>
            </w:pPr>
          </w:p>
        </w:tc>
      </w:tr>
      <w:tr w14:paraId="3780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34F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55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39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图形戳</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D2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99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F7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材质：EVA橡皮，尺寸：45mm*55mm，规格：6个/套</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F7BA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42E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2D38">
            <w:pPr>
              <w:jc w:val="center"/>
              <w:rPr>
                <w:rFonts w:hint="eastAsia" w:ascii="宋体" w:hAnsi="宋体" w:eastAsia="宋体" w:cs="宋体"/>
                <w:i w:val="0"/>
                <w:iCs w:val="0"/>
                <w:color w:val="auto"/>
                <w:sz w:val="18"/>
                <w:szCs w:val="18"/>
                <w:highlight w:val="none"/>
                <w:u w:val="none"/>
              </w:rPr>
            </w:pPr>
          </w:p>
        </w:tc>
      </w:tr>
      <w:tr w14:paraId="46DAF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71E1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80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A4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数形接龙</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0A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68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80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40粒积木块，单块尺寸6*3*0.8cm,数字接龙+形状接龙</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B17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162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D824">
            <w:pPr>
              <w:jc w:val="center"/>
              <w:rPr>
                <w:rFonts w:hint="eastAsia" w:ascii="宋体" w:hAnsi="宋体" w:eastAsia="宋体" w:cs="宋体"/>
                <w:i w:val="0"/>
                <w:iCs w:val="0"/>
                <w:color w:val="auto"/>
                <w:sz w:val="18"/>
                <w:szCs w:val="18"/>
                <w:highlight w:val="none"/>
                <w:u w:val="none"/>
              </w:rPr>
            </w:pPr>
          </w:p>
        </w:tc>
      </w:tr>
      <w:tr w14:paraId="2711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1AE5F">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18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B2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图形钉板</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B1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AA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17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学生用，塑料制，≥140mm×140mm，配有橡皮筋</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C889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172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30D7">
            <w:pPr>
              <w:jc w:val="center"/>
              <w:rPr>
                <w:rFonts w:hint="eastAsia" w:ascii="宋体" w:hAnsi="宋体" w:eastAsia="宋体" w:cs="宋体"/>
                <w:i w:val="0"/>
                <w:iCs w:val="0"/>
                <w:color w:val="auto"/>
                <w:sz w:val="18"/>
                <w:szCs w:val="18"/>
                <w:highlight w:val="none"/>
                <w:u w:val="none"/>
              </w:rPr>
            </w:pPr>
          </w:p>
        </w:tc>
      </w:tr>
      <w:tr w14:paraId="481DE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1F40">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B5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40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钟面（大）</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9CF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76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7C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三针联动，表盘直径25cm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7F45">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DC3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AF61">
            <w:pPr>
              <w:jc w:val="center"/>
              <w:rPr>
                <w:rFonts w:hint="eastAsia" w:ascii="宋体" w:hAnsi="宋体" w:eastAsia="宋体" w:cs="宋体"/>
                <w:i w:val="0"/>
                <w:iCs w:val="0"/>
                <w:color w:val="auto"/>
                <w:sz w:val="18"/>
                <w:szCs w:val="18"/>
                <w:highlight w:val="none"/>
                <w:u w:val="none"/>
              </w:rPr>
            </w:pPr>
          </w:p>
        </w:tc>
      </w:tr>
      <w:tr w14:paraId="02BCE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A08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E1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22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钟面（小）</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B6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57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0E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材质：工程塑料材质，环保安全，尺寸：10cm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B886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719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E80E">
            <w:pPr>
              <w:jc w:val="center"/>
              <w:rPr>
                <w:rFonts w:hint="eastAsia" w:ascii="宋体" w:hAnsi="宋体" w:eastAsia="宋体" w:cs="宋体"/>
                <w:i w:val="0"/>
                <w:iCs w:val="0"/>
                <w:color w:val="auto"/>
                <w:sz w:val="18"/>
                <w:szCs w:val="18"/>
                <w:highlight w:val="none"/>
                <w:u w:val="none"/>
              </w:rPr>
            </w:pPr>
          </w:p>
        </w:tc>
      </w:tr>
      <w:tr w14:paraId="4D2ED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8C9F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2D0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B8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简易认知器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47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DC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91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动物+果蔬+认数+交通+人物+识字【270张540面】加厚大卡</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14D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611A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FCAA">
            <w:pPr>
              <w:jc w:val="center"/>
              <w:rPr>
                <w:rFonts w:hint="eastAsia" w:ascii="宋体" w:hAnsi="宋体" w:eastAsia="宋体" w:cs="宋体"/>
                <w:i w:val="0"/>
                <w:iCs w:val="0"/>
                <w:color w:val="auto"/>
                <w:sz w:val="18"/>
                <w:szCs w:val="18"/>
                <w:highlight w:val="none"/>
                <w:u w:val="none"/>
              </w:rPr>
            </w:pPr>
          </w:p>
        </w:tc>
      </w:tr>
      <w:tr w14:paraId="758AE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21F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39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69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儿童棋</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6A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D0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盒</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6E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30*30cm【五合一】飞行棋+五子棋+跳棋+象棋+冒险棋</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A01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F9D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E6EF">
            <w:pPr>
              <w:jc w:val="center"/>
              <w:rPr>
                <w:rFonts w:hint="eastAsia" w:ascii="宋体" w:hAnsi="宋体" w:eastAsia="宋体" w:cs="宋体"/>
                <w:i w:val="0"/>
                <w:iCs w:val="0"/>
                <w:color w:val="auto"/>
                <w:sz w:val="18"/>
                <w:szCs w:val="18"/>
                <w:highlight w:val="none"/>
                <w:u w:val="none"/>
              </w:rPr>
            </w:pPr>
          </w:p>
        </w:tc>
      </w:tr>
      <w:tr w14:paraId="13A38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45B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A0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2B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天平</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10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18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7C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优质PVC材质，32CM*8CM,托盘筒规格为直径10cm,由5G、10G、50G及游码组成，用于幼儿探究重量。</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5C4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A9E5">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4BA8">
            <w:pPr>
              <w:jc w:val="center"/>
              <w:rPr>
                <w:rFonts w:hint="eastAsia" w:ascii="宋体" w:hAnsi="宋体" w:eastAsia="宋体" w:cs="宋体"/>
                <w:i w:val="0"/>
                <w:iCs w:val="0"/>
                <w:color w:val="auto"/>
                <w:sz w:val="18"/>
                <w:szCs w:val="18"/>
                <w:highlight w:val="none"/>
                <w:u w:val="none"/>
              </w:rPr>
            </w:pPr>
          </w:p>
        </w:tc>
      </w:tr>
      <w:tr w14:paraId="2053F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1FE4">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67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43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放大镜</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00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83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73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1.产品尺寸：12.5*6cm,通光直径60mm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2.材质：全树脂材质。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3.功能：一次成型，透光清晰，光学指标准确</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5A2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BEA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F5A4">
            <w:pPr>
              <w:jc w:val="center"/>
              <w:rPr>
                <w:rFonts w:hint="eastAsia" w:ascii="宋体" w:hAnsi="宋体" w:eastAsia="宋体" w:cs="宋体"/>
                <w:i w:val="0"/>
                <w:iCs w:val="0"/>
                <w:color w:val="auto"/>
                <w:sz w:val="18"/>
                <w:szCs w:val="18"/>
                <w:highlight w:val="none"/>
                <w:u w:val="none"/>
              </w:rPr>
            </w:pPr>
          </w:p>
        </w:tc>
      </w:tr>
      <w:tr w14:paraId="06645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4A14">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44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94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巧板（七巧）</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28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1770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4E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7A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12*12cm,益智玩具，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内含七块彩色拼板，可组合出多种图样</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792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97A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08F3">
            <w:pPr>
              <w:jc w:val="center"/>
              <w:rPr>
                <w:rFonts w:hint="eastAsia" w:ascii="宋体" w:hAnsi="宋体" w:eastAsia="宋体" w:cs="宋体"/>
                <w:i w:val="0"/>
                <w:iCs w:val="0"/>
                <w:color w:val="auto"/>
                <w:sz w:val="18"/>
                <w:szCs w:val="18"/>
                <w:highlight w:val="none"/>
                <w:u w:val="none"/>
              </w:rPr>
            </w:pPr>
          </w:p>
        </w:tc>
      </w:tr>
      <w:tr w14:paraId="08262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945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E1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ED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量杯</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A6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92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组</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4C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pc材质、带刻度亚克力量杯、小号100ml：尺寸12.3*5.6cm；中号200ml：8.7*8.2cm；大号500ml：13.8*10.3cm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7BD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4CF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1317">
            <w:pPr>
              <w:jc w:val="center"/>
              <w:rPr>
                <w:rFonts w:hint="eastAsia" w:ascii="宋体" w:hAnsi="宋体" w:eastAsia="宋体" w:cs="宋体"/>
                <w:i w:val="0"/>
                <w:iCs w:val="0"/>
                <w:color w:val="auto"/>
                <w:sz w:val="18"/>
                <w:szCs w:val="18"/>
                <w:highlight w:val="none"/>
                <w:u w:val="none"/>
              </w:rPr>
            </w:pPr>
          </w:p>
        </w:tc>
      </w:tr>
      <w:tr w14:paraId="5EF4A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7AD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BD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科学启蒙类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DD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图形镶嵌</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01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B6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99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几何图形镶嵌板，12格，木质材质，尺寸30*22cm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6E7F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0A8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8715">
            <w:pPr>
              <w:jc w:val="center"/>
              <w:rPr>
                <w:rFonts w:hint="eastAsia" w:ascii="宋体" w:hAnsi="宋体" w:eastAsia="宋体" w:cs="宋体"/>
                <w:i w:val="0"/>
                <w:iCs w:val="0"/>
                <w:color w:val="auto"/>
                <w:sz w:val="18"/>
                <w:szCs w:val="18"/>
                <w:highlight w:val="none"/>
                <w:u w:val="none"/>
              </w:rPr>
            </w:pPr>
          </w:p>
        </w:tc>
      </w:tr>
      <w:tr w14:paraId="51F6E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192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4D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劳动工具类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B2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74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1B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7B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 桶/粉蓝色混装，原生食品级工程塑料原料，精密模具一次成型后经拼插组装而成，产品强韧度高、圆润度好，经多次使用不断裂、不易磨损，对于培养提高孩子的抓握、插入、扣紧和旋转等能力有很大的帮助，还能培养训练孩子的手眼协调能力，提高孩子的想象力和创造力。</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E56D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ED0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0909">
            <w:pPr>
              <w:jc w:val="center"/>
              <w:rPr>
                <w:rFonts w:hint="eastAsia" w:ascii="宋体" w:hAnsi="宋体" w:eastAsia="宋体" w:cs="宋体"/>
                <w:i w:val="0"/>
                <w:iCs w:val="0"/>
                <w:color w:val="auto"/>
                <w:sz w:val="18"/>
                <w:szCs w:val="18"/>
                <w:highlight w:val="none"/>
                <w:u w:val="none"/>
              </w:rPr>
            </w:pPr>
          </w:p>
        </w:tc>
      </w:tr>
      <w:tr w14:paraId="23A43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FFB9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EB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劳动工具类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A3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儿童铁锹</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A6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6A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49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铁锹/四色混装62CM长，不锈钢把手，塑料锹面，原生食品级工程塑料原料，精密模具一次成型后经拼插组装而成，产品强韧度高、圆润度好，经多次使用不断裂、不易磨损，对于培养提高孩子的抓握、插入、扣紧和旋转等能力有很大的帮助，还能培养训练孩子的手眼协调能力，提高孩子的想象力和创造力。</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9E1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ACE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1E18">
            <w:pPr>
              <w:jc w:val="center"/>
              <w:rPr>
                <w:rFonts w:hint="eastAsia" w:ascii="宋体" w:hAnsi="宋体" w:eastAsia="宋体" w:cs="宋体"/>
                <w:i w:val="0"/>
                <w:iCs w:val="0"/>
                <w:color w:val="auto"/>
                <w:sz w:val="18"/>
                <w:szCs w:val="18"/>
                <w:highlight w:val="none"/>
                <w:u w:val="none"/>
              </w:rPr>
            </w:pPr>
          </w:p>
        </w:tc>
      </w:tr>
      <w:tr w14:paraId="1074C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E6C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2C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劳动工具类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2F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小铲子</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74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87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C4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铲子，38CM，原生食品级工程塑料原料，精密模具一次成型后经拼插组装而成，产品强韧度高、圆润度好，经多次使用不断裂、不易磨损，对于培养提高孩子的抓握、插入、扣紧和旋转等能力有很大的帮助，还能培养训练孩子的手眼协调能力，提高孩子的想象力和创造力。</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DFB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7FD8">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7697">
            <w:pPr>
              <w:jc w:val="center"/>
              <w:rPr>
                <w:rFonts w:hint="eastAsia" w:ascii="宋体" w:hAnsi="宋体" w:eastAsia="宋体" w:cs="宋体"/>
                <w:i w:val="0"/>
                <w:iCs w:val="0"/>
                <w:color w:val="auto"/>
                <w:sz w:val="18"/>
                <w:szCs w:val="18"/>
                <w:highlight w:val="none"/>
                <w:u w:val="none"/>
              </w:rPr>
            </w:pPr>
          </w:p>
        </w:tc>
      </w:tr>
      <w:tr w14:paraId="43386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69E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03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劳动工具类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5D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小锤子</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EF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BE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0AC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儿童红色实木手柄羊角锤，锤柄直径2cm，长度16cm,锤头长度8cm；头部采用环保实心PP材质。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36E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6A4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4B1B">
            <w:pPr>
              <w:jc w:val="center"/>
              <w:rPr>
                <w:rFonts w:hint="eastAsia" w:ascii="宋体" w:hAnsi="宋体" w:eastAsia="宋体" w:cs="宋体"/>
                <w:i w:val="0"/>
                <w:iCs w:val="0"/>
                <w:color w:val="auto"/>
                <w:sz w:val="18"/>
                <w:szCs w:val="18"/>
                <w:highlight w:val="none"/>
                <w:u w:val="none"/>
              </w:rPr>
            </w:pPr>
          </w:p>
        </w:tc>
      </w:tr>
      <w:tr w14:paraId="750CB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C81F5">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8E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劳动工具类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6B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幼儿工作台</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91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8A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19B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实木工作台。产品尺寸：68*30*88cm；材质：榉木实木；功能：含多种操作工具，锻炼手眼认知，色彩艳丽，符合儿童操作习惯。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2A9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E83A">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7223">
            <w:pPr>
              <w:jc w:val="center"/>
              <w:rPr>
                <w:rFonts w:hint="eastAsia" w:ascii="宋体" w:hAnsi="宋体" w:eastAsia="宋体" w:cs="宋体"/>
                <w:i w:val="0"/>
                <w:iCs w:val="0"/>
                <w:color w:val="auto"/>
                <w:sz w:val="18"/>
                <w:szCs w:val="18"/>
                <w:highlight w:val="none"/>
                <w:u w:val="none"/>
              </w:rPr>
            </w:pPr>
          </w:p>
        </w:tc>
      </w:tr>
      <w:tr w14:paraId="3E487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3B4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9D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劳动工具类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F2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01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0B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把</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C5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 壶/粉蓝色混装，原生食品级工程塑料原料，精密模具一次成型后经拼插组装而成，产品强韧度高、圆润度好，经多次使用不断裂、不易磨损，对于培养提高孩子的抓握、插入、扣紧和旋转等能力有很大的帮助，还能培养训练孩子的手眼协调能力，提高孩子的想象力和创造力。</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860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835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B921">
            <w:pPr>
              <w:jc w:val="center"/>
              <w:rPr>
                <w:rFonts w:hint="eastAsia" w:ascii="宋体" w:hAnsi="宋体" w:eastAsia="宋体" w:cs="宋体"/>
                <w:i w:val="0"/>
                <w:iCs w:val="0"/>
                <w:color w:val="auto"/>
                <w:sz w:val="18"/>
                <w:szCs w:val="18"/>
                <w:highlight w:val="none"/>
                <w:u w:val="none"/>
              </w:rPr>
            </w:pPr>
          </w:p>
        </w:tc>
      </w:tr>
      <w:tr w14:paraId="2D2C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B4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58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美工类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38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泥工板</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BE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8E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9C2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尺寸：≥210*297mm。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2.材质：PP塑料。</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C2A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8543">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5004">
            <w:pPr>
              <w:jc w:val="center"/>
              <w:rPr>
                <w:rFonts w:hint="eastAsia" w:ascii="宋体" w:hAnsi="宋体" w:eastAsia="宋体" w:cs="宋体"/>
                <w:i w:val="0"/>
                <w:iCs w:val="0"/>
                <w:color w:val="auto"/>
                <w:sz w:val="18"/>
                <w:szCs w:val="18"/>
                <w:highlight w:val="none"/>
                <w:u w:val="none"/>
              </w:rPr>
            </w:pPr>
          </w:p>
        </w:tc>
      </w:tr>
      <w:tr w14:paraId="2B3A9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ADD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C9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美工类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2D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调色盘</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E1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31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5C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小脚丫调色盘，尺寸17*10cm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487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60B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8DE2">
            <w:pPr>
              <w:jc w:val="center"/>
              <w:rPr>
                <w:rFonts w:hint="eastAsia" w:ascii="宋体" w:hAnsi="宋体" w:eastAsia="宋体" w:cs="宋体"/>
                <w:i w:val="0"/>
                <w:iCs w:val="0"/>
                <w:color w:val="auto"/>
                <w:sz w:val="18"/>
                <w:szCs w:val="18"/>
                <w:highlight w:val="none"/>
                <w:u w:val="none"/>
              </w:rPr>
            </w:pPr>
          </w:p>
        </w:tc>
      </w:tr>
      <w:tr w14:paraId="09261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980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5D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美工类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D8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彩色水笔</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20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9D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盒</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4C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24色丙烯马克笔</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06E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4C9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20C3">
            <w:pPr>
              <w:jc w:val="center"/>
              <w:rPr>
                <w:rFonts w:hint="eastAsia" w:ascii="宋体" w:hAnsi="宋体" w:eastAsia="宋体" w:cs="宋体"/>
                <w:i w:val="0"/>
                <w:iCs w:val="0"/>
                <w:color w:val="auto"/>
                <w:sz w:val="18"/>
                <w:szCs w:val="18"/>
                <w:highlight w:val="none"/>
                <w:u w:val="none"/>
              </w:rPr>
            </w:pPr>
          </w:p>
        </w:tc>
      </w:tr>
      <w:tr w14:paraId="0837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6D9E3">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B0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美工类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1F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美术面泥</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14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78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袋</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34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规格100g,</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材质：彩泥/橡皮泥/超轻黏土</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2C4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ECC5">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7D3E">
            <w:pPr>
              <w:jc w:val="center"/>
              <w:rPr>
                <w:rFonts w:hint="eastAsia" w:ascii="宋体" w:hAnsi="宋体" w:eastAsia="宋体" w:cs="宋体"/>
                <w:i w:val="0"/>
                <w:iCs w:val="0"/>
                <w:color w:val="auto"/>
                <w:sz w:val="18"/>
                <w:szCs w:val="18"/>
                <w:highlight w:val="none"/>
                <w:u w:val="none"/>
              </w:rPr>
            </w:pPr>
          </w:p>
        </w:tc>
      </w:tr>
      <w:tr w14:paraId="0592A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0235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9D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美工类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67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小剪刀</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14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53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把</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2DA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材质：PS塑料，尺寸：13*6cm,，把握舒适，安全不伤手</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61C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95D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069D">
            <w:pPr>
              <w:jc w:val="center"/>
              <w:rPr>
                <w:rFonts w:hint="eastAsia" w:ascii="宋体" w:hAnsi="宋体" w:eastAsia="宋体" w:cs="宋体"/>
                <w:i w:val="0"/>
                <w:iCs w:val="0"/>
                <w:color w:val="auto"/>
                <w:sz w:val="18"/>
                <w:szCs w:val="18"/>
                <w:highlight w:val="none"/>
                <w:u w:val="none"/>
              </w:rPr>
            </w:pPr>
          </w:p>
        </w:tc>
      </w:tr>
      <w:tr w14:paraId="7D841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5C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73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3B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攀登架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83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E4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架</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67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规格：200*150*200cm；1.采用菠萝格木材，进行压、刨、铣、冲等处理后，表面进行防腐、防火、防蛀处理；</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提供菠萝格依据GB/T 13942.1-2009《木材耐久性能 第1部分：天然耐腐性实验室试验方法》检测标准，天然耐腐性耐腐等级达到I级 强耐腐、质量损失率≤8.8%的检测报告。2.造型包含绳网攀爬、轮胎爬、木梯爬、软梯爬等；3.攀爬部分爬网采用航海船用缆绳，中芯为镀铬钢丝外套胶管（不少于6股），网绳编织采用专用绳扣连接，间距均匀，可长期使用不变形，；4.产品采用环保户外水性木器漆对木质部分进行处理，清漆透明亮丽，展现木材天然纹理，防腐耐磨；5.塑料部分采用线型低密度聚乙烯工程塑料，使用先进技术的专业技术将颜料粉末与聚乙烯基材充分混合，强度大，韧性好，安全环保，耐侯性好；</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BE33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6F9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2582">
            <w:pPr>
              <w:jc w:val="center"/>
              <w:rPr>
                <w:rFonts w:hint="eastAsia" w:ascii="宋体" w:hAnsi="宋体" w:eastAsia="宋体" w:cs="宋体"/>
                <w:i w:val="0"/>
                <w:iCs w:val="0"/>
                <w:color w:val="auto"/>
                <w:sz w:val="18"/>
                <w:szCs w:val="18"/>
                <w:highlight w:val="none"/>
                <w:u w:val="none"/>
              </w:rPr>
            </w:pPr>
          </w:p>
        </w:tc>
      </w:tr>
      <w:tr w14:paraId="0F3B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032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6E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AE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爬网</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61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9B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89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100*80*120cm1.采用菠萝格木材，进行压、刨、铣、冲等处理后，表面进行防腐、防火、防蛀处理2.攀爬部分爬网采用航海船用缆绳，中芯为镀铬钢丝外套胶管（不少于6股），网绳编织采用专用绳扣连接，间距均匀，可长期使用不变形，3.产品采用环保户外水性木器漆对木质部分进行处理，清漆透明亮丽，展现木材天然纹理，防腐耐磨；</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产品中耐霉菌性等级（至少包含可可球二孢、赭绿青霉等）不低于0级，符合GB/T 1741-2020《漆膜耐霉菌性测定法》的检测标准，提供“油漆”检测报告。</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6E7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95E5">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6884">
            <w:pPr>
              <w:jc w:val="center"/>
              <w:rPr>
                <w:rFonts w:hint="eastAsia" w:ascii="宋体" w:hAnsi="宋体" w:eastAsia="宋体" w:cs="宋体"/>
                <w:i w:val="0"/>
                <w:iCs w:val="0"/>
                <w:color w:val="auto"/>
                <w:sz w:val="18"/>
                <w:szCs w:val="18"/>
                <w:highlight w:val="none"/>
                <w:u w:val="none"/>
              </w:rPr>
            </w:pPr>
          </w:p>
        </w:tc>
      </w:tr>
      <w:tr w14:paraId="50602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C3A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5D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1B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荡桥</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58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31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0E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规格：240*100*80cm  1.采用菠萝格木材，进行压、刨、铣、冲等处理后，表面进行防腐、防火、防蛀处理；</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提供菠萝格依据GB/T 1927.19-2021《无疵小试样木材物理力学性质试验方法 第19部分：硬度测定》检测标准，含水率12%时，弦面硬度≥4900N、径面硬度≥3300N、端面硬度≥5500N的检测报告。2.主立柱采用8.5*8.5cm的方木，横梁截面规格不低于5*8cm，反复精细打磨，光滑无毛刺；3.产品采用优质油漆对木质部分进行处理，表面光滑，防腐耐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B10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4A6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B527">
            <w:pPr>
              <w:jc w:val="center"/>
              <w:rPr>
                <w:rFonts w:hint="eastAsia" w:ascii="宋体" w:hAnsi="宋体" w:eastAsia="宋体" w:cs="宋体"/>
                <w:i w:val="0"/>
                <w:iCs w:val="0"/>
                <w:color w:val="auto"/>
                <w:sz w:val="18"/>
                <w:szCs w:val="18"/>
                <w:highlight w:val="none"/>
                <w:u w:val="none"/>
              </w:rPr>
            </w:pPr>
          </w:p>
        </w:tc>
      </w:tr>
      <w:tr w14:paraId="700A3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FCE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1E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86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秋千</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88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10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22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规格：250*150*200cm；材质：镀锌钢管，整体加工后经特殊工艺除锈，抛沙处理，帯扣件。；塑 料 件：材质：塑料粒子工程塑料，食品级，并添加抗紫外线稳定剂、静电防止剂及抗老化剂，经大型正反流水线滚塑机一次成型。表面光滑，安全环保，不易褪色。表面处理：模铸面亚光处理。五金零件：材质：不锈钢半圆头，防滑螺帽，T型平头螺丝。表面处理：机械抛光。连接扣件：材质：铝合金并采用不锈钢螺丝连接。表面处理：铸铝合金，机械抛光，室外聚酯系树脂粉体涂装高温电磁烤漆。</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722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62A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7088">
            <w:pPr>
              <w:jc w:val="center"/>
              <w:rPr>
                <w:rFonts w:hint="eastAsia" w:ascii="宋体" w:hAnsi="宋体" w:eastAsia="宋体" w:cs="宋体"/>
                <w:i w:val="0"/>
                <w:iCs w:val="0"/>
                <w:color w:val="auto"/>
                <w:sz w:val="18"/>
                <w:szCs w:val="18"/>
                <w:highlight w:val="none"/>
                <w:u w:val="none"/>
              </w:rPr>
            </w:pPr>
          </w:p>
        </w:tc>
      </w:tr>
      <w:tr w14:paraId="563E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4CC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77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68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跳床</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23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87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11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规格：直径φ100cm，高度20cm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1.支架为φ26mm镀锌管及26*26mm方管，床面为尼龙弹力布，采用优质强力弹簧连接床面。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2.产品色彩鲜艳，无毒无味，安全环保，适合幼儿室内外游戏活动使用。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52E2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6F4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5C12">
            <w:pPr>
              <w:jc w:val="center"/>
              <w:rPr>
                <w:rFonts w:hint="eastAsia" w:ascii="宋体" w:hAnsi="宋体" w:eastAsia="宋体" w:cs="宋体"/>
                <w:i w:val="0"/>
                <w:iCs w:val="0"/>
                <w:color w:val="auto"/>
                <w:sz w:val="18"/>
                <w:szCs w:val="18"/>
                <w:highlight w:val="none"/>
                <w:u w:val="none"/>
              </w:rPr>
            </w:pPr>
          </w:p>
        </w:tc>
      </w:tr>
      <w:tr w14:paraId="019C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4740">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F4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3E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平衡木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91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2A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B04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规格：220*20*26cm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为环保型工程塑料，由精密模具一次成型，产品强度高、密度大、耐折弯、热胀冷缩应力小。成形后期经修边、锐角毛刺打磨处理，无安全隐患。生产原材料为原生料，不添加回收料。色母添加剂为标准色母，产品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2.产品组装方便，含桥面条和桥墩，色彩鲜艳，牢固安全，无毒无害，适合儿童室内外游戏活动使用，锻炼儿童平衡能力。</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FF9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559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0300">
            <w:pPr>
              <w:jc w:val="center"/>
              <w:rPr>
                <w:rFonts w:hint="eastAsia" w:ascii="宋体" w:hAnsi="宋体" w:eastAsia="宋体" w:cs="宋体"/>
                <w:i w:val="0"/>
                <w:iCs w:val="0"/>
                <w:color w:val="auto"/>
                <w:sz w:val="18"/>
                <w:szCs w:val="18"/>
                <w:highlight w:val="none"/>
                <w:u w:val="none"/>
              </w:rPr>
            </w:pPr>
          </w:p>
        </w:tc>
      </w:tr>
      <w:tr w14:paraId="23C12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B9EA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33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49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压板</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CB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74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99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规格：200*50*60cm 1.材质：采用工程塑料＋优质钢材；2.工艺：一次成型＋机械精细加工；3.结构：整体底座是高力度弹簧，加固定钢板；4.功能：锻炼儿童的身体协调能力和合作意识。使用方法：两人分别坐于两端坐椅上，握紧扶手，同时将双脚放在地面上，相互配合蹬动。5.整体：选用环保材质，无毒、无味、环保、安全；产品经精细处理，外表光滑无毛刺，不伤手；造型美观，颜色鲜艳，符合孩子的审美要求；支撑整件跷跷板是高力度的弹簧，弹性好，与地面固定的是高强度的钢板，牢固，孩子可放心的在跷跷板玩耍。</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AC84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F6C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A3B2">
            <w:pPr>
              <w:jc w:val="center"/>
              <w:rPr>
                <w:rFonts w:hint="eastAsia" w:ascii="宋体" w:hAnsi="宋体" w:eastAsia="宋体" w:cs="宋体"/>
                <w:i w:val="0"/>
                <w:iCs w:val="0"/>
                <w:color w:val="auto"/>
                <w:sz w:val="18"/>
                <w:szCs w:val="18"/>
                <w:highlight w:val="none"/>
                <w:u w:val="none"/>
              </w:rPr>
            </w:pPr>
          </w:p>
        </w:tc>
      </w:tr>
      <w:tr w14:paraId="64EA1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06D7">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77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41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平衡器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CB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1D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34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规格：50*20*10cm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为环保型工程塑料，经精密模具一次成型，产品强度高、密度大、耐折弯、热胀冷缩应力小。成形后期经修边、锐角毛刺打磨处理，无安全隐患。生产原材料为原生料，不添加回收料。色母添加剂为标准色母，产品耐紫外线、不褪色，色彩符合儿童视觉习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AD3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2434">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53B3">
            <w:pPr>
              <w:jc w:val="center"/>
              <w:rPr>
                <w:rFonts w:hint="eastAsia" w:ascii="宋体" w:hAnsi="宋体" w:eastAsia="宋体" w:cs="宋体"/>
                <w:i w:val="0"/>
                <w:iCs w:val="0"/>
                <w:color w:val="auto"/>
                <w:sz w:val="18"/>
                <w:szCs w:val="18"/>
                <w:highlight w:val="none"/>
                <w:u w:val="none"/>
              </w:rPr>
            </w:pPr>
          </w:p>
        </w:tc>
      </w:tr>
      <w:tr w14:paraId="0131F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3DDAF">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6B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A8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8B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0B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付</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1B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10*10*6.5cm，下口：10.3厘米，高6.3厘米，绳子长138厘米，一个高跷配套一根绳子，材质为环保型工程塑料，注塑工艺精密模具一次成型后经拼装组合而成，卡通笑脸造型，产品强度高、密度大、耐折弯、热胀冷缩应力小。成形后期经修边、锐角毛刺打磨处理，无安全隐患。生产原材料为原生料，不添加回收料。色母添加剂为标准色母，产品耐紫外线、不褪色，色彩符合儿童视觉习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573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0A2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5749">
            <w:pPr>
              <w:jc w:val="center"/>
              <w:rPr>
                <w:rFonts w:hint="eastAsia" w:ascii="宋体" w:hAnsi="宋体" w:eastAsia="宋体" w:cs="宋体"/>
                <w:i w:val="0"/>
                <w:iCs w:val="0"/>
                <w:color w:val="auto"/>
                <w:sz w:val="18"/>
                <w:szCs w:val="18"/>
                <w:highlight w:val="none"/>
                <w:u w:val="none"/>
              </w:rPr>
            </w:pPr>
          </w:p>
        </w:tc>
      </w:tr>
      <w:tr w14:paraId="32D7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94E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D3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80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投掷靶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DA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6C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6E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1.规格：135*160*120cm,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2.投球网兜+稳固底座+球筐+泡沫海绵球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3.材质：牛津布+PVC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4.底座可注沙注水≥10kg,网兜数量不少于10个</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62D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924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785A">
            <w:pPr>
              <w:jc w:val="center"/>
              <w:rPr>
                <w:rFonts w:hint="eastAsia" w:ascii="宋体" w:hAnsi="宋体" w:eastAsia="宋体" w:cs="宋体"/>
                <w:i w:val="0"/>
                <w:iCs w:val="0"/>
                <w:color w:val="auto"/>
                <w:sz w:val="18"/>
                <w:szCs w:val="18"/>
                <w:highlight w:val="none"/>
                <w:u w:val="none"/>
              </w:rPr>
            </w:pPr>
          </w:p>
        </w:tc>
      </w:tr>
      <w:tr w14:paraId="346BC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326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0A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E6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拉力玩具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28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24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B2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为环保型工程塑料，注塑工艺精密模具一次成型后经拼装组合而成，可拉伸，产品强度高、密度大、耐折弯、热胀冷缩应力小。成形后期经修边、锐角毛刺打磨处理，无安全隐患。生产原材料为原生料，不添加回收料。色母添加剂为标准色母，产品耐紫外线、不褪色，色彩符合儿童视觉习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C2D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FBA8">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E550">
            <w:pPr>
              <w:jc w:val="center"/>
              <w:rPr>
                <w:rFonts w:hint="eastAsia" w:ascii="宋体" w:hAnsi="宋体" w:eastAsia="宋体" w:cs="宋体"/>
                <w:i w:val="0"/>
                <w:iCs w:val="0"/>
                <w:color w:val="auto"/>
                <w:sz w:val="18"/>
                <w:szCs w:val="18"/>
                <w:highlight w:val="none"/>
                <w:u w:val="none"/>
              </w:rPr>
            </w:pPr>
          </w:p>
        </w:tc>
      </w:tr>
      <w:tr w14:paraId="76B2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6B6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05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7F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球拍</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2D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06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副</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15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每套含球拍2副，羽毛球1只，PU球1只，手柄为工程塑料+优质布网组合，安全环保，无毒无味，适合幼儿室内外游戏活动使用。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ABB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2B9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829B">
            <w:pPr>
              <w:jc w:val="center"/>
              <w:rPr>
                <w:rFonts w:hint="eastAsia" w:ascii="宋体" w:hAnsi="宋体" w:eastAsia="宋体" w:cs="宋体"/>
                <w:i w:val="0"/>
                <w:iCs w:val="0"/>
                <w:color w:val="auto"/>
                <w:sz w:val="18"/>
                <w:szCs w:val="18"/>
                <w:highlight w:val="none"/>
                <w:u w:val="none"/>
              </w:rPr>
            </w:pPr>
          </w:p>
        </w:tc>
      </w:tr>
      <w:tr w14:paraId="25817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9739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68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B1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跳绳（长）</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35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24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BC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长跳绳，绳长度4000mm～6000mm，直径8～9mm，质量140g～235g；柄(2个)：长度140mm～170mm，直径26mm～33mm，质量70g～90g</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AE6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CA7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32F5">
            <w:pPr>
              <w:jc w:val="center"/>
              <w:rPr>
                <w:rFonts w:hint="eastAsia" w:ascii="宋体" w:hAnsi="宋体" w:eastAsia="宋体" w:cs="宋体"/>
                <w:i w:val="0"/>
                <w:iCs w:val="0"/>
                <w:color w:val="auto"/>
                <w:sz w:val="18"/>
                <w:szCs w:val="18"/>
                <w:highlight w:val="none"/>
                <w:u w:val="none"/>
              </w:rPr>
            </w:pPr>
          </w:p>
        </w:tc>
      </w:tr>
      <w:tr w14:paraId="7A6BD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B8E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17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C8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跳绳（短）</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9B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CF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EF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规格：≥2.6米绳子可调节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材质：ABS柔软加粗棉绳，手柄升级ABS材质，环保、耐用、耐摔、不易受潮开裂，圆润握感更舒适。</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FC5E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942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5B02">
            <w:pPr>
              <w:jc w:val="center"/>
              <w:rPr>
                <w:rFonts w:hint="eastAsia" w:ascii="宋体" w:hAnsi="宋体" w:eastAsia="宋体" w:cs="宋体"/>
                <w:i w:val="0"/>
                <w:iCs w:val="0"/>
                <w:color w:val="auto"/>
                <w:sz w:val="18"/>
                <w:szCs w:val="18"/>
                <w:highlight w:val="none"/>
                <w:u w:val="none"/>
              </w:rPr>
            </w:pPr>
          </w:p>
        </w:tc>
      </w:tr>
      <w:tr w14:paraId="213AB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40B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5C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4F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体操器械（彩旗）</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C2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A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面</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5E3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彩旗：23*30cm、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B2B8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B49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BD2A">
            <w:pPr>
              <w:jc w:val="center"/>
              <w:rPr>
                <w:rFonts w:hint="eastAsia" w:ascii="宋体" w:hAnsi="宋体" w:eastAsia="宋体" w:cs="宋体"/>
                <w:i w:val="0"/>
                <w:iCs w:val="0"/>
                <w:color w:val="auto"/>
                <w:sz w:val="18"/>
                <w:szCs w:val="18"/>
                <w:highlight w:val="none"/>
                <w:u w:val="none"/>
              </w:rPr>
            </w:pPr>
          </w:p>
        </w:tc>
      </w:tr>
      <w:tr w14:paraId="4CF2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44E3">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5A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93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体操器械（哑铃）</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F5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14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95D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哑铃：尺寸：19*4.5cm，材质：ABS塑料，内置铁珠子，摇动发出沙沙声</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069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DF2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154C">
            <w:pPr>
              <w:jc w:val="center"/>
              <w:rPr>
                <w:rFonts w:hint="eastAsia" w:ascii="宋体" w:hAnsi="宋体" w:eastAsia="宋体" w:cs="宋体"/>
                <w:i w:val="0"/>
                <w:iCs w:val="0"/>
                <w:color w:val="auto"/>
                <w:sz w:val="18"/>
                <w:szCs w:val="18"/>
                <w:highlight w:val="none"/>
                <w:u w:val="none"/>
              </w:rPr>
            </w:pPr>
          </w:p>
        </w:tc>
      </w:tr>
      <w:tr w14:paraId="79B30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C88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57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79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体操器械（彩圈）</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F0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08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A8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外径60，内径55cm,彩色塑料材质，外部缠绕镭射膜</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3DF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E594">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6C73">
            <w:pPr>
              <w:jc w:val="center"/>
              <w:rPr>
                <w:rFonts w:hint="eastAsia" w:ascii="宋体" w:hAnsi="宋体" w:eastAsia="宋体" w:cs="宋体"/>
                <w:i w:val="0"/>
                <w:iCs w:val="0"/>
                <w:color w:val="auto"/>
                <w:sz w:val="18"/>
                <w:szCs w:val="18"/>
                <w:highlight w:val="none"/>
                <w:u w:val="none"/>
              </w:rPr>
            </w:pPr>
          </w:p>
        </w:tc>
      </w:tr>
      <w:tr w14:paraId="52DD7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BDE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AE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D5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（体操器械）彩棒</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87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10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42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全新塑料注塑成型，安全无毒无味， 双色大号长约40cm、棒圆粗经2.5cm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FDB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76A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78BE">
            <w:pPr>
              <w:jc w:val="center"/>
              <w:rPr>
                <w:rFonts w:hint="eastAsia" w:ascii="宋体" w:hAnsi="宋体" w:eastAsia="宋体" w:cs="宋体"/>
                <w:i w:val="0"/>
                <w:iCs w:val="0"/>
                <w:color w:val="auto"/>
                <w:sz w:val="18"/>
                <w:szCs w:val="18"/>
                <w:highlight w:val="none"/>
                <w:u w:val="none"/>
              </w:rPr>
            </w:pPr>
          </w:p>
        </w:tc>
      </w:tr>
      <w:tr w14:paraId="64EB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559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72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73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滚筒</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D9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28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3A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规格：φ60*73cm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为环保型工程塑料，由精密模具一次成型，产品强度高、密度大、耐折弯、热胀冷缩应力小。成形后期经修边、锐角毛刺打磨处理，无安全隐患。生产原材料为原生料，不添加回收料。色母添加剂为标准色母，产品耐紫外线、不褪色，色彩符合儿童视觉习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7A2C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D1C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657A">
            <w:pPr>
              <w:jc w:val="center"/>
              <w:rPr>
                <w:rFonts w:hint="eastAsia" w:ascii="宋体" w:hAnsi="宋体" w:eastAsia="宋体" w:cs="宋体"/>
                <w:i w:val="0"/>
                <w:iCs w:val="0"/>
                <w:color w:val="auto"/>
                <w:sz w:val="18"/>
                <w:szCs w:val="18"/>
                <w:highlight w:val="none"/>
                <w:u w:val="none"/>
              </w:rPr>
            </w:pPr>
          </w:p>
        </w:tc>
      </w:tr>
      <w:tr w14:paraId="0F584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319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6C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46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钻筒</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FE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C0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53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三色隧道。材质：牛津布+弹簧钢丝；规格：180*48cm</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BC75">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F38A">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CBE7">
            <w:pPr>
              <w:jc w:val="center"/>
              <w:rPr>
                <w:rFonts w:hint="eastAsia" w:ascii="宋体" w:hAnsi="宋体" w:eastAsia="宋体" w:cs="宋体"/>
                <w:i w:val="0"/>
                <w:iCs w:val="0"/>
                <w:color w:val="auto"/>
                <w:sz w:val="18"/>
                <w:szCs w:val="18"/>
                <w:highlight w:val="none"/>
                <w:u w:val="none"/>
              </w:rPr>
            </w:pPr>
          </w:p>
        </w:tc>
      </w:tr>
      <w:tr w14:paraId="212D9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CBE3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89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AF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体操垫</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33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9F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4F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规格：100*200*10cm,二折，采用有机硅材质面料，防滑耐磨，内里填充珍珠棉，软硬适中，回弹性强。</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B0D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C22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68D2">
            <w:pPr>
              <w:jc w:val="center"/>
              <w:rPr>
                <w:rFonts w:hint="eastAsia" w:ascii="宋体" w:hAnsi="宋体" w:eastAsia="宋体" w:cs="宋体"/>
                <w:i w:val="0"/>
                <w:iCs w:val="0"/>
                <w:color w:val="auto"/>
                <w:sz w:val="18"/>
                <w:szCs w:val="18"/>
                <w:highlight w:val="none"/>
                <w:u w:val="none"/>
              </w:rPr>
            </w:pPr>
          </w:p>
        </w:tc>
      </w:tr>
      <w:tr w14:paraId="6B875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E540">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CD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A3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小三轮车</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D2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CC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辆</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8FA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规格：85*58*65cm，重量：8kg。材质：高碳钢车架。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1.车架采用优质高碳钢管材，抛丸喷砂后全部采用保护焊，激光喷熔后经静电喷塑汽车级烤漆处理，外表光亮平滑色泽鲜艳，防水防晒，永不掉色不生锈。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2.把手、座椅等配件均为尼龙PP新料及天然橡胶，经精密模具一次成型，并经后期加工，韧性好、强度大、耐高温，表面及边缘光滑圆润，柔软质感，无毛刺，不伤人,不会轻易掉落。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3.整车采用轴承为成人电动车轴承，结实耐用，安全无忧。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4.橡胶耐磨轮轴设计，使用坚固的橡胶材料及防滑踏板，轮子内部采用坚固PP新料，外圈采用耐磨实心橡胶材料，内置转向塞子，避免手指卡住。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5.产品色彩鲜艳，无毒无味，安全环保，防静电、抗紫外线，适合幼儿户外骑行训练。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6.产品前后轴直径12mm，承重力强，安全轻便，有效防侧翻，软垫座椅，避震耐磨，软胶握把，加固螺丝，加厚车架，防滑脚踏。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提供产品生产厂家出具的包含：儿童三轮车的中国国家强制性产品认证证书（GB14747-2006），</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提供国家强制性产品认证试验报告，合格证。</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提供工厂郑重承诺书。质检证书及证书编号均为可通用证书，可送任何机构检测。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8.可以增进孩子动作协调与发展，提高儿童大脑组织协调能力，社会交往能力，培养儿童良好的情绪，兴趣意志气质等。</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C12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06F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3AA5">
            <w:pPr>
              <w:jc w:val="center"/>
              <w:rPr>
                <w:rFonts w:hint="eastAsia" w:ascii="宋体" w:hAnsi="宋体" w:eastAsia="宋体" w:cs="宋体"/>
                <w:i w:val="0"/>
                <w:iCs w:val="0"/>
                <w:color w:val="auto"/>
                <w:sz w:val="18"/>
                <w:szCs w:val="18"/>
                <w:highlight w:val="none"/>
                <w:u w:val="none"/>
              </w:rPr>
            </w:pPr>
          </w:p>
        </w:tc>
      </w:tr>
      <w:tr w14:paraId="63D73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066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45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6A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小推车</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18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FE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辆</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3F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规格：88*32*41cm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材质为环保型工程塑料，经精密模具一次成型，产品强度高、耐折弯、热胀冷缩应力小。成形后期经修边、锐角毛刺打磨处理，无安全隐患。生产原材料为原生料，不添加回收料。色母添加剂为标准色母，产品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2.产品经组装而成，安全牢固，色彩鲜艳，无毒无味，安全环保，抗紫外线，适合幼儿户外玩耍训练。</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901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16D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2324">
            <w:pPr>
              <w:jc w:val="center"/>
              <w:rPr>
                <w:rFonts w:hint="eastAsia" w:ascii="宋体" w:hAnsi="宋体" w:eastAsia="宋体" w:cs="宋体"/>
                <w:i w:val="0"/>
                <w:iCs w:val="0"/>
                <w:color w:val="auto"/>
                <w:sz w:val="18"/>
                <w:szCs w:val="18"/>
                <w:highlight w:val="none"/>
                <w:u w:val="none"/>
              </w:rPr>
            </w:pPr>
          </w:p>
        </w:tc>
      </w:tr>
      <w:tr w14:paraId="79F96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E9F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06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6E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钻圈</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0A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A3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21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规格尺寸（长*宽*高）：69*26*73cm，每套8只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产品材质为环保型工程塑料，由精密模具经滚塑工艺一次成型，经后期修边、锐角毛刺打磨处理，无安全隐患。一律使用原生料，不添加回收料，强度高、耐折弯、热胀冷缩应力小。色母添加剂为标准色母，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2.钻圈洞直径约60cm。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3.产品外观无明显色差，无缺陷，结实牢固，无毛刺无尖角，有毒有害物质含量符合标准要求，安全环保，适合儿童使用。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775A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EDF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5E31">
            <w:pPr>
              <w:jc w:val="center"/>
              <w:rPr>
                <w:rFonts w:hint="eastAsia" w:ascii="宋体" w:hAnsi="宋体" w:eastAsia="宋体" w:cs="宋体"/>
                <w:i w:val="0"/>
                <w:iCs w:val="0"/>
                <w:color w:val="auto"/>
                <w:sz w:val="18"/>
                <w:szCs w:val="18"/>
                <w:highlight w:val="none"/>
                <w:u w:val="none"/>
              </w:rPr>
            </w:pPr>
          </w:p>
        </w:tc>
      </w:tr>
      <w:tr w14:paraId="7F653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03C5">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E2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9C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皮球</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8D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34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955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规格：φ20cm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材质为优质橡胶，色彩鲜艳，无毒无味，安全环保，适合幼儿使用。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E06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98E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1CD1">
            <w:pPr>
              <w:jc w:val="center"/>
              <w:rPr>
                <w:rFonts w:hint="eastAsia" w:ascii="宋体" w:hAnsi="宋体" w:eastAsia="宋体" w:cs="宋体"/>
                <w:i w:val="0"/>
                <w:iCs w:val="0"/>
                <w:color w:val="auto"/>
                <w:sz w:val="18"/>
                <w:szCs w:val="18"/>
                <w:highlight w:val="none"/>
                <w:u w:val="none"/>
              </w:rPr>
            </w:pPr>
          </w:p>
        </w:tc>
      </w:tr>
      <w:tr w14:paraId="7BAC8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A42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F6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A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沙包</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C7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22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BF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规格：7cm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材质为优质防雨布，内填充细沙后经缝合而成，色彩鲜艳，无毒无味，安全环保，质地柔软，适合幼儿使用。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88F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8DE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4345">
            <w:pPr>
              <w:jc w:val="center"/>
              <w:rPr>
                <w:rFonts w:hint="eastAsia" w:ascii="宋体" w:hAnsi="宋体" w:eastAsia="宋体" w:cs="宋体"/>
                <w:i w:val="0"/>
                <w:iCs w:val="0"/>
                <w:color w:val="auto"/>
                <w:sz w:val="18"/>
                <w:szCs w:val="18"/>
                <w:highlight w:val="none"/>
                <w:u w:val="none"/>
              </w:rPr>
            </w:pPr>
          </w:p>
        </w:tc>
      </w:tr>
      <w:tr w14:paraId="69523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3BC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2C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77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户外大型滑梯</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0C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BC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4D1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规格：11*3.5*4.5m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主钢管材质及规格：Φ114mm，厚度2.0mm的镀锌钢管。辅助管材：Φ26mm/28mm/32mm/48mm/60mm的镀锌钢管。工艺处理：焊接采用CO2气体保护焊，机械打磨抛光，整体抛丸喷砂，静电粉沫喷涂后高温加热处理，不褪色，不掉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平台材质及规格尺寸：1160mm*1160mm，厚度2.0mm冷轧钢板。自动化冲孔，孔眼直径≦Φ8.5mm（拷漆平台孔眼≦Φ8mm）。孔眼内圈光滑平整无棱角，不伤手。经特殊设计防滑，不积水。背面X型承重钢片设计，以增加载重能力。工艺处理：冲孔后折弯，焊接采用CO2气体保护焊，机械打磨抛光，整体抛丸喷砂，静电粉沫喷涂后高温加热处理，不褪色，不掉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塑料件：采用环保工程塑料，添加入抗紫外线剂和抗氧剂，加入高级色粉，具有优良的耐热和耐寒性，良好的稳定性和电绝缘性，耐腐蚀。重量轻，强度高（滑梯类平均壁厚≧6mm），具有抗磨、耐磨性。后期经边角、边缘打磨处理，无毛刺，不伤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4、安全连接件：铝合金、表面平整光滑，不伤手，经久耐用、不生锈。表面处理：机械打磨抛光，抛丸喷砂，静电粉沫喷涂处理。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5、五金配件材质：采用不锈钢材质的半圆头、T型平头螺丝。外露螺丝均使用不锈钢半圆、无棱角的螺丝，加不锈钢螺丝帽。螺丝需使用专用工具，具有预防任意调整功能，维护设备安全的作用。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配置：立柱不少于16根、平台不少于5个、走梯不少于1组，四方顶不少于2个，单柱顶（规格：≥1400±10mm*1300±10mm*200±5mm，英伦风格，树叶造型，构件要求整体成型、无缝拼接、耐候抗冲击、户外使用寿命满足年限）不少于2个，双滑梯不少于1个，单滑梯不少于1个，S型滑梯不少于1个，挡板不少于10块。</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英伦风格造型树叶顶提供由第三方权威检测机构出具的符合GB6675.1-2014(玩具安全 第1部分：基本规范)和</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 xml:space="preserve">GB6675.4-2014（玩具安全 第4部分特定元素的迁移）检测报告，需带CMA或CNAS标识。 </w:t>
            </w:r>
          </w:p>
          <w:p w14:paraId="3F5A2F02">
            <w:pPr>
              <w:keepNext w:val="0"/>
              <w:keepLines w:val="0"/>
              <w:widowControl/>
              <w:suppressLineNumbers w:val="0"/>
              <w:jc w:val="left"/>
              <w:textAlignment w:val="center"/>
              <w:rPr>
                <w:rFonts w:hint="default" w:ascii="宋体" w:hAnsi="宋体" w:eastAsia="宋体" w:cs="宋体"/>
                <w:i w:val="0"/>
                <w:iCs w:val="0"/>
                <w:color w:val="auto"/>
                <w:sz w:val="18"/>
                <w:szCs w:val="18"/>
                <w:highlight w:val="none"/>
                <w:u w:val="none"/>
                <w:lang w:val="en-US"/>
              </w:rPr>
            </w:pP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投标人自行出具《技术参数响应承诺函》并加盖投标人公章即可；履约验收阶段采购人有权核验产品原厂资料。</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3407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BE2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92F5">
            <w:pPr>
              <w:jc w:val="center"/>
              <w:rPr>
                <w:rFonts w:hint="eastAsia" w:ascii="宋体" w:hAnsi="宋体" w:eastAsia="宋体" w:cs="宋体"/>
                <w:i w:val="0"/>
                <w:iCs w:val="0"/>
                <w:color w:val="auto"/>
                <w:sz w:val="18"/>
                <w:szCs w:val="18"/>
                <w:highlight w:val="none"/>
                <w:u w:val="none"/>
              </w:rPr>
            </w:pPr>
          </w:p>
        </w:tc>
      </w:tr>
      <w:tr w14:paraId="5E5FC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6B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24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94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手风琴</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2E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118</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24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架</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39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尺寸：18*10*15cm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规格：7键2贝司</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8BF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6A3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F833">
            <w:pPr>
              <w:jc w:val="center"/>
              <w:rPr>
                <w:rFonts w:hint="eastAsia" w:ascii="宋体" w:hAnsi="宋体" w:eastAsia="宋体" w:cs="宋体"/>
                <w:i w:val="0"/>
                <w:iCs w:val="0"/>
                <w:color w:val="auto"/>
                <w:sz w:val="18"/>
                <w:szCs w:val="18"/>
                <w:highlight w:val="none"/>
                <w:u w:val="none"/>
              </w:rPr>
            </w:pPr>
          </w:p>
        </w:tc>
      </w:tr>
      <w:tr w14:paraId="611E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113E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0C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7A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儿童木琴</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D0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5C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2E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1、材质：木制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2、规格：全长为≧23.5cm；高≧5.5-4cm；敲琴棒的长度≧18cm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3、结构：由8个木琴片和一个木制框体组成，配有2根敲琴棒。琴片底部均有白色棉质小圆片垫。</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72A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33C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2938">
            <w:pPr>
              <w:jc w:val="center"/>
              <w:rPr>
                <w:rFonts w:hint="eastAsia" w:ascii="宋体" w:hAnsi="宋体" w:eastAsia="宋体" w:cs="宋体"/>
                <w:i w:val="0"/>
                <w:iCs w:val="0"/>
                <w:color w:val="auto"/>
                <w:sz w:val="18"/>
                <w:szCs w:val="18"/>
                <w:highlight w:val="none"/>
                <w:u w:val="none"/>
              </w:rPr>
            </w:pPr>
          </w:p>
        </w:tc>
      </w:tr>
      <w:tr w14:paraId="2D14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119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F3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2E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鼓</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C8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EA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面</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6C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1、材质：塑料鼓腔</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2、规格：鼓面ф≥220mm，高度≥150mm，鼓面无破损，无皱折，坚韧，富有弹性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3、鼓体与手柄表面无疤痕，无裂缝，喷红漆。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4、鼓槌用硬杂木制成，前端呈球状，表面无疤痕。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5、演奏时，发出“咚、咚”声，不得有杂音。</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01B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F16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6F77">
            <w:pPr>
              <w:jc w:val="center"/>
              <w:rPr>
                <w:rFonts w:hint="eastAsia" w:ascii="宋体" w:hAnsi="宋体" w:eastAsia="宋体" w:cs="宋体"/>
                <w:i w:val="0"/>
                <w:iCs w:val="0"/>
                <w:color w:val="auto"/>
                <w:sz w:val="18"/>
                <w:szCs w:val="18"/>
                <w:highlight w:val="none"/>
                <w:u w:val="none"/>
              </w:rPr>
            </w:pPr>
          </w:p>
        </w:tc>
      </w:tr>
      <w:tr w14:paraId="7D347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06D92">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6D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A2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锣</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9F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2E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付</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AA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1.尺寸：直径100mm。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2.材质：黄铜材质，尼龙带。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3.特质：传统中式乐器，低音与边缘处高音相互结合,民族调性强。</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67E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16A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B949">
            <w:pPr>
              <w:jc w:val="center"/>
              <w:rPr>
                <w:rFonts w:hint="eastAsia" w:ascii="宋体" w:hAnsi="宋体" w:eastAsia="宋体" w:cs="宋体"/>
                <w:i w:val="0"/>
                <w:iCs w:val="0"/>
                <w:color w:val="auto"/>
                <w:sz w:val="18"/>
                <w:szCs w:val="18"/>
                <w:highlight w:val="none"/>
                <w:u w:val="none"/>
              </w:rPr>
            </w:pPr>
          </w:p>
        </w:tc>
      </w:tr>
      <w:tr w14:paraId="678DE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F26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4C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51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钹</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87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8B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付</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B5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材质：黄铜（氧化工艺）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规格：直径φ150mm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描述：一种是左右各持一片，相互撞击，摩擦而发音，另一种是将单片悬挂在支架上，只手持鼓敲打其边，可以取得另一种音响效果，如果要止住过长的延续音，可以用手捏住线的边缘或将前面捂在杯中即可。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C7B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2D2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4251">
            <w:pPr>
              <w:jc w:val="center"/>
              <w:rPr>
                <w:rFonts w:hint="eastAsia" w:ascii="宋体" w:hAnsi="宋体" w:eastAsia="宋体" w:cs="宋体"/>
                <w:i w:val="0"/>
                <w:iCs w:val="0"/>
                <w:color w:val="auto"/>
                <w:sz w:val="18"/>
                <w:szCs w:val="18"/>
                <w:highlight w:val="none"/>
                <w:u w:val="none"/>
              </w:rPr>
            </w:pPr>
          </w:p>
        </w:tc>
      </w:tr>
      <w:tr w14:paraId="21D0F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580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B6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1B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木鱼</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D3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4B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AF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1、材质：木制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2、规格：长为≧15cm，直径为≧4.5cm，敲棒长≧12cm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3、结构：由一个木制鱼形木鱼邦子，配有一根敲棒组成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4、使用方法：一手拿着木鱼，另外一只手用敲棒敲打木鱼即可发声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5、产品具有合格证，三包卡，独立纸盒包装或包装袋。</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032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652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BEB7">
            <w:pPr>
              <w:jc w:val="center"/>
              <w:rPr>
                <w:rFonts w:hint="eastAsia" w:ascii="宋体" w:hAnsi="宋体" w:eastAsia="宋体" w:cs="宋体"/>
                <w:i w:val="0"/>
                <w:iCs w:val="0"/>
                <w:color w:val="auto"/>
                <w:sz w:val="18"/>
                <w:szCs w:val="18"/>
                <w:highlight w:val="none"/>
                <w:u w:val="none"/>
              </w:rPr>
            </w:pPr>
          </w:p>
        </w:tc>
      </w:tr>
      <w:tr w14:paraId="0FDA3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E66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24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1D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碰钟</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01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84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6C7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为仿铜，木柄，直径≥4.5cm；两个一对。两个一对。传统手工打造，声音清脆悦耳，发音响亮，余音悠长。碰铃虽无固定音高，声音清凉，常配合幽雅、抒情的曲调演奏。演奏时，两手各执一铃，互相碰击而振动发音；是我国互击体鸣乐器中具有特殊韵味的色彩性和节奏性乐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DDEE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EAF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39B5">
            <w:pPr>
              <w:jc w:val="center"/>
              <w:rPr>
                <w:rFonts w:hint="eastAsia" w:ascii="宋体" w:hAnsi="宋体" w:eastAsia="宋体" w:cs="宋体"/>
                <w:i w:val="0"/>
                <w:iCs w:val="0"/>
                <w:color w:val="auto"/>
                <w:sz w:val="18"/>
                <w:szCs w:val="18"/>
                <w:highlight w:val="none"/>
                <w:u w:val="none"/>
              </w:rPr>
            </w:pPr>
          </w:p>
        </w:tc>
      </w:tr>
      <w:tr w14:paraId="4587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EB5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34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14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沙锤</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63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C6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付</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15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实木材质，环保漆涂层。内装沙粒，两个为一付。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演奏时左右手各握一把，双手交替上下晃动，奏出各种节奏音型。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产品特点：小巧鲜艳，声音柔和，发音清脆而略带沙沙声，多用于演奏有特殊风格的舞曲。</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1F3A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E31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BCD6">
            <w:pPr>
              <w:jc w:val="center"/>
              <w:rPr>
                <w:rFonts w:hint="eastAsia" w:ascii="宋体" w:hAnsi="宋体" w:eastAsia="宋体" w:cs="宋体"/>
                <w:i w:val="0"/>
                <w:iCs w:val="0"/>
                <w:color w:val="auto"/>
                <w:sz w:val="18"/>
                <w:szCs w:val="18"/>
                <w:highlight w:val="none"/>
                <w:u w:val="none"/>
              </w:rPr>
            </w:pPr>
          </w:p>
        </w:tc>
      </w:tr>
      <w:tr w14:paraId="2684A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154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C7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D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哇鸣筒</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80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AD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56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1.规格：长约20CM，宽约6CM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2.材质：木制，环保清漆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3.手握鱼形，中间表面有螺纹，表面有两个圆孔，头部和尾部表面画有图案；头尾部为桦木，上粗下细，鱼形。中间掏空，手工画花点缀，头部开嘴。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4.使用方法：一手拿蛙筒，一手拿刮棒，持刮棒刮鱼，蛙筒沟槽部位发声，似蛙鸣，音色响亮清脆。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5.附刮棒一个，圆椎形。</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562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81A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60F7">
            <w:pPr>
              <w:jc w:val="center"/>
              <w:rPr>
                <w:rFonts w:hint="eastAsia" w:ascii="宋体" w:hAnsi="宋体" w:eastAsia="宋体" w:cs="宋体"/>
                <w:i w:val="0"/>
                <w:iCs w:val="0"/>
                <w:color w:val="auto"/>
                <w:sz w:val="18"/>
                <w:szCs w:val="18"/>
                <w:highlight w:val="none"/>
                <w:u w:val="none"/>
              </w:rPr>
            </w:pPr>
          </w:p>
        </w:tc>
      </w:tr>
      <w:tr w14:paraId="0357F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CD29">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C6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60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双响筒</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BD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63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425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1、结构：由筒体、手柄、击槌组成。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2、材质：筒体为原木色。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3、规格：筒体全长不小于170mm，筒体直径不小于40mm，手柄用硬杂木制成，握把全长不小于155mm，击槌用硬杂木制成，两端呈球状。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4、产品表面涂树脂清漆，漆层光亮、均匀。敲打双响筒时，能发出两种频率不等的声音。</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5、圆筒形打击乐器。圆筒中间细，两头粗。中间细的部分实心，开一圆孔，可以插入一根小棍，演奏时手持小棍，也可直接拿住中间实心部位，另一手持小木棍敲击空心筒身部位发声。</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B1C9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81D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923C">
            <w:pPr>
              <w:jc w:val="center"/>
              <w:rPr>
                <w:rFonts w:hint="eastAsia" w:ascii="宋体" w:hAnsi="宋体" w:eastAsia="宋体" w:cs="宋体"/>
                <w:i w:val="0"/>
                <w:iCs w:val="0"/>
                <w:color w:val="auto"/>
                <w:sz w:val="18"/>
                <w:szCs w:val="18"/>
                <w:highlight w:val="none"/>
                <w:u w:val="none"/>
              </w:rPr>
            </w:pPr>
          </w:p>
        </w:tc>
      </w:tr>
      <w:tr w14:paraId="2EF53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658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B2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C6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串铃</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FE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A3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65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1、材质：塑料把手，铃铛，2、规格：直径长≧8CM，3、结构：手持式半圆形状，10铃，铃铛为金属材料制成</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9C03">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653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3F4D">
            <w:pPr>
              <w:jc w:val="center"/>
              <w:rPr>
                <w:rFonts w:hint="eastAsia" w:ascii="宋体" w:hAnsi="宋体" w:eastAsia="宋体" w:cs="宋体"/>
                <w:i w:val="0"/>
                <w:iCs w:val="0"/>
                <w:color w:val="auto"/>
                <w:sz w:val="18"/>
                <w:szCs w:val="18"/>
                <w:highlight w:val="none"/>
                <w:u w:val="none"/>
              </w:rPr>
            </w:pPr>
          </w:p>
        </w:tc>
      </w:tr>
      <w:tr w14:paraId="2D982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ECD5">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6C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25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响板</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F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3B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CA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尺寸：直径50mm。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材质：桦木，弹力绳子。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特质：传统木质乐器，音色干净，使用简单、方便演奏。</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18B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C2B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E5D4">
            <w:pPr>
              <w:jc w:val="center"/>
              <w:rPr>
                <w:rFonts w:hint="eastAsia" w:ascii="宋体" w:hAnsi="宋体" w:eastAsia="宋体" w:cs="宋体"/>
                <w:i w:val="0"/>
                <w:iCs w:val="0"/>
                <w:color w:val="auto"/>
                <w:sz w:val="18"/>
                <w:szCs w:val="18"/>
                <w:highlight w:val="none"/>
                <w:u w:val="none"/>
              </w:rPr>
            </w:pPr>
          </w:p>
        </w:tc>
      </w:tr>
      <w:tr w14:paraId="5284A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F1C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16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3C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铃鼓</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4D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C9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面</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B3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规格：6寸，直径约15CM，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材质：由木质鼓圈，聚酯皮鼓面，6组铃片组成。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使用方法：演奏时，手持铃鼓摇动鼓身即可作响</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6DC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EF27">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7892">
            <w:pPr>
              <w:jc w:val="center"/>
              <w:rPr>
                <w:rFonts w:hint="eastAsia" w:ascii="宋体" w:hAnsi="宋体" w:eastAsia="宋体" w:cs="宋体"/>
                <w:i w:val="0"/>
                <w:iCs w:val="0"/>
                <w:color w:val="auto"/>
                <w:sz w:val="18"/>
                <w:szCs w:val="18"/>
                <w:highlight w:val="none"/>
                <w:u w:val="none"/>
              </w:rPr>
            </w:pPr>
          </w:p>
        </w:tc>
      </w:tr>
      <w:tr w14:paraId="3275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B1B6">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04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11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三角铁</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1E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9E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付</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8E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1.产品用优质钢材制造；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2.每付三角铁由1个三角铁和金属敲击棒组成；边长：约15CM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3.表面镀铬，镀层均匀音质明亮，发音清脆，穿透力强，制作精美，光洁，无毛刺。金属敲击棒的顶端带有软橡胶保护垫，更安全，三角铁带有软橡胶制作的勾手，方便使用。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4、使用方法：用击棒敲击三角铁即可。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9D2C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903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CF652">
            <w:pPr>
              <w:jc w:val="center"/>
              <w:rPr>
                <w:rFonts w:hint="eastAsia" w:ascii="宋体" w:hAnsi="宋体" w:eastAsia="宋体" w:cs="宋体"/>
                <w:i w:val="0"/>
                <w:iCs w:val="0"/>
                <w:color w:val="auto"/>
                <w:sz w:val="18"/>
                <w:szCs w:val="18"/>
                <w:highlight w:val="none"/>
                <w:u w:val="none"/>
              </w:rPr>
            </w:pPr>
          </w:p>
        </w:tc>
      </w:tr>
      <w:tr w14:paraId="1FF23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2A5F">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58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音乐类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DC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电钢琴</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02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5E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33F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键盘：88键，逐级配重键盘,推滑式键盘盖；音源：88 键逐键采样谐波成像音源；复音数：192复音数；内置音色：15种；内置录音功能：3首乐曲录制，录音容量10000个音符；混响：6种；内置钢琴教程：包含常用钢琴教程：拜尔126曲、布尔格缪勒钢琴进阶25 曲、车尔尼钢琴流畅练习曲（作品849）30 首、艾尔弗雷德基础1A 和1B（全曲）（每首乐曲右手/ 左手声部可以单独播放配合练习、可自由调节速度、可同时打开节拍器提示速度）；  演示乐曲： 315首 ；节拍器：节拍 1/4、2/4、3/4、4/4、5/4、3/8、6/8速度范围: 10-300bpm；键盘模式： 双音色演奏模式（可调节声部音量平衡），双钢琴模式；钢琴调音效果： 10种钢琴调音效果，同时可通过自有品牌APP调节；蓝牙功能：蓝牙MIDI， APP功能：配备自有品牌APP,可实现用手机无线连接数码钢琴，调节设备各项功能，并支持手机 APP录音，录音文件可保存为MIDI和WAV两种格式，录音文件可通过微信等分享。 双钢琴功能：有（可将键盘设置为相同的两个音域，实现双人同音域演奏）  其他功能： 延音共振、混响、琴键力度、调音、移调、明亮度、自动关机；插孔：配备两个耳机插孔（包含3.5mm耳机插孔、USB接口；输出功率： 20W×2 </w:t>
            </w:r>
          </w:p>
          <w:p w14:paraId="2E53023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 xml:space="preserve">投标人自行出具《技术参数响应承诺函》并加盖投标人公章即可；履约验收阶段采购人有权核验产品原厂资料，投标阶段不强制厂家材料。 </w:t>
            </w:r>
          </w:p>
          <w:p w14:paraId="592E51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所投产品必须有CQC标志实验报告。</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A1BD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20A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FBB8">
            <w:pPr>
              <w:jc w:val="center"/>
              <w:rPr>
                <w:rFonts w:hint="eastAsia" w:ascii="宋体" w:hAnsi="宋体" w:eastAsia="宋体" w:cs="宋体"/>
                <w:i w:val="0"/>
                <w:iCs w:val="0"/>
                <w:color w:val="auto"/>
                <w:sz w:val="18"/>
                <w:szCs w:val="18"/>
                <w:highlight w:val="none"/>
                <w:u w:val="none"/>
              </w:rPr>
            </w:pPr>
          </w:p>
        </w:tc>
      </w:tr>
      <w:tr w14:paraId="574A1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5"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72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97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D4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教学一体机</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1C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7780">
            <w:pPr>
              <w:jc w:val="center"/>
              <w:rPr>
                <w:rFonts w:hint="eastAsia" w:ascii="宋体" w:hAnsi="宋体" w:eastAsia="宋体" w:cs="宋体"/>
                <w:i w:val="0"/>
                <w:iCs w:val="0"/>
                <w:color w:val="auto"/>
                <w:sz w:val="18"/>
                <w:szCs w:val="18"/>
                <w:highlight w:val="none"/>
                <w:u w:val="none"/>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8D9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1.整机屏幕采用75英寸液晶面板（对角线），显示比例16:9，分辨率3840*2160，整机对比度5000：1，整机可视角度≥178°。</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2.配套可移动支架，国标钢架结构，承重≥100kg，壁挂高度可调，万向脚轮带锁止功能，带脚刹双层结构，托盘承重25KG,模具设置U型置物槽，方便触摸笔、遥控器等物品放置。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3.屏幕采⽤≤3.2mm钢化玻璃保护，表⾯硬度≥石墨硬度9H或莫氏硬度7级，透光率不低于90%，雾度≤1%。</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（需提供带第三方机构出具的检测报告复印件并加盖供应商公章）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4.嵌入式安卓系统版本不低于Android 15，内存≥4GB，存储空间≥32GB。</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5.整机采用国产化嵌入式芯片,CPU≥8核，GPU≥4核。</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（需提供带第三方机构出具的检测报告复印件并加盖供应商公章）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6.整机支持全通道支持4K界面超高清显示，包括安卓通道、PC通道、HDMI通道、Type-C通道。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7.整机屏幕采用DC直流背光源，保证显示画面无频闪，有效避免视觉疲劳，呵护师生用眼健康。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8.支持色彩空间可选，包含标准模式和sRGB模式，在sRGB模式下可做到高色准△E≤1。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9.触摸响应时间≤3ms，触摸书写延迟≤10ms，光标移动速度≥144帧/秒。连续触控时，连续的两次触控点检测时间间隔≤7ms，最小识别物≤2mm，触摸精度±1mm。具备抗强光干扰，在≥400K LUX照度的环境下仍能正常书写。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10..整机内置非独立外扩展的8阵列麦克风，可用于对教室环境音频进行采集，麦克风拾音距离≥12米。</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11.支持标准、听力、观影和空间感知音效模式，空间感知音效模式可通过内置麦克风采集教室物理环境声音，自动生成符合当前教室物理环境的频段、音量、音效。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12.整机支持单独听功能</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语言清晰度（STI-PA）≥0.75。全部扬声器均采用模块化设计，无需打开背板即可单独拆卸。</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（需提供带第三方机构出具的检测报告复印件并加盖供应商公章）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13.整机系统支持智能画质调节，开启AIPQ功能后，播放视频即可根据屏幕内容自动调节画质参数，当屏幕出现人物、建筑、夜景等元素时，自动调整对比度、饱和度、锐利度、色调色相值、高光/阴影，让整个画面显示效果更佳。</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14.整机支持根据当地时间结合智能算法，实时调节屏幕色温，适应环境色温，视觉更舒适。</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（需提供带第三方机构出具的检测报告复印件并加盖供应商公章）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15.整机内置NFC模块，支持搭配具有NFC功能的手机、平板，接触即可实现手机、平板与大屏的连接并同步手机、平板的画面到设备上，无需其它操作设置。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16.整机具备前置物理按键，简洁易用，避免误操作。整机前置4路USB输入接口（包含2路Type-C、2路USB3.0），1路HDMI IN  2.0接口，前置USB接口支持Android、Windows双系统读取外接移动存储设备，接口具备明显的丝印标识。</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（需提供带第三方机构出具的检测报告复印件并加盖供应商公章）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17.侧置接口≥1路HDMI、≥1路RS232、≥1路RJ45、≥1路同轴，≥1路USB接口、≥1路line out、</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（需提供带第三方机构出具的检测报告复印件并加盖供应商公章）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18.整机支持蓝牙Bluetooth 5.2标准，内置WiFi5无线网卡，在Android下支持无线设备同时连接数量≥32个，在Windows系统下支持无线设备同时连接≥8个。无线模块（Wi-Fi和蓝牙）采用独立模块化设计，无需拆卸整机后壳即可独立拆装。</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（需提供带第三方机构出具的检测报告复印件并加盖供应商公章）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19.具备双向蓝牙功能，支持外部设备连接整机蓝牙后，通过整机喇叭播放音频，也可以支持整机播放音频使用外部设备扩声。</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（需提供带第三方机构出具的检测报告复印件）</w:t>
            </w:r>
          </w:p>
          <w:p w14:paraId="52A475F6">
            <w:pP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投标人</w:t>
            </w:r>
            <w:r>
              <w:rPr>
                <w:rFonts w:hint="eastAsia" w:ascii="宋体" w:hAnsi="宋体" w:cs="宋体"/>
                <w:i w:val="0"/>
                <w:iCs w:val="0"/>
                <w:color w:val="auto"/>
                <w:kern w:val="0"/>
                <w:sz w:val="18"/>
                <w:szCs w:val="18"/>
                <w:highlight w:val="none"/>
                <w:u w:val="none"/>
                <w:lang w:val="en-US" w:eastAsia="zh-CN" w:bidi="ar"/>
              </w:rPr>
              <w:t>需</w:t>
            </w:r>
            <w:r>
              <w:rPr>
                <w:rFonts w:hint="eastAsia" w:ascii="宋体" w:hAnsi="宋体" w:eastAsia="宋体" w:cs="宋体"/>
                <w:i w:val="0"/>
                <w:iCs w:val="0"/>
                <w:color w:val="auto"/>
                <w:kern w:val="0"/>
                <w:sz w:val="18"/>
                <w:szCs w:val="18"/>
                <w:highlight w:val="none"/>
                <w:u w:val="none"/>
                <w:lang w:val="en-US" w:eastAsia="zh-CN" w:bidi="ar"/>
              </w:rPr>
              <w:t>出具《技术参数响应承诺函》</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并加盖投标人公章</w:t>
            </w:r>
            <w:r>
              <w:rPr>
                <w:rFonts w:hint="eastAsia" w:ascii="宋体" w:hAnsi="宋体" w:cs="宋体"/>
                <w:i w:val="0"/>
                <w:iCs w:val="0"/>
                <w:color w:val="auto"/>
                <w:kern w:val="0"/>
                <w:sz w:val="18"/>
                <w:szCs w:val="18"/>
                <w:highlight w:val="none"/>
                <w:u w:val="none"/>
                <w:lang w:val="en-US" w:eastAsia="zh-CN" w:bidi="ar"/>
              </w:rPr>
              <w:t>。</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B02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B4A5">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D946">
            <w:pPr>
              <w:jc w:val="center"/>
              <w:rPr>
                <w:rFonts w:hint="eastAsia" w:ascii="宋体" w:hAnsi="宋体" w:eastAsia="宋体" w:cs="宋体"/>
                <w:i w:val="0"/>
                <w:iCs w:val="0"/>
                <w:color w:val="auto"/>
                <w:sz w:val="18"/>
                <w:szCs w:val="18"/>
                <w:highlight w:val="none"/>
                <w:u w:val="none"/>
              </w:rPr>
            </w:pPr>
          </w:p>
        </w:tc>
      </w:tr>
      <w:tr w14:paraId="3606B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5"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95D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05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电教类</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7A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拉杆音响</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DD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CC81">
            <w:pPr>
              <w:jc w:val="center"/>
              <w:rPr>
                <w:rFonts w:hint="eastAsia" w:ascii="宋体" w:hAnsi="宋体" w:eastAsia="宋体" w:cs="宋体"/>
                <w:i w:val="0"/>
                <w:iCs w:val="0"/>
                <w:color w:val="auto"/>
                <w:sz w:val="18"/>
                <w:szCs w:val="18"/>
                <w:highlight w:val="none"/>
                <w:u w:val="none"/>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30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一、1. 发声单元：12寸低音喇叭+远程大号角高音，声场覆盖广，户外穿透力强2. 输出功率：240W大功率，3. 音频性能- 频率响应：50Hz-20KHz（-3dB），高低音层次清晰- 信噪比≥71dB，杂音少，人声还原度高4. 显示配置：LED数码管显示屏，操作状态一目了然5. 配套话筒：2支U段无线话筒，远距离收音、抗干扰，唱歌讲话无断音6. 供电电池：12V/7000mAh大容量锂电池，循环播放广场舞音乐可持续6-8小时，户外长时间使用无需外接电源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二、尺寸规格- 机身尺寸：351334625mm- 外包装纸箱尺寸：415360685mm机身自带拉杆+万向滚轮，顶部预留移动点歌机支架接口，可加装点歌设备。三、全功能清单播放连接功能高保真蓝牙、U盘/TF卡无损音乐读取、MP3数字选曲、多种音频解码、循环播放人声K歌功能；自动伴奏、话筒优先独立音量调节、录音功能，K歌、演讲、朗诵都适配；四、独立高低音/话筒音量调节旋钮、LED数码显示屏、便携拉杆滚轮移动结构</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DE4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40A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8DA3">
            <w:pPr>
              <w:jc w:val="center"/>
              <w:rPr>
                <w:rFonts w:hint="eastAsia" w:ascii="宋体" w:hAnsi="宋体" w:eastAsia="宋体" w:cs="宋体"/>
                <w:i w:val="0"/>
                <w:iCs w:val="0"/>
                <w:color w:val="auto"/>
                <w:sz w:val="18"/>
                <w:szCs w:val="18"/>
                <w:highlight w:val="none"/>
                <w:u w:val="none"/>
              </w:rPr>
            </w:pPr>
          </w:p>
        </w:tc>
      </w:tr>
      <w:tr w14:paraId="0060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02" w:type="dxa"/>
            <w:tcBorders>
              <w:top w:val="nil"/>
              <w:left w:val="single" w:color="000000" w:sz="4" w:space="0"/>
              <w:bottom w:val="single" w:color="000000" w:sz="4" w:space="0"/>
              <w:right w:val="single" w:color="000000" w:sz="4" w:space="0"/>
            </w:tcBorders>
            <w:shd w:val="clear" w:color="auto" w:fill="auto"/>
            <w:noWrap/>
            <w:vAlign w:val="center"/>
          </w:tcPr>
          <w:p w14:paraId="28D1A7C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46BF7">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AB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平衡车</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59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E7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辆</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6F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高碳钢车身，结实、轻便。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发光轮毂，时尚造型，动起来闪闪发光。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高端数码拼接烤漆，环保，高级，有质感。</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橡胶防爆外胎，环保免充气，弹性好，不损坏。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精密轴承，丝滑、稳定。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整车圆润，安全，品质有保障</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0E5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21C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067E">
            <w:pPr>
              <w:jc w:val="center"/>
              <w:rPr>
                <w:rFonts w:hint="eastAsia" w:ascii="宋体" w:hAnsi="宋体" w:eastAsia="宋体" w:cs="宋体"/>
                <w:i w:val="0"/>
                <w:iCs w:val="0"/>
                <w:color w:val="auto"/>
                <w:sz w:val="18"/>
                <w:szCs w:val="18"/>
                <w:highlight w:val="none"/>
                <w:u w:val="none"/>
              </w:rPr>
            </w:pPr>
          </w:p>
        </w:tc>
      </w:tr>
      <w:tr w14:paraId="1EBE3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2" w:type="dxa"/>
            <w:tcBorders>
              <w:top w:val="nil"/>
              <w:left w:val="single" w:color="000000" w:sz="4" w:space="0"/>
              <w:bottom w:val="single" w:color="000000" w:sz="4" w:space="0"/>
              <w:right w:val="single" w:color="000000" w:sz="4" w:space="0"/>
            </w:tcBorders>
            <w:shd w:val="clear" w:color="auto" w:fill="auto"/>
            <w:noWrap/>
            <w:vAlign w:val="center"/>
          </w:tcPr>
          <w:p w14:paraId="7D9AC55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04827">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87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跑酷9件套</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07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6B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56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跑酷系列-基础版54件套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一、材质：芬兰松防腐木、PP、环保草坪、钢管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二、工艺：磨圆角、光滑无毛刺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三、详细参数：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1、单元跨越台，包含两个部分：木制部分采用芬兰防腐木，尺寸30.5*30.5*14cm 厚度25mm，数量8个；顶板部分采用PP材料，30.5*30.5*1.5cm，牛油果色PP塑料板，顶板镂空设计，可跟底座完美配合，形成有机整体，数量4个；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2、2倍数跨越台，包含两个部分：木制部分采用芬兰防腐木，尺寸62*30.5*14cm厚度25mm，数量8个；顶板部分采用PP材料，64*33*1.5cm，牛油果色PP塑料板，顶板镂空设计，可跟底座完美配合，形成有机整体，数量4个；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3、平衡桥，材料：主体板为芬兰防腐木，尺寸：100*9.5*4.5cm，数量6个；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4、跨越半圆柱，材质：PP、环保草坪，尺寸：31*33*15.5cm，数量2个；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5、2倍数跨越半圆柱，材质：PP、环保草坪，尺寸：62*33*15.5cm，数量2个；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6、U形坡道，材质：PP、环保草坪，尺寸：80*48*36.5cm，数量1个；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7、调节斜坡踏板，材质：芬兰防腐木、PP、环保草坪、铁件，尺寸：58*54.5*5cm，数量2个；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8、三角台阶梯，材质：芬兰防腐木、PP、亚克力、环保草坪，尺寸：61.5*61*60cm，数量1个；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10、弹力绳穿梭攀爬箱，材质：芬兰防腐木、PP、环保草坪、涤纶弹力绳，尺寸：78*58*61cm，数量1个；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11、带攀岩绳斜坡滑梯，材质：芬兰防腐木、PP、环保草坪、尼龙绳，尺寸：122*61*62.5cm，数量1个；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12、攀岩三角梯，材质：芬兰防腐木、PP、环保草坪，尺寸：53*60*66cm，数量1个；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13、草趣拱桥，包含两个部分：第一部分，草趣拱跃：材质：芬兰防腐木+PP+环保草坪，尺寸89*47*34.5cm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数量1个，第一部分，草趣梯形：材质：芬兰防腐木+PP+环保草坪，尺寸100*47*31cm，数量1个；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14、单杠，材质：钢管，尺寸：120*100*133cm，数量1个；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15、双折1号游戏垫，材质：加厚珍珠棉，尺寸：80*160*13cm，数量2个；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16、按铃，尺寸：6.5*4.2，数量2个；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17、起点哨，材质：塑料，数量5个。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18、指导手册 材质：纸质，18*25.5cm，1本；</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共计54件套。！</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D5D0">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42B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EC32">
            <w:pPr>
              <w:jc w:val="center"/>
              <w:rPr>
                <w:rFonts w:hint="eastAsia" w:ascii="宋体" w:hAnsi="宋体" w:eastAsia="宋体" w:cs="宋体"/>
                <w:i w:val="0"/>
                <w:iCs w:val="0"/>
                <w:color w:val="auto"/>
                <w:sz w:val="18"/>
                <w:szCs w:val="18"/>
                <w:highlight w:val="none"/>
                <w:u w:val="none"/>
              </w:rPr>
            </w:pPr>
          </w:p>
        </w:tc>
      </w:tr>
      <w:tr w14:paraId="17EB2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2" w:type="dxa"/>
            <w:tcBorders>
              <w:top w:val="nil"/>
              <w:left w:val="single" w:color="000000" w:sz="4" w:space="0"/>
              <w:bottom w:val="single" w:color="000000" w:sz="4" w:space="0"/>
              <w:right w:val="single" w:color="000000" w:sz="4" w:space="0"/>
            </w:tcBorders>
            <w:shd w:val="clear" w:color="auto" w:fill="auto"/>
            <w:noWrap/>
            <w:vAlign w:val="center"/>
          </w:tcPr>
          <w:p w14:paraId="3CDCFCC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8FB0">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F9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58件一体化梯子</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B0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6D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0B01">
            <w:pPr>
              <w:keepNext w:val="0"/>
              <w:keepLines w:val="0"/>
              <w:widowControl/>
              <w:suppressLineNumbers w:val="0"/>
              <w:jc w:val="left"/>
              <w:textAlignment w:val="center"/>
              <w:rPr>
                <w:rStyle w:val="98"/>
                <w:color w:val="auto"/>
                <w:sz w:val="18"/>
                <w:szCs w:val="18"/>
                <w:highlight w:val="none"/>
                <w:lang w:val="en-US" w:eastAsia="zh-CN" w:bidi="ar"/>
              </w:rPr>
            </w:pPr>
            <w:r>
              <w:rPr>
                <w:rStyle w:val="98"/>
                <w:color w:val="auto"/>
                <w:sz w:val="18"/>
                <w:szCs w:val="18"/>
                <w:highlight w:val="none"/>
                <w:lang w:val="en-US" w:eastAsia="zh-CN" w:bidi="ar"/>
              </w:rPr>
              <w:t>防腐木箱运动组合58件套</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 xml:space="preserve">一、材质：采用优质新西兰松木，芬兰松防腐木，PP                                                              </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 xml:space="preserve">二、工艺：碳烤、静电喷水性环保油漆、磨圆角、光滑无毛刺，一体化框架结构；                         </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 xml:space="preserve"> ▲三、提供第三方权威检测机构出具的GB6675-2014国标检测报告（检测报告必须包括: 1.GB 6675.1-2014-玩具安全第1部分：基本规范；2.GB6675.2-2014-玩具第2部分：机械与物理性能；3.GB6675.3-2014玩具安全第3部分：易燃性能；4.GB6675.1-2014-章节5.3.7-邻苯二甲酸酯增塑剂；5.GB6675.1-2014章节5.3.3&amp;GB6675.4-2014-特定元素的迁移;共五个项目检测合格！）</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 xml:space="preserve"> 四、配送安吉探索游戏指导手册 1本《把游戏还给孩子》；尺寸：21*28.5cm，封面双铜250克；</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内页双铜157克；封面:正面亚膜；有线胶装；共68页。</w:t>
            </w:r>
          </w:p>
          <w:p w14:paraId="20CC25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产品参数：</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1.人字梯：材质：松木。规格：120*44*14cm 4个；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2.直梯：材质：松木。规格：195*</w:t>
            </w:r>
            <w:r>
              <w:rPr>
                <w:rStyle w:val="72"/>
                <w:color w:val="auto"/>
                <w:sz w:val="18"/>
                <w:szCs w:val="18"/>
                <w:highlight w:val="none"/>
                <w:lang w:val="en-US" w:eastAsia="zh-CN" w:bidi="ar"/>
              </w:rPr>
              <w:t>35</w:t>
            </w:r>
            <w:r>
              <w:rPr>
                <w:rStyle w:val="98"/>
                <w:color w:val="auto"/>
                <w:sz w:val="18"/>
                <w:szCs w:val="18"/>
                <w:highlight w:val="none"/>
                <w:lang w:val="en-US" w:eastAsia="zh-CN" w:bidi="ar"/>
              </w:rPr>
              <w:t>*7cm 4个；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3.直梯：材质：松木。规格：。150*35*7cm 4个；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4.短平衡板：材质：松木。规格：120*20*2.5cm  8个；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5.长平衡板：材质：松木。规格：150*20*2.5cm  6个；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6.支架：材质：松木。规格：H：60cm 2个；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7.支架：材质：松木。规格：H：30cm 2个；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8.防腐木攀爬箱 材质：ACQ芬兰松防腐木 60*60*60cm 2个；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9.防腐木攀爬箱 材质：ACQ芬兰松防腐木 80*80*80cm 2个；</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 xml:space="preserve">10.滚筒：材质：pp。直径50cm，高60cm 1个；直径50cm，高90cm  1个；直径56cm，高60cm  1个；直径56cm，高90cm  1个    </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11.平板拖车: 材质：进口多层板 80*80cm  2个                   12.彩虹尺寸：形状：1号半圆，数量：1个，尺寸（cm）：117*58.5*35</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含有9根圆棒，颜色：原木，红，橙，黄，绿，蓝，紫，红，橙，黄</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13.形状：2号半圆，数量：1个，尺寸（cm）：102*51*35</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含有7根圆棒，颜色：原木，红，橙，黄，绿，蓝，紫，红</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14.形状：3号半圆，数量：1个，尺寸（cm）：86.7*43*35</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含有5根圆棒，颜色：原木，红，橙，黄，绿，蓝</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15.形状：4号半圆，数量：1个，尺寸（cm）：71.5*36*35</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含有1根圆棒,4根平板，颜色：原木，红</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16.形状：原色梯子，数量：1个，尺寸（cm）：60*35*4</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含有2根圆棒，颜色：原木</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17.形状：三角梯，数量：1个，尺寸（cm）：72*70*42.5</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含有5根圆棒，颜色：红，橙，黄，绿，蓝</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18.形状：多层板平衡板，数量：2个，尺寸（cm）：120×23×2.5，颜色：原木色</w:t>
            </w:r>
            <w:r>
              <w:rPr>
                <w:rStyle w:val="98"/>
                <w:color w:val="auto"/>
                <w:sz w:val="18"/>
                <w:szCs w:val="18"/>
                <w:highlight w:val="none"/>
                <w:lang w:val="en-US" w:eastAsia="zh-CN" w:bidi="ar"/>
              </w:rPr>
              <w:br w:type="textWrapping"/>
            </w:r>
            <w:r>
              <w:rPr>
                <w:rStyle w:val="98"/>
                <w:color w:val="auto"/>
                <w:sz w:val="18"/>
                <w:szCs w:val="18"/>
                <w:highlight w:val="none"/>
                <w:lang w:val="en-US" w:eastAsia="zh-CN" w:bidi="ar"/>
              </w:rPr>
              <w:t xml:space="preserve">19.形状：多层板平衡板，数量：2个，尺寸（cm）：140×23×2.5，颜色：原木色 </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601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7FF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EC6A">
            <w:pPr>
              <w:jc w:val="center"/>
              <w:rPr>
                <w:rFonts w:hint="eastAsia" w:ascii="宋体" w:hAnsi="宋体" w:eastAsia="宋体" w:cs="宋体"/>
                <w:i w:val="0"/>
                <w:iCs w:val="0"/>
                <w:color w:val="auto"/>
                <w:sz w:val="18"/>
                <w:szCs w:val="18"/>
                <w:highlight w:val="none"/>
                <w:u w:val="none"/>
              </w:rPr>
            </w:pPr>
          </w:p>
        </w:tc>
      </w:tr>
      <w:tr w14:paraId="73141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2F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BE9E">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F4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PE运动组合41件套</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AA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44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F0A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41件套PE箱子运动组合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一、材质；采用 优质清水无结新西兰松木，PP，PE。</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二、工艺：静电喷水性环保油漆、磨圆角、光滑无毛刺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1.四步双梯 材质：松木。规格：高120cm，外宽44cm，梯腿厚度4*7cm；圆棒直径4cm，2把；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2.三步双梯 材质：松木。规格：高100cm，外宽44cm，梯腿厚度4*7cm；圆棒直径4cm，2把；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3.两步双梯 材质：松木。规格：高60cm，外宽44cm，梯腿厚度4*7cm；圆棒直径4cm，2把；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4.三步单梯 材质：松木。规格：高100cm，外宽35cm，梯腿厚度4*7cm；圆棒直径4cm，2把；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5.四步单梯材质：松木。 规格：高120cm，外宽35cm，梯腿厚度4*7cm；圆棒直径4cm，4把；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6.五步单梯 材质：松木。规格：高150cm，外宽35cm，梯腿厚度4*7cm；圆棒直径4cm，4把；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7.高支架 材质：松木。规格：H：60cm，2个；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8.矮支架材质：松木。 规格：H：30cm，2个；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9.平衡板材质：松木。 规格：120×20×2.5cm，5块；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10.平衡板材质：松木。 规格：150×20×2.5cm，5块；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11.滚筒 材质：pp。规格：直径50cm，高60cm，厚度1.2cm；1个；全新PP材料，颜色雪白，无黑点，边缘打磨光滑无毛刺；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12.滚筒 材质：pp。规格：直径50cm，高90cm，厚度1.2cm；1个；全新PP材料，颜色雪白，无黑点，边缘打磨光滑无毛刺；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13.滚筒 材质：pp。规格：直径56cm，高60cm，厚度1.2cm；1个；全新PP材料，颜色雪白，无黑点，边缘打磨光滑无毛刺；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14.滚筒 材质：pp。规格：直径56cm，高90cm，厚度1.2cm；1个；全新PP材料，颜色雪白，无黑点，边缘打磨光滑无毛刺；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15.《安吉游戏指导手册》规格：28.5*21cm，1本；</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16.攀爬箱  材质：PE+铝合金烤漆+ABS规格：60*60*60cm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17.攀爬箱 材质：PE+铝合金烤漆+ABS 规格：80*80*80cm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18.平板车 材质：PE+五金金属 规格：80*80cm，2辆；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三、提供第三方权威检测机构出具的GB6675-2014国标检测报告（检测报告必须包括: 1.GB 6675.1-2014-玩具安全第1部分：基本规范；2.GB6675.2-2014-玩具第2部分：机械与物理性能；3.GB6675.3-2014玩具安全第3部分：易燃性能；4.GB6675.1-2014-章节5.3.7-邻苯二甲酸酯增塑剂；5.GB6675.1-2014章节5.3.3&amp;GB6675.4-2014-特定元素的迁移;共五个项目检测合格！）</w:t>
            </w:r>
          </w:p>
          <w:p w14:paraId="591C85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 xml:space="preserve">投标人自行出具《技术参数响应承诺函》并加盖投标人公章即可；履约验收阶段采购人有权核验产品原厂资料，投标阶段不强制厂家材料。                                                           </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B86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5364">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266C">
            <w:pPr>
              <w:jc w:val="center"/>
              <w:rPr>
                <w:rFonts w:hint="eastAsia" w:ascii="宋体" w:hAnsi="宋体" w:eastAsia="宋体" w:cs="宋体"/>
                <w:i w:val="0"/>
                <w:iCs w:val="0"/>
                <w:color w:val="auto"/>
                <w:sz w:val="18"/>
                <w:szCs w:val="18"/>
                <w:highlight w:val="none"/>
                <w:u w:val="none"/>
              </w:rPr>
            </w:pPr>
          </w:p>
        </w:tc>
      </w:tr>
      <w:tr w14:paraId="4F239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6C7E">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135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08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户外军事设备</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B6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ABC3">
            <w:pPr>
              <w:jc w:val="center"/>
              <w:rPr>
                <w:rFonts w:hint="eastAsia" w:ascii="宋体" w:hAnsi="宋体" w:eastAsia="宋体" w:cs="宋体"/>
                <w:i w:val="0"/>
                <w:iCs w:val="0"/>
                <w:color w:val="auto"/>
                <w:sz w:val="18"/>
                <w:szCs w:val="18"/>
                <w:highlight w:val="none"/>
                <w:u w:val="none"/>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33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户外野战区-尊享版253件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一、基础类产品材质为：帆布 尼龙 松木 PP 涤纶 木质 塑料 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1.收纳袋（收口） 材质：帆布+填充袋，规格：50*30cm/填充袋30*40cm（含打气筒一个） 40 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2.框架  材质：PVC+牛津布，规格：80*80cm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3.炸药包  材质：帆布，规格：30*30cm  20个；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4.帆布担架-布  材质：帆布，规格：90*60cm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5.帆布担架-原木圆棒  材质：木质，规格：长120*3.2cm  4根；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6.架子 材质：碳化松木，规格：高80*57*51cm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7.架子车 材质：碳化松木，规格： 120*50*29cm（含轮：120*65*42cm ）1辆；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8.大号三角障碍 材质:芬兰防腐木+PP+环保草坪,规格：100*39*54cm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9.钻洞-圆 材质：防腐木+橙色PE包圆边，蓝色PE保护立柱顶部，规格：90*75*106cm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10.钻洞-匍匐 材质：防腐木+橙色PE包半圆边+蓝色PE保护立柱顶部，规格：90*75*86cm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11.大帐篷 -原木圆棒 材质：新西兰松木原木色，规格： 150*3.2cm  5根；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12.大帐篷-迷彩网， 材质：尼龙，规格：300*200cm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13.大帐篷 -连接片  材质：PP，规格：17*7cm 4个；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14.大帐篷 -螺丝螺母 规格：M6x60mm 材质：塑料+金属，4对；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15.小帐篷 -原木圆棒 材质：新西兰松木原木色，规格： 150*2.5cm  3根；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16.小帐篷-迷彩网， 材质：尼龙，规格：300*200cm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17.小帐篷 -橙色圆片  材质：PP，规格：13*5.5*1.5cm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18.红旗  材质：涤纶，规格：60*40cm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19.红旗-原木圆棒 材质：新西兰松木原木色，规格150*2.5cm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20.红旗-塑料底座 材质：塑料，规格：34*15cm （注水10KG）2个；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21.平衡木 材质：碳化松木，规格：长1.5米，面宽14cm，高20cm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22.平衡板 材质：新西兰松木碳化色，规格：120*20*2.5cm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23.平衡板 材质：新西兰松木碳化色，规格：150*20*2.5cm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24.单梯 材质：新西兰松木碳化色，规格：H:150*35*7cm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25.木棒 材质：碳化松木，规格：长120*3.2cm 4根；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26.中轮胎 材质：塑料轮、PU胎轮子，规格：总长度62cm，轮胎直径37cm， 2对；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27.材质：有机硅帆布+优质珍珠棉，规格：80*160*13cm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28.滚筒绿色  材质：PP，规格：50*60cm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29.滚筒绿色   材质：PP ，规格：56*60cm1个；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30.玩具枪-冲锋枪  材质：PP，规格：49*19cm 18把；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31.玩具枪-短枪  材质：PP， 规格：22*12CM 8把；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32.迫击炮 材质：塑料，规格：67*34*53cm 2台；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33.迷彩拱形隧道 材质：迷彩布，规格：180*60*70cm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34.带网轮胎车 材质：橡胶、麻绳，规格：直径55cm，高23.5cm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35.急救包 材质：PU，规格：21*7*15cm 1个；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36.医生服 材质：布，规格：130cm 2套；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37.对讲机 材质：ABS，规格：9.7*5.6*3.4cm 2台；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38.迷彩望远镜 材质：塑料，规格：11.5*13cm 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39.手榴弹    材质：塑料，规格：8*5.5cm 40个；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40.迷彩服（马甲） 材质：牛津布，规格：均码110cm，30套；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41.迷彩帽子 材质：锦纶，规格：均码，30顶；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33..游戏指导手册 1本；</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共计253件。                         </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EB6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4CC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D680">
            <w:pPr>
              <w:jc w:val="center"/>
              <w:rPr>
                <w:rFonts w:hint="eastAsia" w:ascii="宋体" w:hAnsi="宋体" w:eastAsia="宋体" w:cs="宋体"/>
                <w:i w:val="0"/>
                <w:iCs w:val="0"/>
                <w:color w:val="auto"/>
                <w:sz w:val="18"/>
                <w:szCs w:val="18"/>
                <w:highlight w:val="none"/>
                <w:u w:val="none"/>
              </w:rPr>
            </w:pPr>
          </w:p>
        </w:tc>
      </w:tr>
      <w:tr w14:paraId="79F79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B0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064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63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儿童单杆</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52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AE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615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137*124.5*（91-150）cm，材质为Φ32mm/38mm/20*40mm/40*60mm的镀锌钢管，焊接采用CO2气体保护焊，机械打磨抛光，整体抛丸喷砂，静电粉沫喷涂后高温加热处理，不褪色，不掉色，连接处采用塑料软化处理，安全舒适。</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B0E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4F7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A820">
            <w:pPr>
              <w:jc w:val="center"/>
              <w:rPr>
                <w:rFonts w:hint="eastAsia" w:ascii="宋体" w:hAnsi="宋体" w:eastAsia="宋体" w:cs="宋体"/>
                <w:i w:val="0"/>
                <w:iCs w:val="0"/>
                <w:color w:val="auto"/>
                <w:sz w:val="18"/>
                <w:szCs w:val="18"/>
                <w:highlight w:val="none"/>
                <w:u w:val="none"/>
              </w:rPr>
            </w:pPr>
          </w:p>
        </w:tc>
      </w:tr>
      <w:tr w14:paraId="68421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AC20">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23C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EE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儿童爬行架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F6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69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87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规格：200*50*50cm，材质为Φ32mm/40*60mm的镀锌钢管，焊接采用CO2气体保护焊，机械打磨抛光，整体抛丸喷砂，静电粉沫喷涂后高温加热处理，不褪色，不掉色。</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E27B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662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A13D">
            <w:pPr>
              <w:jc w:val="center"/>
              <w:rPr>
                <w:rFonts w:hint="eastAsia" w:ascii="宋体" w:hAnsi="宋体" w:eastAsia="宋体" w:cs="宋体"/>
                <w:i w:val="0"/>
                <w:iCs w:val="0"/>
                <w:color w:val="auto"/>
                <w:sz w:val="18"/>
                <w:szCs w:val="18"/>
                <w:highlight w:val="none"/>
                <w:u w:val="none"/>
              </w:rPr>
            </w:pPr>
          </w:p>
        </w:tc>
      </w:tr>
      <w:tr w14:paraId="501C8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B7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7BAC">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0F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四档跳马</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F7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86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0C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规格：80*40*60cm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1.内部为木制多层板，外加海绵和优质PU布组合，质地柔软，色彩鲜艳，无毒无味，安全环保，适合幼儿室内外游戏活动使用。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2.产品可自由组合高度，供幼儿玩耍。</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05E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B66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DE90">
            <w:pPr>
              <w:jc w:val="center"/>
              <w:rPr>
                <w:rFonts w:hint="eastAsia" w:ascii="宋体" w:hAnsi="宋体" w:eastAsia="宋体" w:cs="宋体"/>
                <w:i w:val="0"/>
                <w:iCs w:val="0"/>
                <w:color w:val="auto"/>
                <w:sz w:val="18"/>
                <w:szCs w:val="18"/>
                <w:highlight w:val="none"/>
                <w:u w:val="none"/>
              </w:rPr>
            </w:pPr>
          </w:p>
        </w:tc>
      </w:tr>
      <w:tr w14:paraId="5EA56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7D87">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D2DD">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C6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跳板</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CF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92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20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规格：90*50*20cm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材质为2cm环保多层板，热压工艺一次成型，板面覆盖优质毛毡，弹簧为优质加粗淬火刚性弹簧，弹力强，经久耐用。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D939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57D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F6D9">
            <w:pPr>
              <w:jc w:val="center"/>
              <w:rPr>
                <w:rFonts w:hint="eastAsia" w:ascii="宋体" w:hAnsi="宋体" w:eastAsia="宋体" w:cs="宋体"/>
                <w:i w:val="0"/>
                <w:iCs w:val="0"/>
                <w:color w:val="auto"/>
                <w:sz w:val="18"/>
                <w:szCs w:val="18"/>
                <w:highlight w:val="none"/>
                <w:u w:val="none"/>
              </w:rPr>
            </w:pPr>
          </w:p>
        </w:tc>
      </w:tr>
      <w:tr w14:paraId="5E77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77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91A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0B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保护垫</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74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CD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BB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规格：240*60*5cm，材质为优质防雨布+珍珠棉组合，质地柔软，色彩鲜艳，无毒无味，安全环保，适合幼儿室内外游戏活动使用。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7E4D5">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C73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3802">
            <w:pPr>
              <w:jc w:val="center"/>
              <w:rPr>
                <w:rFonts w:hint="eastAsia" w:ascii="宋体" w:hAnsi="宋体" w:eastAsia="宋体" w:cs="宋体"/>
                <w:i w:val="0"/>
                <w:iCs w:val="0"/>
                <w:color w:val="auto"/>
                <w:sz w:val="18"/>
                <w:szCs w:val="18"/>
                <w:highlight w:val="none"/>
                <w:u w:val="none"/>
              </w:rPr>
            </w:pPr>
          </w:p>
        </w:tc>
      </w:tr>
      <w:tr w14:paraId="0C7E2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01BA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1A7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30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敏捷梯</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AD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4D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4C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材质：松木+涤纶绳。长度2.4米</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8466">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A862">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3EDF">
            <w:pPr>
              <w:jc w:val="center"/>
              <w:rPr>
                <w:rFonts w:hint="eastAsia" w:ascii="宋体" w:hAnsi="宋体" w:eastAsia="宋体" w:cs="宋体"/>
                <w:i w:val="0"/>
                <w:iCs w:val="0"/>
                <w:color w:val="auto"/>
                <w:sz w:val="18"/>
                <w:szCs w:val="18"/>
                <w:highlight w:val="none"/>
                <w:u w:val="none"/>
              </w:rPr>
            </w:pPr>
          </w:p>
        </w:tc>
      </w:tr>
      <w:tr w14:paraId="1F38F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09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2AAF">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76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智能计数跳绳</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B2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9C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62D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规格：长度2.8米，跳绳是棉绳或PVC材质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C4F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A27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91E8">
            <w:pPr>
              <w:jc w:val="center"/>
              <w:rPr>
                <w:rFonts w:hint="eastAsia" w:ascii="宋体" w:hAnsi="宋体" w:eastAsia="宋体" w:cs="宋体"/>
                <w:i w:val="0"/>
                <w:iCs w:val="0"/>
                <w:color w:val="auto"/>
                <w:sz w:val="18"/>
                <w:szCs w:val="18"/>
                <w:highlight w:val="none"/>
                <w:u w:val="none"/>
              </w:rPr>
            </w:pPr>
          </w:p>
        </w:tc>
      </w:tr>
      <w:tr w14:paraId="2527A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CA1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A183">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DF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篮球--5#大</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09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E7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85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规格：5#φ22cm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材质为优质耐磨PU皮+丁基内坦，结实耐用，无毒无味，安全环保，适合幼儿使用。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573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8E5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7D87">
            <w:pPr>
              <w:jc w:val="center"/>
              <w:rPr>
                <w:rFonts w:hint="eastAsia" w:ascii="宋体" w:hAnsi="宋体" w:eastAsia="宋体" w:cs="宋体"/>
                <w:i w:val="0"/>
                <w:iCs w:val="0"/>
                <w:color w:val="auto"/>
                <w:sz w:val="18"/>
                <w:szCs w:val="18"/>
                <w:highlight w:val="none"/>
                <w:u w:val="none"/>
              </w:rPr>
            </w:pPr>
          </w:p>
        </w:tc>
      </w:tr>
      <w:tr w14:paraId="0DB6B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5EF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4059">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DD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涂鸦收纳柜</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82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82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E8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规格：150*70*150cm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1.产品材质为优质铁皮+优质草坪组合，内部分三层。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2.铁皮厚1.6mm，工艺处理：采用CO2气体保护焊焊接技术，机械加工折弯、打磨抛光等多种工艺流程处理，后经静电粉沫喷涂，不掉色，不褪色。表面平整光滑，无尖锐毛刺；经久耐用，不生锈。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3.底部安装万向转轮，方便物品任意转移位置。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4.草坪无毒无味，符合玩具安全的要求标准。</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A3CC">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735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9102">
            <w:pPr>
              <w:jc w:val="center"/>
              <w:rPr>
                <w:rFonts w:hint="eastAsia" w:ascii="宋体" w:hAnsi="宋体" w:eastAsia="宋体" w:cs="宋体"/>
                <w:i w:val="0"/>
                <w:iCs w:val="0"/>
                <w:color w:val="auto"/>
                <w:sz w:val="18"/>
                <w:szCs w:val="18"/>
                <w:highlight w:val="none"/>
                <w:u w:val="none"/>
              </w:rPr>
            </w:pPr>
          </w:p>
        </w:tc>
      </w:tr>
      <w:tr w14:paraId="44A69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9787">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28C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D0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篮球架--小型</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74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3C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D0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规格：小型70*70*150cm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产品采用环保型工程塑料，经精密模具一次成型，经后期修边、锐角毛刺打磨处理，无安全隐患。一律使用原生料，不添加回收料，强度高、耐折弯、热胀冷缩应力小。色母添加剂为标准色母，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2.篮板高度可以根据需要进行调节，产品安全牢固，外观良好，无缺陷，轻便灵活，适合儿童使用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4383">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5228">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4441">
            <w:pPr>
              <w:jc w:val="center"/>
              <w:rPr>
                <w:rFonts w:hint="eastAsia" w:ascii="宋体" w:hAnsi="宋体" w:eastAsia="宋体" w:cs="宋体"/>
                <w:i w:val="0"/>
                <w:iCs w:val="0"/>
                <w:color w:val="auto"/>
                <w:sz w:val="18"/>
                <w:szCs w:val="18"/>
                <w:highlight w:val="none"/>
                <w:u w:val="none"/>
              </w:rPr>
            </w:pPr>
          </w:p>
        </w:tc>
      </w:tr>
      <w:tr w14:paraId="6AAB5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82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BD07">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5D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足球--3#大</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02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5F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D2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规格：2#φ16cm，3#φ18cm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材质为优质PU，色彩鲜艳，无毒无味，安全环保，适合幼儿使用。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99F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F084">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4E4B">
            <w:pPr>
              <w:jc w:val="center"/>
              <w:rPr>
                <w:rFonts w:hint="eastAsia" w:ascii="宋体" w:hAnsi="宋体" w:eastAsia="宋体" w:cs="宋体"/>
                <w:i w:val="0"/>
                <w:iCs w:val="0"/>
                <w:color w:val="auto"/>
                <w:sz w:val="18"/>
                <w:szCs w:val="18"/>
                <w:highlight w:val="none"/>
                <w:u w:val="none"/>
              </w:rPr>
            </w:pPr>
          </w:p>
        </w:tc>
      </w:tr>
      <w:tr w14:paraId="1A4CB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BF8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822D">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95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足球门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7E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50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14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规格：116*66*78cm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1.球门两边挡板材质环保型工程塑料，经精密模具一次成型，产品强度高、密度大、耐折弯、热胀冷缩应力小。成形后期经修边、锐角毛刺打磨处理，无安全隐患。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2.球门框为φ76mm，壁厚1.5mmPVC管，产品强度高、密度大、耐折弯、热胀冷缩应力小。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3.产品成形后期经修边、锐角毛刺打磨处理，无安全隐患。生产原材料为原生料，不添加回收料。色母添加剂为标准色母，产品耐紫外线、不褪色，色彩符合儿童视觉习惯。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4.产品经组装而成，球门网为优质尼龙绳网，适合幼儿使用。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9E6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CEE3">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C821">
            <w:pPr>
              <w:jc w:val="center"/>
              <w:rPr>
                <w:rFonts w:hint="eastAsia" w:ascii="宋体" w:hAnsi="宋体" w:eastAsia="宋体" w:cs="宋体"/>
                <w:i w:val="0"/>
                <w:iCs w:val="0"/>
                <w:color w:val="auto"/>
                <w:sz w:val="18"/>
                <w:szCs w:val="18"/>
                <w:highlight w:val="none"/>
                <w:u w:val="none"/>
              </w:rPr>
            </w:pPr>
          </w:p>
        </w:tc>
      </w:tr>
      <w:tr w14:paraId="462B8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2" w:type="dxa"/>
            <w:tcBorders>
              <w:top w:val="nil"/>
              <w:left w:val="single" w:color="000000" w:sz="4" w:space="0"/>
              <w:bottom w:val="single" w:color="000000" w:sz="4" w:space="0"/>
              <w:right w:val="single" w:color="000000" w:sz="4" w:space="0"/>
            </w:tcBorders>
            <w:shd w:val="clear" w:color="auto" w:fill="auto"/>
            <w:noWrap/>
            <w:vAlign w:val="center"/>
          </w:tcPr>
          <w:p w14:paraId="48905F1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D624">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16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大龙球</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B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F0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991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规格：φ45cm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材质为优质环保PVC乳胶，色彩鲜艳，无毒无味，安全环保，适合幼儿使用。    </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0D7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1E60">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9B33">
            <w:pPr>
              <w:jc w:val="center"/>
              <w:rPr>
                <w:rFonts w:hint="eastAsia" w:ascii="宋体" w:hAnsi="宋体" w:eastAsia="宋体" w:cs="宋体"/>
                <w:i w:val="0"/>
                <w:iCs w:val="0"/>
                <w:color w:val="auto"/>
                <w:sz w:val="18"/>
                <w:szCs w:val="18"/>
                <w:highlight w:val="none"/>
                <w:u w:val="none"/>
              </w:rPr>
            </w:pPr>
          </w:p>
        </w:tc>
      </w:tr>
      <w:tr w14:paraId="3786F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08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026F">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8F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户外标志旗杆</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4A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B752">
            <w:pPr>
              <w:jc w:val="center"/>
              <w:rPr>
                <w:rFonts w:hint="eastAsia" w:ascii="宋体" w:hAnsi="宋体" w:eastAsia="宋体" w:cs="宋体"/>
                <w:i w:val="0"/>
                <w:iCs w:val="0"/>
                <w:color w:val="auto"/>
                <w:sz w:val="18"/>
                <w:szCs w:val="18"/>
                <w:highlight w:val="none"/>
                <w:u w:val="none"/>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03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2.3kg橡胶底座+1.5米pvc杆</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397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FDE5">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CD48">
            <w:pPr>
              <w:jc w:val="center"/>
              <w:rPr>
                <w:rFonts w:hint="eastAsia" w:ascii="宋体" w:hAnsi="宋体" w:eastAsia="宋体" w:cs="宋体"/>
                <w:i w:val="0"/>
                <w:iCs w:val="0"/>
                <w:color w:val="auto"/>
                <w:sz w:val="18"/>
                <w:szCs w:val="18"/>
                <w:highlight w:val="none"/>
                <w:u w:val="none"/>
              </w:rPr>
            </w:pPr>
          </w:p>
        </w:tc>
      </w:tr>
      <w:tr w14:paraId="2B19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1891">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3A60">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C3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户外标志桶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5B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AEA7">
            <w:pPr>
              <w:jc w:val="center"/>
              <w:rPr>
                <w:rFonts w:hint="eastAsia" w:ascii="宋体" w:hAnsi="宋体" w:eastAsia="宋体" w:cs="宋体"/>
                <w:i w:val="0"/>
                <w:iCs w:val="0"/>
                <w:color w:val="auto"/>
                <w:sz w:val="18"/>
                <w:szCs w:val="18"/>
                <w:highlight w:val="none"/>
                <w:u w:val="none"/>
              </w:rPr>
            </w:pP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14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塑料，18CM高</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D48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7A64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AB64">
            <w:pPr>
              <w:jc w:val="center"/>
              <w:rPr>
                <w:rFonts w:hint="eastAsia" w:ascii="宋体" w:hAnsi="宋体" w:eastAsia="宋体" w:cs="宋体"/>
                <w:i w:val="0"/>
                <w:iCs w:val="0"/>
                <w:color w:val="auto"/>
                <w:sz w:val="18"/>
                <w:szCs w:val="18"/>
                <w:highlight w:val="none"/>
                <w:u w:val="none"/>
              </w:rPr>
            </w:pPr>
          </w:p>
        </w:tc>
      </w:tr>
      <w:tr w14:paraId="103D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FF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D2D95">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9C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奥尔夫乐器53件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64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C1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667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寸堂鼓1个，8寸可调小战鼓1个，8寸双面小军鼓1个，大号塑料沙锤1对，小号塑料沙锤1对，木质沙锤1对，6寸铃圈1个，8音红木木琴1个，7寸海鼓1个，金属沙筒1个，双响筒1副，6寸铃鼓1个，多响筒1个，雨声筒1个，蛙鸣筒1副，手提鼓1个，KTV摇铃1个，龙铃1个，齿木1个，木鱼1副，龙口梆子1个，8音木琴1个，单响筒1副，手提八音琴1个，节奏棒1副，环保铃1副，转响板1个，刮棒1副，三角铁1套，摇铃1个，塑料响板1对，塑料沙蛋1对，10cm黄铜小锣1个，圆舞板1对，9cm黄铜小镲1副，13铃棒铃1个，子午板1个，木鱼1副，棒棒糖鼓1个，沙筒1个，异形沙筒1套，棒钟1副，沙蛋1对，腰铃1个，碰铃1副，腕铃2对，四铃板镲1个，串铃1对，3铃皮铃1个，月亮摇铃1个，哨子1个</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60A52">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CA3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43BB">
            <w:pPr>
              <w:jc w:val="center"/>
              <w:rPr>
                <w:rFonts w:hint="eastAsia" w:ascii="宋体" w:hAnsi="宋体" w:eastAsia="宋体" w:cs="宋体"/>
                <w:i w:val="0"/>
                <w:iCs w:val="0"/>
                <w:color w:val="auto"/>
                <w:sz w:val="18"/>
                <w:szCs w:val="18"/>
                <w:highlight w:val="none"/>
                <w:u w:val="none"/>
              </w:rPr>
            </w:pPr>
          </w:p>
        </w:tc>
      </w:tr>
      <w:tr w14:paraId="1CAC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AB3F">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BFA1">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A8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非洲鼓（小）</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6B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5D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9E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1、尺寸：鼓面直径19-20.9cm，高约40cm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2、鼓面：非洲原色山羊皮，没有经过化学处理，手感舒适，音质好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3、鼓腔：木质，鼓体硬度高，密度大，音质好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4、鼓表面打磨光滑，无毛刺，无锐利边角。</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5、工艺精细、花纹精美、颜色多样、美观大方，手感舒适，音质好</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775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EAA4">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8C5F">
            <w:pPr>
              <w:jc w:val="center"/>
              <w:rPr>
                <w:rFonts w:hint="eastAsia" w:ascii="宋体" w:hAnsi="宋体" w:eastAsia="宋体" w:cs="宋体"/>
                <w:i w:val="0"/>
                <w:iCs w:val="0"/>
                <w:color w:val="auto"/>
                <w:sz w:val="18"/>
                <w:szCs w:val="18"/>
                <w:highlight w:val="none"/>
                <w:u w:val="none"/>
              </w:rPr>
            </w:pPr>
          </w:p>
        </w:tc>
      </w:tr>
      <w:tr w14:paraId="43809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1B8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9FE8">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90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非洲鼓（大）</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8CD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ED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1D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1、尺寸：鼓面直径24-25.9cm，高约50cm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2、鼓面：非洲原色山羊皮，没有经过化学处理，手感舒适，音质好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3、鼓腔：木质，鼓体硬度高，密度大，音质好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4、鼓表面打磨光滑，无毛刺，无锐利边角。</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5、工艺精细、花纹精美、颜色多样、美观大方，手感舒适，音质好</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B32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2CFB">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1438">
            <w:pPr>
              <w:jc w:val="center"/>
              <w:rPr>
                <w:rFonts w:hint="eastAsia" w:ascii="宋体" w:hAnsi="宋体" w:eastAsia="宋体" w:cs="宋体"/>
                <w:i w:val="0"/>
                <w:iCs w:val="0"/>
                <w:color w:val="auto"/>
                <w:sz w:val="18"/>
                <w:szCs w:val="18"/>
                <w:highlight w:val="none"/>
                <w:u w:val="none"/>
              </w:rPr>
            </w:pPr>
          </w:p>
        </w:tc>
      </w:tr>
      <w:tr w14:paraId="176C7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2A5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9C05F">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B7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军鼓</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D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22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D06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1、材质：鼓圈：合金压铸，金属鼓腔；2、鼓腔外包高级PVC，鼓皮为进口聚酯3、规格：鼓面直径≥200mm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4、专业打击鼓皮5、各部件表面打磨光滑，无毛刺，无锐利边角，鼓框拼接整齐，胶合牢固，无裂开，声音饱满，浑厚。6、配：鼓棒、背带</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B3BB">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CB25">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7682">
            <w:pPr>
              <w:jc w:val="center"/>
              <w:rPr>
                <w:rFonts w:hint="eastAsia" w:ascii="宋体" w:hAnsi="宋体" w:eastAsia="宋体" w:cs="宋体"/>
                <w:i w:val="0"/>
                <w:iCs w:val="0"/>
                <w:color w:val="auto"/>
                <w:sz w:val="18"/>
                <w:szCs w:val="18"/>
                <w:highlight w:val="none"/>
                <w:u w:val="none"/>
              </w:rPr>
            </w:pPr>
          </w:p>
        </w:tc>
      </w:tr>
      <w:tr w14:paraId="637A6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02" w:type="dxa"/>
            <w:tcBorders>
              <w:top w:val="nil"/>
              <w:left w:val="single" w:color="000000" w:sz="4" w:space="0"/>
              <w:bottom w:val="single" w:color="000000" w:sz="4" w:space="0"/>
              <w:right w:val="single" w:color="000000" w:sz="4" w:space="0"/>
            </w:tcBorders>
            <w:shd w:val="clear" w:color="auto" w:fill="auto"/>
            <w:noWrap/>
            <w:vAlign w:val="center"/>
          </w:tcPr>
          <w:p w14:paraId="6A340A68">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ACC3">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8F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区角收纳筐（大）</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31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7B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75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规格尺寸（长*宽*高）：大盆41.7*29.8*20cm，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产品材质均为环保型工程塑料，由精密模具一次成型，经后期修边、锐角毛刺打磨处理，无安全隐患。一律使用原生料，不添加回收料，强度高、耐折弯、热胀冷缩应力小。色母添加剂为标准色母，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2.产品外观无明显色差，多种颜色可选，无缺陷，安全牢固，配合各种收纳柜使用。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DA4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3C9A">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48B4">
            <w:pPr>
              <w:jc w:val="center"/>
              <w:rPr>
                <w:rFonts w:hint="eastAsia" w:ascii="宋体" w:hAnsi="宋体" w:eastAsia="宋体" w:cs="宋体"/>
                <w:i w:val="0"/>
                <w:iCs w:val="0"/>
                <w:color w:val="auto"/>
                <w:sz w:val="18"/>
                <w:szCs w:val="18"/>
                <w:highlight w:val="none"/>
                <w:u w:val="none"/>
              </w:rPr>
            </w:pPr>
          </w:p>
        </w:tc>
      </w:tr>
      <w:tr w14:paraId="32AD1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1" w:hRule="atLeast"/>
          <w:jc w:val="center"/>
        </w:trPr>
        <w:tc>
          <w:tcPr>
            <w:tcW w:w="602" w:type="dxa"/>
            <w:tcBorders>
              <w:top w:val="single" w:color="000000" w:sz="4" w:space="0"/>
              <w:left w:val="single" w:color="000000" w:sz="4" w:space="0"/>
              <w:bottom w:val="nil"/>
              <w:right w:val="single" w:color="000000" w:sz="4" w:space="0"/>
            </w:tcBorders>
            <w:shd w:val="clear" w:color="auto" w:fill="auto"/>
            <w:noWrap/>
            <w:vAlign w:val="center"/>
          </w:tcPr>
          <w:p w14:paraId="5131F9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D29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9C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区角收纳筐（小）</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1A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D7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276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规格尺寸（长*宽*高）：30*21.5*8.6cm;ABS材质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产品材质均为环保型工程塑料，由精密模具一次成型，经后期修边、锐角毛刺打磨处理，无安全隐患。一律使用原生料，不添加回收料，强度高、耐折弯、热胀冷缩应力小。色母添加剂为标准色母，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2.产品外观无明显色差，无缺陷，安全牢固，配合各种收纳柜使用。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87F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6BC8">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B1E1">
            <w:pPr>
              <w:jc w:val="center"/>
              <w:rPr>
                <w:rFonts w:hint="eastAsia" w:ascii="宋体" w:hAnsi="宋体" w:eastAsia="宋体" w:cs="宋体"/>
                <w:i w:val="0"/>
                <w:iCs w:val="0"/>
                <w:color w:val="auto"/>
                <w:sz w:val="18"/>
                <w:szCs w:val="18"/>
                <w:highlight w:val="none"/>
                <w:u w:val="none"/>
              </w:rPr>
            </w:pPr>
          </w:p>
        </w:tc>
      </w:tr>
      <w:tr w14:paraId="021C1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tcBorders>
              <w:top w:val="single" w:color="000000" w:sz="4" w:space="0"/>
              <w:left w:val="single" w:color="000000" w:sz="4" w:space="0"/>
              <w:bottom w:val="nil"/>
              <w:right w:val="single" w:color="000000" w:sz="4" w:space="0"/>
            </w:tcBorders>
            <w:shd w:val="clear" w:color="auto" w:fill="auto"/>
            <w:noWrap/>
            <w:vAlign w:val="center"/>
          </w:tcPr>
          <w:p w14:paraId="55D60B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07FFB">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43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AI互动故事机器人</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BD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FD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80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阅宝AI机器人+10册绘本套装,精选10万+知名绘本动画级配音师。真人朗读，超越十万个为什么，天文地理全覆盖</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C364">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A2B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D556">
            <w:pPr>
              <w:jc w:val="center"/>
              <w:rPr>
                <w:rFonts w:hint="eastAsia" w:ascii="宋体" w:hAnsi="宋体" w:eastAsia="宋体" w:cs="宋体"/>
                <w:i w:val="0"/>
                <w:iCs w:val="0"/>
                <w:color w:val="auto"/>
                <w:sz w:val="18"/>
                <w:szCs w:val="18"/>
                <w:highlight w:val="none"/>
                <w:u w:val="none"/>
              </w:rPr>
            </w:pPr>
          </w:p>
        </w:tc>
      </w:tr>
      <w:tr w14:paraId="36C58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F7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E08A">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0B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科学试验台</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F5A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BE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65F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428个科学实验套装</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8EF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0A74">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8517">
            <w:pPr>
              <w:jc w:val="center"/>
              <w:rPr>
                <w:rFonts w:hint="eastAsia" w:ascii="宋体" w:hAnsi="宋体" w:eastAsia="宋体" w:cs="宋体"/>
                <w:i w:val="0"/>
                <w:iCs w:val="0"/>
                <w:color w:val="auto"/>
                <w:sz w:val="18"/>
                <w:szCs w:val="18"/>
                <w:highlight w:val="none"/>
                <w:u w:val="none"/>
              </w:rPr>
            </w:pPr>
          </w:p>
        </w:tc>
      </w:tr>
      <w:tr w14:paraId="3F86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80FF">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C30F">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4A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光影创意投影仪</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C1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6B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A5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投影故事机，产品材质为ABS+硅胶，蓝牙款，额定电流1A,额定电压5V.精选1033个早教内容，通过视、听、说三方面培养对成长的引导，激发儿童在成长期对阅读的兴趣，养成孩子爱读书的习惯。</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8D1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57F1">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3B7E">
            <w:pPr>
              <w:jc w:val="center"/>
              <w:rPr>
                <w:rFonts w:hint="eastAsia" w:ascii="宋体" w:hAnsi="宋体" w:eastAsia="宋体" w:cs="宋体"/>
                <w:i w:val="0"/>
                <w:iCs w:val="0"/>
                <w:color w:val="auto"/>
                <w:sz w:val="18"/>
                <w:szCs w:val="18"/>
                <w:highlight w:val="none"/>
                <w:u w:val="none"/>
              </w:rPr>
            </w:pPr>
          </w:p>
        </w:tc>
      </w:tr>
      <w:tr w14:paraId="627E4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tcBorders>
              <w:top w:val="nil"/>
              <w:left w:val="single" w:color="000000" w:sz="4" w:space="0"/>
              <w:bottom w:val="single" w:color="000000" w:sz="4" w:space="0"/>
              <w:right w:val="single" w:color="000000" w:sz="4" w:space="0"/>
            </w:tcBorders>
            <w:shd w:val="clear" w:color="auto" w:fill="auto"/>
            <w:noWrap/>
            <w:vAlign w:val="center"/>
          </w:tcPr>
          <w:p w14:paraId="7116CE9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BC2D">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87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职业体验AR眼睛套装</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A8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1E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69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畅玩休闲娱乐VR游戏，刺激的VR游戏，体验真实游走在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虚拟世界中10000+海量3D电影内容。0-600°近视可裸眼观看。</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D8D8">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72D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3C13">
            <w:pPr>
              <w:jc w:val="center"/>
              <w:rPr>
                <w:rFonts w:hint="eastAsia" w:ascii="宋体" w:hAnsi="宋体" w:eastAsia="宋体" w:cs="宋体"/>
                <w:i w:val="0"/>
                <w:iCs w:val="0"/>
                <w:color w:val="auto"/>
                <w:sz w:val="18"/>
                <w:szCs w:val="18"/>
                <w:highlight w:val="none"/>
                <w:u w:val="none"/>
              </w:rPr>
            </w:pPr>
          </w:p>
        </w:tc>
      </w:tr>
      <w:tr w14:paraId="501E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tcBorders>
              <w:top w:val="single" w:color="000000" w:sz="4" w:space="0"/>
              <w:left w:val="single" w:color="000000" w:sz="4" w:space="0"/>
              <w:bottom w:val="nil"/>
              <w:right w:val="single" w:color="000000" w:sz="4" w:space="0"/>
            </w:tcBorders>
            <w:shd w:val="clear" w:color="auto" w:fill="auto"/>
            <w:noWrap/>
            <w:vAlign w:val="center"/>
          </w:tcPr>
          <w:p w14:paraId="77E854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BE45">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02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电子逻辑闯关桌游</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69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1C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C2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科教电子积木，71个电路实验套装，包含多种生活场景，了解电路知识，提高动手能力。</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E58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2D5C">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2CC1">
            <w:pPr>
              <w:jc w:val="center"/>
              <w:rPr>
                <w:rFonts w:hint="eastAsia" w:ascii="宋体" w:hAnsi="宋体" w:eastAsia="宋体" w:cs="宋体"/>
                <w:i w:val="0"/>
                <w:iCs w:val="0"/>
                <w:color w:val="auto"/>
                <w:sz w:val="18"/>
                <w:szCs w:val="18"/>
                <w:highlight w:val="none"/>
                <w:u w:val="none"/>
              </w:rPr>
            </w:pPr>
          </w:p>
        </w:tc>
      </w:tr>
      <w:tr w14:paraId="4D4C2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3F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18E3">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0A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几何透视积木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75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48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86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三维折叠几何体，理解点、线、面是几何学里面的概率是平面空间的基本元素。高透塑料配护眼色彩，加大5厘米个体，共8种形状。</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B65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BD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AB77">
            <w:pPr>
              <w:jc w:val="center"/>
              <w:rPr>
                <w:rFonts w:hint="eastAsia" w:ascii="宋体" w:hAnsi="宋体" w:eastAsia="宋体" w:cs="宋体"/>
                <w:i w:val="0"/>
                <w:iCs w:val="0"/>
                <w:color w:val="auto"/>
                <w:sz w:val="18"/>
                <w:szCs w:val="18"/>
                <w:highlight w:val="none"/>
                <w:u w:val="none"/>
              </w:rPr>
            </w:pPr>
          </w:p>
        </w:tc>
      </w:tr>
      <w:tr w14:paraId="7BEDE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98A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239F">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B5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磁性七巧板套装</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E5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77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5D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新升级强磁力儿童早教益智七巧板，升级160题。适合3-8岁，助力幼小衔接，激发逻辑思维。</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8CFDA">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932D">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F2E4">
            <w:pPr>
              <w:jc w:val="center"/>
              <w:rPr>
                <w:rFonts w:hint="eastAsia" w:ascii="宋体" w:hAnsi="宋体" w:eastAsia="宋体" w:cs="宋体"/>
                <w:i w:val="0"/>
                <w:iCs w:val="0"/>
                <w:color w:val="auto"/>
                <w:sz w:val="18"/>
                <w:szCs w:val="18"/>
                <w:highlight w:val="none"/>
                <w:u w:val="none"/>
              </w:rPr>
            </w:pPr>
          </w:p>
        </w:tc>
      </w:tr>
      <w:tr w14:paraId="7D7A6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E2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0502">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C6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磁吸多功能棋盘</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1C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A4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60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30*30*5CM。一盒包括7种经典棋类，超强磁力棋盘，科学收纳设计，告别混乱分类。5毫米加厚木板，全面包边，安全耐用。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FAA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A053">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901E">
            <w:pPr>
              <w:jc w:val="center"/>
              <w:rPr>
                <w:rFonts w:hint="eastAsia" w:ascii="宋体" w:hAnsi="宋体" w:eastAsia="宋体" w:cs="宋体"/>
                <w:i w:val="0"/>
                <w:iCs w:val="0"/>
                <w:color w:val="auto"/>
                <w:sz w:val="18"/>
                <w:szCs w:val="18"/>
                <w:highlight w:val="none"/>
                <w:u w:val="none"/>
              </w:rPr>
            </w:pPr>
          </w:p>
        </w:tc>
      </w:tr>
      <w:tr w14:paraId="18DC9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808FB">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1F96C">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7C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科学编程工具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DF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3E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9E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16件套，含风力车、向电风扇、弹簧测力器、齿轮三联动、水轮车、杠杆天平、手动啄木鸟、机械抓、投篮器、磁力小飞机、气球直升机、投石车、风向标、磁力跷跷板、倍力桥、灭火器等</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D373">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5CE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18009">
            <w:pPr>
              <w:jc w:val="center"/>
              <w:rPr>
                <w:rFonts w:hint="eastAsia" w:ascii="宋体" w:hAnsi="宋体" w:eastAsia="宋体" w:cs="宋体"/>
                <w:i w:val="0"/>
                <w:iCs w:val="0"/>
                <w:color w:val="auto"/>
                <w:sz w:val="18"/>
                <w:szCs w:val="18"/>
                <w:highlight w:val="none"/>
                <w:u w:val="none"/>
              </w:rPr>
            </w:pPr>
          </w:p>
        </w:tc>
      </w:tr>
      <w:tr w14:paraId="194C3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6C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9D8B">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4D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蒙氏聪明板</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8E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34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E32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十合一多功能聪明板，产品尺寸30*45CM，主要材质实木+夹板。含数字，动物，球类，磁力迷宫等</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ECE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8A74">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894A">
            <w:pPr>
              <w:jc w:val="center"/>
              <w:rPr>
                <w:rFonts w:hint="eastAsia" w:ascii="宋体" w:hAnsi="宋体" w:eastAsia="宋体" w:cs="宋体"/>
                <w:i w:val="0"/>
                <w:iCs w:val="0"/>
                <w:color w:val="auto"/>
                <w:sz w:val="18"/>
                <w:szCs w:val="18"/>
                <w:highlight w:val="none"/>
                <w:u w:val="none"/>
              </w:rPr>
            </w:pPr>
          </w:p>
        </w:tc>
      </w:tr>
      <w:tr w14:paraId="4061F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F4EC">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B94C">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E8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数学启蒙数字棒套装教具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ED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42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F6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萝卜、数数棒、卡片、数字和英文，五种数字相互配合，激发幼儿对数学的兴趣，促进数学思维的提升。</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CC0CF">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2F0A">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6198">
            <w:pPr>
              <w:jc w:val="center"/>
              <w:rPr>
                <w:rFonts w:hint="eastAsia" w:ascii="宋体" w:hAnsi="宋体" w:eastAsia="宋体" w:cs="宋体"/>
                <w:i w:val="0"/>
                <w:iCs w:val="0"/>
                <w:color w:val="auto"/>
                <w:sz w:val="18"/>
                <w:szCs w:val="18"/>
                <w:highlight w:val="none"/>
                <w:u w:val="none"/>
              </w:rPr>
            </w:pPr>
          </w:p>
        </w:tc>
      </w:tr>
      <w:tr w14:paraId="1EAEE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90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BD0B">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3C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舒尔特专注力训练器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D7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D9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9D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训练机+基础卡80张，6大模块25个模式75种玩法，智能题库无上限，2.47英寸大屏。智能出题，自动记分，解放家长，孩子自己也能玩。</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0F27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2686">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C694">
            <w:pPr>
              <w:jc w:val="center"/>
              <w:rPr>
                <w:rFonts w:hint="eastAsia" w:ascii="宋体" w:hAnsi="宋体" w:eastAsia="宋体" w:cs="宋体"/>
                <w:i w:val="0"/>
                <w:iCs w:val="0"/>
                <w:color w:val="auto"/>
                <w:sz w:val="18"/>
                <w:szCs w:val="18"/>
                <w:highlight w:val="none"/>
                <w:u w:val="none"/>
              </w:rPr>
            </w:pPr>
          </w:p>
        </w:tc>
      </w:tr>
      <w:tr w14:paraId="4A6C9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88D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1CE2">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3C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226件古风国潮榫卯积木</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A8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537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B09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226件古风国潮榫卯积木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一、材质：新西兰松木；二、工艺：静电喷两底一面环保水性漆，磨圆角、光滑无毛刺；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三、提供第三方权威检测机构出具的GB6675-2014国标检测报告（检测报告必须包括: 1.GB 6675.1-2014-玩具安全第1部分：基本规范；2.GB6675.2-2014-玩具第2部分：机械与物理性能；3.GB6675.3-2014玩具安全第3部分：易燃性能；4.GB6675.1-2014-章节5.3.7-邻苯二甲酸酯增塑剂；5.GB6675.1-2014章节5.3.3&amp;GB6675.4-2014-特定元素的迁移;共五个项目检测合格！）多卯柱件，尺寸：25*5*2.5cm，50个；一字孔件，尺寸：25*5*2.5cm，20个；十字孔件，尺寸：25*7.5*2.5cm，20个；大飞檐，尺寸：30*7*2.5cm（开槽2.5*1.3），10个；小飞檐，尺寸：12.5*5*2.5cm（开槽2.5*1.3），50个；方形连接件，尺寸：10*10*2.5cm（开槽2.5*1.3），20个；单边锯齿1，尺寸：22.9*5*2.5cm（开槽2.6*1.3），10个；单边锯齿2，尺寸：33.1*5*2.5cm（开槽2.6*1.3），10个；单边锯齿3，尺寸：43.3*5*2.5cm（开槽2.6*1.3），8个；单边锯齿4，尺寸：53.5*5*2.5cm（开槽2.6*1.3），8个；锯齿形，尺寸：25*7.5*2.5cm（开槽2.6*1.3），20个；</w:t>
            </w:r>
          </w:p>
          <w:p w14:paraId="729DFE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t xml:space="preserve">投标人自行出具《技术参数响应承诺函》并加盖投标人公章即可；履约验收阶段采购人有权核验产品原厂资料，投标阶段不强制厂家材料。 </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B2AE">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B4DA">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0E4E">
            <w:pPr>
              <w:jc w:val="center"/>
              <w:rPr>
                <w:rFonts w:hint="eastAsia" w:ascii="宋体" w:hAnsi="宋体" w:eastAsia="宋体" w:cs="宋体"/>
                <w:i w:val="0"/>
                <w:iCs w:val="0"/>
                <w:color w:val="auto"/>
                <w:sz w:val="18"/>
                <w:szCs w:val="18"/>
                <w:highlight w:val="none"/>
                <w:u w:val="none"/>
              </w:rPr>
            </w:pPr>
          </w:p>
        </w:tc>
      </w:tr>
      <w:tr w14:paraId="5371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99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A5BF">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A8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作品成列柜</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1F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55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72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规格：宽148.7*高119.3*深13cm，（每个小格子尺寸13*13*13cm）1.产品采用优质板材，有害物质含量极低，材质坚硬、纹理清晰、弹性好，稳定性好、不易变形，耐潮防腐性好，使用寿命长。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2.采用1.5cm（松木）厚度板材，经打磨并采用环保型油漆喷漆，表面光滑亮泽，边缘倒圆角处理，安全美观。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3.产品甲醛释放量和含水率指标均符合要求，安全牢固，外观良好，无缺陷，适合儿童使用。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3E01">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0F1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E1ED">
            <w:pPr>
              <w:jc w:val="center"/>
              <w:rPr>
                <w:rFonts w:hint="eastAsia" w:ascii="宋体" w:hAnsi="宋体" w:eastAsia="宋体" w:cs="宋体"/>
                <w:i w:val="0"/>
                <w:iCs w:val="0"/>
                <w:color w:val="auto"/>
                <w:sz w:val="18"/>
                <w:szCs w:val="18"/>
                <w:highlight w:val="none"/>
                <w:u w:val="none"/>
              </w:rPr>
            </w:pPr>
          </w:p>
        </w:tc>
      </w:tr>
      <w:tr w14:paraId="3E4C4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FF29D">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9055">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BF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毛巾架</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AD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EA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B16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规格尺寸（长*宽*高）：83*55*100cm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挡板材质为环保型工程塑料，由精密模具一次成型，经后期修边、锐角毛刺打磨处理，无安全隐患。一律使用原生料，不添加回收料，强度高、耐折弯、热胀冷缩应力小。色母添加剂为标准色母，耐紫外线、不褪色，色彩符合儿童视觉习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2.架杆为不锈钢圆光杆，使用塑料扣件及沉头螺丝紧固，无棱角，美观安全。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3.产品共有4根架杆，每根架杆上配备10个可拆卸塑料挂钩，架杆位置错落有致，确保每层毛巾不相碰。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 产品外观无明显色差，无缺陷，安全牢固，适合儿童使用。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B9D7">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A78E">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CAB5">
            <w:pPr>
              <w:jc w:val="center"/>
              <w:rPr>
                <w:rFonts w:hint="eastAsia" w:ascii="宋体" w:hAnsi="宋体" w:eastAsia="宋体" w:cs="宋体"/>
                <w:i w:val="0"/>
                <w:iCs w:val="0"/>
                <w:color w:val="auto"/>
                <w:sz w:val="18"/>
                <w:szCs w:val="18"/>
                <w:highlight w:val="none"/>
                <w:u w:val="none"/>
              </w:rPr>
            </w:pPr>
          </w:p>
        </w:tc>
      </w:tr>
      <w:tr w14:paraId="1DBC4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5" w:hRule="atLeast"/>
          <w:jc w:val="center"/>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ABF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036F">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D4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书柜组合</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51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89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B3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规格：90*30*180cm，90*30*90cn，60*30*90cm，60*30*180cm，1.产品采用优质板材，有害物质含量极低，材质坚硬、纹理清晰、弹性好，稳定性好、不易变形，耐潮防腐性好，使用寿命长。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2.采用1.5cm（松木）厚度板材，经打磨并采用环保型油漆喷漆，表面光滑亮泽，边缘倒圆角处理，安全美观。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3.产品甲醛释放量和含水率指标均符合要求，安全牢固，外观良好，无缺陷，适合儿童使用。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A51D">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9A5F">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A497">
            <w:pPr>
              <w:jc w:val="center"/>
              <w:rPr>
                <w:rFonts w:hint="eastAsia" w:ascii="宋体" w:hAnsi="宋体" w:eastAsia="宋体" w:cs="宋体"/>
                <w:i w:val="0"/>
                <w:iCs w:val="0"/>
                <w:color w:val="auto"/>
                <w:sz w:val="18"/>
                <w:szCs w:val="18"/>
                <w:highlight w:val="none"/>
                <w:u w:val="none"/>
              </w:rPr>
            </w:pPr>
          </w:p>
        </w:tc>
      </w:tr>
      <w:tr w14:paraId="7BF2F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8C7E3">
            <w:pPr>
              <w:jc w:val="center"/>
              <w:rPr>
                <w:rFonts w:hint="eastAsia" w:ascii="宋体" w:hAnsi="宋体" w:eastAsia="宋体" w:cs="宋体"/>
                <w:i w:val="0"/>
                <w:iCs w:val="0"/>
                <w:color w:val="auto"/>
                <w:sz w:val="18"/>
                <w:szCs w:val="18"/>
                <w:highlight w:val="none"/>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0CED">
            <w:pPr>
              <w:rPr>
                <w:rFonts w:hint="eastAsia" w:ascii="宋体" w:hAnsi="宋体" w:eastAsia="宋体" w:cs="宋体"/>
                <w:i w:val="0"/>
                <w:iCs w:val="0"/>
                <w:color w:val="auto"/>
                <w:sz w:val="18"/>
                <w:szCs w:val="18"/>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A0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书柜组合</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70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CB8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91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规格：240*120*120cm1.产品采用优质板材，有害物质含量极低，材质坚硬、纹理清晰、弹性好，稳定性好、不易变形，耐潮防腐性好，使用寿命长。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2.采用1.5cm（松木）厚度板材，经打磨并采用环保型油漆喷漆，表面光滑亮泽，边缘倒圆角处理，安全美观。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3.产品甲醛释放量和含水率指标均符合要求，安全牢固，外观良好，无缺陷，适合儿童使用。</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D689">
            <w:pPr>
              <w:jc w:val="center"/>
              <w:rPr>
                <w:rFonts w:hint="eastAsia" w:ascii="宋体" w:hAnsi="宋体" w:eastAsia="宋体" w:cs="宋体"/>
                <w:i w:val="0"/>
                <w:iCs w:val="0"/>
                <w:color w:val="auto"/>
                <w:sz w:val="18"/>
                <w:szCs w:val="18"/>
                <w:highlight w:val="none"/>
                <w:u w:val="none"/>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84159">
            <w:pPr>
              <w:jc w:val="center"/>
              <w:rPr>
                <w:rFonts w:hint="eastAsia" w:ascii="宋体" w:hAnsi="宋体" w:eastAsia="宋体" w:cs="宋体"/>
                <w:i w:val="0"/>
                <w:iCs w:val="0"/>
                <w:color w:val="auto"/>
                <w:sz w:val="18"/>
                <w:szCs w:val="18"/>
                <w:highlight w:val="none"/>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5427">
            <w:pPr>
              <w:jc w:val="center"/>
              <w:rPr>
                <w:rFonts w:hint="eastAsia" w:ascii="宋体" w:hAnsi="宋体" w:eastAsia="宋体" w:cs="宋体"/>
                <w:i w:val="0"/>
                <w:iCs w:val="0"/>
                <w:color w:val="auto"/>
                <w:sz w:val="18"/>
                <w:szCs w:val="18"/>
                <w:highlight w:val="none"/>
                <w:u w:val="none"/>
              </w:rPr>
            </w:pPr>
          </w:p>
        </w:tc>
      </w:tr>
      <w:tr w14:paraId="3CA35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jc w:val="center"/>
        </w:trPr>
        <w:tc>
          <w:tcPr>
            <w:tcW w:w="9063"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E3EF">
            <w:pPr>
              <w:jc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合计：     元</w:t>
            </w:r>
          </w:p>
        </w:tc>
      </w:tr>
    </w:tbl>
    <w:p w14:paraId="2343DB96">
      <w:pPr>
        <w:rPr>
          <w:highlight w:val="none"/>
        </w:rPr>
      </w:pPr>
    </w:p>
    <w:p w14:paraId="1E423C84">
      <w:pPr>
        <w:shd w:val="clear"/>
        <w:spacing w:line="240" w:lineRule="auto"/>
        <w:rPr>
          <w:rFonts w:hint="eastAsia"/>
          <w:b/>
          <w:bCs/>
          <w:color w:val="auto"/>
          <w:sz w:val="24"/>
          <w:szCs w:val="32"/>
          <w:highlight w:val="none"/>
          <w:lang w:val="en-US" w:eastAsia="zh-CN"/>
        </w:rPr>
      </w:pPr>
      <w:r>
        <w:rPr>
          <w:rFonts w:hint="eastAsia"/>
          <w:b/>
          <w:bCs/>
          <w:color w:val="auto"/>
          <w:sz w:val="24"/>
          <w:szCs w:val="32"/>
          <w:highlight w:val="none"/>
          <w:lang w:val="en-US" w:eastAsia="zh-CN"/>
        </w:rPr>
        <w:t>二、</w:t>
      </w:r>
      <w:bookmarkStart w:id="114" w:name="_Toc267320049"/>
      <w:bookmarkStart w:id="115" w:name="_Toc340225290"/>
      <w:r>
        <w:rPr>
          <w:rFonts w:hint="eastAsia"/>
          <w:b/>
          <w:bCs/>
          <w:color w:val="auto"/>
          <w:sz w:val="22"/>
          <w:szCs w:val="28"/>
          <w:highlight w:val="none"/>
          <w:lang w:val="en-US" w:eastAsia="zh-CN"/>
        </w:rPr>
        <w:t>项目验收、质保、售后服务等要求</w:t>
      </w:r>
    </w:p>
    <w:bookmarkEnd w:id="114"/>
    <w:bookmarkEnd w:id="115"/>
    <w:p w14:paraId="68BF6AA7">
      <w:pPr>
        <w:keepNext w:val="0"/>
        <w:keepLines w:val="0"/>
        <w:pageBreakBefore w:val="0"/>
        <w:shd w:val="clear"/>
        <w:kinsoku/>
        <w:wordWrap/>
        <w:overflowPunct/>
        <w:topLinePunct w:val="0"/>
        <w:autoSpaceDE/>
        <w:autoSpaceDN/>
        <w:bidi w:val="0"/>
        <w:adjustRightInd/>
        <w:snapToGrid/>
        <w:spacing w:line="360" w:lineRule="auto"/>
        <w:textAlignment w:val="auto"/>
        <w:rPr>
          <w:rFonts w:hint="default" w:ascii="宋体" w:hAnsi="宋体" w:cs="宋体"/>
          <w:b/>
          <w:color w:val="auto"/>
          <w:szCs w:val="21"/>
          <w:highlight w:val="none"/>
          <w:lang w:val="en-US"/>
        </w:rPr>
      </w:pPr>
      <w:r>
        <w:rPr>
          <w:rFonts w:hint="eastAsia" w:ascii="宋体" w:hAnsi="宋体" w:cs="宋体"/>
          <w:b/>
          <w:color w:val="auto"/>
          <w:szCs w:val="21"/>
          <w:highlight w:val="none"/>
        </w:rPr>
        <w:t>（一）</w:t>
      </w:r>
      <w:r>
        <w:rPr>
          <w:rFonts w:hint="eastAsia" w:ascii="宋体" w:hAnsi="宋体" w:cs="宋体"/>
          <w:b/>
          <w:color w:val="auto"/>
          <w:szCs w:val="21"/>
          <w:highlight w:val="none"/>
          <w:lang w:val="en-US" w:eastAsia="zh-CN"/>
        </w:rPr>
        <w:t xml:space="preserve"> </w:t>
      </w:r>
      <w:r>
        <w:rPr>
          <w:rFonts w:hint="eastAsia" w:ascii="Times New Roman" w:hAnsi="Times New Roman" w:eastAsia="宋体" w:cs="Times New Roman"/>
          <w:b/>
          <w:bCs w:val="0"/>
          <w:color w:val="auto"/>
          <w:kern w:val="2"/>
          <w:sz w:val="21"/>
          <w:szCs w:val="21"/>
          <w:highlight w:val="none"/>
          <w:lang w:val="en-US" w:eastAsia="zh-CN" w:bidi="ar-SA"/>
        </w:rPr>
        <w:t>供货时间</w:t>
      </w:r>
    </w:p>
    <w:p w14:paraId="659F377E">
      <w:pPr>
        <w:keepNext w:val="0"/>
        <w:keepLines w:val="0"/>
        <w:pageBreakBefore w:val="0"/>
        <w:shd w:val="clear"/>
        <w:kinsoku/>
        <w:wordWrap/>
        <w:overflowPunct/>
        <w:topLinePunct w:val="0"/>
        <w:autoSpaceDE/>
        <w:autoSpaceDN/>
        <w:bidi w:val="0"/>
        <w:adjustRightInd/>
        <w:snapToGrid/>
        <w:spacing w:line="360" w:lineRule="auto"/>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合同签订后</w:t>
      </w:r>
      <w:r>
        <w:rPr>
          <w:rFonts w:hint="eastAsia" w:ascii="宋体" w:hAnsi="宋体" w:cs="宋体"/>
          <w:b w:val="0"/>
          <w:bCs/>
          <w:color w:val="auto"/>
          <w:szCs w:val="21"/>
          <w:highlight w:val="none"/>
          <w:lang w:val="en-US" w:eastAsia="zh-CN"/>
        </w:rPr>
        <w:t>30</w:t>
      </w:r>
      <w:r>
        <w:rPr>
          <w:rFonts w:hint="eastAsia" w:ascii="宋体" w:hAnsi="宋体" w:eastAsia="宋体" w:cs="宋体"/>
          <w:b w:val="0"/>
          <w:bCs/>
          <w:color w:val="auto"/>
          <w:szCs w:val="21"/>
          <w:highlight w:val="none"/>
          <w:lang w:val="en-US" w:eastAsia="zh-CN"/>
        </w:rPr>
        <w:t>个工作日内完成供货及安装（具体以签订合同内容为准）。</w:t>
      </w:r>
    </w:p>
    <w:p w14:paraId="0E05C88E">
      <w:pPr>
        <w:keepNext w:val="0"/>
        <w:keepLines w:val="0"/>
        <w:pageBreakBefore w:val="0"/>
        <w:numPr>
          <w:ilvl w:val="0"/>
          <w:numId w:val="10"/>
        </w:numPr>
        <w:shd w:val="clear"/>
        <w:kinsoku/>
        <w:wordWrap/>
        <w:overflowPunct/>
        <w:topLinePunct w:val="0"/>
        <w:autoSpaceDE/>
        <w:autoSpaceDN/>
        <w:bidi w:val="0"/>
        <w:adjustRightInd/>
        <w:snapToGrid/>
        <w:spacing w:line="360" w:lineRule="auto"/>
        <w:textAlignment w:val="auto"/>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供货</w:t>
      </w:r>
      <w:r>
        <w:rPr>
          <w:rFonts w:hint="eastAsia" w:ascii="宋体" w:hAnsi="宋体" w:cs="宋体"/>
          <w:b/>
          <w:color w:val="auto"/>
          <w:szCs w:val="21"/>
          <w:highlight w:val="none"/>
        </w:rPr>
        <w:t>地点</w:t>
      </w:r>
    </w:p>
    <w:p w14:paraId="20C0AA40">
      <w:pPr>
        <w:keepNext w:val="0"/>
        <w:keepLines w:val="0"/>
        <w:pageBreakBefore w:val="0"/>
        <w:shd w:val="clear"/>
        <w:kinsoku/>
        <w:wordWrap/>
        <w:overflowPunct/>
        <w:topLinePunct w:val="0"/>
        <w:autoSpaceDE/>
        <w:autoSpaceDN/>
        <w:bidi w:val="0"/>
        <w:adjustRightInd/>
        <w:snapToGrid/>
        <w:spacing w:line="360" w:lineRule="auto"/>
        <w:ind w:firstLine="430" w:firstLineChars="200"/>
        <w:textAlignment w:val="auto"/>
        <w:rPr>
          <w:rFonts w:hint="default" w:ascii="宋体" w:hAnsi="宋体" w:cs="宋体"/>
          <w:b/>
          <w:color w:val="auto"/>
          <w:szCs w:val="21"/>
          <w:highlight w:val="none"/>
          <w:lang w:val="en-US" w:eastAsia="zh-CN"/>
        </w:rPr>
      </w:pPr>
      <w:r>
        <w:rPr>
          <w:rFonts w:hint="eastAsia" w:ascii="宋体" w:hAnsi="宋体" w:eastAsia="宋体" w:cs="宋体"/>
          <w:b w:val="0"/>
          <w:bCs/>
          <w:color w:val="auto"/>
          <w:kern w:val="0"/>
          <w:sz w:val="21"/>
          <w:szCs w:val="21"/>
          <w:highlight w:val="none"/>
          <w:lang w:val="en-US" w:eastAsia="zh-CN" w:bidi="ar-SA"/>
        </w:rPr>
        <w:t>中标单位将货物送到甲方指定的任何地点，安装调试完毕后交付采购人正常使用。</w:t>
      </w:r>
      <w:r>
        <w:rPr>
          <w:rFonts w:hint="eastAsia" w:ascii="宋体" w:hAnsi="宋体" w:cs="宋体"/>
          <w:b/>
          <w:color w:val="auto"/>
          <w:szCs w:val="21"/>
          <w:highlight w:val="none"/>
          <w:lang w:val="en-US" w:eastAsia="zh-CN"/>
        </w:rPr>
        <w:t xml:space="preserve">  </w:t>
      </w:r>
    </w:p>
    <w:p w14:paraId="061B8A48">
      <w:pPr>
        <w:shd w:val="clear"/>
        <w:spacing w:line="360" w:lineRule="auto"/>
        <w:rPr>
          <w:rFonts w:hint="eastAsia" w:ascii="宋体" w:hAnsi="宋体" w:cs="宋体"/>
          <w:b/>
          <w:color w:val="auto"/>
          <w:szCs w:val="21"/>
          <w:highlight w:val="none"/>
        </w:rPr>
      </w:pPr>
      <w:bookmarkStart w:id="116" w:name="_Toc340225291"/>
      <w:bookmarkStart w:id="117" w:name="_Toc267320050"/>
      <w:r>
        <w:rPr>
          <w:rFonts w:hint="eastAsia" w:ascii="宋体" w:hAnsi="宋体" w:cs="宋体"/>
          <w:b/>
          <w:color w:val="auto"/>
          <w:szCs w:val="21"/>
          <w:highlight w:val="none"/>
        </w:rPr>
        <w:t>（三）报价要求</w:t>
      </w:r>
      <w:bookmarkEnd w:id="116"/>
    </w:p>
    <w:p w14:paraId="1E850D98">
      <w:pPr>
        <w:keepNext w:val="0"/>
        <w:keepLines w:val="0"/>
        <w:pageBreakBefore w:val="0"/>
        <w:widowControl w:val="0"/>
        <w:shd w:val="clear"/>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bCs w:val="0"/>
          <w:color w:val="auto"/>
          <w:sz w:val="28"/>
          <w:szCs w:val="28"/>
          <w:highlight w:val="none"/>
          <w:lang w:val="en-US" w:eastAsia="zh-CN"/>
        </w:rPr>
      </w:pPr>
      <w:r>
        <w:rPr>
          <w:rFonts w:hint="eastAsia" w:ascii="宋体" w:hAnsi="宋体" w:eastAsia="宋体" w:cs="宋体"/>
          <w:bCs/>
          <w:color w:val="auto"/>
          <w:kern w:val="2"/>
          <w:sz w:val="21"/>
          <w:szCs w:val="21"/>
          <w:highlight w:val="none"/>
          <w:lang w:val="en-US" w:eastAsia="zh-CN" w:bidi="ar-SA"/>
        </w:rPr>
        <w:t>本次报价为人民币报价，</w:t>
      </w:r>
      <w:bookmarkEnd w:id="117"/>
      <w:r>
        <w:rPr>
          <w:rFonts w:hint="eastAsia" w:ascii="宋体" w:hAnsi="宋体" w:eastAsia="宋体" w:cs="宋体"/>
          <w:bCs/>
          <w:color w:val="auto"/>
          <w:kern w:val="2"/>
          <w:sz w:val="21"/>
          <w:szCs w:val="21"/>
          <w:highlight w:val="none"/>
          <w:lang w:val="en-US" w:eastAsia="zh-CN" w:bidi="ar-SA"/>
        </w:rPr>
        <w:t>投标报价应包括：</w:t>
      </w:r>
      <w:r>
        <w:rPr>
          <w:rFonts w:hint="eastAsia" w:ascii="宋体" w:hAnsi="宋体" w:cs="宋体"/>
          <w:bCs/>
          <w:color w:val="auto"/>
          <w:kern w:val="2"/>
          <w:sz w:val="21"/>
          <w:szCs w:val="21"/>
          <w:highlight w:val="none"/>
          <w:lang w:val="en-US" w:eastAsia="zh-CN" w:bidi="ar-SA"/>
        </w:rPr>
        <w:t>服务</w:t>
      </w:r>
      <w:r>
        <w:rPr>
          <w:rFonts w:hint="eastAsia" w:ascii="宋体" w:hAnsi="宋体" w:eastAsia="宋体" w:cs="宋体"/>
          <w:bCs/>
          <w:color w:val="auto"/>
          <w:kern w:val="2"/>
          <w:sz w:val="21"/>
          <w:szCs w:val="21"/>
          <w:highlight w:val="none"/>
          <w:lang w:val="en-US" w:eastAsia="zh-CN" w:bidi="ar-SA"/>
        </w:rPr>
        <w:t>本身价格、包装费、运输费用、二次搬运费、损耗、安装费、技术指导、税金费用、伴随服务过程中备件费、专用工具费、伴随产品资料费、技术服务费、技术考察费、自检费及验收合格前和质保期内发生的一切费用、应当提供的伴随服务/售后服务费用以及及招标文件要求的供应商需要支付的所有费用。因中标供应商自身原因造成漏报、少报皆由其自行承担责任，采购人不再补偿。</w:t>
      </w:r>
    </w:p>
    <w:p w14:paraId="40133800">
      <w:pPr>
        <w:keepNext w:val="0"/>
        <w:keepLines w:val="0"/>
        <w:pageBreakBefore w:val="0"/>
        <w:widowControl/>
        <w:kinsoku/>
        <w:wordWrap/>
        <w:overflowPunct/>
        <w:topLinePunct w:val="0"/>
        <w:autoSpaceDE/>
        <w:autoSpaceDN/>
        <w:bidi w:val="0"/>
        <w:adjustRightInd/>
        <w:snapToGrid/>
        <w:spacing w:line="460" w:lineRule="exact"/>
        <w:textAlignment w:val="auto"/>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rPr>
        <w:t>（四）</w:t>
      </w:r>
      <w:r>
        <w:rPr>
          <w:rFonts w:hint="eastAsia" w:ascii="宋体" w:hAnsi="宋体" w:cs="宋体"/>
          <w:b/>
          <w:bCs/>
          <w:color w:val="auto"/>
          <w:kern w:val="0"/>
          <w:szCs w:val="21"/>
          <w:highlight w:val="none"/>
          <w:lang w:val="en-US" w:eastAsia="zh-CN"/>
        </w:rPr>
        <w:t>质保要求</w:t>
      </w:r>
    </w:p>
    <w:p w14:paraId="47DC4D46">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val="0"/>
          <w:bCs/>
          <w:color w:val="auto"/>
          <w:kern w:val="0"/>
          <w:sz w:val="21"/>
          <w:szCs w:val="21"/>
          <w:highlight w:val="none"/>
          <w:lang w:val="en-US" w:eastAsia="zh-CN" w:bidi="ar-SA"/>
        </w:rPr>
        <w:t>自验收合格之日起质保</w:t>
      </w:r>
      <w:r>
        <w:rPr>
          <w:rFonts w:hint="eastAsia" w:ascii="宋体" w:hAnsi="宋体" w:cs="宋体"/>
          <w:b w:val="0"/>
          <w:bCs/>
          <w:color w:val="auto"/>
          <w:kern w:val="0"/>
          <w:sz w:val="21"/>
          <w:szCs w:val="21"/>
          <w:highlight w:val="none"/>
          <w:lang w:val="en-US" w:eastAsia="zh-CN" w:bidi="ar-SA"/>
        </w:rPr>
        <w:t>2</w:t>
      </w:r>
      <w:r>
        <w:rPr>
          <w:rFonts w:hint="eastAsia" w:ascii="宋体" w:hAnsi="宋体" w:eastAsia="宋体" w:cs="宋体"/>
          <w:b w:val="0"/>
          <w:bCs/>
          <w:color w:val="auto"/>
          <w:kern w:val="0"/>
          <w:sz w:val="21"/>
          <w:szCs w:val="21"/>
          <w:highlight w:val="none"/>
          <w:lang w:val="en-US" w:eastAsia="zh-CN" w:bidi="ar-SA"/>
        </w:rPr>
        <w:t>年</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保修期内供应商免费提供保修服务。</w:t>
      </w:r>
    </w:p>
    <w:p w14:paraId="720F6711">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2、质保期内乙方负责设备免费维修及抢修。</w:t>
      </w:r>
    </w:p>
    <w:p w14:paraId="681395BE">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3、供应方在交付货物的同时应提供国家规定的检验合格证明等文件。</w:t>
      </w:r>
    </w:p>
    <w:p w14:paraId="1CF3A7D4">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4</w:t>
      </w:r>
      <w:r>
        <w:rPr>
          <w:rFonts w:hint="eastAsia" w:ascii="宋体" w:hAnsi="宋体" w:eastAsia="宋体" w:cs="宋体"/>
          <w:b w:val="0"/>
          <w:bCs/>
          <w:color w:val="auto"/>
          <w:szCs w:val="21"/>
          <w:highlight w:val="none"/>
          <w:lang w:val="en-US" w:eastAsia="zh-CN"/>
        </w:rPr>
        <w:t>、售后服务</w:t>
      </w:r>
      <w:r>
        <w:rPr>
          <w:rFonts w:hint="eastAsia" w:ascii="宋体" w:hAnsi="宋体" w:cs="宋体"/>
          <w:b w:val="0"/>
          <w:bCs/>
          <w:color w:val="auto"/>
          <w:szCs w:val="21"/>
          <w:highlight w:val="none"/>
          <w:lang w:val="en-US" w:eastAsia="zh-CN"/>
        </w:rPr>
        <w:t>要求：1.质保期内，出现产品质量问题，投标人需按采购人要求无偿进行更换。</w:t>
      </w:r>
    </w:p>
    <w:p w14:paraId="0BCD1BE3">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2.如产品在质保期内发生质量问题，供货方应在接到使用方的电话后2小时内必须响应，5小时内到场，8小时内解决问题；由此产生的费用由供货方承担。</w:t>
      </w:r>
    </w:p>
    <w:p w14:paraId="712E951E">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color w:val="auto"/>
          <w:kern w:val="0"/>
          <w:szCs w:val="21"/>
          <w:highlight w:val="none"/>
          <w:lang w:val="en-US" w:eastAsia="zh-CN"/>
        </w:rPr>
        <w:t>（五）质保期外服务要求</w:t>
      </w:r>
    </w:p>
    <w:p w14:paraId="4C704F1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1、质量保证期过后，供应商和制造商应同样提供免费电话咨询服务，并应承诺提供产品维护 服务。</w:t>
      </w:r>
    </w:p>
    <w:p w14:paraId="2CAACEFF">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2、质量保证期过后，采购人需要继续由原供应商和制造商提供售后服务的，该供应商和制造商应以优惠价格提供售后服务。</w:t>
      </w:r>
    </w:p>
    <w:p w14:paraId="459CB0C2">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（六）培训要求</w:t>
      </w:r>
    </w:p>
    <w:p w14:paraId="660D240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1、供应商对其提供产品的使用和操作应尽培训义务。供应商应提供对采购人的基本免费培训，使采购人使用人员能够正常操作。</w:t>
      </w:r>
    </w:p>
    <w:p w14:paraId="28E99384">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（七）验收保证的承诺</w:t>
      </w:r>
    </w:p>
    <w:p w14:paraId="0D639043">
      <w:pPr>
        <w:keepNext w:val="0"/>
        <w:keepLines w:val="0"/>
        <w:pageBreakBefore w:val="0"/>
        <w:widowControl/>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1、此次招标内容严格按照中标供应商的投标文件中的技术规格、数量及质量要求进行验收（配置参数清单中明确设备等配件辅件的产地、厂家、品牌、型号、数量等）</w:t>
      </w:r>
    </w:p>
    <w:p w14:paraId="1F8ABBB3">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2、货物到达现场后，供应商应在使用单位人员在场情况下当面共同清点、检查，做出质量技术要求检查记录，双方签字确认；</w:t>
      </w:r>
    </w:p>
    <w:p w14:paraId="62311E7C">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3、中标方应保证货物到达采购人所在地完好无损，如有缺漏、损坏，由供应商负责调换、补齐或赔偿。</w:t>
      </w:r>
    </w:p>
    <w:p w14:paraId="374B465F">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4、中标方应提供完备的技术资料、装箱单和合格证等，货物验收时，招标方向采购人提供生产厂家出具的验收报告、合格证、厂家资格证件等相关文件并派遣专业技术人员进行现场安 装调试。验收合格条件如下：</w:t>
      </w:r>
    </w:p>
    <w:p w14:paraId="2A121A9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设备技术参数与采购合同一致，性能指标达到规定的标准。</w:t>
      </w:r>
    </w:p>
    <w:p w14:paraId="301E65F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货物技术资料、装箱单、合格证等资料齐全。</w:t>
      </w:r>
    </w:p>
    <w:p w14:paraId="7560185B">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在系统试运行期间所出现的问题得到解决，并运行正常。</w:t>
      </w:r>
    </w:p>
    <w:p w14:paraId="11DCDFD9">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在规定时间内完成交货并验收，并经采购人确认。</w:t>
      </w:r>
    </w:p>
    <w:p w14:paraId="3FB3DBE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5、产品在安装调试并试运行符合要求后，才作为最终验收。</w:t>
      </w:r>
    </w:p>
    <w:p w14:paraId="11352D8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6、供应商提供的货物未达到招标文件规定要求，且对采购人造成损失的，由供应商承担一切 责任，并赔偿所造成的损失。</w:t>
      </w:r>
    </w:p>
    <w:p w14:paraId="66765539">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7、乙方将根据本项目的技术要求提供相关的培训，须具备专业的培训团队为甲方提供系统的 免费培训，同时还为乙方提供全面的技术支持和周到的跟踪服务；</w:t>
      </w:r>
    </w:p>
    <w:p w14:paraId="7B00FD21">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8、产品质量：在合同期内，甲方正常使用乙方所供产品而出现质量问题时，乙方负责。产品使用：甲方在使用乙方所供产品中出现问题需乙方解决时，乙方应无偿解决（退换货）。</w:t>
      </w:r>
    </w:p>
    <w:p w14:paraId="782E7FE0">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八</w:t>
      </w:r>
      <w:r>
        <w:rPr>
          <w:rFonts w:hint="eastAsia" w:ascii="宋体" w:hAnsi="宋体" w:cs="宋体"/>
          <w:b/>
          <w:color w:val="auto"/>
          <w:szCs w:val="21"/>
          <w:highlight w:val="none"/>
        </w:rPr>
        <w:t>）付款方式</w:t>
      </w:r>
    </w:p>
    <w:p w14:paraId="5341E9A9">
      <w:pPr>
        <w:pStyle w:val="10"/>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合同签订后中标供应商向采购人交纳中标价2%的履约保证金，采购人向中标供应商支付50％预付款。验收合格后，采购人向中标供应商支付合同货款的50%。</w:t>
      </w:r>
    </w:p>
    <w:p w14:paraId="2351B43E">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九</w:t>
      </w:r>
      <w:r>
        <w:rPr>
          <w:rFonts w:hint="eastAsia" w:ascii="宋体" w:hAnsi="宋体" w:cs="宋体"/>
          <w:b/>
          <w:color w:val="auto"/>
          <w:szCs w:val="21"/>
          <w:highlight w:val="none"/>
        </w:rPr>
        <w:t>）知识产权</w:t>
      </w:r>
    </w:p>
    <w:p w14:paraId="1AAB55ED">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 xml:space="preserve">     采购人在中华人民共和国境内使用投标人提供的货物及服务时免受第三方提出的侵犯其专利权或其它知识产权的起诉。如果第三方提出侵权指控，中标人应承担由此而引起的一切法律责任和费用。</w:t>
      </w:r>
    </w:p>
    <w:p w14:paraId="53351DAE">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十</w:t>
      </w:r>
      <w:r>
        <w:rPr>
          <w:rFonts w:hint="eastAsia" w:ascii="宋体" w:hAnsi="宋体" w:cs="宋体"/>
          <w:b/>
          <w:color w:val="auto"/>
          <w:szCs w:val="21"/>
          <w:highlight w:val="none"/>
        </w:rPr>
        <w:t>）其他</w:t>
      </w:r>
    </w:p>
    <w:p w14:paraId="444F0231">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1、投标人必须在投标文件中对以上条款和服务承诺明确列出，承诺内容必须达到本篇及招标文件其他条款的要求。</w:t>
      </w:r>
    </w:p>
    <w:p w14:paraId="4B5E0F91">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2、其他未尽事宜由供需双方在采购合同中详细约定。</w:t>
      </w:r>
      <w:bookmarkEnd w:id="113"/>
    </w:p>
    <w:p w14:paraId="35EF079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3、投标人在服务期必须遵守安全生产事项、如：发生安全事故由投标人承担一切责任。</w:t>
      </w:r>
    </w:p>
    <w:p w14:paraId="7AEE8B0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bookmarkStart w:id="118" w:name="_Toc16455"/>
    </w:p>
    <w:p w14:paraId="10DBD9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4FDBDBA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78AFB0A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33805379">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4DE2C89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6BBE920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4F400F8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2D6C371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1CE2C49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46C3A9E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7ECA167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3AE0634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20A21229">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0838552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67C1ADF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6397ACB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2F10ABC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1BE475F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7D9F448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266CF89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25F2929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rPr>
      </w:pPr>
      <w:r>
        <w:rPr>
          <w:rFonts w:hint="eastAsia" w:ascii="宋体"/>
          <w:b/>
          <w:color w:val="auto"/>
          <w:sz w:val="30"/>
          <w:szCs w:val="30"/>
          <w:highlight w:val="none"/>
          <w:lang w:val="en-US" w:eastAsia="zh-CN"/>
        </w:rPr>
        <w:t xml:space="preserve">第五章 </w:t>
      </w:r>
      <w:r>
        <w:rPr>
          <w:rFonts w:hint="eastAsia" w:ascii="宋体"/>
          <w:b/>
          <w:color w:val="auto"/>
          <w:sz w:val="30"/>
          <w:szCs w:val="30"/>
          <w:highlight w:val="none"/>
        </w:rPr>
        <w:t xml:space="preserve"> 合同条款及格式</w:t>
      </w:r>
      <w:bookmarkEnd w:id="118"/>
      <w:bookmarkStart w:id="119" w:name="_Toc20669"/>
    </w:p>
    <w:p w14:paraId="1EAEB21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hAnsi="宋体" w:eastAsia="宋体" w:cs="宋体"/>
          <w:color w:val="auto"/>
          <w:szCs w:val="21"/>
          <w:highlight w:val="none"/>
        </w:rPr>
      </w:pPr>
      <w:bookmarkStart w:id="120" w:name="_Toc13773"/>
      <w:r>
        <w:rPr>
          <w:rFonts w:hint="eastAsia" w:ascii="宋体" w:hAnsi="宋体" w:eastAsia="宋体" w:cs="宋体"/>
          <w:color w:val="auto"/>
          <w:szCs w:val="21"/>
          <w:highlight w:val="none"/>
        </w:rPr>
        <w:t>（本合同为合同样稿，最终稿由供需双方协商后确定）</w:t>
      </w:r>
      <w:bookmarkEnd w:id="119"/>
      <w:bookmarkEnd w:id="120"/>
    </w:p>
    <w:p w14:paraId="48E86626">
      <w:pPr>
        <w:widowControl/>
        <w:numPr>
          <w:ilvl w:val="0"/>
          <w:numId w:val="11"/>
        </w:numPr>
        <w:shd w:val="clear" w:color="auto" w:fill="auto"/>
        <w:spacing w:line="600" w:lineRule="exact"/>
        <w:jc w:val="center"/>
        <w:textAlignment w:val="baseline"/>
        <w:outlineLvl w:val="1"/>
        <w:rPr>
          <w:rFonts w:hint="eastAsia" w:ascii="黑体" w:eastAsia="黑体"/>
          <w:b/>
          <w:color w:val="auto"/>
          <w:sz w:val="28"/>
          <w:szCs w:val="28"/>
          <w:highlight w:val="none"/>
        </w:rPr>
      </w:pPr>
      <w:r>
        <w:rPr>
          <w:rFonts w:hint="eastAsia" w:ascii="宋体"/>
          <w:b/>
          <w:color w:val="auto"/>
          <w:sz w:val="28"/>
          <w:szCs w:val="28"/>
          <w:highlight w:val="none"/>
        </w:rPr>
        <w:t xml:space="preserve"> </w:t>
      </w:r>
      <w:bookmarkStart w:id="121" w:name="_Toc19255"/>
      <w:r>
        <w:rPr>
          <w:rFonts w:hint="eastAsia" w:ascii="宋体"/>
          <w:b/>
          <w:color w:val="auto"/>
          <w:sz w:val="28"/>
          <w:szCs w:val="28"/>
          <w:highlight w:val="none"/>
        </w:rPr>
        <w:t>合同协议书</w:t>
      </w:r>
      <w:bookmarkEnd w:id="121"/>
    </w:p>
    <w:p w14:paraId="5A7D214D">
      <w:pPr>
        <w:shd w:val="clear" w:color="auto" w:fill="auto"/>
        <w:spacing w:line="360" w:lineRule="auto"/>
        <w:ind w:firstLine="490" w:firstLineChars="200"/>
        <w:jc w:val="both"/>
        <w:rPr>
          <w:rFonts w:hint="eastAsia"/>
          <w:color w:val="auto"/>
          <w:highlight w:val="none"/>
          <w:lang w:eastAsia="zh-CN"/>
        </w:rPr>
      </w:pPr>
      <w:r>
        <w:rPr>
          <w:rFonts w:hint="eastAsia" w:ascii="宋体"/>
          <w:color w:val="auto"/>
          <w:sz w:val="24"/>
          <w:highlight w:val="none"/>
          <w:lang w:val="en-US" w:eastAsia="zh-CN"/>
        </w:rPr>
        <w:t>合同名称 ：</w:t>
      </w:r>
      <w:r>
        <w:rPr>
          <w:rFonts w:hint="eastAsia" w:ascii="宋体"/>
          <w:b/>
          <w:color w:val="auto"/>
          <w:sz w:val="24"/>
          <w:highlight w:val="none"/>
        </w:rPr>
        <w:t xml:space="preserve">  </w:t>
      </w:r>
      <w:r>
        <w:rPr>
          <w:rFonts w:hint="eastAsia" w:ascii="宋体"/>
          <w:color w:val="auto"/>
          <w:sz w:val="24"/>
          <w:highlight w:val="none"/>
        </w:rPr>
        <w:t xml:space="preserve">    </w:t>
      </w:r>
      <w:r>
        <w:rPr>
          <w:rFonts w:hint="eastAsia" w:ascii="宋体"/>
          <w:color w:val="auto"/>
          <w:sz w:val="24"/>
          <w:highlight w:val="none"/>
          <w:lang w:val="en-US" w:eastAsia="zh-CN"/>
        </w:rPr>
        <w:t xml:space="preserve">       </w:t>
      </w:r>
      <w:r>
        <w:rPr>
          <w:rFonts w:hint="eastAsia" w:ascii="宋体"/>
          <w:color w:val="auto"/>
          <w:sz w:val="24"/>
          <w:highlight w:val="none"/>
        </w:rPr>
        <w:t xml:space="preserve">  </w:t>
      </w:r>
      <w:r>
        <w:rPr>
          <w:rFonts w:hint="eastAsia" w:ascii="宋体"/>
          <w:color w:val="auto"/>
          <w:sz w:val="24"/>
          <w:highlight w:val="none"/>
          <w:lang w:val="en-US" w:eastAsia="zh-CN"/>
        </w:rPr>
        <w:t xml:space="preserve">               </w:t>
      </w:r>
      <w:r>
        <w:rPr>
          <w:rFonts w:hint="eastAsia" w:ascii="宋体"/>
          <w:color w:val="auto"/>
          <w:sz w:val="24"/>
          <w:highlight w:val="none"/>
        </w:rPr>
        <w:t>编号</w:t>
      </w:r>
      <w:r>
        <w:rPr>
          <w:rFonts w:hint="eastAsia" w:ascii="宋体"/>
          <w:color w:val="auto"/>
          <w:sz w:val="24"/>
          <w:highlight w:val="none"/>
          <w:lang w:eastAsia="zh-CN"/>
        </w:rPr>
        <w:t>：</w:t>
      </w:r>
    </w:p>
    <w:p w14:paraId="0A93C6E0">
      <w:pPr>
        <w:shd w:val="clear" w:color="auto" w:fill="auto"/>
        <w:spacing w:line="420" w:lineRule="exact"/>
        <w:ind w:firstLine="430" w:firstLineChars="200"/>
        <w:rPr>
          <w:rFonts w:hint="eastAsia" w:ascii="宋体" w:cs="宋体"/>
          <w:color w:val="auto"/>
          <w:szCs w:val="21"/>
          <w:highlight w:val="none"/>
        </w:rPr>
      </w:pPr>
      <w:bookmarkStart w:id="122" w:name="_Toc144974578"/>
      <w:bookmarkStart w:id="123" w:name="_Toc296602498"/>
      <w:bookmarkStart w:id="124" w:name="_Toc152045610"/>
      <w:bookmarkStart w:id="125" w:name="_Toc152042388"/>
      <w:bookmarkStart w:id="126" w:name="_Toc246996996"/>
      <w:bookmarkStart w:id="127" w:name="_Toc247085768"/>
      <w:bookmarkStart w:id="128" w:name="_Toc246996253"/>
      <w:bookmarkStart w:id="129" w:name="_Toc179632628"/>
      <w:r>
        <w:rPr>
          <w:rFonts w:hint="eastAsia" w:ascii="宋体" w:cs="宋体"/>
          <w:color w:val="auto"/>
          <w:szCs w:val="21"/>
          <w:highlight w:val="none"/>
        </w:rPr>
        <w:t>买    方：                                   卖    方：</w:t>
      </w:r>
    </w:p>
    <w:p w14:paraId="01F5EB4F">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电    话：                                   电    话：</w:t>
      </w:r>
    </w:p>
    <w:p w14:paraId="0907E345">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 xml:space="preserve">住    所：                                   住    所：                       </w:t>
      </w:r>
    </w:p>
    <w:p w14:paraId="57FCE0EA">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u w:val="single"/>
        </w:rPr>
        <w:t>（买方）</w:t>
      </w:r>
      <w:r>
        <w:rPr>
          <w:rFonts w:hint="eastAsia" w:ascii="宋体" w:cs="宋体"/>
          <w:color w:val="auto"/>
          <w:szCs w:val="21"/>
          <w:highlight w:val="none"/>
        </w:rPr>
        <w:t>的</w:t>
      </w:r>
      <w:r>
        <w:rPr>
          <w:rFonts w:hint="eastAsia" w:ascii="宋体" w:cs="宋体"/>
          <w:color w:val="auto"/>
          <w:szCs w:val="21"/>
          <w:highlight w:val="none"/>
          <w:u w:val="single"/>
        </w:rPr>
        <w:t>（项目名称）</w:t>
      </w:r>
      <w:r>
        <w:rPr>
          <w:rFonts w:hint="eastAsia" w:ascii="宋体" w:cs="宋体"/>
          <w:color w:val="auto"/>
          <w:szCs w:val="21"/>
          <w:highlight w:val="none"/>
        </w:rPr>
        <w:t>中所需</w:t>
      </w:r>
      <w:r>
        <w:rPr>
          <w:rFonts w:hint="eastAsia" w:ascii="宋体" w:cs="宋体"/>
          <w:color w:val="auto"/>
          <w:szCs w:val="21"/>
          <w:highlight w:val="none"/>
          <w:u w:val="single"/>
        </w:rPr>
        <w:t>（产品名称）</w:t>
      </w:r>
      <w:r>
        <w:rPr>
          <w:rFonts w:hint="eastAsia" w:ascii="宋体" w:cs="宋体"/>
          <w:color w:val="auto"/>
          <w:szCs w:val="21"/>
          <w:highlight w:val="none"/>
        </w:rPr>
        <w:t xml:space="preserve"> 经公开招标，确定</w:t>
      </w:r>
      <w:r>
        <w:rPr>
          <w:rFonts w:hint="eastAsia" w:ascii="宋体" w:cs="宋体"/>
          <w:color w:val="auto"/>
          <w:szCs w:val="21"/>
          <w:highlight w:val="none"/>
          <w:u w:val="single"/>
        </w:rPr>
        <w:t>（卖方）</w:t>
      </w:r>
      <w:r>
        <w:rPr>
          <w:rFonts w:hint="eastAsia" w:ascii="宋体" w:cs="宋体"/>
          <w:color w:val="auto"/>
          <w:szCs w:val="21"/>
          <w:highlight w:val="none"/>
        </w:rPr>
        <w:t>为中标人。按照中华人民共和国</w:t>
      </w:r>
      <w:r>
        <w:rPr>
          <w:rFonts w:hint="eastAsia" w:ascii="宋体" w:cs="宋体"/>
          <w:color w:val="auto"/>
          <w:szCs w:val="21"/>
          <w:highlight w:val="none"/>
          <w:lang w:eastAsia="zh-CN"/>
        </w:rPr>
        <w:t>民法典</w:t>
      </w:r>
      <w:r>
        <w:rPr>
          <w:rFonts w:hint="eastAsia" w:ascii="宋体" w:cs="宋体"/>
          <w:color w:val="auto"/>
          <w:szCs w:val="21"/>
          <w:highlight w:val="none"/>
        </w:rPr>
        <w:t>的规定，买卖双方同意按照下述的条款和条件，签署本合同。</w:t>
      </w:r>
    </w:p>
    <w:p w14:paraId="6A4E457D">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1、本合同文件</w:t>
      </w:r>
    </w:p>
    <w:p w14:paraId="184C2283">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下列每一文件均应作为合同的组成部分进行阅读和解释：</w:t>
      </w:r>
    </w:p>
    <w:p w14:paraId="5A809735">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（1）</w:t>
      </w:r>
      <w:r>
        <w:rPr>
          <w:rFonts w:hint="eastAsia" w:ascii="宋体" w:cs="宋体"/>
          <w:color w:val="auto"/>
          <w:szCs w:val="21"/>
          <w:highlight w:val="none"/>
          <w:lang w:eastAsia="zh-CN"/>
        </w:rPr>
        <w:t>采购文件</w:t>
      </w:r>
      <w:r>
        <w:rPr>
          <w:rFonts w:hint="eastAsia" w:ascii="宋体" w:cs="宋体"/>
          <w:color w:val="auto"/>
          <w:szCs w:val="21"/>
          <w:highlight w:val="none"/>
        </w:rPr>
        <w:t>（2）投标文件（3）中标通知书</w:t>
      </w:r>
    </w:p>
    <w:p w14:paraId="38E2D191">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（4）经双方确认进入合同的其它文件、补充条款或说明</w:t>
      </w:r>
    </w:p>
    <w:p w14:paraId="490262C5">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2、采购标的、数量、质量要求</w:t>
      </w:r>
    </w:p>
    <w:p w14:paraId="24860C21">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3、合同总价</w:t>
      </w:r>
    </w:p>
    <w:p w14:paraId="43388ECC">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 xml:space="preserve">合同总价为 </w:t>
      </w:r>
      <w:r>
        <w:rPr>
          <w:rFonts w:hint="eastAsia" w:ascii="宋体" w:cs="宋体"/>
          <w:color w:val="auto"/>
          <w:szCs w:val="21"/>
          <w:highlight w:val="none"/>
          <w:u w:val="single"/>
        </w:rPr>
        <w:t xml:space="preserve">              </w:t>
      </w:r>
      <w:r>
        <w:rPr>
          <w:rFonts w:hint="eastAsia" w:ascii="宋体" w:cs="宋体"/>
          <w:color w:val="auto"/>
          <w:szCs w:val="21"/>
          <w:highlight w:val="none"/>
        </w:rPr>
        <w:t>元人民币。</w:t>
      </w:r>
    </w:p>
    <w:p w14:paraId="374BF9C2">
      <w:pPr>
        <w:shd w:val="clear" w:color="auto" w:fill="auto"/>
        <w:autoSpaceDN w:val="0"/>
        <w:spacing w:line="240" w:lineRule="atLeast"/>
        <w:ind w:firstLine="430" w:firstLineChars="200"/>
        <w:rPr>
          <w:rFonts w:hint="eastAsia" w:ascii="宋体" w:hAnsi="宋体" w:cs="宋体"/>
          <w:b/>
          <w:color w:val="auto"/>
          <w:kern w:val="0"/>
          <w:szCs w:val="21"/>
          <w:highlight w:val="none"/>
        </w:rPr>
      </w:pPr>
      <w:r>
        <w:rPr>
          <w:rFonts w:hint="eastAsia" w:ascii="宋体" w:cs="宋体"/>
          <w:color w:val="auto"/>
          <w:szCs w:val="21"/>
          <w:highlight w:val="none"/>
        </w:rPr>
        <w:t>4、付款方式</w:t>
      </w:r>
      <w:r>
        <w:rPr>
          <w:rFonts w:hint="eastAsia" w:ascii="黑体" w:eastAsia="黑体" w:cs="宋体"/>
          <w:b/>
          <w:bCs/>
          <w:color w:val="auto"/>
          <w:szCs w:val="21"/>
          <w:highlight w:val="none"/>
        </w:rPr>
        <w:t>：</w:t>
      </w:r>
      <w:r>
        <w:rPr>
          <w:rFonts w:hint="eastAsia" w:ascii="宋体"/>
          <w:color w:val="auto"/>
          <w:szCs w:val="21"/>
          <w:highlight w:val="none"/>
          <w:u w:val="single"/>
        </w:rPr>
        <w:t>合同签订后中标供应商向采购人交纳中标价2%的履约保证金，采购人向中标供应商支付50％预付款。验收合格后，采购人向中标供应商支付合同货款的50%。</w:t>
      </w:r>
    </w:p>
    <w:p w14:paraId="18778D2D">
      <w:pPr>
        <w:shd w:val="clear" w:color="auto" w:fill="auto"/>
        <w:spacing w:line="360" w:lineRule="auto"/>
        <w:ind w:firstLine="430" w:firstLineChars="200"/>
        <w:rPr>
          <w:rFonts w:hint="eastAsia" w:ascii="宋体"/>
          <w:color w:val="auto"/>
          <w:szCs w:val="21"/>
          <w:highlight w:val="none"/>
        </w:rPr>
      </w:pPr>
      <w:r>
        <w:rPr>
          <w:rFonts w:hint="eastAsia" w:ascii="宋体" w:cs="宋体"/>
          <w:color w:val="auto"/>
          <w:szCs w:val="21"/>
          <w:highlight w:val="none"/>
        </w:rPr>
        <w:t>5、</w:t>
      </w:r>
      <w:r>
        <w:rPr>
          <w:rFonts w:hint="eastAsia" w:ascii="宋体"/>
          <w:color w:val="auto"/>
          <w:szCs w:val="21"/>
          <w:highlight w:val="none"/>
        </w:rPr>
        <w:t>合同供货（服务）期限及地点和方式</w:t>
      </w:r>
    </w:p>
    <w:p w14:paraId="5E12467A">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6、验收要求及违约责任</w:t>
      </w:r>
    </w:p>
    <w:p w14:paraId="6F193DFD">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7、违约责任及解决争议方法</w:t>
      </w:r>
    </w:p>
    <w:p w14:paraId="55C2DA81">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8、合同的生效</w:t>
      </w:r>
    </w:p>
    <w:p w14:paraId="3DD1653B">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合同经双方授权代表签署，买卖双方加盖印章之后生效。</w:t>
      </w:r>
    </w:p>
    <w:p w14:paraId="69C02C03">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本合同一式     份，双方各执     份。</w:t>
      </w:r>
    </w:p>
    <w:p w14:paraId="2225A985">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买  方：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 xml:space="preserve">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卖  方：</w:t>
      </w:r>
    </w:p>
    <w:p w14:paraId="7E88E4F3">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名  称：（盖章）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名  称：（盖章）</w:t>
      </w:r>
    </w:p>
    <w:p w14:paraId="0AC57360">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法定代表人（或委托代理人）： （签字） 法定代表人（或委托代理人）：（签字）                        </w:t>
      </w:r>
    </w:p>
    <w:p w14:paraId="3999469B">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地    址：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 xml:space="preserve"> 地    址：</w:t>
      </w:r>
    </w:p>
    <w:p w14:paraId="4F196602">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邮政编码：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邮政编码：</w:t>
      </w:r>
    </w:p>
    <w:p w14:paraId="5A63DFCA">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电    话：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电    话：</w:t>
      </w:r>
    </w:p>
    <w:p w14:paraId="415ACCB8">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开户银行：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 xml:space="preserve"> 开户银行：</w:t>
      </w:r>
    </w:p>
    <w:p w14:paraId="518E2E5B">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帐    号：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帐    号：</w:t>
      </w:r>
    </w:p>
    <w:p w14:paraId="6399360F">
      <w:pPr>
        <w:rPr>
          <w:rFonts w:hint="eastAsia"/>
          <w:color w:val="auto"/>
          <w:highlight w:val="none"/>
        </w:rPr>
      </w:pPr>
    </w:p>
    <w:p w14:paraId="18F29774">
      <w:pPr>
        <w:pStyle w:val="11"/>
        <w:shd w:val="clear" w:color="auto" w:fill="auto"/>
        <w:spacing w:after="0" w:line="420" w:lineRule="exact"/>
        <w:ind w:left="0" w:leftChars="0" w:firstLine="570" w:firstLineChars="200"/>
        <w:jc w:val="center"/>
        <w:rPr>
          <w:rFonts w:hint="eastAsia" w:asciiTheme="majorEastAsia" w:hAnsiTheme="majorEastAsia" w:eastAsiaTheme="majorEastAsia" w:cstheme="majorEastAsia"/>
          <w:b/>
          <w:color w:val="auto"/>
          <w:sz w:val="28"/>
          <w:szCs w:val="28"/>
          <w:highlight w:val="none"/>
        </w:rPr>
      </w:pPr>
      <w:r>
        <w:rPr>
          <w:rFonts w:hint="eastAsia" w:asciiTheme="majorEastAsia" w:hAnsiTheme="majorEastAsia" w:eastAsiaTheme="majorEastAsia" w:cstheme="majorEastAsia"/>
          <w:b/>
          <w:color w:val="auto"/>
          <w:sz w:val="28"/>
          <w:szCs w:val="28"/>
          <w:highlight w:val="none"/>
        </w:rPr>
        <w:t>二  合同条款</w:t>
      </w:r>
      <w:bookmarkEnd w:id="122"/>
      <w:bookmarkEnd w:id="123"/>
      <w:bookmarkEnd w:id="124"/>
      <w:bookmarkEnd w:id="125"/>
      <w:bookmarkEnd w:id="126"/>
      <w:bookmarkEnd w:id="127"/>
      <w:bookmarkEnd w:id="128"/>
      <w:bookmarkEnd w:id="129"/>
    </w:p>
    <w:p w14:paraId="2AFDB191">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一.  合同文件</w:t>
      </w:r>
    </w:p>
    <w:p w14:paraId="22F63369">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1、合同文件适用法律</w:t>
      </w:r>
    </w:p>
    <w:p w14:paraId="6A3BB14F">
      <w:pPr>
        <w:shd w:val="clear" w:color="auto" w:fill="auto"/>
        <w:spacing w:line="440" w:lineRule="exact"/>
        <w:ind w:firstLine="645" w:firstLineChars="300"/>
        <w:rPr>
          <w:rFonts w:hint="eastAsia" w:ascii="宋体" w:cs="宋体"/>
          <w:color w:val="auto"/>
          <w:szCs w:val="21"/>
          <w:highlight w:val="none"/>
        </w:rPr>
      </w:pPr>
      <w:r>
        <w:rPr>
          <w:rFonts w:hint="eastAsia" w:ascii="宋体" w:cs="宋体"/>
          <w:color w:val="auto"/>
          <w:szCs w:val="21"/>
          <w:highlight w:val="none"/>
        </w:rPr>
        <w:t>适用于合同文件的法律是中华人民共和国现行法律、法规及招标人所在地的地方性法规。</w:t>
      </w:r>
    </w:p>
    <w:p w14:paraId="0487E27B">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2、合同文件组成和解释顺序</w:t>
      </w:r>
    </w:p>
    <w:p w14:paraId="3637AC87">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(1)合同文件的组成和解释顺序如下：</w:t>
      </w:r>
    </w:p>
    <w:p w14:paraId="558DD01B">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&lt;1&gt;合同的主要条款；</w:t>
      </w:r>
    </w:p>
    <w:p w14:paraId="01AEE6B4">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&lt;2&gt;合同的一般性条款；</w:t>
      </w:r>
    </w:p>
    <w:p w14:paraId="5676247A">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&lt;3&gt;洽商、变更等明确双方权利义务的纪要、协议；</w:t>
      </w:r>
    </w:p>
    <w:p w14:paraId="67BC7F79">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&lt;4&gt;中标通知书、投标文件和</w:t>
      </w:r>
      <w:r>
        <w:rPr>
          <w:rFonts w:hint="eastAsia" w:ascii="宋体" w:cs="宋体"/>
          <w:color w:val="auto"/>
          <w:szCs w:val="21"/>
          <w:highlight w:val="none"/>
          <w:lang w:eastAsia="zh-CN"/>
        </w:rPr>
        <w:t>采购文件</w:t>
      </w:r>
      <w:r>
        <w:rPr>
          <w:rFonts w:hint="eastAsia" w:ascii="宋体" w:cs="宋体"/>
          <w:color w:val="auto"/>
          <w:szCs w:val="21"/>
          <w:highlight w:val="none"/>
        </w:rPr>
        <w:t>；</w:t>
      </w:r>
    </w:p>
    <w:p w14:paraId="3129B805">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&lt;5&gt;有关图纸、标准、规范和其它有关技术资料、技术要求。</w:t>
      </w:r>
    </w:p>
    <w:p w14:paraId="5B0E0111">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&lt;6&gt;合同的主要条款的效力优于合同的一般性条款的效力。</w:t>
      </w:r>
    </w:p>
    <w:p w14:paraId="141E32D2">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3、合同文件使用文字</w:t>
      </w:r>
    </w:p>
    <w:p w14:paraId="71D85D7E">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(1)合同文件使用中文书写、解释和说明。</w:t>
      </w:r>
    </w:p>
    <w:p w14:paraId="063A6872">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 xml:space="preserve">(2)合同文件使用技术性条款约定的为国家标准和规范；国家没有相应标准、规范时，可使用行业标准、规范。非标货物应按约定的技术性条款的标准和规范。 </w:t>
      </w:r>
    </w:p>
    <w:p w14:paraId="4F96828D">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二.  标的物的一般条款</w:t>
      </w:r>
    </w:p>
    <w:p w14:paraId="557B28D6">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4、完整物权</w:t>
      </w:r>
    </w:p>
    <w:p w14:paraId="412A983A">
      <w:pPr>
        <w:shd w:val="clear" w:color="auto" w:fill="auto"/>
        <w:tabs>
          <w:tab w:val="left" w:pos="660"/>
        </w:tabs>
        <w:spacing w:line="440" w:lineRule="exact"/>
        <w:rPr>
          <w:rFonts w:hint="eastAsia" w:ascii="宋体" w:cs="宋体"/>
          <w:color w:val="auto"/>
          <w:szCs w:val="21"/>
          <w:highlight w:val="none"/>
        </w:rPr>
      </w:pPr>
      <w:r>
        <w:rPr>
          <w:rFonts w:hint="eastAsia" w:ascii="宋体" w:cs="宋体"/>
          <w:color w:val="auto"/>
          <w:szCs w:val="21"/>
          <w:highlight w:val="none"/>
        </w:rPr>
        <w:t xml:space="preserve"> </w:t>
      </w:r>
      <w:r>
        <w:rPr>
          <w:rFonts w:hint="eastAsia" w:ascii="宋体" w:cs="宋体"/>
          <w:color w:val="auto"/>
          <w:szCs w:val="21"/>
          <w:highlight w:val="none"/>
        </w:rPr>
        <w:tab/>
      </w:r>
      <w:r>
        <w:rPr>
          <w:rFonts w:hint="eastAsia" w:ascii="宋体" w:cs="宋体"/>
          <w:color w:val="auto"/>
          <w:szCs w:val="21"/>
          <w:highlight w:val="none"/>
        </w:rPr>
        <w:t>对于出卖的标的物，卖方应当拥有完整物权，并且卖方负有保证第三人不得向买方主张任何权利（包括知识产权）的义务。</w:t>
      </w:r>
    </w:p>
    <w:p w14:paraId="7C1407D8">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5、质量保证</w:t>
      </w:r>
    </w:p>
    <w:p w14:paraId="70AC98A0">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48D17283">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4FB0E0BB">
      <w:pPr>
        <w:pStyle w:val="6"/>
        <w:shd w:val="clear" w:color="auto" w:fill="auto"/>
        <w:tabs>
          <w:tab w:val="left" w:pos="900"/>
        </w:tabs>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19B6132D">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6、包装</w:t>
      </w:r>
    </w:p>
    <w:p w14:paraId="43DF933B">
      <w:pPr>
        <w:pStyle w:val="6"/>
        <w:shd w:val="clear" w:color="auto" w:fill="auto"/>
        <w:tabs>
          <w:tab w:val="left" w:pos="900"/>
        </w:tabs>
        <w:spacing w:line="440" w:lineRule="exact"/>
        <w:ind w:firstLine="483" w:firstLineChars="225"/>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1EE5E06">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7、伴随服务</w:t>
      </w:r>
    </w:p>
    <w:p w14:paraId="029317DE">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(1)卖方除应履行按期按量交付合格标的物的义务之外，还应提供下列服务：</w:t>
      </w:r>
    </w:p>
    <w:p w14:paraId="2E29A74D">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&lt;1&gt;标的物的现场安装或指导安装、启动、调试、监督（如果必须安装、调试的话）；</w:t>
      </w:r>
    </w:p>
    <w:p w14:paraId="752FE03A">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&lt;2&gt;提供标的物组装和一般维修所必须的工具；</w:t>
      </w:r>
    </w:p>
    <w:p w14:paraId="4CE1D388">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&lt;3&gt;在合同规定的期限内对所提供标的物实行运行监督、维修服务的前提条件是该服务并不能免除卖方在质量保证期内所承担的义务；</w:t>
      </w:r>
    </w:p>
    <w:p w14:paraId="06BE106D">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&lt;4&gt;对买方技术人员的技术指导或培训。</w:t>
      </w:r>
    </w:p>
    <w:p w14:paraId="571D1604">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(2)除合同另有规定之外，伴随服务的费用均已含在合同价款中，买方不再另行进行支付。</w:t>
      </w:r>
    </w:p>
    <w:p w14:paraId="25C583CF">
      <w:pPr>
        <w:spacing w:line="560" w:lineRule="exact"/>
        <w:ind w:firstLine="430" w:firstLineChars="200"/>
        <w:outlineLvl w:val="0"/>
        <w:rPr>
          <w:rFonts w:hint="eastAsia" w:ascii="宋体" w:hAnsi="宋体" w:eastAsia="宋体" w:cs="宋体"/>
          <w:b/>
          <w:color w:val="auto"/>
          <w:sz w:val="24"/>
          <w:highlight w:val="none"/>
        </w:rPr>
      </w:pPr>
      <w:bookmarkStart w:id="130" w:name="_Toc19767"/>
      <w:r>
        <w:rPr>
          <w:rFonts w:hint="eastAsia" w:ascii="宋体" w:cs="宋体"/>
          <w:b/>
          <w:color w:val="auto"/>
          <w:szCs w:val="21"/>
          <w:highlight w:val="none"/>
        </w:rPr>
        <w:t xml:space="preserve">三. </w:t>
      </w:r>
      <w:r>
        <w:rPr>
          <w:rFonts w:hint="eastAsia" w:ascii="宋体" w:hAnsi="宋体" w:eastAsia="宋体" w:cs="宋体"/>
          <w:b/>
          <w:color w:val="auto"/>
          <w:sz w:val="24"/>
          <w:highlight w:val="none"/>
        </w:rPr>
        <w:t xml:space="preserve"> 检验和验收</w:t>
      </w:r>
      <w:bookmarkEnd w:id="130"/>
    </w:p>
    <w:p w14:paraId="373F16CC">
      <w:pPr>
        <w:tabs>
          <w:tab w:val="left" w:pos="360"/>
          <w:tab w:val="left" w:pos="540"/>
          <w:tab w:val="left" w:pos="1080"/>
        </w:tabs>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 1服务交付前，乙方应对服务的质量、数量等方面进行详细、全面的检验，并向甲方出具证明服务符合合同约定的文件；服务交付时，乙方在合同专用条款约定时间内组织验收，并可依法邀请相关方参加，验收应出具验收书。</w:t>
      </w:r>
    </w:p>
    <w:p w14:paraId="1ADEB685">
      <w:pPr>
        <w:tabs>
          <w:tab w:val="left" w:pos="360"/>
          <w:tab w:val="left" w:pos="540"/>
          <w:tab w:val="left" w:pos="1080"/>
        </w:tabs>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 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70090B7D">
      <w:pPr>
        <w:tabs>
          <w:tab w:val="left" w:pos="360"/>
          <w:tab w:val="left" w:pos="540"/>
          <w:tab w:val="left" w:pos="1080"/>
        </w:tabs>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 3 检验和验收标准、程序等具体内容以及前述验收书的效力详见合同专用条款。</w:t>
      </w:r>
    </w:p>
    <w:p w14:paraId="68C90C0B">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四. 对标的物提出异议的时间和办法</w:t>
      </w:r>
    </w:p>
    <w:p w14:paraId="75C61FA5">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 xml:space="preserve">、对标的物提出异议的时间和办法 </w:t>
      </w:r>
    </w:p>
    <w:p w14:paraId="1052B084">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(1)买方在验收过程中，应当于双方约定的检验期间内将标的物的数量或质量不符合约定的情形及处理方式以书面形式通知卖方。</w:t>
      </w:r>
    </w:p>
    <w:p w14:paraId="6CFE452F">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(2)如买方在验收期满后既不出具验收合格证明又未提出书面异议的视为卖方所交标的物符合合同规定。</w:t>
      </w:r>
    </w:p>
    <w:p w14:paraId="33778B3E">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(3)卖方应在收到买方书面异议后</w:t>
      </w:r>
      <w:r>
        <w:rPr>
          <w:rFonts w:hint="eastAsia" w:ascii="宋体" w:cs="宋体"/>
          <w:color w:val="auto"/>
          <w:sz w:val="21"/>
          <w:szCs w:val="21"/>
          <w:highlight w:val="none"/>
          <w:u w:val="none" w:color="000000"/>
          <w:lang w:val="en-US" w:eastAsia="zh-CN"/>
        </w:rPr>
        <w:t>3</w:t>
      </w:r>
      <w:r>
        <w:rPr>
          <w:rFonts w:hint="eastAsia" w:ascii="宋体" w:cs="宋体"/>
          <w:color w:val="auto"/>
          <w:sz w:val="21"/>
          <w:szCs w:val="21"/>
          <w:highlight w:val="none"/>
          <w:u w:val="none" w:color="000000"/>
        </w:rPr>
        <w:t>天内负责处理问题，否则将视为默认买方提出的异议和处理意见。</w:t>
      </w:r>
    </w:p>
    <w:p w14:paraId="61470B8E">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五. 合同价款和支付</w:t>
      </w:r>
    </w:p>
    <w:p w14:paraId="52E433CD">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合同价款和支付</w:t>
      </w:r>
    </w:p>
    <w:p w14:paraId="5A03CC0C">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(1)本合同的结算货币为人民币，单位元。</w:t>
      </w:r>
    </w:p>
    <w:p w14:paraId="59D1EA39">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(2)卖方应按照双方签订的合同规定交货并在合同主要条款规定的期限内持下列单据结算货款：</w:t>
      </w:r>
    </w:p>
    <w:p w14:paraId="5BFCD41C">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&lt;1&gt;合格的销售发票；</w:t>
      </w:r>
    </w:p>
    <w:p w14:paraId="005CC17A">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&lt;2&gt;买方盖章签收后的送货回单和验收合格证明。</w:t>
      </w:r>
    </w:p>
    <w:p w14:paraId="5793AE46">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(3)买方应按合同主要条款规定的期限和方式付款。</w:t>
      </w:r>
    </w:p>
    <w:p w14:paraId="780F8664">
      <w:pPr>
        <w:pStyle w:val="6"/>
        <w:shd w:val="clear" w:color="auto" w:fill="auto"/>
        <w:tabs>
          <w:tab w:val="left" w:pos="540"/>
        </w:tabs>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(4)根据现行税法对买方征收的与本合同有关的一切税费均由买方承担；根据现行税法对卖方征收的与本合同有关的一切税费均由卖方承担。</w:t>
      </w:r>
    </w:p>
    <w:p w14:paraId="76A832B6">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六. 违约责任</w:t>
      </w:r>
    </w:p>
    <w:p w14:paraId="472CC528">
      <w:pPr>
        <w:keepNext w:val="0"/>
        <w:keepLines w:val="0"/>
        <w:pageBreakBefore w:val="0"/>
        <w:kinsoku/>
        <w:wordWrap/>
        <w:overflowPunct/>
        <w:topLinePunct w:val="0"/>
        <w:bidi w:val="0"/>
        <w:spacing w:line="400" w:lineRule="exact"/>
        <w:ind w:firstLine="490" w:firstLineChars="200"/>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cs="宋体"/>
          <w:b/>
          <w:bCs/>
          <w:color w:val="auto"/>
          <w:kern w:val="0"/>
          <w:sz w:val="24"/>
          <w:szCs w:val="24"/>
          <w:highlight w:val="none"/>
          <w:lang w:val="en-US" w:eastAsia="zh-CN" w:bidi="ar"/>
        </w:rPr>
        <w:t>1</w:t>
      </w:r>
      <w:r>
        <w:rPr>
          <w:rFonts w:hint="eastAsia" w:ascii="宋体" w:hAnsi="宋体" w:eastAsia="宋体" w:cs="宋体"/>
          <w:b/>
          <w:bCs/>
          <w:color w:val="auto"/>
          <w:kern w:val="0"/>
          <w:sz w:val="24"/>
          <w:szCs w:val="24"/>
          <w:highlight w:val="none"/>
          <w:lang w:val="en-US" w:eastAsia="zh-CN" w:bidi="ar"/>
        </w:rPr>
        <w:t>、违约责任：</w:t>
      </w:r>
    </w:p>
    <w:p w14:paraId="7BDE4429">
      <w:pPr>
        <w:keepNext w:val="0"/>
        <w:keepLines w:val="0"/>
        <w:pageBreakBefore w:val="0"/>
        <w:kinsoku/>
        <w:wordWrap/>
        <w:overflowPunct/>
        <w:topLinePunct w:val="0"/>
        <w:bidi w:val="0"/>
        <w:spacing w:line="400" w:lineRule="exact"/>
        <w:ind w:firstLine="430" w:firstLineChars="20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供应商</w:t>
      </w:r>
      <w:r>
        <w:rPr>
          <w:rFonts w:hint="eastAsia" w:ascii="宋体" w:hAnsi="Times New Roman" w:eastAsia="宋体" w:cs="宋体"/>
          <w:color w:val="auto"/>
          <w:kern w:val="0"/>
          <w:sz w:val="21"/>
          <w:szCs w:val="21"/>
          <w:highlight w:val="none"/>
          <w:u w:val="none" w:color="000000"/>
          <w:lang w:val="en-US" w:eastAsia="zh-CN" w:bidi="ar-SA"/>
        </w:rPr>
        <w:t>在工作时有下列行为，采购人将采取终止合同、列入黑名单及拒绝支付审计费用等处理处罚措施，涉嫌犯罪的，移送司法机关依法追究责任：</w:t>
      </w:r>
    </w:p>
    <w:p w14:paraId="53E6082F">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(1)将受托业务转包或分包给其他中介机构或个人； </w:t>
      </w:r>
    </w:p>
    <w:p w14:paraId="7D261572">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(2)未按委托要求实施程序导致应发现问题而未发现，或故意隐瞒存在问题； </w:t>
      </w:r>
    </w:p>
    <w:p w14:paraId="284F8ADD">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(3)全过程服务工作存在严重质量问题； </w:t>
      </w:r>
    </w:p>
    <w:p w14:paraId="3BAF37D7">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(4)拒绝接受委托方监督、检查、指导； </w:t>
      </w:r>
    </w:p>
    <w:p w14:paraId="6F5A9443">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(5)索取、收受委托合同约定以外的酬金或者其他财物，或者利用执行业务之便，谋取其他不正当的利益；</w:t>
      </w:r>
    </w:p>
    <w:p w14:paraId="1D683EAC">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(6)泄露国家秘密、公安工作秘密和相关单位商业秘密； </w:t>
      </w:r>
    </w:p>
    <w:p w14:paraId="5E8E2397">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cs="宋体"/>
          <w:b/>
          <w:color w:val="auto"/>
          <w:szCs w:val="21"/>
          <w:highlight w:val="none"/>
        </w:rPr>
      </w:pPr>
      <w:r>
        <w:rPr>
          <w:rFonts w:hint="eastAsia" w:ascii="宋体" w:hAnsi="Times New Roman" w:eastAsia="宋体" w:cs="宋体"/>
          <w:color w:val="auto"/>
          <w:kern w:val="0"/>
          <w:sz w:val="21"/>
          <w:szCs w:val="21"/>
          <w:highlight w:val="none"/>
          <w:u w:val="none" w:color="000000"/>
          <w:lang w:val="en-US" w:eastAsia="zh-CN" w:bidi="ar-SA"/>
        </w:rPr>
        <w:t>(7)其他违反执业规范和执业道德及违法违纪行为。</w:t>
      </w:r>
    </w:p>
    <w:p w14:paraId="3926460C">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七. 索赔</w:t>
      </w:r>
    </w:p>
    <w:p w14:paraId="2AEE1519">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、索赔</w:t>
      </w:r>
    </w:p>
    <w:p w14:paraId="16887037">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(1)买方有权根据当地产品质量检验机构或其它有权威部门出具的检验证书向卖方提出索赔。</w:t>
      </w:r>
    </w:p>
    <w:p w14:paraId="1FF8EEA8">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(2)在本合同规定的检验期和质量保证期内，如果卖方对买方提出的索赔或差异有责任，则卖方应按买方同意的下列一种或多种方式解决索赔事宜：</w:t>
      </w:r>
    </w:p>
    <w:p w14:paraId="2F7125AE">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19591855">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&lt;2&gt;根据标的物的低劣程度、损坏程度以及甲方遭受损失的数额，经双方协商确定降低标的物的价格；</w:t>
      </w:r>
    </w:p>
    <w:p w14:paraId="2E0BADE5">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3E12C623">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2C7FF8D">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(4)买方提出索赔的书面材料应报当地政府采购管理部门备案。卖方同意的索赔方案应报当地政府采购管理部门审核。</w:t>
      </w:r>
    </w:p>
    <w:p w14:paraId="5F71B7F5">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八. 履约保证金</w:t>
      </w:r>
    </w:p>
    <w:p w14:paraId="3BDBE548">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、履约保证金</w:t>
      </w:r>
    </w:p>
    <w:p w14:paraId="0465516E">
      <w:pPr>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（1）</w:t>
      </w:r>
      <w:r>
        <w:rPr>
          <w:rFonts w:hint="eastAsia" w:ascii="宋体" w:hAnsi="Times New Roman" w:eastAsia="宋体" w:cs="宋体"/>
          <w:color w:val="auto"/>
          <w:kern w:val="0"/>
          <w:sz w:val="21"/>
          <w:szCs w:val="21"/>
          <w:highlight w:val="none"/>
          <w:u w:val="none" w:color="000000"/>
          <w:lang w:val="en-US" w:eastAsia="zh-CN" w:bidi="ar-SA"/>
        </w:rPr>
        <w:t>中标供应商在合同签订后5个工作日内向采购人交纳中标价2%的履约保证金（本项目履约保证金接收保函形式；若以电汇、银行转账方式提交的，必须转到采购人的指定账户），如果中标供应商在建设期内没有涉及采购人的应付而未付金额或违约行为，采购人在项目验收合格后或提前终止合同后全额无息退还履约保证金。</w:t>
      </w:r>
    </w:p>
    <w:p w14:paraId="0687960B">
      <w:pPr>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（2）</w:t>
      </w:r>
      <w:r>
        <w:rPr>
          <w:rFonts w:hint="eastAsia" w:ascii="宋体" w:hAnsi="Times New Roman" w:eastAsia="宋体" w:cs="宋体"/>
          <w:color w:val="auto"/>
          <w:kern w:val="0"/>
          <w:sz w:val="21"/>
          <w:szCs w:val="21"/>
          <w:highlight w:val="none"/>
          <w:u w:val="none" w:color="000000"/>
          <w:lang w:val="en-US" w:eastAsia="zh-CN" w:bidi="ar-SA"/>
        </w:rPr>
        <w:t>签订合同后，如中标供应商不按合同约定履约的，履约保证金不予退还，履约保证金不足以赔偿损失的，按实际损失赔偿。</w:t>
      </w:r>
    </w:p>
    <w:p w14:paraId="2774912C">
      <w:pPr>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（3）</w:t>
      </w:r>
      <w:r>
        <w:rPr>
          <w:rFonts w:hint="eastAsia" w:ascii="宋体" w:hAnsi="Times New Roman" w:eastAsia="宋体" w:cs="宋体"/>
          <w:color w:val="auto"/>
          <w:kern w:val="0"/>
          <w:sz w:val="21"/>
          <w:szCs w:val="21"/>
          <w:highlight w:val="none"/>
          <w:u w:val="none" w:color="000000"/>
          <w:lang w:val="en-US" w:eastAsia="zh-CN" w:bidi="ar-SA"/>
        </w:rPr>
        <w:t>如果中标供应商在供货期内没有涉及采购人的应付而未付金额或违约行为，采购人在项目验收合格后或提前终止合同后全额无息退还履约保证金。</w:t>
      </w:r>
    </w:p>
    <w:p w14:paraId="32E2D8A6">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九.  合同的解除和转让</w:t>
      </w:r>
    </w:p>
    <w:p w14:paraId="331FAB50">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、合同的解除</w:t>
      </w:r>
    </w:p>
    <w:p w14:paraId="57B0D224">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(1)买方和卖方协商一致，可以解除合同。</w:t>
      </w:r>
    </w:p>
    <w:p w14:paraId="7CBBE1D6">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(2)有下列情形之一，合同一方可以解除合同：</w:t>
      </w:r>
    </w:p>
    <w:p w14:paraId="1C6AB945">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&lt;1&gt;因不可抗力致使不能实现合同目的，未受不可抗力影响的一方有权解除合同；</w:t>
      </w:r>
    </w:p>
    <w:p w14:paraId="612DDE32">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&lt;2&gt;因合同一方违约导致合同不能履行，另一方有权解除合同。</w:t>
      </w:r>
    </w:p>
    <w:p w14:paraId="39292307">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(3)有权解除合同的一方，应当在违约事实或不可抗力发生之后三十天内书面通知对方以主张解除合同，合同在书面通知到达对方时解除。</w:t>
      </w:r>
    </w:p>
    <w:p w14:paraId="2CE211CC">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2</w:t>
      </w:r>
      <w:r>
        <w:rPr>
          <w:rFonts w:hint="eastAsia" w:ascii="宋体" w:cs="宋体"/>
          <w:color w:val="auto"/>
          <w:szCs w:val="21"/>
          <w:highlight w:val="none"/>
        </w:rPr>
        <w:t>、合同的转让</w:t>
      </w:r>
    </w:p>
    <w:p w14:paraId="2B88E98E">
      <w:pPr>
        <w:shd w:val="clear" w:color="auto" w:fill="auto"/>
        <w:spacing w:line="440" w:lineRule="exact"/>
        <w:rPr>
          <w:rFonts w:hint="eastAsia" w:ascii="宋体" w:cs="宋体"/>
          <w:b/>
          <w:color w:val="auto"/>
          <w:szCs w:val="21"/>
          <w:highlight w:val="none"/>
        </w:rPr>
      </w:pPr>
      <w:r>
        <w:rPr>
          <w:rFonts w:hint="eastAsia" w:ascii="宋体" w:cs="宋体"/>
          <w:color w:val="auto"/>
          <w:szCs w:val="21"/>
          <w:highlight w:val="none"/>
        </w:rPr>
        <w:t xml:space="preserve">    合同的部分和全部都不得转让。</w:t>
      </w:r>
    </w:p>
    <w:p w14:paraId="72284EB4">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十. 合同的生效</w:t>
      </w:r>
    </w:p>
    <w:p w14:paraId="352C13AF">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、合同的生效</w:t>
      </w:r>
    </w:p>
    <w:p w14:paraId="69ACF9FD">
      <w:pPr>
        <w:shd w:val="clear" w:color="auto" w:fill="auto"/>
        <w:spacing w:line="440" w:lineRule="exact"/>
        <w:ind w:firstLine="594" w:firstLineChars="277"/>
        <w:rPr>
          <w:rFonts w:hint="eastAsia" w:ascii="宋体" w:cs="宋体"/>
          <w:color w:val="auto"/>
          <w:szCs w:val="21"/>
          <w:highlight w:val="none"/>
        </w:rPr>
      </w:pPr>
      <w:r>
        <w:rPr>
          <w:rFonts w:hint="eastAsia" w:ascii="宋体" w:cs="宋体"/>
          <w:color w:val="auto"/>
          <w:szCs w:val="21"/>
          <w:highlight w:val="none"/>
        </w:rPr>
        <w:t>本合同在双方签字盖章并在招标人收到中标人提交的履约保证金后，经招标采购管理部门备案后生效。</w:t>
      </w:r>
    </w:p>
    <w:p w14:paraId="17E8F528">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十一. 争议解决</w:t>
      </w:r>
    </w:p>
    <w:p w14:paraId="512AAAB5">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、争议解决</w:t>
      </w:r>
    </w:p>
    <w:p w14:paraId="676E89AC">
      <w:pPr>
        <w:pStyle w:val="6"/>
        <w:shd w:val="clear" w:color="auto" w:fill="auto"/>
        <w:overflowPunct w:val="0"/>
        <w:spacing w:line="440" w:lineRule="exact"/>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 xml:space="preserve"> 买卖双方因合同发生争议，进行调解，协商不成，可选择：</w:t>
      </w:r>
    </w:p>
    <w:p w14:paraId="698F52B9">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(1)双方同时申请仲裁；</w:t>
      </w:r>
    </w:p>
    <w:p w14:paraId="3209DABC">
      <w:pPr>
        <w:pStyle w:val="6"/>
        <w:shd w:val="clear" w:color="auto" w:fill="auto"/>
        <w:tabs>
          <w:tab w:val="left" w:pos="900"/>
        </w:tabs>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(2)向买方所在地人民法院提起诉讼。</w:t>
      </w:r>
    </w:p>
    <w:p w14:paraId="6671C8F8">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十二 .附则</w:t>
      </w:r>
    </w:p>
    <w:p w14:paraId="454C5383">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、合同份数。</w:t>
      </w:r>
    </w:p>
    <w:p w14:paraId="76BB75E6">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 xml:space="preserve"> </w:t>
      </w:r>
      <w:r>
        <w:rPr>
          <w:rFonts w:hint="eastAsia" w:ascii="宋体" w:cs="宋体"/>
          <w:color w:val="auto"/>
          <w:szCs w:val="21"/>
          <w:highlight w:val="none"/>
        </w:rPr>
        <w:tab/>
      </w:r>
      <w:r>
        <w:rPr>
          <w:rFonts w:hint="eastAsia" w:ascii="宋体" w:cs="宋体"/>
          <w:color w:val="auto"/>
          <w:szCs w:val="21"/>
          <w:highlight w:val="none"/>
        </w:rPr>
        <w:t xml:space="preserve">  本合同一式陆份，买卖双方各执二份，招标代理机构一份，招标采购管理部门一份。</w:t>
      </w:r>
    </w:p>
    <w:p w14:paraId="7B2AF13B">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2</w:t>
      </w:r>
      <w:r>
        <w:rPr>
          <w:rFonts w:hint="eastAsia" w:ascii="宋体" w:cs="宋体"/>
          <w:color w:val="auto"/>
          <w:szCs w:val="21"/>
          <w:highlight w:val="none"/>
        </w:rPr>
        <w:t>、未尽事宜</w:t>
      </w:r>
    </w:p>
    <w:p w14:paraId="1C6CA410">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本合同未尽事宜应按《中华人民共和国政府采购法》、《中华人民共和国</w:t>
      </w:r>
      <w:r>
        <w:rPr>
          <w:rFonts w:hint="eastAsia" w:ascii="宋体" w:cs="宋体"/>
          <w:color w:val="auto"/>
          <w:szCs w:val="21"/>
          <w:highlight w:val="none"/>
          <w:lang w:eastAsia="zh-CN"/>
        </w:rPr>
        <w:t>民法典</w:t>
      </w:r>
      <w:r>
        <w:rPr>
          <w:rFonts w:hint="eastAsia" w:ascii="宋体" w:cs="宋体"/>
          <w:color w:val="auto"/>
          <w:szCs w:val="21"/>
          <w:highlight w:val="none"/>
        </w:rPr>
        <w:t>》、《中华人民共和国产品质量法》之规定解释。</w:t>
      </w:r>
    </w:p>
    <w:p w14:paraId="5323716B">
      <w:pPr>
        <w:pStyle w:val="11"/>
        <w:shd w:val="clear" w:color="auto" w:fill="auto"/>
        <w:spacing w:after="0" w:line="400" w:lineRule="exact"/>
        <w:ind w:left="0" w:leftChars="0" w:firstLine="490" w:firstLineChars="200"/>
        <w:rPr>
          <w:rFonts w:hint="eastAsia"/>
          <w:color w:val="auto"/>
          <w:kern w:val="0"/>
          <w:sz w:val="24"/>
          <w:szCs w:val="20"/>
          <w:highlight w:val="none"/>
          <w:u w:val="none" w:color="000000"/>
        </w:rPr>
      </w:pPr>
    </w:p>
    <w:p w14:paraId="54FFC32C">
      <w:pPr>
        <w:pageBreakBefore/>
        <w:shd w:val="clear" w:color="auto" w:fill="auto"/>
        <w:jc w:val="center"/>
        <w:outlineLvl w:val="0"/>
        <w:rPr>
          <w:rFonts w:hint="eastAsia" w:ascii="宋体"/>
          <w:b/>
          <w:color w:val="auto"/>
          <w:sz w:val="30"/>
          <w:szCs w:val="30"/>
          <w:highlight w:val="none"/>
        </w:rPr>
      </w:pPr>
      <w:bookmarkStart w:id="131" w:name="_Toc21484"/>
      <w:r>
        <w:rPr>
          <w:rFonts w:hint="eastAsia" w:ascii="宋体"/>
          <w:b/>
          <w:color w:val="auto"/>
          <w:sz w:val="30"/>
          <w:szCs w:val="30"/>
          <w:highlight w:val="none"/>
        </w:rPr>
        <w:t>第六章  投标文件格式</w:t>
      </w:r>
      <w:bookmarkEnd w:id="131"/>
    </w:p>
    <w:p w14:paraId="55C31C2A">
      <w:pPr>
        <w:adjustRightInd w:val="0"/>
        <w:snapToGrid w:val="0"/>
        <w:spacing w:line="360" w:lineRule="auto"/>
        <w:jc w:val="center"/>
        <w:rPr>
          <w:rFonts w:hint="eastAsia" w:ascii="仿宋" w:hAnsi="仿宋" w:eastAsia="仿宋" w:cs="仿宋"/>
          <w:b/>
          <w:caps/>
          <w:color w:val="auto"/>
          <w:sz w:val="32"/>
          <w:szCs w:val="32"/>
          <w:highlight w:val="none"/>
        </w:rPr>
      </w:pPr>
    </w:p>
    <w:p w14:paraId="7B6F83D3">
      <w:pPr>
        <w:adjustRightInd w:val="0"/>
        <w:snapToGrid w:val="0"/>
        <w:spacing w:line="360" w:lineRule="auto"/>
        <w:jc w:val="center"/>
        <w:rPr>
          <w:rFonts w:hint="eastAsia" w:ascii="仿宋" w:hAnsi="仿宋" w:eastAsia="仿宋" w:cs="仿宋"/>
          <w:bCs/>
          <w:color w:val="auto"/>
          <w:sz w:val="32"/>
          <w:szCs w:val="32"/>
          <w:highlight w:val="none"/>
        </w:rPr>
      </w:pPr>
      <w:r>
        <w:rPr>
          <w:rFonts w:hint="eastAsia" w:ascii="仿宋" w:hAnsi="仿宋" w:eastAsia="仿宋" w:cs="仿宋"/>
          <w:b/>
          <w:caps/>
          <w:color w:val="auto"/>
          <w:sz w:val="32"/>
          <w:szCs w:val="32"/>
          <w:highlight w:val="none"/>
        </w:rPr>
        <w:t>（项目名称）</w:t>
      </w:r>
    </w:p>
    <w:p w14:paraId="407FC04F">
      <w:pPr>
        <w:adjustRightInd w:val="0"/>
        <w:snapToGrid w:val="0"/>
        <w:spacing w:line="360" w:lineRule="auto"/>
        <w:jc w:val="both"/>
        <w:rPr>
          <w:rFonts w:hint="eastAsia" w:ascii="仿宋" w:hAnsi="仿宋" w:eastAsia="仿宋" w:cs="仿宋"/>
          <w:bCs/>
          <w:color w:val="auto"/>
          <w:sz w:val="32"/>
          <w:szCs w:val="32"/>
          <w:highlight w:val="none"/>
        </w:rPr>
      </w:pPr>
    </w:p>
    <w:p w14:paraId="072C5457">
      <w:pPr>
        <w:adjustRightInd w:val="0"/>
        <w:snapToGrid w:val="0"/>
        <w:spacing w:line="360" w:lineRule="auto"/>
        <w:jc w:val="center"/>
        <w:rPr>
          <w:rFonts w:hint="eastAsia" w:ascii="仿宋" w:hAnsi="仿宋" w:eastAsia="仿宋" w:cs="仿宋"/>
          <w:bCs/>
          <w:color w:val="auto"/>
          <w:sz w:val="32"/>
          <w:szCs w:val="32"/>
          <w:highlight w:val="none"/>
        </w:rPr>
      </w:pPr>
    </w:p>
    <w:p w14:paraId="6CDF32C8">
      <w:pPr>
        <w:adjustRightInd w:val="0"/>
        <w:snapToGrid w:val="0"/>
        <w:spacing w:line="360" w:lineRule="auto"/>
        <w:jc w:val="center"/>
        <w:rPr>
          <w:rFonts w:hint="eastAsia" w:ascii="仿宋" w:hAnsi="仿宋" w:eastAsia="仿宋" w:cs="仿宋"/>
          <w:bCs/>
          <w:color w:val="auto"/>
          <w:sz w:val="32"/>
          <w:szCs w:val="32"/>
          <w:highlight w:val="none"/>
          <w:lang w:eastAsia="zh-CN"/>
        </w:rPr>
      </w:pPr>
      <w:r>
        <w:rPr>
          <w:rFonts w:hint="eastAsia" w:ascii="仿宋" w:hAnsi="仿宋" w:eastAsia="仿宋" w:cs="仿宋"/>
          <w:b/>
          <w:bCs/>
          <w:color w:val="auto"/>
          <w:sz w:val="44"/>
          <w:szCs w:val="44"/>
          <w:highlight w:val="none"/>
          <w:lang w:eastAsia="zh-CN"/>
        </w:rPr>
        <w:t>投标文件</w:t>
      </w:r>
    </w:p>
    <w:p w14:paraId="67A7A7AB">
      <w:pPr>
        <w:adjustRightInd w:val="0"/>
        <w:snapToGrid w:val="0"/>
        <w:spacing w:line="360" w:lineRule="auto"/>
        <w:jc w:val="center"/>
        <w:rPr>
          <w:rFonts w:hint="eastAsia" w:ascii="仿宋" w:hAnsi="仿宋" w:eastAsia="仿宋" w:cs="仿宋"/>
          <w:bCs/>
          <w:color w:val="auto"/>
          <w:sz w:val="32"/>
          <w:szCs w:val="32"/>
          <w:highlight w:val="none"/>
        </w:rPr>
      </w:pPr>
    </w:p>
    <w:p w14:paraId="114B1BB8">
      <w:pPr>
        <w:adjustRightInd w:val="0"/>
        <w:snapToGrid w:val="0"/>
        <w:spacing w:line="360" w:lineRule="auto"/>
        <w:jc w:val="both"/>
        <w:rPr>
          <w:rFonts w:hint="eastAsia" w:ascii="仿宋" w:hAnsi="仿宋" w:eastAsia="仿宋" w:cs="仿宋"/>
          <w:bCs/>
          <w:color w:val="auto"/>
          <w:sz w:val="32"/>
          <w:szCs w:val="32"/>
          <w:highlight w:val="none"/>
        </w:rPr>
      </w:pPr>
    </w:p>
    <w:p w14:paraId="24F79233">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0"/>
          <w:kern w:val="0"/>
          <w:sz w:val="28"/>
          <w:szCs w:val="28"/>
          <w:highlight w:val="none"/>
          <w:fitText w:val="2810" w:id="1621773761"/>
        </w:rPr>
        <w:t>供应商名称（公章）：</w:t>
      </w:r>
    </w:p>
    <w:p w14:paraId="3B35D2C7">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156CFE81">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0"/>
          <w:w w:val="77"/>
          <w:kern w:val="0"/>
          <w:sz w:val="28"/>
          <w:szCs w:val="28"/>
          <w:highlight w:val="none"/>
          <w:fitText w:val="2810" w:id="1"/>
        </w:rPr>
        <w:t>法定代表人（</w:t>
      </w:r>
      <w:r>
        <w:rPr>
          <w:rFonts w:hint="eastAsia" w:ascii="宋体" w:hAnsi="宋体" w:eastAsia="宋体" w:cs="宋体"/>
          <w:b/>
          <w:caps/>
          <w:color w:val="auto"/>
          <w:spacing w:val="0"/>
          <w:w w:val="77"/>
          <w:kern w:val="0"/>
          <w:sz w:val="28"/>
          <w:szCs w:val="28"/>
          <w:highlight w:val="none"/>
          <w:fitText w:val="2810" w:id="1"/>
          <w:lang w:eastAsia="zh-CN"/>
        </w:rPr>
        <w:t>签章</w:t>
      </w:r>
      <w:r>
        <w:rPr>
          <w:rFonts w:hint="eastAsia" w:ascii="宋体" w:hAnsi="宋体" w:eastAsia="宋体" w:cs="宋体"/>
          <w:b/>
          <w:caps/>
          <w:color w:val="auto"/>
          <w:spacing w:val="0"/>
          <w:w w:val="77"/>
          <w:kern w:val="0"/>
          <w:sz w:val="28"/>
          <w:szCs w:val="28"/>
          <w:highlight w:val="none"/>
          <w:fitText w:val="2810" w:id="1"/>
        </w:rPr>
        <w:t>或盖章）</w:t>
      </w:r>
      <w:r>
        <w:rPr>
          <w:rFonts w:hint="eastAsia" w:ascii="宋体" w:hAnsi="宋体" w:eastAsia="宋体" w:cs="宋体"/>
          <w:b/>
          <w:caps/>
          <w:color w:val="auto"/>
          <w:spacing w:val="-1"/>
          <w:w w:val="77"/>
          <w:kern w:val="0"/>
          <w:sz w:val="28"/>
          <w:szCs w:val="28"/>
          <w:highlight w:val="none"/>
          <w:fitText w:val="2810" w:id="1"/>
        </w:rPr>
        <w:t>：</w:t>
      </w:r>
    </w:p>
    <w:p w14:paraId="690B850B">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56DF2896">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113"/>
          <w:kern w:val="0"/>
          <w:sz w:val="28"/>
          <w:szCs w:val="28"/>
          <w:highlight w:val="none"/>
          <w:fitText w:val="2810" w:id="2"/>
        </w:rPr>
        <w:t>供应商地址</w:t>
      </w:r>
      <w:r>
        <w:rPr>
          <w:rFonts w:hint="eastAsia" w:ascii="宋体" w:hAnsi="宋体" w:eastAsia="宋体" w:cs="宋体"/>
          <w:b/>
          <w:caps/>
          <w:color w:val="auto"/>
          <w:spacing w:val="0"/>
          <w:kern w:val="0"/>
          <w:sz w:val="28"/>
          <w:szCs w:val="28"/>
          <w:highlight w:val="none"/>
          <w:fitText w:val="2810" w:id="2"/>
        </w:rPr>
        <w:t>：</w:t>
      </w:r>
    </w:p>
    <w:p w14:paraId="71D214FE">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2E8D3B9A">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281"/>
          <w:kern w:val="0"/>
          <w:sz w:val="28"/>
          <w:szCs w:val="28"/>
          <w:highlight w:val="none"/>
          <w:fitText w:val="2810" w:id="3"/>
        </w:rPr>
        <w:t>联系人</w:t>
      </w:r>
      <w:r>
        <w:rPr>
          <w:rFonts w:hint="eastAsia" w:ascii="宋体" w:hAnsi="宋体" w:eastAsia="宋体" w:cs="宋体"/>
          <w:b/>
          <w:caps/>
          <w:color w:val="auto"/>
          <w:spacing w:val="2"/>
          <w:kern w:val="0"/>
          <w:sz w:val="28"/>
          <w:szCs w:val="28"/>
          <w:highlight w:val="none"/>
          <w:fitText w:val="2810" w:id="3"/>
        </w:rPr>
        <w:t>：</w:t>
      </w:r>
    </w:p>
    <w:p w14:paraId="1B935E39">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47DA60F9">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176"/>
          <w:kern w:val="0"/>
          <w:sz w:val="28"/>
          <w:szCs w:val="28"/>
          <w:highlight w:val="none"/>
          <w:fitText w:val="2810" w:id="4"/>
        </w:rPr>
        <w:t>联系电话</w:t>
      </w:r>
      <w:r>
        <w:rPr>
          <w:rFonts w:hint="eastAsia" w:ascii="宋体" w:hAnsi="宋体" w:eastAsia="宋体" w:cs="宋体"/>
          <w:b/>
          <w:caps/>
          <w:color w:val="auto"/>
          <w:spacing w:val="1"/>
          <w:kern w:val="0"/>
          <w:sz w:val="28"/>
          <w:szCs w:val="28"/>
          <w:highlight w:val="none"/>
          <w:fitText w:val="2810" w:id="4"/>
        </w:rPr>
        <w:t>：</w:t>
      </w:r>
    </w:p>
    <w:p w14:paraId="3043C6E5">
      <w:pPr>
        <w:adjustRightInd w:val="0"/>
        <w:snapToGrid w:val="0"/>
        <w:spacing w:line="360" w:lineRule="auto"/>
        <w:jc w:val="center"/>
        <w:rPr>
          <w:rFonts w:hint="eastAsia" w:ascii="宋体" w:hAnsi="宋体" w:eastAsia="宋体" w:cs="宋体"/>
          <w:b/>
          <w:caps/>
          <w:color w:val="auto"/>
          <w:sz w:val="28"/>
          <w:szCs w:val="28"/>
          <w:highlight w:val="none"/>
        </w:rPr>
      </w:pPr>
    </w:p>
    <w:p w14:paraId="390CEDD5">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年</w:t>
      </w:r>
      <w:r>
        <w:rPr>
          <w:rFonts w:hint="eastAsia" w:ascii="宋体" w:hAnsi="宋体" w:eastAsia="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月</w:t>
      </w:r>
      <w:r>
        <w:rPr>
          <w:rFonts w:hint="eastAsia" w:ascii="宋体" w:hAnsi="宋体" w:eastAsia="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日</w:t>
      </w:r>
    </w:p>
    <w:p w14:paraId="44F780F8">
      <w:pPr>
        <w:shd w:val="clear" w:color="auto" w:fill="auto"/>
        <w:spacing w:line="240" w:lineRule="atLeast"/>
        <w:ind w:left="752" w:leftChars="350" w:firstLine="122" w:firstLineChars="50"/>
        <w:rPr>
          <w:rFonts w:hint="eastAsia" w:ascii="仿宋" w:hAnsi="仿宋" w:eastAsia="仿宋" w:cs="仿宋"/>
          <w:color w:val="auto"/>
          <w:sz w:val="24"/>
          <w:highlight w:val="none"/>
        </w:rPr>
      </w:pPr>
    </w:p>
    <w:p w14:paraId="2F86462B">
      <w:pPr>
        <w:pStyle w:val="4"/>
        <w:rPr>
          <w:rFonts w:hint="eastAsia" w:ascii="仿宋" w:hAnsi="仿宋" w:eastAsia="仿宋" w:cs="仿宋"/>
          <w:color w:val="auto"/>
          <w:sz w:val="24"/>
          <w:highlight w:val="none"/>
        </w:rPr>
      </w:pPr>
    </w:p>
    <w:p w14:paraId="4E39640F">
      <w:pPr>
        <w:rPr>
          <w:rFonts w:hint="eastAsia" w:ascii="仿宋" w:hAnsi="仿宋" w:eastAsia="仿宋" w:cs="仿宋"/>
          <w:color w:val="auto"/>
          <w:sz w:val="24"/>
          <w:highlight w:val="none"/>
        </w:rPr>
      </w:pPr>
    </w:p>
    <w:p w14:paraId="7BFF44D2">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bookmarkStart w:id="132" w:name="_Toc18694"/>
      <w:bookmarkStart w:id="133" w:name="_Toc18974"/>
      <w:bookmarkStart w:id="134" w:name="_Toc8919"/>
      <w:bookmarkStart w:id="135" w:name="_Toc515647803"/>
    </w:p>
    <w:p w14:paraId="744EA8F9">
      <w:pPr>
        <w:rPr>
          <w:rFonts w:hint="eastAsia"/>
          <w:color w:val="auto"/>
          <w:highlight w:val="none"/>
        </w:rPr>
      </w:pPr>
    </w:p>
    <w:p w14:paraId="440AD68B">
      <w:pPr>
        <w:pStyle w:val="3"/>
        <w:numPr>
          <w:ilvl w:val="0"/>
          <w:numId w:val="0"/>
        </w:numPr>
        <w:shd w:val="clear" w:color="auto" w:fill="auto"/>
        <w:spacing w:before="0" w:line="240" w:lineRule="atLeast"/>
        <w:rPr>
          <w:rFonts w:hint="eastAsia" w:ascii="宋体" w:hAnsi="宋体" w:eastAsia="宋体" w:cs="宋体"/>
          <w:color w:val="auto"/>
          <w:sz w:val="24"/>
          <w:highlight w:val="none"/>
        </w:rPr>
      </w:pPr>
      <w:bookmarkStart w:id="136" w:name="_Toc24414"/>
      <w:r>
        <w:rPr>
          <w:rFonts w:hint="eastAsia" w:ascii="宋体" w:hAnsi="宋体" w:eastAsia="宋体" w:cs="宋体"/>
          <w:b/>
          <w:bCs/>
          <w:color w:val="auto"/>
          <w:sz w:val="24"/>
          <w:highlight w:val="none"/>
        </w:rPr>
        <w:t>第一部分 资格证明文件</w:t>
      </w:r>
      <w:bookmarkEnd w:id="132"/>
      <w:bookmarkEnd w:id="133"/>
      <w:bookmarkEnd w:id="134"/>
      <w:bookmarkEnd w:id="135"/>
      <w:bookmarkEnd w:id="136"/>
    </w:p>
    <w:p w14:paraId="29E82068">
      <w:pPr>
        <w:shd w:val="clear" w:color="auto" w:fill="auto"/>
        <w:spacing w:line="240" w:lineRule="atLeast"/>
        <w:ind w:left="708" w:hanging="722" w:hangingChars="295"/>
        <w:jc w:val="left"/>
        <w:rPr>
          <w:rFonts w:hint="eastAsia" w:ascii="宋体" w:hAnsi="宋体" w:cs="宋体"/>
          <w:color w:val="auto"/>
          <w:sz w:val="24"/>
          <w:highlight w:val="none"/>
          <w:lang w:val="en-US" w:eastAsia="zh-CN"/>
        </w:rPr>
      </w:pPr>
    </w:p>
    <w:p w14:paraId="2D71CEDE">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1、法人或者非法人组织的营业执照等证明文件复印件（须加盖本单位章）或自然人的身份证明复印件;</w:t>
      </w:r>
    </w:p>
    <w:p w14:paraId="5DA2E17F">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2、法定代表人资格证明书</w:t>
      </w:r>
      <w:r>
        <w:rPr>
          <w:rFonts w:hint="eastAsia" w:ascii="宋体" w:hAnsi="宋体" w:cs="Times New Roman"/>
          <w:color w:val="auto"/>
          <w:szCs w:val="21"/>
          <w:highlight w:val="none"/>
          <w:lang w:val="en-US" w:eastAsia="zh-CN"/>
        </w:rPr>
        <w:t>；</w:t>
      </w:r>
    </w:p>
    <w:p w14:paraId="64B8AE99">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3、法定代表人授权书</w:t>
      </w:r>
      <w:r>
        <w:rPr>
          <w:rFonts w:hint="eastAsia" w:ascii="宋体" w:hAnsi="宋体" w:cs="Times New Roman"/>
          <w:color w:val="auto"/>
          <w:szCs w:val="21"/>
          <w:highlight w:val="none"/>
          <w:lang w:val="en-US" w:eastAsia="zh-CN"/>
        </w:rPr>
        <w:t>；</w:t>
      </w:r>
    </w:p>
    <w:p w14:paraId="368AB011">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w:t>
      </w:r>
      <w:r>
        <w:rPr>
          <w:rFonts w:hint="eastAsia" w:ascii="宋体" w:hAnsi="宋体" w:cs="Times New Roman"/>
          <w:color w:val="auto"/>
          <w:szCs w:val="21"/>
          <w:highlight w:val="none"/>
          <w:lang w:val="en-US" w:eastAsia="zh-CN"/>
        </w:rPr>
        <w:t>投</w:t>
      </w:r>
      <w:r>
        <w:rPr>
          <w:rFonts w:hint="eastAsia" w:ascii="宋体" w:hAnsi="宋体" w:eastAsia="宋体" w:cs="Times New Roman"/>
          <w:color w:val="auto"/>
          <w:szCs w:val="21"/>
          <w:highlight w:val="none"/>
          <w:lang w:val="en-US" w:eastAsia="zh-CN"/>
        </w:rPr>
        <w:t>标保证金汇款凭证或保函等票据；</w:t>
      </w:r>
    </w:p>
    <w:p w14:paraId="25906562">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w:t>
      </w:r>
      <w:r>
        <w:rPr>
          <w:rFonts w:hint="eastAsia" w:ascii="宋体" w:hAnsi="宋体" w:cs="Times New Roman"/>
          <w:color w:val="auto"/>
          <w:szCs w:val="21"/>
          <w:highlight w:val="none"/>
          <w:lang w:val="en-US" w:eastAsia="zh-CN"/>
        </w:rPr>
        <w:t>投标企业须提供投标人（被授权在职人员）近六个月内任意一个月社保证明；</w:t>
      </w:r>
    </w:p>
    <w:p w14:paraId="2A2CA012">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6、参加政府采购活动前3年内在经营活动中没有重大违法记录的书面声明;</w:t>
      </w:r>
    </w:p>
    <w:p w14:paraId="39D0BD8C">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7、</w:t>
      </w:r>
      <w:r>
        <w:rPr>
          <w:rFonts w:hint="eastAsia" w:ascii="宋体" w:hAnsi="宋体" w:cs="Times New Roman"/>
          <w:color w:val="auto"/>
          <w:szCs w:val="21"/>
          <w:highlight w:val="none"/>
          <w:lang w:val="en-US" w:eastAsia="zh-CN"/>
        </w:rPr>
        <w:t>参加政府采购活动前三年内，在经营活动中没有重大违法记录；未被“信用中国”（www.creditchina.gov.cn）及中国政府采购网 (www.ccgp.gov.cn）列入失信被执行人名单、重大税收违法失信主体、政府采购严重违法失信行为记录名单；</w:t>
      </w:r>
    </w:p>
    <w:p w14:paraId="080C47D9">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投标人须知资料表要求的其他资格证明文件</w:t>
      </w:r>
      <w:r>
        <w:rPr>
          <w:rFonts w:hint="eastAsia" w:ascii="宋体" w:hAnsi="宋体" w:cs="Times New Roman"/>
          <w:color w:val="auto"/>
          <w:szCs w:val="21"/>
          <w:highlight w:val="none"/>
          <w:lang w:val="en-US" w:eastAsia="zh-CN"/>
        </w:rPr>
        <w:t>。</w:t>
      </w:r>
    </w:p>
    <w:p w14:paraId="49111DF3">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2C224482">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6BBCAE69">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35F9DF50">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A1F7EF5">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7E2102F0">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64BF9CA8">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5C95D8F0">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105B7BD">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42D49356">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3876C92">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6EC124C5">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70EDBD6">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08F48032">
      <w:pPr>
        <w:pStyle w:val="4"/>
        <w:rPr>
          <w:rFonts w:hint="eastAsia" w:ascii="宋体" w:hAnsi="宋体" w:eastAsia="宋体" w:cs="宋体"/>
          <w:color w:val="auto"/>
          <w:sz w:val="24"/>
          <w:highlight w:val="none"/>
        </w:rPr>
      </w:pPr>
    </w:p>
    <w:p w14:paraId="0E2E6F6B">
      <w:pPr>
        <w:rPr>
          <w:rFonts w:hint="eastAsia"/>
          <w:color w:val="auto"/>
          <w:highlight w:val="none"/>
        </w:rPr>
      </w:pPr>
    </w:p>
    <w:p w14:paraId="6E772B15">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54A62926">
      <w:pPr>
        <w:pStyle w:val="6"/>
        <w:rPr>
          <w:rFonts w:hint="eastAsia"/>
          <w:color w:val="auto"/>
          <w:highlight w:val="none"/>
        </w:rPr>
      </w:pPr>
    </w:p>
    <w:p w14:paraId="66F3BE36">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jc w:val="center"/>
        <w:rPr>
          <w:rFonts w:hint="eastAsia" w:ascii="宋体" w:hAnsi="宋体" w:eastAsia="宋体" w:cs="宋体"/>
          <w:b/>
          <w:bCs/>
          <w:color w:val="auto"/>
          <w:sz w:val="24"/>
          <w:highlight w:val="none"/>
          <w:lang w:val="en-US" w:eastAsia="zh-CN"/>
        </w:rPr>
      </w:pPr>
      <w:bookmarkStart w:id="137" w:name="_Toc515647805"/>
      <w:bookmarkStart w:id="138" w:name="_Toc4844"/>
      <w:bookmarkStart w:id="139" w:name="_Toc29899"/>
      <w:bookmarkStart w:id="140" w:name="_Toc17577"/>
      <w:bookmarkStart w:id="141" w:name="_Toc216582813"/>
      <w:bookmarkStart w:id="142" w:name="_Ref467988698"/>
      <w:bookmarkStart w:id="143" w:name="_Toc480942349"/>
      <w:bookmarkStart w:id="144" w:name="_Toc520356217"/>
    </w:p>
    <w:p w14:paraId="1A76488E">
      <w:pPr>
        <w:rPr>
          <w:rFonts w:hint="eastAsia"/>
          <w:highlight w:val="none"/>
          <w:lang w:val="en-US" w:eastAsia="zh-CN"/>
        </w:rPr>
      </w:pPr>
    </w:p>
    <w:p w14:paraId="4674A6CB">
      <w:pPr>
        <w:rPr>
          <w:rFonts w:hint="eastAsia"/>
          <w:color w:val="auto"/>
          <w:highlight w:val="none"/>
          <w:lang w:val="en-US" w:eastAsia="zh-CN"/>
        </w:rPr>
      </w:pPr>
    </w:p>
    <w:p w14:paraId="7070E69F">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jc w:val="both"/>
        <w:rPr>
          <w:rFonts w:hint="eastAsia" w:ascii="宋体" w:hAnsi="宋体" w:eastAsia="宋体" w:cs="宋体"/>
          <w:b/>
          <w:bCs/>
          <w:color w:val="auto"/>
          <w:sz w:val="24"/>
          <w:highlight w:val="none"/>
          <w:lang w:val="en-US" w:eastAsia="zh-CN"/>
        </w:rPr>
      </w:pPr>
      <w:bookmarkStart w:id="145" w:name="_Toc19786"/>
    </w:p>
    <w:p w14:paraId="3979F68C">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jc w:val="both"/>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1、</w:t>
      </w:r>
      <w:r>
        <w:rPr>
          <w:rFonts w:hint="eastAsia" w:ascii="宋体" w:hAnsi="宋体" w:eastAsia="宋体" w:cs="宋体"/>
          <w:b/>
          <w:bCs/>
          <w:color w:val="auto"/>
          <w:sz w:val="24"/>
          <w:highlight w:val="none"/>
        </w:rPr>
        <w:t xml:space="preserve"> 法人或者非法人组织的营业执照等证明文件</w:t>
      </w:r>
      <w:bookmarkEnd w:id="137"/>
      <w:bookmarkStart w:id="146" w:name="_Toc515647806"/>
      <w:r>
        <w:rPr>
          <w:rFonts w:hint="eastAsia" w:ascii="宋体" w:hAnsi="宋体" w:eastAsia="宋体" w:cs="宋体"/>
          <w:b/>
          <w:bCs/>
          <w:color w:val="auto"/>
          <w:sz w:val="24"/>
          <w:highlight w:val="none"/>
        </w:rPr>
        <w:t>或自然人的身份证明</w:t>
      </w:r>
      <w:bookmarkEnd w:id="138"/>
      <w:bookmarkEnd w:id="139"/>
      <w:bookmarkEnd w:id="140"/>
      <w:bookmarkEnd w:id="145"/>
      <w:bookmarkEnd w:id="146"/>
    </w:p>
    <w:p w14:paraId="505F55CF">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jc w:val="both"/>
        <w:rPr>
          <w:rFonts w:hint="eastAsia" w:ascii="宋体" w:hAnsi="宋体" w:eastAsia="宋体" w:cs="宋体"/>
          <w:b/>
          <w:color w:val="auto"/>
          <w:sz w:val="24"/>
          <w:highlight w:val="none"/>
        </w:rPr>
      </w:pPr>
    </w:p>
    <w:p w14:paraId="2D0C1E44">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b/>
          <w:color w:val="auto"/>
          <w:sz w:val="24"/>
          <w:highlight w:val="none"/>
        </w:rPr>
      </w:pPr>
    </w:p>
    <w:p w14:paraId="5B082460">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b/>
          <w:color w:val="auto"/>
          <w:sz w:val="24"/>
          <w:highlight w:val="none"/>
        </w:rPr>
      </w:pPr>
    </w:p>
    <w:p w14:paraId="59F1A279">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说明：1.提供有效的营业执照等证明文件复印件，复印件上应加盖本单位章。</w:t>
      </w:r>
    </w:p>
    <w:p w14:paraId="0BB9880C">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 投标人为自然人的，应提供身份证明的复印件。</w:t>
      </w:r>
    </w:p>
    <w:p w14:paraId="4B8A13FF">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2DD569E">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4"/>
          <w:highlight w:val="none"/>
        </w:rPr>
      </w:pPr>
    </w:p>
    <w:p w14:paraId="45CD4EF7">
      <w:pPr>
        <w:pStyle w:val="13"/>
        <w:pageBreakBefore w:val="0"/>
        <w:widowControl w:val="0"/>
        <w:shd w:val="clear" w:color="auto" w:fill="auto"/>
        <w:tabs>
          <w:tab w:val="left" w:pos="5580"/>
        </w:tabs>
        <w:kinsoku/>
        <w:wordWrap/>
        <w:overflowPunct/>
        <w:topLinePunct w:val="0"/>
        <w:autoSpaceDE/>
        <w:autoSpaceDN/>
        <w:bidi w:val="0"/>
        <w:snapToGrid/>
        <w:spacing w:line="400" w:lineRule="exact"/>
        <w:rPr>
          <w:rFonts w:hint="eastAsia" w:ascii="宋体" w:hAnsi="宋体" w:eastAsia="宋体" w:cs="宋体"/>
          <w:color w:val="auto"/>
          <w:sz w:val="24"/>
          <w:highlight w:val="none"/>
        </w:rPr>
      </w:pPr>
    </w:p>
    <w:p w14:paraId="70575501">
      <w:pPr>
        <w:pStyle w:val="13"/>
        <w:pageBreakBefore w:val="0"/>
        <w:widowControl w:val="0"/>
        <w:shd w:val="clear" w:color="auto" w:fill="auto"/>
        <w:tabs>
          <w:tab w:val="left" w:pos="5580"/>
        </w:tabs>
        <w:kinsoku/>
        <w:wordWrap/>
        <w:overflowPunct/>
        <w:topLinePunct w:val="0"/>
        <w:autoSpaceDE/>
        <w:autoSpaceDN/>
        <w:bidi w:val="0"/>
        <w:snapToGrid/>
        <w:spacing w:line="400" w:lineRule="exact"/>
        <w:rPr>
          <w:rFonts w:hint="eastAsia" w:ascii="宋体" w:hAnsi="宋体" w:eastAsia="宋体" w:cs="宋体"/>
          <w:color w:val="auto"/>
          <w:sz w:val="24"/>
          <w:highlight w:val="none"/>
        </w:rPr>
      </w:pPr>
    </w:p>
    <w:p w14:paraId="4F311853">
      <w:pPr>
        <w:pStyle w:val="13"/>
        <w:shd w:val="clear" w:color="auto" w:fill="auto"/>
        <w:tabs>
          <w:tab w:val="left" w:pos="5580"/>
        </w:tabs>
        <w:spacing w:line="240" w:lineRule="atLeast"/>
        <w:rPr>
          <w:rFonts w:hint="eastAsia" w:ascii="宋体" w:hAnsi="宋体" w:eastAsia="宋体" w:cs="宋体"/>
          <w:color w:val="auto"/>
          <w:sz w:val="24"/>
          <w:highlight w:val="none"/>
        </w:rPr>
      </w:pPr>
    </w:p>
    <w:p w14:paraId="12D5CDF2">
      <w:pPr>
        <w:pStyle w:val="13"/>
        <w:shd w:val="clear" w:color="auto" w:fill="auto"/>
        <w:tabs>
          <w:tab w:val="left" w:pos="5580"/>
        </w:tabs>
        <w:spacing w:line="240" w:lineRule="atLeast"/>
        <w:rPr>
          <w:rFonts w:hint="eastAsia" w:ascii="宋体" w:hAnsi="宋体" w:eastAsia="宋体" w:cs="宋体"/>
          <w:color w:val="auto"/>
          <w:sz w:val="24"/>
          <w:highlight w:val="none"/>
        </w:rPr>
      </w:pPr>
    </w:p>
    <w:p w14:paraId="552F3FB8">
      <w:pPr>
        <w:pStyle w:val="13"/>
        <w:shd w:val="clear" w:color="auto" w:fill="auto"/>
        <w:tabs>
          <w:tab w:val="left" w:pos="5580"/>
        </w:tabs>
        <w:spacing w:line="240" w:lineRule="atLeast"/>
        <w:rPr>
          <w:rFonts w:hint="eastAsia" w:ascii="宋体" w:hAnsi="宋体" w:eastAsia="宋体" w:cs="宋体"/>
          <w:color w:val="auto"/>
          <w:sz w:val="24"/>
          <w:highlight w:val="none"/>
        </w:rPr>
      </w:pPr>
    </w:p>
    <w:p w14:paraId="7F4FA293">
      <w:pPr>
        <w:pStyle w:val="13"/>
        <w:shd w:val="clear" w:color="auto" w:fill="auto"/>
        <w:tabs>
          <w:tab w:val="left" w:pos="5580"/>
        </w:tabs>
        <w:spacing w:line="240" w:lineRule="atLeast"/>
        <w:rPr>
          <w:rFonts w:hint="eastAsia" w:ascii="宋体" w:hAnsi="宋体" w:eastAsia="宋体" w:cs="宋体"/>
          <w:color w:val="auto"/>
          <w:sz w:val="24"/>
          <w:highlight w:val="none"/>
        </w:rPr>
      </w:pPr>
    </w:p>
    <w:p w14:paraId="0F57C146">
      <w:pPr>
        <w:pStyle w:val="13"/>
        <w:shd w:val="clear" w:color="auto" w:fill="auto"/>
        <w:tabs>
          <w:tab w:val="left" w:pos="5580"/>
        </w:tabs>
        <w:spacing w:line="240" w:lineRule="atLeast"/>
        <w:rPr>
          <w:rFonts w:hint="eastAsia" w:ascii="宋体" w:hAnsi="宋体" w:eastAsia="宋体" w:cs="宋体"/>
          <w:color w:val="auto"/>
          <w:sz w:val="24"/>
          <w:highlight w:val="none"/>
        </w:rPr>
      </w:pPr>
    </w:p>
    <w:p w14:paraId="0D6AAE85">
      <w:pPr>
        <w:pStyle w:val="13"/>
        <w:shd w:val="clear" w:color="auto" w:fill="auto"/>
        <w:tabs>
          <w:tab w:val="left" w:pos="5580"/>
        </w:tabs>
        <w:spacing w:line="240" w:lineRule="atLeast"/>
        <w:rPr>
          <w:rFonts w:hint="eastAsia" w:ascii="宋体" w:hAnsi="宋体" w:eastAsia="宋体" w:cs="宋体"/>
          <w:color w:val="auto"/>
          <w:sz w:val="24"/>
          <w:highlight w:val="none"/>
        </w:rPr>
      </w:pPr>
    </w:p>
    <w:p w14:paraId="57898E4B">
      <w:pPr>
        <w:pStyle w:val="13"/>
        <w:shd w:val="clear" w:color="auto" w:fill="auto"/>
        <w:tabs>
          <w:tab w:val="left" w:pos="5580"/>
        </w:tabs>
        <w:spacing w:line="240" w:lineRule="atLeast"/>
        <w:ind w:left="1092" w:leftChars="257" w:hanging="540"/>
        <w:jc w:val="center"/>
        <w:rPr>
          <w:rFonts w:hint="eastAsia" w:ascii="宋体" w:hAnsi="宋体" w:eastAsia="宋体" w:cs="宋体"/>
          <w:color w:val="auto"/>
          <w:sz w:val="24"/>
          <w:highlight w:val="none"/>
        </w:rPr>
      </w:pPr>
      <w:bookmarkStart w:id="147" w:name="_Toc32520"/>
      <w:bookmarkStart w:id="148" w:name="_Toc7039"/>
      <w:bookmarkStart w:id="149" w:name="_Toc515647808"/>
    </w:p>
    <w:p w14:paraId="15401080">
      <w:pPr>
        <w:pStyle w:val="3"/>
        <w:numPr>
          <w:ilvl w:val="0"/>
          <w:numId w:val="0"/>
        </w:numPr>
        <w:shd w:val="clear" w:color="auto" w:fill="auto"/>
        <w:spacing w:before="0" w:line="240" w:lineRule="atLeast"/>
        <w:ind w:leftChars="257"/>
        <w:rPr>
          <w:rFonts w:hint="eastAsia" w:ascii="宋体" w:hAnsi="宋体" w:eastAsia="宋体" w:cs="宋体"/>
          <w:color w:val="auto"/>
          <w:sz w:val="24"/>
          <w:highlight w:val="none"/>
        </w:rPr>
      </w:pPr>
      <w:bookmarkStart w:id="150" w:name="_Toc1083"/>
      <w:bookmarkStart w:id="151" w:name="_Toc22472"/>
      <w:bookmarkStart w:id="152" w:name="_Toc515647807"/>
      <w:bookmarkStart w:id="153" w:name="_Toc23503"/>
    </w:p>
    <w:p w14:paraId="47BE8674">
      <w:pPr>
        <w:shd w:val="clear" w:color="auto" w:fill="auto"/>
        <w:rPr>
          <w:rFonts w:hint="eastAsia" w:ascii="宋体" w:hAnsi="宋体" w:eastAsia="宋体" w:cs="宋体"/>
          <w:color w:val="auto"/>
          <w:sz w:val="24"/>
          <w:highlight w:val="none"/>
        </w:rPr>
      </w:pPr>
    </w:p>
    <w:p w14:paraId="1393D96E">
      <w:pPr>
        <w:pStyle w:val="53"/>
        <w:shd w:val="clear" w:color="auto" w:fill="auto"/>
        <w:rPr>
          <w:rFonts w:hint="eastAsia" w:ascii="宋体" w:hAnsi="宋体" w:eastAsia="宋体" w:cs="宋体"/>
          <w:color w:val="auto"/>
          <w:sz w:val="24"/>
          <w:highlight w:val="none"/>
        </w:rPr>
      </w:pPr>
    </w:p>
    <w:p w14:paraId="5E967950">
      <w:pPr>
        <w:pStyle w:val="53"/>
        <w:shd w:val="clear" w:color="auto" w:fill="auto"/>
        <w:rPr>
          <w:rFonts w:hint="eastAsia" w:ascii="宋体" w:hAnsi="宋体" w:eastAsia="宋体" w:cs="宋体"/>
          <w:color w:val="auto"/>
          <w:sz w:val="24"/>
          <w:highlight w:val="none"/>
        </w:rPr>
      </w:pPr>
    </w:p>
    <w:p w14:paraId="32BD812B">
      <w:pPr>
        <w:pStyle w:val="53"/>
        <w:shd w:val="clear" w:color="auto" w:fill="auto"/>
        <w:rPr>
          <w:rFonts w:hint="eastAsia" w:ascii="宋体" w:hAnsi="宋体" w:eastAsia="宋体" w:cs="宋体"/>
          <w:color w:val="auto"/>
          <w:sz w:val="24"/>
          <w:highlight w:val="none"/>
        </w:rPr>
      </w:pPr>
    </w:p>
    <w:p w14:paraId="1253AA2E">
      <w:pPr>
        <w:pStyle w:val="53"/>
        <w:shd w:val="clear" w:color="auto" w:fill="auto"/>
        <w:rPr>
          <w:rFonts w:hint="eastAsia" w:ascii="宋体" w:hAnsi="宋体" w:eastAsia="宋体" w:cs="宋体"/>
          <w:color w:val="auto"/>
          <w:sz w:val="24"/>
          <w:highlight w:val="none"/>
        </w:rPr>
      </w:pPr>
    </w:p>
    <w:p w14:paraId="789D1F38">
      <w:pPr>
        <w:pStyle w:val="53"/>
        <w:shd w:val="clear" w:color="auto" w:fill="auto"/>
        <w:rPr>
          <w:rFonts w:hint="eastAsia" w:ascii="宋体" w:hAnsi="宋体" w:eastAsia="宋体" w:cs="宋体"/>
          <w:color w:val="auto"/>
          <w:sz w:val="24"/>
          <w:highlight w:val="none"/>
        </w:rPr>
      </w:pPr>
    </w:p>
    <w:p w14:paraId="0D01EDF4">
      <w:pPr>
        <w:pStyle w:val="53"/>
        <w:shd w:val="clear" w:color="auto" w:fill="auto"/>
        <w:rPr>
          <w:rFonts w:hint="eastAsia" w:ascii="宋体" w:hAnsi="宋体" w:eastAsia="宋体" w:cs="宋体"/>
          <w:color w:val="auto"/>
          <w:sz w:val="24"/>
          <w:highlight w:val="none"/>
        </w:rPr>
      </w:pPr>
    </w:p>
    <w:p w14:paraId="3E4FAD2E">
      <w:pPr>
        <w:pStyle w:val="53"/>
        <w:shd w:val="clear" w:color="auto" w:fill="auto"/>
        <w:rPr>
          <w:rFonts w:hint="eastAsia" w:ascii="宋体" w:hAnsi="宋体" w:eastAsia="宋体" w:cs="宋体"/>
          <w:color w:val="auto"/>
          <w:sz w:val="24"/>
          <w:highlight w:val="none"/>
        </w:rPr>
      </w:pPr>
    </w:p>
    <w:p w14:paraId="4C2B37E5">
      <w:pPr>
        <w:pStyle w:val="53"/>
        <w:shd w:val="clear" w:color="auto" w:fill="auto"/>
        <w:rPr>
          <w:rFonts w:hint="eastAsia" w:ascii="宋体" w:hAnsi="宋体" w:eastAsia="宋体" w:cs="宋体"/>
          <w:color w:val="auto"/>
          <w:sz w:val="24"/>
          <w:highlight w:val="none"/>
        </w:rPr>
      </w:pPr>
    </w:p>
    <w:p w14:paraId="79DE361F">
      <w:pPr>
        <w:pStyle w:val="53"/>
        <w:shd w:val="clear" w:color="auto" w:fill="auto"/>
        <w:rPr>
          <w:rFonts w:hint="eastAsia" w:ascii="宋体" w:hAnsi="宋体" w:eastAsia="宋体" w:cs="宋体"/>
          <w:color w:val="auto"/>
          <w:sz w:val="24"/>
          <w:highlight w:val="none"/>
        </w:rPr>
      </w:pPr>
    </w:p>
    <w:p w14:paraId="37C49BC1">
      <w:pPr>
        <w:pStyle w:val="53"/>
        <w:shd w:val="clear" w:color="auto" w:fill="auto"/>
        <w:rPr>
          <w:rFonts w:hint="eastAsia" w:ascii="宋体" w:hAnsi="宋体" w:eastAsia="宋体" w:cs="宋体"/>
          <w:color w:val="auto"/>
          <w:sz w:val="24"/>
          <w:highlight w:val="none"/>
        </w:rPr>
      </w:pPr>
    </w:p>
    <w:p w14:paraId="3B99B891">
      <w:pPr>
        <w:pStyle w:val="53"/>
        <w:shd w:val="clear" w:color="auto" w:fill="auto"/>
        <w:rPr>
          <w:rFonts w:hint="eastAsia" w:ascii="宋体" w:hAnsi="宋体" w:eastAsia="宋体" w:cs="宋体"/>
          <w:color w:val="auto"/>
          <w:sz w:val="24"/>
          <w:highlight w:val="none"/>
        </w:rPr>
      </w:pPr>
    </w:p>
    <w:p w14:paraId="44E904CB">
      <w:pPr>
        <w:pStyle w:val="53"/>
        <w:shd w:val="clear" w:color="auto" w:fill="auto"/>
        <w:rPr>
          <w:rFonts w:hint="eastAsia" w:ascii="宋体" w:hAnsi="宋体" w:eastAsia="宋体" w:cs="宋体"/>
          <w:color w:val="auto"/>
          <w:sz w:val="24"/>
          <w:highlight w:val="none"/>
        </w:rPr>
      </w:pPr>
    </w:p>
    <w:p w14:paraId="35B42450">
      <w:pPr>
        <w:pStyle w:val="53"/>
        <w:shd w:val="clear" w:color="auto" w:fill="auto"/>
        <w:rPr>
          <w:rFonts w:hint="eastAsia" w:ascii="宋体" w:hAnsi="宋体" w:eastAsia="宋体" w:cs="宋体"/>
          <w:color w:val="auto"/>
          <w:sz w:val="24"/>
          <w:highlight w:val="none"/>
        </w:rPr>
      </w:pPr>
    </w:p>
    <w:p w14:paraId="531EA195">
      <w:pPr>
        <w:pStyle w:val="53"/>
        <w:shd w:val="clear" w:color="auto" w:fill="auto"/>
        <w:rPr>
          <w:rFonts w:hint="eastAsia" w:ascii="宋体" w:hAnsi="宋体" w:eastAsia="宋体" w:cs="宋体"/>
          <w:color w:val="auto"/>
          <w:sz w:val="24"/>
          <w:highlight w:val="none"/>
        </w:rPr>
      </w:pPr>
    </w:p>
    <w:p w14:paraId="72A0D500">
      <w:pPr>
        <w:pStyle w:val="53"/>
        <w:shd w:val="clear" w:color="auto" w:fill="auto"/>
        <w:rPr>
          <w:rFonts w:hint="eastAsia" w:ascii="宋体" w:hAnsi="宋体" w:eastAsia="宋体" w:cs="宋体"/>
          <w:color w:val="auto"/>
          <w:sz w:val="24"/>
          <w:highlight w:val="none"/>
        </w:rPr>
      </w:pPr>
    </w:p>
    <w:p w14:paraId="22A0353D">
      <w:pPr>
        <w:pStyle w:val="53"/>
        <w:shd w:val="clear" w:color="auto" w:fill="auto"/>
        <w:rPr>
          <w:rFonts w:hint="eastAsia" w:ascii="宋体" w:hAnsi="宋体" w:eastAsia="宋体" w:cs="宋体"/>
          <w:color w:val="auto"/>
          <w:sz w:val="24"/>
          <w:highlight w:val="none"/>
        </w:rPr>
      </w:pPr>
    </w:p>
    <w:p w14:paraId="71835167">
      <w:pPr>
        <w:pStyle w:val="53"/>
        <w:shd w:val="clear" w:color="auto" w:fill="auto"/>
        <w:rPr>
          <w:rFonts w:hint="eastAsia" w:ascii="宋体" w:hAnsi="宋体" w:eastAsia="宋体" w:cs="宋体"/>
          <w:color w:val="auto"/>
          <w:sz w:val="24"/>
          <w:highlight w:val="none"/>
        </w:rPr>
      </w:pPr>
    </w:p>
    <w:p w14:paraId="3C571310">
      <w:pPr>
        <w:pStyle w:val="3"/>
        <w:numPr>
          <w:ilvl w:val="0"/>
          <w:numId w:val="0"/>
        </w:numPr>
        <w:shd w:val="clear" w:color="auto" w:fill="auto"/>
        <w:spacing w:before="0" w:line="240" w:lineRule="atLeast"/>
        <w:jc w:val="center"/>
        <w:rPr>
          <w:rFonts w:hint="eastAsia" w:ascii="宋体" w:hAnsi="宋体" w:eastAsia="宋体" w:cs="宋体"/>
          <w:b w:val="0"/>
          <w:color w:val="auto"/>
          <w:sz w:val="24"/>
          <w:highlight w:val="none"/>
          <w:u w:val="single"/>
        </w:rPr>
      </w:pPr>
      <w:bookmarkStart w:id="154" w:name="_Toc17900"/>
      <w:bookmarkStart w:id="155" w:name="_Toc30244"/>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 xml:space="preserve"> </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法定代表人资格证明书</w:t>
      </w:r>
      <w:bookmarkEnd w:id="154"/>
    </w:p>
    <w:p w14:paraId="7A28D21C">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投标单位名称：</w:t>
      </w:r>
      <w:r>
        <w:rPr>
          <w:rFonts w:hint="eastAsia" w:ascii="宋体" w:hAnsi="宋体" w:eastAsia="宋体" w:cs="宋体"/>
          <w:color w:val="auto"/>
          <w:kern w:val="0"/>
          <w:sz w:val="24"/>
          <w:highlight w:val="none"/>
          <w:u w:val="single"/>
        </w:rPr>
        <w:t xml:space="preserve">                       </w:t>
      </w:r>
    </w:p>
    <w:p w14:paraId="534CDF6F">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单位性质：</w:t>
      </w:r>
      <w:r>
        <w:rPr>
          <w:rFonts w:hint="eastAsia" w:ascii="宋体" w:hAnsi="宋体" w:eastAsia="宋体" w:cs="宋体"/>
          <w:color w:val="auto"/>
          <w:kern w:val="0"/>
          <w:sz w:val="24"/>
          <w:highlight w:val="none"/>
          <w:u w:val="single"/>
        </w:rPr>
        <w:t xml:space="preserve">                           </w:t>
      </w:r>
    </w:p>
    <w:p w14:paraId="6EA567C7">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 w:val="24"/>
          <w:highlight w:val="none"/>
          <w:u w:val="single"/>
        </w:rPr>
        <w:t xml:space="preserve">                               </w:t>
      </w:r>
    </w:p>
    <w:p w14:paraId="07BB5EB9">
      <w:pPr>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日</w:t>
      </w:r>
    </w:p>
    <w:p w14:paraId="2254B797">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经营期限：</w:t>
      </w:r>
      <w:r>
        <w:rPr>
          <w:rFonts w:hint="eastAsia" w:ascii="宋体" w:hAnsi="宋体" w:eastAsia="宋体" w:cs="宋体"/>
          <w:color w:val="auto"/>
          <w:kern w:val="0"/>
          <w:sz w:val="24"/>
          <w:highlight w:val="none"/>
          <w:u w:val="single"/>
        </w:rPr>
        <w:t xml:space="preserve">             </w:t>
      </w:r>
    </w:p>
    <w:p w14:paraId="62E5C6DB">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姓名：</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性别：</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年龄：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职务：</w:t>
      </w:r>
      <w:r>
        <w:rPr>
          <w:rFonts w:hint="eastAsia" w:ascii="宋体" w:hAnsi="宋体" w:eastAsia="宋体" w:cs="宋体"/>
          <w:color w:val="auto"/>
          <w:kern w:val="0"/>
          <w:sz w:val="24"/>
          <w:highlight w:val="none"/>
          <w:u w:val="single"/>
        </w:rPr>
        <w:t xml:space="preserve">           </w:t>
      </w:r>
    </w:p>
    <w:p w14:paraId="5D692F34">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身份证号码：</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rPr>
        <w:t xml:space="preserve">     </w:t>
      </w:r>
    </w:p>
    <w:p w14:paraId="1DB803B9">
      <w:pPr>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系</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（投标单位名称）的法定代表人。</w:t>
      </w:r>
    </w:p>
    <w:p w14:paraId="5631F8CF">
      <w:pPr>
        <w:spacing w:line="420" w:lineRule="exact"/>
        <w:ind w:firstLine="980" w:firstLineChars="4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特此证明。</w:t>
      </w:r>
    </w:p>
    <w:p w14:paraId="5A4F7930">
      <w:pPr>
        <w:pStyle w:val="10"/>
        <w:numPr>
          <w:ilvl w:val="0"/>
          <w:numId w:val="0"/>
        </w:numPr>
        <w:kinsoku w:val="0"/>
        <w:overflowPunct w:val="0"/>
        <w:ind w:leftChars="0" w:right="0" w:rightChars="0"/>
        <w:rPr>
          <w:rFonts w:hint="eastAsia" w:ascii="宋体" w:hAnsi="宋体" w:eastAsia="宋体" w:cs="宋体"/>
          <w:color w:val="auto"/>
          <w:sz w:val="20"/>
          <w:szCs w:val="20"/>
          <w:highlight w:val="none"/>
        </w:rPr>
      </w:pPr>
    </w:p>
    <w:p w14:paraId="5B9BC8FE">
      <w:pPr>
        <w:pStyle w:val="10"/>
        <w:numPr>
          <w:ilvl w:val="0"/>
          <w:numId w:val="0"/>
        </w:numPr>
        <w:kinsoku w:val="0"/>
        <w:overflowPunct w:val="0"/>
        <w:spacing w:before="7"/>
        <w:ind w:leftChars="0" w:right="0" w:rightChars="0"/>
        <w:rPr>
          <w:rFonts w:hint="eastAsia" w:ascii="宋体" w:hAnsi="宋体" w:eastAsia="宋体" w:cs="宋体"/>
          <w:color w:val="auto"/>
          <w:sz w:val="25"/>
          <w:szCs w:val="25"/>
          <w:highlight w:val="none"/>
        </w:rPr>
      </w:pPr>
    </w:p>
    <w:p w14:paraId="28891AAB">
      <w:pPr>
        <w:pStyle w:val="10"/>
        <w:numPr>
          <w:ilvl w:val="0"/>
          <w:numId w:val="0"/>
        </w:numPr>
        <w:kinsoku w:val="0"/>
        <w:overflowPunct w:val="0"/>
        <w:spacing w:line="200" w:lineRule="atLeast"/>
        <w:ind w:right="0" w:rightChars="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mc:AlternateContent>
          <mc:Choice Requires="wpg">
            <w:drawing>
              <wp:anchor distT="0" distB="0" distL="114300" distR="114300" simplePos="0" relativeHeight="251663360" behindDoc="1" locked="0" layoutInCell="1" allowOverlap="1">
                <wp:simplePos x="0" y="0"/>
                <wp:positionH relativeFrom="column">
                  <wp:posOffset>455930</wp:posOffset>
                </wp:positionH>
                <wp:positionV relativeFrom="paragraph">
                  <wp:posOffset>77470</wp:posOffset>
                </wp:positionV>
                <wp:extent cx="5136515" cy="1458595"/>
                <wp:effectExtent l="0" t="0" r="8255" b="9525"/>
                <wp:wrapThrough wrapText="bothSides">
                  <wp:wrapPolygon>
                    <wp:start x="5" y="19"/>
                    <wp:lineTo x="5" y="21177"/>
                    <wp:lineTo x="51" y="21177"/>
                    <wp:lineTo x="51" y="21412"/>
                    <wp:lineTo x="21547" y="21412"/>
                    <wp:lineTo x="21547" y="179"/>
                    <wp:lineTo x="21474" y="179"/>
                    <wp:lineTo x="21474" y="19"/>
                    <wp:lineTo x="5" y="19"/>
                  </wp:wrapPolygon>
                </wp:wrapThrough>
                <wp:docPr id="1" name="组合 1"/>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a:effectLst/>
                      </wpg:grpSpPr>
                      <wps:wsp>
                        <wps:cNvPr id="10" name="任意多边形 1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11" name="任意多边形 1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12" name="任意多边形 16"/>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13" name="任意多边形 17"/>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14" name="任意多边形 19"/>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a:effectLst/>
                        </wps:spPr>
                        <wps:bodyPr upright="1"/>
                      </wps:wsp>
                      <wps:wsp>
                        <wps:cNvPr id="15" name="任意多边形 20"/>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a:effectLst/>
                        </wps:spPr>
                        <wps:bodyPr upright="1"/>
                      </wps:wsp>
                      <wps:wsp>
                        <wps:cNvPr id="16" name="任意多边形 21"/>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18" name="任意多边形 22"/>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25" name="任意多边形 23"/>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26" name="任意多边形 24"/>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a:effectLst/>
                        </wps:spPr>
                        <wps:bodyPr upright="1"/>
                      </wps:wsp>
                      <wps:wsp>
                        <wps:cNvPr id="28" name="文本框 27"/>
                        <wps:cNvSpPr txBox="1"/>
                        <wps:spPr>
                          <a:xfrm>
                            <a:off x="19" y="19"/>
                            <a:ext cx="4025" cy="2258"/>
                          </a:xfrm>
                          <a:prstGeom prst="rect">
                            <a:avLst/>
                          </a:prstGeom>
                          <a:noFill/>
                          <a:ln>
                            <a:noFill/>
                          </a:ln>
                          <a:effectLst/>
                        </wps:spPr>
                        <wps:txbx>
                          <w:txbxContent>
                            <w:p w14:paraId="743AE759">
                              <w:pPr>
                                <w:pStyle w:val="10"/>
                                <w:numPr>
                                  <w:ilvl w:val="0"/>
                                  <w:numId w:val="0"/>
                                </w:numPr>
                                <w:kinsoku w:val="0"/>
                                <w:overflowPunct w:val="0"/>
                                <w:spacing w:before="13"/>
                                <w:ind w:leftChars="0" w:right="0" w:rightChars="0"/>
                                <w:jc w:val="center"/>
                                <w:rPr>
                                  <w:rFonts w:hint="eastAsia"/>
                                  <w:sz w:val="28"/>
                                  <w:szCs w:val="28"/>
                                </w:rPr>
                              </w:pPr>
                            </w:p>
                            <w:p w14:paraId="5351430C">
                              <w:pPr>
                                <w:pStyle w:val="10"/>
                                <w:numPr>
                                  <w:ilvl w:val="0"/>
                                  <w:numId w:val="0"/>
                                </w:numPr>
                                <w:kinsoku w:val="0"/>
                                <w:overflowPunct w:val="0"/>
                                <w:ind w:right="0" w:rightChars="0"/>
                                <w:jc w:val="center"/>
                              </w:pPr>
                              <w:r>
                                <w:rPr>
                                  <w:rFonts w:hint="eastAsia"/>
                                </w:rPr>
                                <w:t>法定代表人身份证复印件（正面）</w:t>
                              </w:r>
                            </w:p>
                          </w:txbxContent>
                        </wps:txbx>
                        <wps:bodyPr lIns="0" tIns="0" rIns="0" bIns="0" upright="1"/>
                      </wps:wsp>
                      <wps:wsp>
                        <wps:cNvPr id="29" name="文本框 32"/>
                        <wps:cNvSpPr txBox="1"/>
                        <wps:spPr>
                          <a:xfrm>
                            <a:off x="4044" y="19"/>
                            <a:ext cx="4025" cy="2258"/>
                          </a:xfrm>
                          <a:prstGeom prst="rect">
                            <a:avLst/>
                          </a:prstGeom>
                          <a:noFill/>
                          <a:ln>
                            <a:noFill/>
                          </a:ln>
                          <a:effectLst/>
                        </wps:spPr>
                        <wps:txbx>
                          <w:txbxContent>
                            <w:p w14:paraId="7125E04A">
                              <w:pPr>
                                <w:pStyle w:val="10"/>
                                <w:numPr>
                                  <w:ilvl w:val="0"/>
                                  <w:numId w:val="0"/>
                                </w:numPr>
                                <w:kinsoku w:val="0"/>
                                <w:overflowPunct w:val="0"/>
                                <w:ind w:right="0" w:rightChars="0"/>
                                <w:rPr>
                                  <w:rFonts w:hint="eastAsia" w:ascii="宋体" w:hAnsi="宋体" w:eastAsia="宋体" w:cs="宋体"/>
                                </w:rPr>
                              </w:pPr>
                            </w:p>
                            <w:p w14:paraId="52B81A97">
                              <w:pPr>
                                <w:pStyle w:val="10"/>
                                <w:numPr>
                                  <w:ilvl w:val="0"/>
                                  <w:numId w:val="0"/>
                                </w:numPr>
                                <w:kinsoku w:val="0"/>
                                <w:overflowPunct w:val="0"/>
                                <w:ind w:right="0" w:rightChars="0"/>
                                <w:rPr>
                                  <w:rFonts w:hint="eastAsia" w:ascii="宋体" w:hAnsi="宋体" w:eastAsia="宋体" w:cs="宋体"/>
                                </w:rPr>
                              </w:pPr>
                              <w:r>
                                <w:rPr>
                                  <w:rFonts w:hint="eastAsia" w:ascii="宋体" w:hAnsi="宋体" w:eastAsia="宋体" w:cs="宋体"/>
                                </w:rPr>
                                <w:t>法定代表人身份证复印件（反面）</w:t>
                              </w:r>
                            </w:p>
                          </w:txbxContent>
                        </wps:txbx>
                        <wps:bodyPr lIns="0" tIns="0" rIns="0" bIns="0" upright="1"/>
                      </wps:wsp>
                    </wpg:wgp>
                  </a:graphicData>
                </a:graphic>
              </wp:anchor>
            </w:drawing>
          </mc:Choice>
          <mc:Fallback>
            <w:pict>
              <v:group id="_x0000_s1026" o:spid="_x0000_s1026" o:spt="203" style="position:absolute;left:0pt;margin-left:35.9pt;margin-top:6.1pt;height:114.85pt;width:404.45pt;mso-wrap-distance-left:9pt;mso-wrap-distance-right:9pt;z-index:-251653120;mso-width-relative:page;mso-height-relative:page;" coordsize="8089,2297" wrapcoords="5 19 5 21177 51 21177 51 21412 21547 21412 21547 179 21474 179 21474 19 5 19" o:gfxdata="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">
                <o:lock v:ext="edit" rotation="t" aspectratio="f"/>
                <v:shape id="任意多边形 14" o:spid="_x0000_s1026" o:spt="100" style="position:absolute;left:4;top:9;height:20;width:8079;" filled="f" stroked="t" coordsize="8079,20" o:gfxdata="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pSLGvQAA&#10;ANsAAAAPAAAAAAAAAAEAIAAAACIAAABkcnMvZG93bnJldi54bWxQSwECFAAUAAAACACHTuJAMy8F&#10;njsAAAA5AAAAEAAAAAAAAAABACAAAAAMAQAAZHJzL3NoYXBleG1sLnhtbFBLBQYAAAAABgAGAFsB&#10;AAC2AwAAAAA=&#10;" path="m0,0l8078,0e">
                  <v:fill on="f" focussize="0,0"/>
                  <v:stroke weight="0.48pt" color="#000000" joinstyle="round"/>
                  <v:imagedata o:title=""/>
                  <o:lock v:ext="edit" aspectratio="f"/>
                </v:shape>
                <v:shape id="任意多边形 15" o:spid="_x0000_s1026" o:spt="100" style="position:absolute;left:24;top:28;height:20;width:8041;" filled="f" stroked="t" coordsize="8041,20" o:gfxdata="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1/JN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16" o:spid="_x0000_s1026" o:spt="100" style="position:absolute;left:24;top:2267;height:20;width:8041;" filled="f" stroked="t" coordsize="8041,20" o:gfxdata="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BWw6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17" o:spid="_x0000_s1026" o:spt="100" style="position:absolute;left:4;top:2286;height:20;width:8079;" filled="f" stroked="t" coordsize="8079,20" o:gfxdata="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d7yxugAAANsA&#10;AAAPAAAAAAAAAAEAIAAAACIAAABkcnMvZG93bnJldi54bWxQSwECFAAUAAAACACHTuJAMy8FnjsA&#10;AAA5AAAAEAAAAAAAAAABACAAAAAJAQAAZHJzL3NoYXBleG1sLnhtbFBLBQYAAAAABgAGAFsBAACz&#10;AwAAAAA=&#10;" path="m0,0l8078,0e">
                  <v:fill on="f" focussize="0,0"/>
                  <v:stroke weight="0.48pt" color="#000000" joinstyle="round"/>
                  <v:imagedata o:title=""/>
                  <o:lock v:ext="edit" aspectratio="f"/>
                </v:shape>
                <v:shape id="任意多边形 19" o:spid="_x0000_s1026" o:spt="100" style="position:absolute;left:9;top:4;height:2287;width:20;" filled="f" stroked="t" coordsize="20,2287" o:gfxdata="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EPBXugAAANsA&#10;AAAPAAAAAAAAAAEAIAAAACIAAABkcnMvZG93bnJldi54bWxQSwECFAAUAAAACACHTuJAMy8FnjsA&#10;AAA5AAAAEAAAAAAAAAABACAAAAAJAQAAZHJzL3NoYXBleG1sLnhtbFBLBQYAAAAABgAGAFsBAACz&#10;AwAAAAA=&#10;" path="m0,0l0,2286e">
                  <v:fill on="f" focussize="0,0"/>
                  <v:stroke weight="0.48pt" color="#000000" joinstyle="round"/>
                  <v:imagedata o:title=""/>
                  <o:lock v:ext="edit" aspectratio="f"/>
                </v:shape>
                <v:shape id="任意多边形 20" o:spid="_x0000_s1026" o:spt="100" style="position:absolute;left:28;top:24;height:2249;width:20;" filled="f" stroked="t" coordsize="20,2249" o:gfxdata="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C99Fr4A&#10;AADbAAAADwAAAAAAAAABACAAAAAiAAAAZHJzL2Rvd25yZXYueG1sUEsBAhQAFAAAAAgAh07iQDMv&#10;BZ47AAAAOQAAABAAAAAAAAAAAQAgAAAADQEAAGRycy9zaGFwZXhtbC54bWxQSwUGAAAAAAYABgBb&#10;AQAAtwMAAAAA&#10;" path="m0,0l0,2248e">
                  <v:fill on="f" focussize="0,0"/>
                  <v:stroke weight="0.48pt" color="#000000" joinstyle="round"/>
                  <v:imagedata o:title=""/>
                  <o:lock v:ext="edit" aspectratio="f"/>
                </v:shape>
                <v:shape id="任意多边形 21" o:spid="_x0000_s1026" o:spt="100" style="position:absolute;left:4034;top:24;height:2239;width:20;" filled="f" stroked="t" coordsize="20,2239" o:gfxdata="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VLsGS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任意多边形 22" o:spid="_x0000_s1026" o:spt="100" style="position:absolute;left:4053;top:24;height:2239;width:20;" filled="f" stroked="t" coordsize="20,2239" o:gfxdata="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5iBjbsAAADb&#10;AAAADwAAAAAAAAABACAAAAAiAAAAZHJzL2Rvd25yZXYueG1sUEsBAhQAFAAAAAgAh07iQDMvBZ47&#10;AAAAOQAAABAAAAAAAAAAAQAgAAAACgEAAGRycy9zaGFwZXhtbC54bWxQSwUGAAAAAAYABgBbAQAA&#10;tAMAAAAA&#10;" path="m0,0l0,2238e">
                  <v:fill on="f" focussize="0,0"/>
                  <v:stroke weight="0.48pt" color="#000000" joinstyle="round"/>
                  <v:imagedata o:title=""/>
                  <o:lock v:ext="edit" aspectratio="f"/>
                </v:shape>
                <v:shape id="任意多边形 23" o:spid="_x0000_s1026" o:spt="100" style="position:absolute;left:8059;top:33;height:2239;width:20;" filled="f" stroked="t" coordsize="20,2239" o:gfxdata="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v15K6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任意多边形 24" o:spid="_x0000_s1026" o:spt="100" style="position:absolute;left:8078;top:14;height:2278;width:20;" filled="f" stroked="t" coordsize="20,2278" o:gfxdata="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mdfXvQAA&#10;ANsAAAAPAAAAAAAAAAEAIAAAACIAAABkcnMvZG93bnJldi54bWxQSwECFAAUAAAACACHTuJAMy8F&#10;njsAAAA5AAAAEAAAAAAAAAABACAAAAAMAQAAZHJzL3NoYXBleG1sLnhtbFBLBQYAAAAABgAGAFsB&#10;AAC2AwAAAAA=&#10;" path="m0,0l0,2277e">
                  <v:fill on="f" focussize="0,0"/>
                  <v:stroke weight="0.48pt" color="#000000" joinstyle="round"/>
                  <v:imagedata o:title=""/>
                  <o:lock v:ext="edit" aspectratio="f"/>
                </v:shape>
                <v:shape id="文本框 27" o:spid="_x0000_s1026" o:spt="202" type="#_x0000_t202" style="position:absolute;left:19;top:19;height:2258;width:4025;"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743AE759">
                        <w:pPr>
                          <w:pStyle w:val="10"/>
                          <w:numPr>
                            <w:ilvl w:val="0"/>
                            <w:numId w:val="0"/>
                          </w:numPr>
                          <w:kinsoku w:val="0"/>
                          <w:overflowPunct w:val="0"/>
                          <w:spacing w:before="13"/>
                          <w:ind w:leftChars="0" w:right="0" w:rightChars="0"/>
                          <w:jc w:val="center"/>
                          <w:rPr>
                            <w:rFonts w:hint="eastAsia"/>
                            <w:sz w:val="28"/>
                            <w:szCs w:val="28"/>
                          </w:rPr>
                        </w:pPr>
                      </w:p>
                      <w:p w14:paraId="5351430C">
                        <w:pPr>
                          <w:pStyle w:val="10"/>
                          <w:numPr>
                            <w:ilvl w:val="0"/>
                            <w:numId w:val="0"/>
                          </w:numPr>
                          <w:kinsoku w:val="0"/>
                          <w:overflowPunct w:val="0"/>
                          <w:ind w:right="0" w:rightChars="0"/>
                          <w:jc w:val="center"/>
                        </w:pPr>
                        <w:r>
                          <w:rPr>
                            <w:rFonts w:hint="eastAsia"/>
                          </w:rPr>
                          <w:t>法定代表人身份证复印件（正面）</w:t>
                        </w:r>
                      </w:p>
                    </w:txbxContent>
                  </v:textbox>
                </v:shape>
                <v:shape id="文本框 32" o:spid="_x0000_s1026" o:spt="202" type="#_x0000_t202" style="position:absolute;left:4044;top:19;height:2258;width:4025;" filled="f" stroked="f" coordsize="21600,21600" o:gfxdata="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JK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125E04A">
                        <w:pPr>
                          <w:pStyle w:val="10"/>
                          <w:numPr>
                            <w:ilvl w:val="0"/>
                            <w:numId w:val="0"/>
                          </w:numPr>
                          <w:kinsoku w:val="0"/>
                          <w:overflowPunct w:val="0"/>
                          <w:ind w:right="0" w:rightChars="0"/>
                          <w:rPr>
                            <w:rFonts w:hint="eastAsia" w:ascii="宋体" w:hAnsi="宋体" w:eastAsia="宋体" w:cs="宋体"/>
                          </w:rPr>
                        </w:pPr>
                      </w:p>
                      <w:p w14:paraId="52B81A97">
                        <w:pPr>
                          <w:pStyle w:val="10"/>
                          <w:numPr>
                            <w:ilvl w:val="0"/>
                            <w:numId w:val="0"/>
                          </w:numPr>
                          <w:kinsoku w:val="0"/>
                          <w:overflowPunct w:val="0"/>
                          <w:ind w:right="0" w:rightChars="0"/>
                          <w:rPr>
                            <w:rFonts w:hint="eastAsia" w:ascii="宋体" w:hAnsi="宋体" w:eastAsia="宋体" w:cs="宋体"/>
                          </w:rPr>
                        </w:pPr>
                        <w:r>
                          <w:rPr>
                            <w:rFonts w:hint="eastAsia" w:ascii="宋体" w:hAnsi="宋体" w:eastAsia="宋体" w:cs="宋体"/>
                          </w:rPr>
                          <w:t>法定代表人身份证复印件（反面）</w:t>
                        </w:r>
                      </w:p>
                    </w:txbxContent>
                  </v:textbox>
                </v:shape>
                <w10:wrap type="through"/>
              </v:group>
            </w:pict>
          </mc:Fallback>
        </mc:AlternateContent>
      </w:r>
    </w:p>
    <w:p w14:paraId="0F04E8FA">
      <w:pPr>
        <w:wordWrap w:val="0"/>
        <w:spacing w:line="420" w:lineRule="exact"/>
        <w:ind w:firstLine="490" w:firstLineChars="200"/>
        <w:jc w:val="right"/>
        <w:rPr>
          <w:rFonts w:hint="eastAsia" w:ascii="宋体" w:hAnsi="宋体" w:eastAsia="宋体" w:cs="宋体"/>
          <w:color w:val="auto"/>
          <w:kern w:val="0"/>
          <w:sz w:val="24"/>
          <w:highlight w:val="none"/>
        </w:rPr>
      </w:pPr>
    </w:p>
    <w:p w14:paraId="6A5359C8">
      <w:pPr>
        <w:spacing w:line="420" w:lineRule="exact"/>
        <w:ind w:firstLine="490" w:firstLineChars="200"/>
        <w:jc w:val="right"/>
        <w:rPr>
          <w:rFonts w:hint="eastAsia" w:ascii="宋体" w:hAnsi="宋体" w:eastAsia="宋体" w:cs="宋体"/>
          <w:color w:val="auto"/>
          <w:kern w:val="0"/>
          <w:sz w:val="24"/>
          <w:highlight w:val="none"/>
        </w:rPr>
      </w:pPr>
    </w:p>
    <w:p w14:paraId="2C6B700C">
      <w:pPr>
        <w:spacing w:line="420" w:lineRule="exact"/>
        <w:ind w:firstLine="490" w:firstLineChars="200"/>
        <w:jc w:val="right"/>
        <w:rPr>
          <w:rFonts w:hint="eastAsia" w:ascii="宋体" w:hAnsi="宋体" w:eastAsia="宋体" w:cs="宋体"/>
          <w:color w:val="auto"/>
          <w:kern w:val="0"/>
          <w:sz w:val="24"/>
          <w:highlight w:val="none"/>
        </w:rPr>
      </w:pPr>
    </w:p>
    <w:p w14:paraId="4F6B2792">
      <w:pPr>
        <w:spacing w:line="420" w:lineRule="exact"/>
        <w:ind w:firstLine="490" w:firstLineChars="200"/>
        <w:jc w:val="right"/>
        <w:rPr>
          <w:rFonts w:hint="eastAsia" w:ascii="宋体" w:hAnsi="宋体" w:eastAsia="宋体" w:cs="宋体"/>
          <w:color w:val="auto"/>
          <w:kern w:val="0"/>
          <w:sz w:val="24"/>
          <w:highlight w:val="none"/>
        </w:rPr>
      </w:pPr>
    </w:p>
    <w:p w14:paraId="010C49A0">
      <w:pPr>
        <w:spacing w:line="420" w:lineRule="exact"/>
        <w:ind w:firstLine="490" w:firstLineChars="200"/>
        <w:jc w:val="right"/>
        <w:rPr>
          <w:rFonts w:hint="eastAsia" w:ascii="宋体" w:hAnsi="宋体" w:eastAsia="宋体" w:cs="宋体"/>
          <w:color w:val="auto"/>
          <w:kern w:val="0"/>
          <w:sz w:val="24"/>
          <w:highlight w:val="none"/>
        </w:rPr>
      </w:pPr>
    </w:p>
    <w:p w14:paraId="66AB372A">
      <w:pPr>
        <w:spacing w:line="420" w:lineRule="exact"/>
        <w:ind w:firstLine="490" w:firstLineChars="200"/>
        <w:jc w:val="right"/>
        <w:rPr>
          <w:rFonts w:hint="eastAsia" w:ascii="宋体" w:hAnsi="宋体" w:eastAsia="宋体" w:cs="宋体"/>
          <w:color w:val="auto"/>
          <w:kern w:val="0"/>
          <w:sz w:val="24"/>
          <w:highlight w:val="none"/>
        </w:rPr>
      </w:pPr>
    </w:p>
    <w:p w14:paraId="4AA41947">
      <w:pPr>
        <w:spacing w:line="420" w:lineRule="exact"/>
        <w:ind w:firstLine="490" w:firstLineChars="200"/>
        <w:jc w:val="right"/>
        <w:rPr>
          <w:rFonts w:hint="eastAsia" w:ascii="宋体" w:hAnsi="宋体" w:eastAsia="宋体" w:cs="宋体"/>
          <w:color w:val="auto"/>
          <w:kern w:val="0"/>
          <w:sz w:val="24"/>
          <w:highlight w:val="none"/>
        </w:rPr>
      </w:pPr>
    </w:p>
    <w:p w14:paraId="05E0A029">
      <w:pPr>
        <w:spacing w:line="420" w:lineRule="exact"/>
        <w:ind w:firstLine="490" w:firstLineChars="200"/>
        <w:jc w:val="right"/>
        <w:rPr>
          <w:rFonts w:hint="eastAsia" w:ascii="宋体" w:hAnsi="宋体" w:eastAsia="宋体" w:cs="宋体"/>
          <w:color w:val="auto"/>
          <w:kern w:val="0"/>
          <w:sz w:val="24"/>
          <w:highlight w:val="none"/>
        </w:rPr>
      </w:pPr>
    </w:p>
    <w:p w14:paraId="393C086F">
      <w:pPr>
        <w:spacing w:line="420" w:lineRule="exact"/>
        <w:ind w:firstLine="490" w:firstLineChars="2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（公章）</w:t>
      </w:r>
    </w:p>
    <w:p w14:paraId="657B045F">
      <w:pPr>
        <w:shd w:val="clear" w:color="auto" w:fill="auto"/>
        <w:spacing w:line="360" w:lineRule="auto"/>
        <w:ind w:firstLine="490" w:firstLineChars="200"/>
        <w:jc w:val="left"/>
        <w:rPr>
          <w:rFonts w:hint="eastAsia" w:ascii="宋体" w:hAnsi="宋体" w:eastAsia="宋体" w:cs="宋体"/>
          <w:color w:val="auto"/>
          <w:kern w:val="2"/>
          <w:sz w:val="22"/>
          <w:szCs w:val="18"/>
          <w:highlight w:val="none"/>
          <w:u w:val="none" w:color="000000"/>
          <w:lang w:val="en-US" w:eastAsia="zh-CN" w:bidi="ar-SA"/>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 xml:space="preserve"> </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日</w:t>
      </w:r>
    </w:p>
    <w:p w14:paraId="03924B99">
      <w:pPr>
        <w:spacing w:line="500" w:lineRule="exact"/>
        <w:jc w:val="center"/>
        <w:rPr>
          <w:rFonts w:hint="eastAsia" w:ascii="宋体" w:hAnsi="宋体" w:eastAsia="宋体" w:cs="宋体"/>
          <w:b/>
          <w:color w:val="auto"/>
          <w:sz w:val="28"/>
          <w:szCs w:val="28"/>
          <w:highlight w:val="none"/>
        </w:rPr>
      </w:pPr>
    </w:p>
    <w:p w14:paraId="7C47625B">
      <w:pPr>
        <w:spacing w:line="500" w:lineRule="exact"/>
        <w:jc w:val="center"/>
        <w:rPr>
          <w:rFonts w:hint="eastAsia" w:ascii="宋体" w:hAnsi="宋体" w:eastAsia="宋体" w:cs="宋体"/>
          <w:b/>
          <w:color w:val="auto"/>
          <w:sz w:val="28"/>
          <w:szCs w:val="28"/>
          <w:highlight w:val="none"/>
        </w:rPr>
      </w:pPr>
    </w:p>
    <w:p w14:paraId="2D5D64DE">
      <w:pPr>
        <w:pStyle w:val="53"/>
        <w:rPr>
          <w:rFonts w:hint="eastAsia" w:ascii="宋体" w:hAnsi="宋体" w:eastAsia="宋体" w:cs="宋体"/>
          <w:b/>
          <w:color w:val="auto"/>
          <w:sz w:val="28"/>
          <w:szCs w:val="28"/>
          <w:highlight w:val="none"/>
        </w:rPr>
      </w:pPr>
    </w:p>
    <w:p w14:paraId="61C757F5">
      <w:pPr>
        <w:pStyle w:val="53"/>
        <w:rPr>
          <w:rFonts w:hint="eastAsia" w:ascii="宋体" w:hAnsi="宋体" w:eastAsia="宋体" w:cs="宋体"/>
          <w:b/>
          <w:color w:val="auto"/>
          <w:sz w:val="28"/>
          <w:szCs w:val="28"/>
          <w:highlight w:val="none"/>
        </w:rPr>
      </w:pPr>
    </w:p>
    <w:p w14:paraId="16947CE6">
      <w:pPr>
        <w:pStyle w:val="53"/>
        <w:rPr>
          <w:rFonts w:hint="eastAsia" w:ascii="宋体" w:hAnsi="宋体" w:eastAsia="宋体" w:cs="宋体"/>
          <w:b/>
          <w:color w:val="auto"/>
          <w:sz w:val="28"/>
          <w:szCs w:val="28"/>
          <w:highlight w:val="none"/>
        </w:rPr>
      </w:pPr>
    </w:p>
    <w:p w14:paraId="2CC7638C">
      <w:pPr>
        <w:spacing w:line="500" w:lineRule="exact"/>
        <w:jc w:val="center"/>
        <w:rPr>
          <w:rFonts w:hint="eastAsia" w:ascii="宋体" w:hAnsi="宋体" w:eastAsia="宋体" w:cs="宋体"/>
          <w:b/>
          <w:color w:val="auto"/>
          <w:sz w:val="28"/>
          <w:szCs w:val="28"/>
          <w:highlight w:val="none"/>
        </w:rPr>
      </w:pPr>
    </w:p>
    <w:p w14:paraId="1F43620D">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42AB5DB7">
      <w:pPr>
        <w:rPr>
          <w:rFonts w:hint="eastAsia"/>
          <w:color w:val="auto"/>
          <w:highlight w:val="none"/>
          <w:lang w:val="en-US" w:eastAsia="zh-CN"/>
        </w:rPr>
      </w:pPr>
    </w:p>
    <w:p w14:paraId="502CFAE3">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u w:val="single"/>
        </w:rPr>
      </w:pPr>
      <w:bookmarkStart w:id="156" w:name="_Toc31554"/>
      <w:r>
        <w:rPr>
          <w:rFonts w:hint="eastAsia" w:ascii="宋体" w:hAnsi="宋体" w:eastAsia="宋体" w:cs="宋体"/>
          <w:b/>
          <w:bCs/>
          <w:color w:val="auto"/>
          <w:sz w:val="24"/>
          <w:highlight w:val="none"/>
          <w:lang w:val="en-US" w:eastAsia="zh-CN"/>
        </w:rPr>
        <w:t>3</w:t>
      </w:r>
      <w:r>
        <w:rPr>
          <w:rFonts w:hint="eastAsia" w:ascii="宋体" w:hAnsi="宋体" w:eastAsia="宋体" w:cs="宋体"/>
          <w:b/>
          <w:bCs/>
          <w:color w:val="auto"/>
          <w:sz w:val="24"/>
          <w:highlight w:val="none"/>
        </w:rPr>
        <w:t xml:space="preserve"> </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法定代表人授权委托书</w:t>
      </w:r>
      <w:bookmarkEnd w:id="150"/>
      <w:bookmarkEnd w:id="151"/>
      <w:bookmarkEnd w:id="152"/>
      <w:bookmarkEnd w:id="153"/>
      <w:bookmarkEnd w:id="155"/>
      <w:bookmarkEnd w:id="156"/>
    </w:p>
    <w:p w14:paraId="135A5364">
      <w:pPr>
        <w:pStyle w:val="13"/>
        <w:shd w:val="clear" w:color="auto" w:fill="auto"/>
        <w:spacing w:line="240" w:lineRule="atLeast"/>
        <w:ind w:left="1092"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cr/>
      </w:r>
    </w:p>
    <w:p w14:paraId="259FABF7">
      <w:pPr>
        <w:spacing w:line="420" w:lineRule="exac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szCs w:val="20"/>
          <w:highlight w:val="none"/>
        </w:rPr>
        <w:t xml:space="preserve">   </w:t>
      </w:r>
      <w:r>
        <w:rPr>
          <w:rFonts w:hint="eastAsia" w:ascii="宋体" w:hAnsi="宋体" w:eastAsia="宋体" w:cs="宋体"/>
          <w:color w:val="auto"/>
          <w:kern w:val="0"/>
          <w:sz w:val="24"/>
          <w:highlight w:val="none"/>
        </w:rPr>
        <w:t xml:space="preserve">致：采购人名称 </w:t>
      </w:r>
    </w:p>
    <w:p w14:paraId="4FC64C6C">
      <w:pPr>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本授权书声明：注册于</w:t>
      </w:r>
      <w:r>
        <w:rPr>
          <w:rFonts w:hint="eastAsia" w:ascii="宋体" w:hAnsi="宋体" w:eastAsia="宋体" w:cs="宋体"/>
          <w:color w:val="auto"/>
          <w:kern w:val="0"/>
          <w:sz w:val="24"/>
          <w:highlight w:val="none"/>
          <w:u w:val="single"/>
        </w:rPr>
        <w:t>（投标人地址）</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rPr>
        <w:t>法定代表人（负责人）</w:t>
      </w:r>
      <w:r>
        <w:rPr>
          <w:rFonts w:hint="eastAsia" w:ascii="宋体" w:hAnsi="宋体" w:eastAsia="宋体" w:cs="宋体"/>
          <w:color w:val="auto"/>
          <w:kern w:val="0"/>
          <w:sz w:val="24"/>
          <w:highlight w:val="none"/>
          <w:u w:val="single"/>
        </w:rPr>
        <w:t>姓名、职务或职称）</w:t>
      </w:r>
      <w:r>
        <w:rPr>
          <w:rFonts w:hint="eastAsia" w:ascii="宋体" w:hAnsi="宋体" w:eastAsia="宋体" w:cs="宋体"/>
          <w:color w:val="auto"/>
          <w:kern w:val="0"/>
          <w:sz w:val="24"/>
          <w:highlight w:val="none"/>
        </w:rPr>
        <w:t>代表本公司授权</w:t>
      </w:r>
      <w:r>
        <w:rPr>
          <w:rFonts w:hint="eastAsia" w:ascii="宋体" w:hAnsi="宋体" w:eastAsia="宋体" w:cs="宋体"/>
          <w:color w:val="auto"/>
          <w:kern w:val="0"/>
          <w:sz w:val="24"/>
          <w:highlight w:val="none"/>
          <w:u w:val="single"/>
        </w:rPr>
        <w:t>（姓名）</w:t>
      </w:r>
      <w:r>
        <w:rPr>
          <w:rFonts w:hint="eastAsia" w:ascii="宋体" w:hAnsi="宋体" w:eastAsia="宋体" w:cs="宋体"/>
          <w:color w:val="auto"/>
          <w:kern w:val="0"/>
          <w:sz w:val="24"/>
          <w:highlight w:val="none"/>
        </w:rPr>
        <w:t>为本单位的合法代理人，参与贵方组织的</w:t>
      </w:r>
      <w:r>
        <w:rPr>
          <w:rFonts w:hint="eastAsia" w:ascii="宋体" w:hAnsi="宋体" w:eastAsia="宋体" w:cs="宋体"/>
          <w:color w:val="auto"/>
          <w:kern w:val="0"/>
          <w:sz w:val="24"/>
          <w:highlight w:val="none"/>
          <w:u w:val="single"/>
        </w:rPr>
        <w:t>（项目名称及项目编号）</w:t>
      </w:r>
      <w:r>
        <w:rPr>
          <w:rFonts w:hint="eastAsia" w:ascii="宋体" w:hAnsi="宋体" w:eastAsia="宋体" w:cs="宋体"/>
          <w:color w:val="auto"/>
          <w:kern w:val="0"/>
          <w:sz w:val="24"/>
          <w:highlight w:val="none"/>
        </w:rPr>
        <w:t xml:space="preserve"> 的投标、谈判、签约等具体工作，并签署全部有关文件、协议及合同。</w:t>
      </w:r>
    </w:p>
    <w:p w14:paraId="05B7BD8B">
      <w:pPr>
        <w:adjustRightInd w:val="0"/>
        <w:snapToGrid w:val="0"/>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我单位对被授权人的上述经济活动负全部责任。在撤销授权的书面通知前，本授权书一直有效。被授权人在授权书有效期内签署的所有文件不因授权的撤消而失效。</w:t>
      </w:r>
    </w:p>
    <w:p w14:paraId="58094CC4">
      <w:pPr>
        <w:pStyle w:val="10"/>
        <w:kinsoku w:val="0"/>
        <w:overflowPunct w:val="0"/>
        <w:adjustRightInd w:val="0"/>
        <w:snapToGrid w:val="0"/>
        <w:spacing w:before="12"/>
        <w:rPr>
          <w:rFonts w:hint="eastAsia" w:ascii="宋体" w:hAnsi="宋体" w:eastAsia="宋体" w:cs="宋体"/>
          <w:color w:val="auto"/>
          <w:sz w:val="4"/>
          <w:szCs w:val="4"/>
          <w:highlight w:val="none"/>
        </w:rPr>
      </w:pPr>
    </w:p>
    <w:p w14:paraId="70B15767">
      <w:pPr>
        <w:pStyle w:val="10"/>
        <w:numPr>
          <w:ilvl w:val="0"/>
          <w:numId w:val="0"/>
        </w:numPr>
        <w:kinsoku w:val="0"/>
        <w:overflowPunct w:val="0"/>
        <w:adjustRightInd w:val="0"/>
        <w:snapToGrid w:val="0"/>
        <w:spacing w:line="200" w:lineRule="atLeast"/>
        <w:ind w:right="1709" w:rightChars="795"/>
        <w:jc w:val="center"/>
        <w:rPr>
          <w:rFonts w:hint="eastAsia" w:ascii="宋体" w:hAnsi="宋体" w:eastAsia="宋体" w:cs="宋体"/>
          <w:color w:val="auto"/>
          <w:sz w:val="18"/>
          <w:szCs w:val="20"/>
          <w:highlight w:val="none"/>
        </w:rPr>
      </w:pPr>
      <w:r>
        <w:rPr>
          <w:rFonts w:hint="eastAsia" w:ascii="宋体" w:hAnsi="宋体" w:eastAsia="宋体" w:cs="宋体"/>
          <w:color w:val="auto"/>
          <w:sz w:val="18"/>
          <w:szCs w:val="20"/>
          <w:highlight w:val="none"/>
        </w:rPr>
        <mc:AlternateContent>
          <mc:Choice Requires="wpg">
            <w:drawing>
              <wp:inline distT="0" distB="0" distL="114300" distR="114300">
                <wp:extent cx="5136515" cy="1458595"/>
                <wp:effectExtent l="0" t="0" r="8255" b="9525"/>
                <wp:docPr id="35" name="组合 35"/>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a:effectLst/>
                      </wpg:grpSpPr>
                      <wps:wsp>
                        <wps:cNvPr id="30" name="任意多边形 1"/>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31" name="任意多边形 2"/>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2" name="任意多边形 3"/>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3" name="任意多边形 4"/>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49" name="任意多边形 5"/>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a:effectLst/>
                        </wps:spPr>
                        <wps:bodyPr upright="1"/>
                      </wps:wsp>
                      <wps:wsp>
                        <wps:cNvPr id="50" name="任意多边形 6"/>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a:effectLst/>
                        </wps:spPr>
                        <wps:bodyPr upright="1"/>
                      </wps:wsp>
                      <wps:wsp>
                        <wps:cNvPr id="51" name="任意多边形 7"/>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2" name="任意多边形 8"/>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3" name="任意多边形 9"/>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4" name="任意多边形 10"/>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a:effectLst/>
                        </wps:spPr>
                        <wps:bodyPr upright="1"/>
                      </wps:wsp>
                      <wps:wsp>
                        <wps:cNvPr id="55" name="文本框 11"/>
                        <wps:cNvSpPr txBox="1"/>
                        <wps:spPr>
                          <a:xfrm>
                            <a:off x="19" y="19"/>
                            <a:ext cx="4025" cy="2258"/>
                          </a:xfrm>
                          <a:prstGeom prst="rect">
                            <a:avLst/>
                          </a:prstGeom>
                          <a:noFill/>
                          <a:ln>
                            <a:noFill/>
                          </a:ln>
                          <a:effectLst/>
                        </wps:spPr>
                        <wps:txbx>
                          <w:txbxContent>
                            <w:p w14:paraId="294880C6">
                              <w:pPr>
                                <w:pStyle w:val="10"/>
                                <w:numPr>
                                  <w:ilvl w:val="0"/>
                                  <w:numId w:val="0"/>
                                </w:numPr>
                                <w:kinsoku w:val="0"/>
                                <w:overflowPunct w:val="0"/>
                                <w:spacing w:before="12"/>
                                <w:ind w:leftChars="0" w:right="0" w:rightChars="0"/>
                                <w:jc w:val="right"/>
                                <w:rPr>
                                  <w:rFonts w:hint="eastAsia"/>
                                  <w:sz w:val="28"/>
                                  <w:szCs w:val="28"/>
                                </w:rPr>
                              </w:pPr>
                            </w:p>
                            <w:p w14:paraId="4BD4665C">
                              <w:pPr>
                                <w:pStyle w:val="10"/>
                                <w:numPr>
                                  <w:ilvl w:val="0"/>
                                  <w:numId w:val="0"/>
                                </w:numPr>
                                <w:kinsoku w:val="0"/>
                                <w:overflowPunct w:val="0"/>
                                <w:ind w:right="0" w:rightChars="0"/>
                                <w:jc w:val="center"/>
                                <w:rPr>
                                  <w:rFonts w:hint="eastAsia"/>
                                </w:rPr>
                              </w:pPr>
                            </w:p>
                            <w:p w14:paraId="02C2C89A">
                              <w:pPr>
                                <w:pStyle w:val="10"/>
                                <w:numPr>
                                  <w:ilvl w:val="0"/>
                                  <w:numId w:val="0"/>
                                </w:numPr>
                                <w:kinsoku w:val="0"/>
                                <w:overflowPunct w:val="0"/>
                                <w:ind w:right="0" w:rightChars="0"/>
                                <w:jc w:val="center"/>
                              </w:pPr>
                              <w:r>
                                <w:rPr>
                                  <w:rFonts w:hint="eastAsia"/>
                                </w:rPr>
                                <w:t>法定代表人身份证复印件（正面）</w:t>
                              </w:r>
                            </w:p>
                            <w:p w14:paraId="644ADA4F">
                              <w:pPr>
                                <w:pStyle w:val="10"/>
                                <w:numPr>
                                  <w:ilvl w:val="0"/>
                                  <w:numId w:val="0"/>
                                </w:numPr>
                                <w:kinsoku w:val="0"/>
                                <w:overflowPunct w:val="0"/>
                                <w:ind w:right="0" w:rightChars="0"/>
                                <w:jc w:val="center"/>
                              </w:pPr>
                            </w:p>
                          </w:txbxContent>
                        </wps:txbx>
                        <wps:bodyPr lIns="0" tIns="0" rIns="0" bIns="0" upright="1"/>
                      </wps:wsp>
                      <wps:wsp>
                        <wps:cNvPr id="56" name="文本框 12"/>
                        <wps:cNvSpPr txBox="1"/>
                        <wps:spPr>
                          <a:xfrm>
                            <a:off x="4044" y="19"/>
                            <a:ext cx="4025" cy="2258"/>
                          </a:xfrm>
                          <a:prstGeom prst="rect">
                            <a:avLst/>
                          </a:prstGeom>
                          <a:noFill/>
                          <a:ln>
                            <a:noFill/>
                          </a:ln>
                          <a:effectLst/>
                        </wps:spPr>
                        <wps:txbx>
                          <w:txbxContent>
                            <w:p w14:paraId="56C7E08F">
                              <w:pPr>
                                <w:pStyle w:val="10"/>
                                <w:numPr>
                                  <w:ilvl w:val="0"/>
                                  <w:numId w:val="0"/>
                                </w:numPr>
                                <w:kinsoku w:val="0"/>
                                <w:overflowPunct w:val="0"/>
                                <w:ind w:right="0" w:rightChars="0"/>
                                <w:rPr>
                                  <w:rFonts w:hint="eastAsia"/>
                                </w:rPr>
                              </w:pPr>
                            </w:p>
                            <w:p w14:paraId="419AC1E6">
                              <w:pPr>
                                <w:pStyle w:val="10"/>
                                <w:numPr>
                                  <w:ilvl w:val="0"/>
                                  <w:numId w:val="0"/>
                                </w:numPr>
                                <w:kinsoku w:val="0"/>
                                <w:overflowPunct w:val="0"/>
                                <w:ind w:right="0" w:rightChars="0"/>
                                <w:rPr>
                                  <w:rFonts w:hint="eastAsia"/>
                                </w:rPr>
                              </w:pPr>
                            </w:p>
                            <w:p w14:paraId="7B6ED310">
                              <w:pPr>
                                <w:pStyle w:val="10"/>
                                <w:numPr>
                                  <w:ilvl w:val="0"/>
                                  <w:numId w:val="0"/>
                                </w:numPr>
                                <w:kinsoku w:val="0"/>
                                <w:overflowPunct w:val="0"/>
                                <w:ind w:right="0" w:rightChars="0"/>
                                <w:jc w:val="center"/>
                              </w:pPr>
                              <w:r>
                                <w:rPr>
                                  <w:rFonts w:hint="eastAsia"/>
                                </w:rPr>
                                <w:t>法定代表人身份证复印件（反面）</w:t>
                              </w:r>
                            </w:p>
                          </w:txbxContent>
                        </wps:txbx>
                        <wps:bodyPr lIns="0" tIns="0" rIns="0" bIns="0" upright="1"/>
                      </wps:wsp>
                    </wpg:wgp>
                  </a:graphicData>
                </a:graphic>
              </wp:inline>
            </w:drawing>
          </mc:Choice>
          <mc:Fallback>
            <w:pict>
              <v:group id="_x0000_s1026" o:spid="_x0000_s1026" o:spt="203" style="height:114.85pt;width:404.45pt;" coordsize="8089,2297" o:gfxdata="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">
                <o:lock v:ext="edit" rotation="t" aspectratio="f"/>
                <v:shape id="任意多边形 1" o:spid="_x0000_s1026" o:spt="100" style="position:absolute;left:4;top:9;height:20;width:8079;" filled="f" stroked="t" coordsize="8079,20" o:gfxdata="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4Qfqa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任意多边形 2" o:spid="_x0000_s1026" o:spt="100" style="position:absolute;left:24;top:28;height:20;width:8041;" filled="f" stroked="t" coordsize="8041,20" o:gfxdata="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Yq4t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3" o:spid="_x0000_s1026" o:spt="100" style="position:absolute;left:24;top:2267;height:20;width:8041;" filled="f" stroked="t" coordsize="8041,20" o:gfxdata="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sDBa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4" o:spid="_x0000_s1026" o:spt="100" style="position:absolute;left:4;top:2286;height:20;width:8079;" filled="f" stroked="t" coordsize="8079,20" o:gfxdata="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7C4NG8AAAA&#10;2wAAAA8AAAAAAAAAAQAgAAAAIgAAAGRycy9kb3ducmV2LnhtbFBLAQIUABQAAAAIAIdO4kAzLwWe&#10;OwAAADkAAAAQAAAAAAAAAAEAIAAAAAsBAABkcnMvc2hhcGV4bWwueG1sUEsFBgAAAAAGAAYAWwEA&#10;ALUDAAAAAA==&#10;" path="m0,0l8078,0e">
                  <v:fill on="f" focussize="0,0"/>
                  <v:stroke weight="0.48pt" color="#000000" joinstyle="round"/>
                  <v:imagedata o:title=""/>
                  <o:lock v:ext="edit" aspectratio="f"/>
                </v:shape>
                <v:shape id="任意多边形 5" o:spid="_x0000_s1026" o:spt="100" style="position:absolute;left:9;top:4;height:2287;width:20;" filled="f" stroked="t" coordsize="20,2287" o:gfxdata="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icNS8AAAA&#10;2wAAAA8AAAAAAAAAAQAgAAAAIgAAAGRycy9kb3ducmV2LnhtbFBLAQIUABQAAAAIAIdO4kAzLwWe&#10;OwAAADkAAAAQAAAAAAAAAAEAIAAAAAsBAABkcnMvc2hhcGV4bWwueG1sUEsFBgAAAAAGAAYAWwEA&#10;ALUDAAAAAA==&#10;" path="m0,0l0,2286e">
                  <v:fill on="f" focussize="0,0"/>
                  <v:stroke weight="0.48pt" color="#000000" joinstyle="round"/>
                  <v:imagedata o:title=""/>
                  <o:lock v:ext="edit" aspectratio="f"/>
                </v:shape>
                <v:shape id="任意多边形 6" o:spid="_x0000_s1026" o:spt="100" style="position:absolute;left:28;top:24;height:2249;width:20;" filled="f" stroked="t" coordsize="20,2249" o:gfxdata="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yZ068AAAA&#10;2wAAAA8AAAAAAAAAAQAgAAAAIgAAAGRycy9kb3ducmV2LnhtbFBLAQIUABQAAAAIAIdO4kAzLwWe&#10;OwAAADkAAAAQAAAAAAAAAAEAIAAAAAsBAABkcnMvc2hhcGV4bWwueG1sUEsFBgAAAAAGAAYAWwEA&#10;ALUDAAAAAA==&#10;" path="m0,0l0,2248e">
                  <v:fill on="f" focussize="0,0"/>
                  <v:stroke weight="0.48pt" color="#000000" joinstyle="round"/>
                  <v:imagedata o:title=""/>
                  <o:lock v:ext="edit" aspectratio="f"/>
                </v:shape>
                <v:shape id="任意多边形 7" o:spid="_x0000_s1026" o:spt="100" style="position:absolute;left:4034;top:24;height:2239;width:20;" filled="f" stroked="t" coordsize="20,2239" o:gfxdata="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yJHQugAAANs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任意多边形 8" o:spid="_x0000_s1026" o:spt="100" style="position:absolute;left:4053;top:24;height:2239;width:20;" filled="f" stroked="t" coordsize="20,2239" o:gfxdata="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waD6e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任意多边形 9" o:spid="_x0000_s1026" o:spt="100" style="position:absolute;left:8059;top:33;height:2239;width:20;" filled="f" stroked="t" coordsize="20,2239" o:gfxdata="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Vqo8ugAAANs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任意多边形 10" o:spid="_x0000_s1026" o:spt="100" style="position:absolute;left:8078;top:14;height:2278;width:20;" filled="f" stroked="t" coordsize="20,2278" o:gfxdata="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QGfRr4A&#10;AADbAAAADwAAAAAAAAABACAAAAAiAAAAZHJzL2Rvd25yZXYueG1sUEsBAhQAFAAAAAgAh07iQDMv&#10;BZ47AAAAOQAAABAAAAAAAAAAAQAgAAAADQEAAGRycy9zaGFwZXhtbC54bWxQSwUGAAAAAAYABgBb&#10;AQAAtwMAAAAA&#10;" path="m0,0l0,2277e">
                  <v:fill on="f" focussize="0,0"/>
                  <v:stroke weight="0.48pt" color="#000000" joinstyle="round"/>
                  <v:imagedata o:title=""/>
                  <o:lock v:ext="edit" aspectratio="f"/>
                </v:shape>
                <v:shape id="文本框 11" o:spid="_x0000_s1026" o:spt="202" type="#_x0000_t202" style="position:absolute;left:19;top:19;height:2258;width:4025;" filled="f" stroked="f" coordsize="21600,21600" o:gfxdata="UEsDBAoAAAAAAIdO4kAAAAAAAAAAAAAAAAAEAAAAZHJzL1BLAwQUAAAACACHTuJAjBfr4L4AAADb&#10;AAAADwAAAGRycy9kb3ducmV2LnhtbEWPzWrDMBCE74W+g9hCb42UQ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fr4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94880C6">
                        <w:pPr>
                          <w:pStyle w:val="10"/>
                          <w:numPr>
                            <w:ilvl w:val="0"/>
                            <w:numId w:val="0"/>
                          </w:numPr>
                          <w:kinsoku w:val="0"/>
                          <w:overflowPunct w:val="0"/>
                          <w:spacing w:before="12"/>
                          <w:ind w:leftChars="0" w:right="0" w:rightChars="0"/>
                          <w:jc w:val="right"/>
                          <w:rPr>
                            <w:rFonts w:hint="eastAsia"/>
                            <w:sz w:val="28"/>
                            <w:szCs w:val="28"/>
                          </w:rPr>
                        </w:pPr>
                      </w:p>
                      <w:p w14:paraId="4BD4665C">
                        <w:pPr>
                          <w:pStyle w:val="10"/>
                          <w:numPr>
                            <w:ilvl w:val="0"/>
                            <w:numId w:val="0"/>
                          </w:numPr>
                          <w:kinsoku w:val="0"/>
                          <w:overflowPunct w:val="0"/>
                          <w:ind w:right="0" w:rightChars="0"/>
                          <w:jc w:val="center"/>
                          <w:rPr>
                            <w:rFonts w:hint="eastAsia"/>
                          </w:rPr>
                        </w:pPr>
                      </w:p>
                      <w:p w14:paraId="02C2C89A">
                        <w:pPr>
                          <w:pStyle w:val="10"/>
                          <w:numPr>
                            <w:ilvl w:val="0"/>
                            <w:numId w:val="0"/>
                          </w:numPr>
                          <w:kinsoku w:val="0"/>
                          <w:overflowPunct w:val="0"/>
                          <w:ind w:right="0" w:rightChars="0"/>
                          <w:jc w:val="center"/>
                        </w:pPr>
                        <w:r>
                          <w:rPr>
                            <w:rFonts w:hint="eastAsia"/>
                          </w:rPr>
                          <w:t>法定代表人身份证复印件（正面）</w:t>
                        </w:r>
                      </w:p>
                      <w:p w14:paraId="644ADA4F">
                        <w:pPr>
                          <w:pStyle w:val="10"/>
                          <w:numPr>
                            <w:ilvl w:val="0"/>
                            <w:numId w:val="0"/>
                          </w:numPr>
                          <w:kinsoku w:val="0"/>
                          <w:overflowPunct w:val="0"/>
                          <w:ind w:right="0" w:rightChars="0"/>
                          <w:jc w:val="center"/>
                        </w:pPr>
                      </w:p>
                    </w:txbxContent>
                  </v:textbox>
                </v:shape>
                <v:shape id="文本框 12" o:spid="_x0000_s1026" o:spt="202" type="#_x0000_t202" style="position:absolute;left:4044;top:19;height:2258;width:4025;" filled="f" stroked="f" coordsize="21600,21600" o:gfxdata="UEsDBAoAAAAAAIdO4kAAAAAAAAAAAAAAAAAEAAAAZHJzL1BLAwQUAAAACACHTuJAfMV1l70AAADb&#10;AAAADwAAAGRycy9kb3ducmV2LnhtbEWPQWsCMRSE7wX/Q3hCbzWx0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xXW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6C7E08F">
                        <w:pPr>
                          <w:pStyle w:val="10"/>
                          <w:numPr>
                            <w:ilvl w:val="0"/>
                            <w:numId w:val="0"/>
                          </w:numPr>
                          <w:kinsoku w:val="0"/>
                          <w:overflowPunct w:val="0"/>
                          <w:ind w:right="0" w:rightChars="0"/>
                          <w:rPr>
                            <w:rFonts w:hint="eastAsia"/>
                          </w:rPr>
                        </w:pPr>
                      </w:p>
                      <w:p w14:paraId="419AC1E6">
                        <w:pPr>
                          <w:pStyle w:val="10"/>
                          <w:numPr>
                            <w:ilvl w:val="0"/>
                            <w:numId w:val="0"/>
                          </w:numPr>
                          <w:kinsoku w:val="0"/>
                          <w:overflowPunct w:val="0"/>
                          <w:ind w:right="0" w:rightChars="0"/>
                          <w:rPr>
                            <w:rFonts w:hint="eastAsia"/>
                          </w:rPr>
                        </w:pPr>
                      </w:p>
                      <w:p w14:paraId="7B6ED310">
                        <w:pPr>
                          <w:pStyle w:val="10"/>
                          <w:numPr>
                            <w:ilvl w:val="0"/>
                            <w:numId w:val="0"/>
                          </w:numPr>
                          <w:kinsoku w:val="0"/>
                          <w:overflowPunct w:val="0"/>
                          <w:ind w:right="0" w:rightChars="0"/>
                          <w:jc w:val="center"/>
                        </w:pPr>
                        <w:r>
                          <w:rPr>
                            <w:rFonts w:hint="eastAsia"/>
                          </w:rPr>
                          <w:t>法定代表人身份证复印件（反面）</w:t>
                        </w:r>
                      </w:p>
                    </w:txbxContent>
                  </v:textbox>
                </v:shape>
                <w10:wrap type="none"/>
                <w10:anchorlock/>
              </v:group>
            </w:pict>
          </mc:Fallback>
        </mc:AlternateContent>
      </w:r>
    </w:p>
    <w:p w14:paraId="79A77BE3">
      <w:pPr>
        <w:pStyle w:val="10"/>
        <w:numPr>
          <w:ilvl w:val="0"/>
          <w:numId w:val="0"/>
        </w:numPr>
        <w:kinsoku w:val="0"/>
        <w:overflowPunct w:val="0"/>
        <w:adjustRightInd w:val="0"/>
        <w:snapToGrid w:val="0"/>
        <w:spacing w:line="200" w:lineRule="atLeast"/>
        <w:ind w:right="0" w:rightChars="0"/>
        <w:rPr>
          <w:rFonts w:hint="eastAsia" w:ascii="宋体" w:hAnsi="宋体" w:eastAsia="宋体" w:cs="宋体"/>
          <w:color w:val="auto"/>
          <w:sz w:val="18"/>
          <w:szCs w:val="20"/>
          <w:highlight w:val="none"/>
        </w:rPr>
      </w:pPr>
      <w:r>
        <w:rPr>
          <w:rFonts w:hint="eastAsia" w:ascii="宋体" w:hAnsi="宋体" w:eastAsia="宋体" w:cs="宋体"/>
          <w:color w:val="auto"/>
          <w:sz w:val="18"/>
          <w:szCs w:val="20"/>
          <w:highlight w:val="none"/>
        </w:rPr>
        <mc:AlternateContent>
          <mc:Choice Requires="wpg">
            <w:drawing>
              <wp:inline distT="0" distB="0" distL="114300" distR="114300">
                <wp:extent cx="5136515" cy="1384935"/>
                <wp:effectExtent l="0" t="0" r="7620" b="6985"/>
                <wp:docPr id="36" name="组合 36"/>
                <wp:cNvGraphicFramePr/>
                <a:graphic xmlns:a="http://schemas.openxmlformats.org/drawingml/2006/main">
                  <a:graphicData uri="http://schemas.microsoft.com/office/word/2010/wordprocessingGroup">
                    <wpg:wgp>
                      <wpg:cNvGrpSpPr>
                        <a:grpSpLocks noRot="1"/>
                      </wpg:cNvGrpSpPr>
                      <wpg:grpSpPr>
                        <a:xfrm>
                          <a:off x="0" y="0"/>
                          <a:ext cx="5136515" cy="1384935"/>
                          <a:chOff x="0" y="0"/>
                          <a:chExt cx="8089" cy="2181"/>
                        </a:xfrm>
                        <a:effectLst/>
                      </wpg:grpSpPr>
                      <wps:wsp>
                        <wps:cNvPr id="37" name="任意多边形 3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38" name="任意多边形 3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9" name="任意多边形 36"/>
                        <wps:cNvSpPr/>
                        <wps:spPr>
                          <a:xfrm>
                            <a:off x="24" y="2151"/>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40" name="任意多边形 37"/>
                        <wps:cNvSpPr/>
                        <wps:spPr>
                          <a:xfrm>
                            <a:off x="4" y="2170"/>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41" name="任意多边形 38"/>
                        <wps:cNvSpPr/>
                        <wps:spPr>
                          <a:xfrm>
                            <a:off x="9" y="4"/>
                            <a:ext cx="20" cy="2171"/>
                          </a:xfrm>
                          <a:custGeom>
                            <a:avLst/>
                            <a:gdLst/>
                            <a:ahLst/>
                            <a:cxnLst/>
                            <a:pathLst>
                              <a:path w="20" h="2171">
                                <a:moveTo>
                                  <a:pt x="0" y="0"/>
                                </a:moveTo>
                                <a:lnTo>
                                  <a:pt x="0" y="2170"/>
                                </a:lnTo>
                              </a:path>
                            </a:pathLst>
                          </a:custGeom>
                          <a:noFill/>
                          <a:ln w="6096" cap="flat" cmpd="sng">
                            <a:solidFill>
                              <a:srgbClr val="000000"/>
                            </a:solidFill>
                            <a:prstDash val="solid"/>
                            <a:headEnd type="none" w="med" len="med"/>
                            <a:tailEnd type="none" w="med" len="med"/>
                          </a:ln>
                          <a:effectLst/>
                        </wps:spPr>
                        <wps:bodyPr upright="1"/>
                      </wps:wsp>
                      <wps:wsp>
                        <wps:cNvPr id="42" name="任意多边形 39"/>
                        <wps:cNvSpPr/>
                        <wps:spPr>
                          <a:xfrm>
                            <a:off x="28" y="24"/>
                            <a:ext cx="20" cy="2133"/>
                          </a:xfrm>
                          <a:custGeom>
                            <a:avLst/>
                            <a:gdLst/>
                            <a:ahLst/>
                            <a:cxnLst/>
                            <a:pathLst>
                              <a:path w="20" h="2133">
                                <a:moveTo>
                                  <a:pt x="0" y="0"/>
                                </a:moveTo>
                                <a:lnTo>
                                  <a:pt x="0" y="2132"/>
                                </a:lnTo>
                              </a:path>
                            </a:pathLst>
                          </a:custGeom>
                          <a:noFill/>
                          <a:ln w="6096" cap="flat" cmpd="sng">
                            <a:solidFill>
                              <a:srgbClr val="000000"/>
                            </a:solidFill>
                            <a:prstDash val="solid"/>
                            <a:headEnd type="none" w="med" len="med"/>
                            <a:tailEnd type="none" w="med" len="med"/>
                          </a:ln>
                          <a:effectLst/>
                        </wps:spPr>
                        <wps:bodyPr upright="1"/>
                      </wps:wsp>
                      <wps:wsp>
                        <wps:cNvPr id="43" name="任意多边形 40"/>
                        <wps:cNvSpPr/>
                        <wps:spPr>
                          <a:xfrm>
                            <a:off x="4034"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4" name="任意多边形 41"/>
                        <wps:cNvSpPr/>
                        <wps:spPr>
                          <a:xfrm>
                            <a:off x="4053"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5" name="任意多边形 42"/>
                        <wps:cNvSpPr/>
                        <wps:spPr>
                          <a:xfrm>
                            <a:off x="8059" y="33"/>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6" name="任意多边形 43"/>
                        <wps:cNvSpPr/>
                        <wps:spPr>
                          <a:xfrm>
                            <a:off x="8078" y="14"/>
                            <a:ext cx="20" cy="2162"/>
                          </a:xfrm>
                          <a:custGeom>
                            <a:avLst/>
                            <a:gdLst/>
                            <a:ahLst/>
                            <a:cxnLst/>
                            <a:pathLst>
                              <a:path w="20" h="2162">
                                <a:moveTo>
                                  <a:pt x="0" y="0"/>
                                </a:moveTo>
                                <a:lnTo>
                                  <a:pt x="0" y="2161"/>
                                </a:lnTo>
                              </a:path>
                            </a:pathLst>
                          </a:custGeom>
                          <a:noFill/>
                          <a:ln w="6096" cap="flat" cmpd="sng">
                            <a:solidFill>
                              <a:srgbClr val="000000"/>
                            </a:solidFill>
                            <a:prstDash val="solid"/>
                            <a:headEnd type="none" w="med" len="med"/>
                            <a:tailEnd type="none" w="med" len="med"/>
                          </a:ln>
                          <a:effectLst/>
                        </wps:spPr>
                        <wps:bodyPr upright="1"/>
                      </wps:wsp>
                      <wps:wsp>
                        <wps:cNvPr id="47" name="文本框 44"/>
                        <wps:cNvSpPr txBox="1"/>
                        <wps:spPr>
                          <a:xfrm>
                            <a:off x="19" y="19"/>
                            <a:ext cx="4025" cy="2142"/>
                          </a:xfrm>
                          <a:prstGeom prst="rect">
                            <a:avLst/>
                          </a:prstGeom>
                          <a:noFill/>
                          <a:ln>
                            <a:noFill/>
                          </a:ln>
                          <a:effectLst/>
                        </wps:spPr>
                        <wps:txbx>
                          <w:txbxContent>
                            <w:p w14:paraId="78870FF7">
                              <w:pPr>
                                <w:pStyle w:val="10"/>
                                <w:numPr>
                                  <w:ilvl w:val="0"/>
                                  <w:numId w:val="0"/>
                                </w:numPr>
                                <w:kinsoku w:val="0"/>
                                <w:overflowPunct w:val="0"/>
                                <w:ind w:right="0" w:rightChars="0"/>
                                <w:rPr>
                                  <w:rFonts w:hint="eastAsia"/>
                                </w:rPr>
                              </w:pPr>
                            </w:p>
                            <w:p w14:paraId="7E61AF7F">
                              <w:pPr>
                                <w:pStyle w:val="10"/>
                                <w:numPr>
                                  <w:ilvl w:val="0"/>
                                  <w:numId w:val="0"/>
                                </w:numPr>
                                <w:kinsoku w:val="0"/>
                                <w:overflowPunct w:val="0"/>
                                <w:ind w:right="0" w:rightChars="0"/>
                                <w:rPr>
                                  <w:rFonts w:hint="eastAsia"/>
                                </w:rPr>
                              </w:pPr>
                            </w:p>
                            <w:p w14:paraId="19F6314B">
                              <w:pPr>
                                <w:pStyle w:val="10"/>
                                <w:numPr>
                                  <w:ilvl w:val="0"/>
                                  <w:numId w:val="0"/>
                                </w:numPr>
                                <w:kinsoku w:val="0"/>
                                <w:overflowPunct w:val="0"/>
                                <w:ind w:right="0" w:rightChars="0"/>
                                <w:jc w:val="center"/>
                              </w:pPr>
                              <w:r>
                                <w:rPr>
                                  <w:rFonts w:hint="eastAsia"/>
                                </w:rPr>
                                <w:t>被授权代表身份证复印件（正面）</w:t>
                              </w:r>
                            </w:p>
                          </w:txbxContent>
                        </wps:txbx>
                        <wps:bodyPr lIns="0" tIns="0" rIns="0" bIns="0" upright="1"/>
                      </wps:wsp>
                      <wps:wsp>
                        <wps:cNvPr id="48" name="文本框 45"/>
                        <wps:cNvSpPr txBox="1"/>
                        <wps:spPr>
                          <a:xfrm>
                            <a:off x="4044" y="19"/>
                            <a:ext cx="4025" cy="2142"/>
                          </a:xfrm>
                          <a:prstGeom prst="rect">
                            <a:avLst/>
                          </a:prstGeom>
                          <a:noFill/>
                          <a:ln>
                            <a:noFill/>
                          </a:ln>
                          <a:effectLst/>
                        </wps:spPr>
                        <wps:txbx>
                          <w:txbxContent>
                            <w:p w14:paraId="01EB25F5">
                              <w:pPr>
                                <w:pStyle w:val="10"/>
                                <w:numPr>
                                  <w:ilvl w:val="0"/>
                                  <w:numId w:val="0"/>
                                </w:numPr>
                                <w:kinsoku w:val="0"/>
                                <w:overflowPunct w:val="0"/>
                                <w:ind w:right="0" w:rightChars="0"/>
                                <w:rPr>
                                  <w:rFonts w:hint="eastAsia"/>
                                </w:rPr>
                              </w:pPr>
                            </w:p>
                            <w:p w14:paraId="0A140FF1">
                              <w:pPr>
                                <w:pStyle w:val="10"/>
                                <w:numPr>
                                  <w:ilvl w:val="0"/>
                                  <w:numId w:val="0"/>
                                </w:numPr>
                                <w:kinsoku w:val="0"/>
                                <w:overflowPunct w:val="0"/>
                                <w:ind w:right="0" w:rightChars="0"/>
                                <w:rPr>
                                  <w:rFonts w:hint="eastAsia"/>
                                </w:rPr>
                              </w:pPr>
                            </w:p>
                            <w:p w14:paraId="06834846">
                              <w:pPr>
                                <w:pStyle w:val="10"/>
                                <w:numPr>
                                  <w:ilvl w:val="0"/>
                                  <w:numId w:val="0"/>
                                </w:numPr>
                                <w:kinsoku w:val="0"/>
                                <w:overflowPunct w:val="0"/>
                                <w:ind w:right="0" w:rightChars="0"/>
                                <w:jc w:val="center"/>
                              </w:pPr>
                              <w:r>
                                <w:rPr>
                                  <w:rFonts w:hint="eastAsia"/>
                                </w:rPr>
                                <w:t>被授权代表身份证复印件（反面）</w:t>
                              </w:r>
                            </w:p>
                          </w:txbxContent>
                        </wps:txbx>
                        <wps:bodyPr lIns="0" tIns="0" rIns="0" bIns="0" upright="1"/>
                      </wps:wsp>
                    </wpg:wgp>
                  </a:graphicData>
                </a:graphic>
              </wp:inline>
            </w:drawing>
          </mc:Choice>
          <mc:Fallback>
            <w:pict>
              <v:group id="_x0000_s1026" o:spid="_x0000_s1026" o:spt="203" style="height:109.05pt;width:404.45pt;" coordsize="8089,2181" o:gfxdata="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">
                <o:lock v:ext="edit" rotation="t" aspectratio="f"/>
                <v:shape id="任意多边形 34" o:spid="_x0000_s1026" o:spt="100" style="position:absolute;left:4;top:9;height:20;width:8079;" filled="f" stroked="t" coordsize="8079,20" o:gfxdata="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ebSvQAA&#10;ANsAAAAPAAAAAAAAAAEAIAAAACIAAABkcnMvZG93bnJldi54bWxQSwECFAAUAAAACACHTuJAMy8F&#10;njsAAAA5AAAAEAAAAAAAAAABACAAAAAMAQAAZHJzL3NoYXBleG1sLnhtbFBLBQYAAAAABgAGAFsB&#10;AAC2AwAAAAA=&#10;" path="m0,0l8078,0e">
                  <v:fill on="f" focussize="0,0"/>
                  <v:stroke weight="0.48pt" color="#000000" joinstyle="round"/>
                  <v:imagedata o:title=""/>
                  <o:lock v:ext="edit" aspectratio="f"/>
                </v:shape>
                <v:shape id="任意多边形 35" o:spid="_x0000_s1026" o:spt="100" style="position:absolute;left:24;top:28;height:20;width:8041;" filled="f" stroked="t" coordsize="8041,20" o:gfxdata="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WAew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36" o:spid="_x0000_s1026" o:spt="100" style="position:absolute;left:24;top:2151;height:20;width:8041;" filled="f" stroked="t" coordsize="8041,20" o:gfxdata="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FKIr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37" o:spid="_x0000_s1026" o:spt="100" style="position:absolute;left:4;top:2170;height:20;width:8079;" filled="f" stroked="t" coordsize="8079,20" o:gfxdata="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WDdu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任意多边形 38" o:spid="_x0000_s1026" o:spt="100" style="position:absolute;left:9;top:4;height:2171;width:20;" filled="f" stroked="t" coordsize="20,2171" o:gfxdata="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GrYT7sAAADb&#10;AAAADwAAAAAAAAABACAAAAAiAAAAZHJzL2Rvd25yZXYueG1sUEsBAhQAFAAAAAgAh07iQDMvBZ47&#10;AAAAOQAAABAAAAAAAAAAAQAgAAAACgEAAGRycy9zaGFwZXhtbC54bWxQSwUGAAAAAAYABgBbAQAA&#10;tAMAAAAA&#10;" path="m0,0l0,2170e">
                  <v:fill on="f" focussize="0,0"/>
                  <v:stroke weight="0.48pt" color="#000000" joinstyle="round"/>
                  <v:imagedata o:title=""/>
                  <o:lock v:ext="edit" aspectratio="f"/>
                </v:shape>
                <v:shape id="任意多边形 39" o:spid="_x0000_s1026" o:spt="100" style="position:absolute;left:28;top:24;height:2133;width:20;" filled="f" stroked="t" coordsize="20,2133" o:gfxdata="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3Uk7y/&#10;AAAA2wAAAA8AAAAAAAAAAQAgAAAAIgAAAGRycy9kb3ducmV2LnhtbFBLAQIUABQAAAAIAIdO4kAz&#10;LwWeOwAAADkAAAAQAAAAAAAAAAEAIAAAAA4BAABkcnMvc2hhcGV4bWwueG1sUEsFBgAAAAAGAAYA&#10;WwEAALgDAAAAAA==&#10;" path="m0,0l0,2132e">
                  <v:fill on="f" focussize="0,0"/>
                  <v:stroke weight="0.48pt" color="#000000" joinstyle="round"/>
                  <v:imagedata o:title=""/>
                  <o:lock v:ext="edit" aspectratio="f"/>
                </v:shape>
                <v:shape id="任意多边形 40" o:spid="_x0000_s1026" o:spt="100" style="position:absolute;left:4034;top:24;height:2123;width:20;" filled="f" stroked="t" coordsize="20,2123" o:gfxdata="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1HbS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1" o:spid="_x0000_s1026" o:spt="100" style="position:absolute;left:4053;top:24;height:2123;width:20;" filled="f" stroked="t" coordsize="20,2123" o:gfxdata="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chcC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2" o:spid="_x0000_s1026" o:spt="100" style="position:absolute;left:8059;top:33;height:2123;width:20;" filled="f" stroked="t" coordsize="20,2123" o:gfxdata="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QIFu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3" o:spid="_x0000_s1026" o:spt="100" style="position:absolute;left:8078;top:14;height:2162;width:20;" filled="f" stroked="t" coordsize="20,2162" o:gfxdata="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2cm0ztwAAANsAAAAP&#10;AAAAAAAAAAEAIAAAACIAAABkcnMvZG93bnJldi54bWxQSwECFAAUAAAACACHTuJAMy8FnjsAAAA5&#10;AAAAEAAAAAAAAAABACAAAAAGAQAAZHJzL3NoYXBleG1sLnhtbFBLBQYAAAAABgAGAFsBAACwAwAA&#10;AAA=&#10;" path="m0,0l0,2161e">
                  <v:fill on="f" focussize="0,0"/>
                  <v:stroke weight="0.48pt" color="#000000" joinstyle="round"/>
                  <v:imagedata o:title=""/>
                  <o:lock v:ext="edit" aspectratio="f"/>
                </v:shape>
                <v:shape id="文本框 44" o:spid="_x0000_s1026" o:spt="202" type="#_x0000_t202" style="position:absolute;left:19;top:19;height:2142;width:4025;"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8870FF7">
                        <w:pPr>
                          <w:pStyle w:val="10"/>
                          <w:numPr>
                            <w:ilvl w:val="0"/>
                            <w:numId w:val="0"/>
                          </w:numPr>
                          <w:kinsoku w:val="0"/>
                          <w:overflowPunct w:val="0"/>
                          <w:ind w:right="0" w:rightChars="0"/>
                          <w:rPr>
                            <w:rFonts w:hint="eastAsia"/>
                          </w:rPr>
                        </w:pPr>
                      </w:p>
                      <w:p w14:paraId="7E61AF7F">
                        <w:pPr>
                          <w:pStyle w:val="10"/>
                          <w:numPr>
                            <w:ilvl w:val="0"/>
                            <w:numId w:val="0"/>
                          </w:numPr>
                          <w:kinsoku w:val="0"/>
                          <w:overflowPunct w:val="0"/>
                          <w:ind w:right="0" w:rightChars="0"/>
                          <w:rPr>
                            <w:rFonts w:hint="eastAsia"/>
                          </w:rPr>
                        </w:pPr>
                      </w:p>
                      <w:p w14:paraId="19F6314B">
                        <w:pPr>
                          <w:pStyle w:val="10"/>
                          <w:numPr>
                            <w:ilvl w:val="0"/>
                            <w:numId w:val="0"/>
                          </w:numPr>
                          <w:kinsoku w:val="0"/>
                          <w:overflowPunct w:val="0"/>
                          <w:ind w:right="0" w:rightChars="0"/>
                          <w:jc w:val="center"/>
                        </w:pPr>
                        <w:r>
                          <w:rPr>
                            <w:rFonts w:hint="eastAsia"/>
                          </w:rPr>
                          <w:t>被授权代表身份证复印件（正面）</w:t>
                        </w:r>
                      </w:p>
                    </w:txbxContent>
                  </v:textbox>
                </v:shape>
                <v:shape id="文本框 45" o:spid="_x0000_s1026" o:spt="202" type="#_x0000_t202" style="position:absolute;left:4044;top:19;height:2142;width:4025;" filled="f" stroked="f" coordsize="21600,21600" o:gfxdata="UEsDBAoAAAAAAIdO4kAAAAAAAAAAAAAAAAAEAAAAZHJzL1BLAwQUAAAACACHTuJA58/So7oAAADb&#10;AAAADwAAAGRycy9kb3ducmV2LnhtbEVPy2oCMRTdF/yHcAvd1UQp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9K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1EB25F5">
                        <w:pPr>
                          <w:pStyle w:val="10"/>
                          <w:numPr>
                            <w:ilvl w:val="0"/>
                            <w:numId w:val="0"/>
                          </w:numPr>
                          <w:kinsoku w:val="0"/>
                          <w:overflowPunct w:val="0"/>
                          <w:ind w:right="0" w:rightChars="0"/>
                          <w:rPr>
                            <w:rFonts w:hint="eastAsia"/>
                          </w:rPr>
                        </w:pPr>
                      </w:p>
                      <w:p w14:paraId="0A140FF1">
                        <w:pPr>
                          <w:pStyle w:val="10"/>
                          <w:numPr>
                            <w:ilvl w:val="0"/>
                            <w:numId w:val="0"/>
                          </w:numPr>
                          <w:kinsoku w:val="0"/>
                          <w:overflowPunct w:val="0"/>
                          <w:ind w:right="0" w:rightChars="0"/>
                          <w:rPr>
                            <w:rFonts w:hint="eastAsia"/>
                          </w:rPr>
                        </w:pPr>
                      </w:p>
                      <w:p w14:paraId="06834846">
                        <w:pPr>
                          <w:pStyle w:val="10"/>
                          <w:numPr>
                            <w:ilvl w:val="0"/>
                            <w:numId w:val="0"/>
                          </w:numPr>
                          <w:kinsoku w:val="0"/>
                          <w:overflowPunct w:val="0"/>
                          <w:ind w:right="0" w:rightChars="0"/>
                          <w:jc w:val="center"/>
                        </w:pPr>
                        <w:r>
                          <w:rPr>
                            <w:rFonts w:hint="eastAsia"/>
                          </w:rPr>
                          <w:t>被授权代表身份证复印件（反面）</w:t>
                        </w:r>
                      </w:p>
                    </w:txbxContent>
                  </v:textbox>
                </v:shape>
                <w10:wrap type="none"/>
                <w10:anchorlock/>
              </v:group>
            </w:pict>
          </mc:Fallback>
        </mc:AlternateContent>
      </w:r>
    </w:p>
    <w:p w14:paraId="618D0F84">
      <w:pPr>
        <w:pStyle w:val="10"/>
        <w:numPr>
          <w:ilvl w:val="0"/>
          <w:numId w:val="0"/>
        </w:numPr>
        <w:tabs>
          <w:tab w:val="left" w:pos="5295"/>
        </w:tabs>
        <w:kinsoku w:val="0"/>
        <w:overflowPunct w:val="0"/>
        <w:adjustRightInd w:val="0"/>
        <w:snapToGrid w:val="0"/>
        <w:spacing w:line="360" w:lineRule="auto"/>
        <w:ind w:left="709" w:leftChars="0" w:right="0" w:rightChars="0"/>
        <w:rPr>
          <w:rFonts w:hint="eastAsia" w:ascii="宋体" w:hAnsi="宋体" w:eastAsia="宋体" w:cs="宋体"/>
          <w:color w:val="auto"/>
          <w:sz w:val="24"/>
          <w:highlight w:val="none"/>
        </w:rPr>
      </w:pPr>
    </w:p>
    <w:p w14:paraId="00EC8F80">
      <w:pPr>
        <w:pStyle w:val="13"/>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exact"/>
        <w:ind w:firstLine="49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投标人（盖单位章）;</w:t>
      </w:r>
      <w:r>
        <w:rPr>
          <w:rFonts w:hint="eastAsia" w:ascii="宋体" w:hAnsi="宋体" w:eastAsia="宋体" w:cs="宋体"/>
          <w:color w:val="auto"/>
          <w:sz w:val="24"/>
          <w:szCs w:val="24"/>
          <w:highlight w:val="none"/>
          <w:u w:val="single"/>
        </w:rPr>
        <w:t xml:space="preserve">                           </w:t>
      </w:r>
    </w:p>
    <w:p w14:paraId="14AB7FDC">
      <w:pPr>
        <w:pStyle w:val="13"/>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exact"/>
        <w:ind w:firstLine="49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r>
        <w:rPr>
          <w:rFonts w:hint="eastAsia" w:ascii="宋体" w:hAnsi="宋体" w:eastAsia="宋体" w:cs="宋体"/>
          <w:color w:val="auto"/>
          <w:sz w:val="24"/>
          <w:szCs w:val="24"/>
          <w:highlight w:val="none"/>
          <w:u w:val="single"/>
        </w:rPr>
        <w:t xml:space="preserve">                     </w:t>
      </w:r>
    </w:p>
    <w:p w14:paraId="622AF1F5">
      <w:pPr>
        <w:pStyle w:val="13"/>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exact"/>
        <w:ind w:firstLine="49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委托代理人（签字或盖章）：</w:t>
      </w:r>
      <w:r>
        <w:rPr>
          <w:rFonts w:hint="eastAsia" w:ascii="宋体" w:hAnsi="宋体" w:eastAsia="宋体" w:cs="宋体"/>
          <w:color w:val="auto"/>
          <w:sz w:val="24"/>
          <w:szCs w:val="24"/>
          <w:highlight w:val="none"/>
          <w:u w:val="single"/>
        </w:rPr>
        <w:t xml:space="preserve">                                   </w:t>
      </w:r>
    </w:p>
    <w:p w14:paraId="4D0EC770">
      <w:pPr>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490" w:firstLineChars="200"/>
        <w:jc w:val="left"/>
        <w:textAlignment w:val="auto"/>
        <w:rPr>
          <w:rFonts w:hint="eastAsia" w:ascii="宋体" w:hAnsi="宋体" w:eastAsia="宋体" w:cs="宋体"/>
          <w:color w:val="auto"/>
          <w:kern w:val="2"/>
          <w:sz w:val="24"/>
          <w:szCs w:val="24"/>
          <w:highlight w:val="none"/>
          <w:u w:val="none" w:color="000000"/>
          <w:lang w:val="en-US" w:eastAsia="zh-CN" w:bidi="ar-SA"/>
        </w:rPr>
      </w:pPr>
      <w:r>
        <w:rPr>
          <w:rFonts w:hint="eastAsia" w:ascii="宋体" w:hAnsi="宋体" w:eastAsia="宋体" w:cs="宋体"/>
          <w:color w:val="auto"/>
          <w:kern w:val="2"/>
          <w:sz w:val="24"/>
          <w:szCs w:val="24"/>
          <w:highlight w:val="none"/>
          <w:u w:val="none" w:color="000000"/>
          <w:lang w:val="en-US" w:eastAsia="zh-CN" w:bidi="ar-SA"/>
        </w:rPr>
        <w:t xml:space="preserve">年   月   日 </w:t>
      </w:r>
    </w:p>
    <w:p w14:paraId="1E4AFB0A">
      <w:pPr>
        <w:shd w:val="clear" w:color="auto" w:fill="auto"/>
        <w:spacing w:line="360" w:lineRule="auto"/>
        <w:ind w:firstLine="450" w:firstLineChars="200"/>
        <w:jc w:val="left"/>
        <w:rPr>
          <w:rFonts w:hint="eastAsia" w:ascii="宋体" w:hAnsi="宋体" w:eastAsia="宋体" w:cs="宋体"/>
          <w:color w:val="auto"/>
          <w:kern w:val="2"/>
          <w:sz w:val="22"/>
          <w:szCs w:val="18"/>
          <w:highlight w:val="none"/>
          <w:u w:val="none" w:color="000000"/>
          <w:lang w:val="en-US" w:eastAsia="zh-CN" w:bidi="ar-SA"/>
        </w:rPr>
      </w:pPr>
    </w:p>
    <w:p w14:paraId="20DC52D0">
      <w:pPr>
        <w:pStyle w:val="3"/>
        <w:numPr>
          <w:ilvl w:val="0"/>
          <w:numId w:val="0"/>
        </w:numPr>
        <w:shd w:val="clear" w:color="auto" w:fill="auto"/>
        <w:spacing w:before="0" w:line="240" w:lineRule="atLeast"/>
        <w:ind w:leftChars="257"/>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bookmarkStart w:id="157" w:name="_Toc26357"/>
    </w:p>
    <w:p w14:paraId="4382377A">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eastAsia="zh-CN"/>
        </w:rPr>
      </w:pPr>
      <w:bookmarkStart w:id="158" w:name="_Toc2622"/>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lang w:eastAsia="zh-CN"/>
        </w:rPr>
        <w:t>、</w:t>
      </w:r>
      <w:bookmarkEnd w:id="147"/>
      <w:bookmarkEnd w:id="148"/>
      <w:bookmarkEnd w:id="149"/>
      <w:bookmarkEnd w:id="157"/>
      <w:bookmarkEnd w:id="158"/>
      <w:r>
        <w:rPr>
          <w:rFonts w:hint="eastAsia" w:ascii="宋体" w:hAnsi="宋体" w:eastAsia="宋体" w:cs="宋体"/>
          <w:b/>
          <w:bCs/>
          <w:color w:val="auto"/>
          <w:sz w:val="24"/>
          <w:highlight w:val="none"/>
          <w:lang w:val="en-US" w:eastAsia="zh-CN"/>
        </w:rPr>
        <w:t>投标保证金汇款凭证或保函等票据</w:t>
      </w:r>
    </w:p>
    <w:p w14:paraId="3E633B46">
      <w:pPr>
        <w:shd w:val="clear" w:color="auto" w:fill="auto"/>
        <w:ind w:firstLine="430" w:firstLineChars="200"/>
        <w:rPr>
          <w:rFonts w:hint="eastAsia" w:ascii="宋体" w:hAnsi="宋体" w:eastAsia="宋体" w:cs="宋体"/>
          <w:color w:val="auto"/>
          <w:sz w:val="21"/>
          <w:szCs w:val="21"/>
          <w:highlight w:val="none"/>
        </w:rPr>
      </w:pPr>
      <w:bookmarkStart w:id="159" w:name="_Toc494296991"/>
      <w:bookmarkStart w:id="160" w:name="_Toc494296665"/>
    </w:p>
    <w:p w14:paraId="26EA32F7">
      <w:pPr>
        <w:shd w:val="clear" w:color="auto" w:fill="auto"/>
        <w:spacing w:line="360" w:lineRule="auto"/>
        <w:ind w:firstLine="43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可将本项目投标保证金支付的汇款凭证、支票、汇票或保证金收据（如有）的复印件作为缴纳凭证及投标保证金收据一起装订在本部分，复印件上应加盖本单位章；使用银行保函等其他投标担保函的，应将担保函正本，装订在本部分正本中；如采用政府采购信用担保形式的，应使用（</w:t>
      </w:r>
      <w:r>
        <w:rPr>
          <w:rFonts w:hint="eastAsia" w:ascii="宋体" w:hAnsi="宋体" w:eastAsia="宋体" w:cs="宋体"/>
          <w:color w:val="auto"/>
          <w:sz w:val="21"/>
          <w:szCs w:val="21"/>
          <w:highlight w:val="none"/>
          <w:lang w:val="en-US" w:eastAsia="zh-CN"/>
        </w:rPr>
        <w:t>下述</w:t>
      </w:r>
      <w:r>
        <w:rPr>
          <w:rFonts w:hint="eastAsia" w:ascii="宋体" w:hAnsi="宋体" w:eastAsia="宋体" w:cs="宋体"/>
          <w:color w:val="auto"/>
          <w:sz w:val="21"/>
          <w:szCs w:val="21"/>
          <w:highlight w:val="none"/>
        </w:rPr>
        <w:t>投标担保函</w:t>
      </w:r>
      <w:r>
        <w:rPr>
          <w:rFonts w:hint="eastAsia" w:ascii="宋体" w:hAnsi="宋体" w:eastAsia="宋体" w:cs="宋体"/>
          <w:color w:val="auto"/>
          <w:sz w:val="21"/>
          <w:szCs w:val="21"/>
          <w:highlight w:val="none"/>
          <w:lang w:val="en-US" w:eastAsia="zh-CN"/>
        </w:rPr>
        <w:t>格式</w:t>
      </w:r>
      <w:r>
        <w:rPr>
          <w:rFonts w:hint="eastAsia" w:ascii="宋体" w:hAnsi="宋体" w:eastAsia="宋体" w:cs="宋体"/>
          <w:color w:val="auto"/>
          <w:sz w:val="21"/>
          <w:szCs w:val="21"/>
          <w:highlight w:val="none"/>
        </w:rPr>
        <w:t xml:space="preserve"> ）,将原件装订在本部分正本中。</w:t>
      </w:r>
      <w:bookmarkEnd w:id="159"/>
      <w:bookmarkEnd w:id="160"/>
    </w:p>
    <w:p w14:paraId="27ED20D5">
      <w:pPr>
        <w:pStyle w:val="6"/>
        <w:shd w:val="clear" w:color="auto" w:fill="auto"/>
        <w:spacing w:line="360" w:lineRule="auto"/>
        <w:rPr>
          <w:rFonts w:hint="eastAsia" w:ascii="宋体" w:hAnsi="宋体" w:eastAsia="宋体" w:cs="宋体"/>
          <w:color w:val="auto"/>
          <w:highlight w:val="none"/>
        </w:rPr>
      </w:pPr>
    </w:p>
    <w:tbl>
      <w:tblPr>
        <w:tblStyle w:val="29"/>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0982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vAlign w:val="top"/>
          </w:tcPr>
          <w:p w14:paraId="6E52E104">
            <w:pPr>
              <w:shd w:val="clear" w:color="auto" w:fill="auto"/>
              <w:jc w:val="both"/>
              <w:rPr>
                <w:rFonts w:hint="eastAsia" w:ascii="宋体" w:hAnsi="宋体" w:eastAsia="宋体" w:cs="宋体"/>
                <w:b/>
                <w:bCs/>
                <w:color w:val="auto"/>
                <w:sz w:val="30"/>
                <w:szCs w:val="30"/>
                <w:highlight w:val="none"/>
              </w:rPr>
            </w:pPr>
          </w:p>
          <w:p w14:paraId="7C2BE305">
            <w:pPr>
              <w:shd w:val="clear" w:color="auto" w:fill="auto"/>
              <w:jc w:val="center"/>
              <w:rPr>
                <w:rFonts w:hint="eastAsia" w:ascii="宋体" w:hAnsi="宋体" w:eastAsia="宋体" w:cs="宋体"/>
                <w:b/>
                <w:bCs/>
                <w:color w:val="auto"/>
                <w:sz w:val="30"/>
                <w:szCs w:val="30"/>
                <w:highlight w:val="none"/>
              </w:rPr>
            </w:pPr>
          </w:p>
          <w:p w14:paraId="11785D5E">
            <w:pPr>
              <w:shd w:val="clear" w:color="auto" w:fill="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val="en-US" w:eastAsia="zh-CN"/>
              </w:rPr>
              <w:t>投标保证金汇款凭证</w:t>
            </w:r>
          </w:p>
          <w:p w14:paraId="756B4EF7">
            <w:pPr>
              <w:shd w:val="clear" w:color="auto" w:fill="auto"/>
              <w:jc w:val="center"/>
              <w:rPr>
                <w:rFonts w:hint="eastAsia" w:ascii="宋体" w:hAnsi="宋体" w:eastAsia="宋体" w:cs="宋体"/>
                <w:b/>
                <w:bCs/>
                <w:color w:val="auto"/>
                <w:sz w:val="30"/>
                <w:szCs w:val="30"/>
                <w:highlight w:val="none"/>
              </w:rPr>
            </w:pPr>
          </w:p>
        </w:tc>
      </w:tr>
    </w:tbl>
    <w:p w14:paraId="220D949B">
      <w:pPr>
        <w:pStyle w:val="6"/>
        <w:shd w:val="clear" w:color="auto" w:fill="auto"/>
        <w:rPr>
          <w:rFonts w:hint="eastAsia" w:ascii="宋体" w:hAnsi="宋体" w:eastAsia="宋体" w:cs="宋体"/>
          <w:color w:val="auto"/>
          <w:highlight w:val="none"/>
        </w:rPr>
      </w:pPr>
    </w:p>
    <w:p w14:paraId="6A56CEF8">
      <w:pPr>
        <w:shd w:val="clear" w:color="auto" w:fill="auto"/>
        <w:spacing w:line="240" w:lineRule="atLeast"/>
        <w:ind w:left="1092" w:leftChars="257" w:hanging="540"/>
        <w:jc w:val="center"/>
        <w:rPr>
          <w:rFonts w:hint="eastAsia" w:ascii="宋体" w:hAnsi="宋体" w:eastAsia="宋体" w:cs="宋体"/>
          <w:color w:val="auto"/>
          <w:sz w:val="24"/>
          <w:highlight w:val="none"/>
        </w:rPr>
      </w:pPr>
    </w:p>
    <w:p w14:paraId="23A1FDD6">
      <w:pPr>
        <w:shd w:val="clear" w:color="auto" w:fill="auto"/>
        <w:rPr>
          <w:rFonts w:hint="eastAsia" w:ascii="宋体" w:hAnsi="宋体" w:eastAsia="宋体" w:cs="宋体"/>
          <w:color w:val="auto"/>
          <w:sz w:val="28"/>
          <w:szCs w:val="28"/>
          <w:highlight w:val="none"/>
        </w:rPr>
      </w:pPr>
    </w:p>
    <w:p w14:paraId="11A9AEEC">
      <w:pPr>
        <w:shd w:val="clear" w:color="auto" w:fill="auto"/>
        <w:jc w:val="both"/>
        <w:rPr>
          <w:rFonts w:hint="eastAsia" w:ascii="宋体" w:hAnsi="宋体" w:eastAsia="宋体" w:cs="宋体"/>
          <w:color w:val="auto"/>
          <w:sz w:val="28"/>
          <w:szCs w:val="28"/>
          <w:highlight w:val="none"/>
        </w:rPr>
      </w:pPr>
    </w:p>
    <w:p w14:paraId="5872E50A">
      <w:pPr>
        <w:pStyle w:val="4"/>
        <w:rPr>
          <w:rFonts w:hint="eastAsia" w:ascii="宋体" w:hAnsi="宋体" w:eastAsia="宋体" w:cs="宋体"/>
          <w:color w:val="auto"/>
          <w:sz w:val="28"/>
          <w:szCs w:val="28"/>
          <w:highlight w:val="none"/>
        </w:rPr>
      </w:pPr>
    </w:p>
    <w:p w14:paraId="687EEA1B">
      <w:pPr>
        <w:rPr>
          <w:rFonts w:hint="eastAsia" w:ascii="宋体" w:hAnsi="宋体" w:eastAsia="宋体" w:cs="宋体"/>
          <w:color w:val="auto"/>
          <w:sz w:val="28"/>
          <w:szCs w:val="28"/>
          <w:highlight w:val="none"/>
        </w:rPr>
      </w:pPr>
    </w:p>
    <w:p w14:paraId="30DDAC12">
      <w:pPr>
        <w:pStyle w:val="4"/>
        <w:rPr>
          <w:rFonts w:hint="eastAsia" w:ascii="宋体" w:hAnsi="宋体" w:eastAsia="宋体" w:cs="宋体"/>
          <w:color w:val="auto"/>
          <w:sz w:val="28"/>
          <w:szCs w:val="28"/>
          <w:highlight w:val="none"/>
        </w:rPr>
      </w:pPr>
    </w:p>
    <w:p w14:paraId="3F602913">
      <w:pPr>
        <w:pStyle w:val="22"/>
        <w:rPr>
          <w:rFonts w:hint="eastAsia"/>
          <w:color w:val="auto"/>
          <w:highlight w:val="none"/>
        </w:rPr>
      </w:pPr>
    </w:p>
    <w:p w14:paraId="2FD4B63F">
      <w:pPr>
        <w:rPr>
          <w:rFonts w:hint="eastAsia"/>
          <w:color w:val="auto"/>
          <w:highlight w:val="none"/>
        </w:rPr>
      </w:pPr>
    </w:p>
    <w:p w14:paraId="7F385A32">
      <w:pPr>
        <w:pStyle w:val="22"/>
        <w:rPr>
          <w:rFonts w:hint="eastAsia"/>
          <w:color w:val="auto"/>
          <w:highlight w:val="none"/>
        </w:rPr>
      </w:pPr>
    </w:p>
    <w:p w14:paraId="038BB197">
      <w:pPr>
        <w:rPr>
          <w:rFonts w:hint="eastAsia"/>
          <w:color w:val="auto"/>
          <w:highlight w:val="none"/>
        </w:rPr>
      </w:pPr>
    </w:p>
    <w:p w14:paraId="36798E3F">
      <w:pPr>
        <w:pStyle w:val="22"/>
        <w:rPr>
          <w:rFonts w:hint="eastAsia"/>
          <w:color w:val="auto"/>
          <w:highlight w:val="none"/>
        </w:rPr>
      </w:pPr>
    </w:p>
    <w:p w14:paraId="2A7C87AA">
      <w:pPr>
        <w:rPr>
          <w:rFonts w:hint="eastAsia"/>
          <w:color w:val="auto"/>
          <w:highlight w:val="none"/>
        </w:rPr>
      </w:pPr>
    </w:p>
    <w:p w14:paraId="713B1FB9">
      <w:pPr>
        <w:shd w:val="clear" w:color="auto" w:fill="auto"/>
        <w:jc w:val="center"/>
        <w:rPr>
          <w:rFonts w:hint="eastAsia" w:ascii="宋体" w:hAnsi="宋体" w:eastAsia="宋体" w:cs="宋体"/>
          <w:b/>
          <w:bCs/>
          <w:color w:val="auto"/>
          <w:kern w:val="0"/>
          <w:sz w:val="24"/>
          <w:szCs w:val="20"/>
          <w:highlight w:val="none"/>
          <w:lang w:val="en-US" w:eastAsia="zh-CN" w:bidi="ar-SA"/>
        </w:rPr>
      </w:pPr>
      <w:r>
        <w:rPr>
          <w:rFonts w:hint="eastAsia" w:ascii="宋体" w:hAnsi="宋体" w:eastAsia="宋体" w:cs="宋体"/>
          <w:b/>
          <w:bCs/>
          <w:color w:val="auto"/>
          <w:kern w:val="0"/>
          <w:sz w:val="24"/>
          <w:szCs w:val="20"/>
          <w:highlight w:val="none"/>
          <w:lang w:val="en-US" w:eastAsia="zh-CN" w:bidi="ar-SA"/>
        </w:rPr>
        <w:t>政府采购投标担保函 （项目用）</w:t>
      </w:r>
    </w:p>
    <w:p w14:paraId="5E0C9D79">
      <w:pPr>
        <w:pStyle w:val="4"/>
        <w:ind w:firstLine="430" w:firstLineChars="200"/>
        <w:rPr>
          <w:rFonts w:hint="default" w:ascii="宋体" w:hAnsi="宋体" w:eastAsia="宋体" w:cs="宋体"/>
          <w:b w:val="0"/>
          <w:bCs w:val="0"/>
          <w:color w:val="auto"/>
          <w:kern w:val="2"/>
          <w:sz w:val="21"/>
          <w:szCs w:val="21"/>
          <w:highlight w:val="none"/>
          <w:u w:val="none"/>
          <w:lang w:val="en-US" w:eastAsia="zh-CN" w:bidi="ar-SA"/>
        </w:rPr>
      </w:pPr>
      <w:r>
        <w:rPr>
          <w:rFonts w:hint="eastAsia" w:ascii="宋体" w:hAnsi="宋体" w:cs="宋体"/>
          <w:b w:val="0"/>
          <w:bCs w:val="0"/>
          <w:color w:val="auto"/>
          <w:kern w:val="2"/>
          <w:sz w:val="21"/>
          <w:szCs w:val="21"/>
          <w:highlight w:val="none"/>
          <w:u w:val="none"/>
          <w:lang w:val="en-US" w:eastAsia="zh-CN" w:bidi="ar-SA"/>
        </w:rPr>
        <w:t>注：</w:t>
      </w:r>
      <w:r>
        <w:rPr>
          <w:rFonts w:hint="eastAsia" w:ascii="宋体" w:hAnsi="宋体" w:eastAsia="宋体" w:cs="宋体"/>
          <w:b w:val="0"/>
          <w:bCs w:val="0"/>
          <w:color w:val="auto"/>
          <w:kern w:val="2"/>
          <w:sz w:val="21"/>
          <w:szCs w:val="21"/>
          <w:highlight w:val="none"/>
          <w:u w:val="none"/>
          <w:lang w:val="en-US" w:eastAsia="zh-CN" w:bidi="ar-SA"/>
        </w:rPr>
        <w:t>使用电子保函、银行保函等其他投标担保函的，应将保函扫描件装订在本部分</w:t>
      </w:r>
      <w:r>
        <w:rPr>
          <w:rFonts w:hint="eastAsia" w:ascii="宋体" w:hAnsi="宋体" w:cs="宋体"/>
          <w:b w:val="0"/>
          <w:bCs w:val="0"/>
          <w:color w:val="auto"/>
          <w:kern w:val="2"/>
          <w:sz w:val="21"/>
          <w:szCs w:val="21"/>
          <w:highlight w:val="none"/>
          <w:u w:val="none"/>
          <w:lang w:val="en-US" w:eastAsia="zh-CN" w:bidi="ar-SA"/>
        </w:rPr>
        <w:t>；</w:t>
      </w:r>
      <w:r>
        <w:rPr>
          <w:rFonts w:hint="eastAsia" w:ascii="宋体" w:hAnsi="宋体" w:eastAsia="宋体" w:cs="宋体"/>
          <w:b w:val="0"/>
          <w:bCs w:val="0"/>
          <w:color w:val="auto"/>
          <w:kern w:val="2"/>
          <w:sz w:val="21"/>
          <w:szCs w:val="21"/>
          <w:highlight w:val="none"/>
          <w:u w:val="none"/>
          <w:lang w:val="en-US" w:eastAsia="zh-CN" w:bidi="ar-SA"/>
        </w:rPr>
        <w:t>扫描件上应加盖本单位公章</w:t>
      </w:r>
      <w:r>
        <w:rPr>
          <w:rFonts w:hint="eastAsia" w:ascii="宋体" w:hAnsi="宋体" w:cs="宋体"/>
          <w:b w:val="0"/>
          <w:bCs w:val="0"/>
          <w:color w:val="auto"/>
          <w:kern w:val="2"/>
          <w:sz w:val="21"/>
          <w:szCs w:val="21"/>
          <w:highlight w:val="none"/>
          <w:u w:val="none"/>
          <w:lang w:val="en-US" w:eastAsia="zh-CN" w:bidi="ar-SA"/>
        </w:rPr>
        <w:t xml:space="preserve">。 </w:t>
      </w:r>
    </w:p>
    <w:p w14:paraId="2956185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04" w:firstLineChars="235"/>
        <w:jc w:val="center"/>
        <w:textAlignment w:val="auto"/>
        <w:rPr>
          <w:rFonts w:hint="eastAsia" w:ascii="宋体" w:hAnsi="宋体" w:eastAsia="宋体" w:cs="宋体"/>
          <w:b w:val="0"/>
          <w:bCs w:val="0"/>
          <w:color w:val="auto"/>
          <w:kern w:val="2"/>
          <w:sz w:val="21"/>
          <w:szCs w:val="21"/>
          <w:highlight w:val="none"/>
          <w:u w:val="none"/>
          <w:lang w:val="en-US" w:eastAsia="zh-CN" w:bidi="ar-SA"/>
        </w:rPr>
        <w:sectPr>
          <w:footerReference r:id="rId7" w:type="default"/>
          <w:pgSz w:w="11905" w:h="16838"/>
          <w:pgMar w:top="1417" w:right="1134" w:bottom="1134" w:left="1134" w:header="850" w:footer="992" w:gutter="0"/>
          <w:pgNumType w:fmt="decimal"/>
          <w:cols w:space="0" w:num="1"/>
          <w:rtlGutter w:val="0"/>
          <w:docGrid w:type="linesAndChars" w:linePitch="332" w:charSpace="1057"/>
        </w:sectPr>
      </w:pPr>
    </w:p>
    <w:p w14:paraId="13871E6B">
      <w:pPr>
        <w:pStyle w:val="25"/>
        <w:keepNext w:val="0"/>
        <w:keepLines w:val="0"/>
        <w:pageBreakBefore w:val="0"/>
        <w:widowControl/>
        <w:suppressLineNumbers w:val="0"/>
        <w:kinsoku/>
        <w:wordWrap/>
        <w:overflowPunct/>
        <w:topLinePunct w:val="0"/>
        <w:autoSpaceDE/>
        <w:autoSpaceDN/>
        <w:bidi w:val="0"/>
        <w:adjustRightInd/>
        <w:snapToGrid/>
        <w:spacing w:before="256" w:beforeAutospacing="0" w:after="256" w:afterAutospacing="0" w:line="360" w:lineRule="auto"/>
        <w:ind w:left="0"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4"/>
          <w:szCs w:val="20"/>
          <w:highlight w:val="none"/>
          <w:lang w:val="en-US" w:eastAsia="zh-CN" w:bidi="ar-SA"/>
        </w:rPr>
        <w:t>5、</w:t>
      </w:r>
      <w:r>
        <w:rPr>
          <w:rFonts w:hint="eastAsia" w:cs="宋体"/>
          <w:b/>
          <w:bCs/>
          <w:color w:val="auto"/>
          <w:kern w:val="0"/>
          <w:sz w:val="24"/>
          <w:szCs w:val="20"/>
          <w:highlight w:val="none"/>
          <w:lang w:val="en-US" w:eastAsia="zh-CN" w:bidi="ar-SA"/>
        </w:rPr>
        <w:t>投标企业须提供投标人（被授权在职人员）近六个月内任意一个月社保证明；</w:t>
      </w:r>
    </w:p>
    <w:p w14:paraId="44C91BC0">
      <w:pPr>
        <w:shd w:val="clear" w:color="auto" w:fill="auto"/>
        <w:spacing w:line="360" w:lineRule="auto"/>
        <w:jc w:val="both"/>
        <w:rPr>
          <w:rFonts w:hint="eastAsia" w:ascii="宋体" w:hAnsi="宋体" w:eastAsia="宋体" w:cs="宋体"/>
          <w:b/>
          <w:bCs/>
          <w:color w:val="auto"/>
          <w:kern w:val="0"/>
          <w:sz w:val="24"/>
          <w:szCs w:val="20"/>
          <w:highlight w:val="none"/>
          <w:lang w:val="en-US" w:eastAsia="zh-CN" w:bidi="ar-SA"/>
        </w:rPr>
      </w:pPr>
    </w:p>
    <w:p w14:paraId="44715129">
      <w:pPr>
        <w:pStyle w:val="3"/>
        <w:numPr>
          <w:ilvl w:val="0"/>
          <w:numId w:val="0"/>
        </w:numPr>
        <w:shd w:val="clear" w:color="auto" w:fill="auto"/>
        <w:spacing w:before="0" w:line="360" w:lineRule="auto"/>
        <w:jc w:val="both"/>
        <w:rPr>
          <w:rFonts w:hint="eastAsia" w:ascii="宋体" w:hAnsi="宋体" w:eastAsia="宋体" w:cs="宋体"/>
          <w:b/>
          <w:bCs/>
          <w:color w:val="auto"/>
          <w:kern w:val="0"/>
          <w:sz w:val="24"/>
          <w:szCs w:val="20"/>
          <w:highlight w:val="none"/>
          <w:lang w:val="en-US" w:eastAsia="zh-CN" w:bidi="ar-SA"/>
        </w:rPr>
      </w:pPr>
      <w:bookmarkStart w:id="161" w:name="_Toc5710"/>
      <w:bookmarkStart w:id="162" w:name="_Toc515647810"/>
      <w:bookmarkStart w:id="163" w:name="_Toc27021"/>
      <w:bookmarkStart w:id="164" w:name="_Toc18754"/>
    </w:p>
    <w:p w14:paraId="5CD76ED7">
      <w:pPr>
        <w:pStyle w:val="3"/>
        <w:numPr>
          <w:ilvl w:val="0"/>
          <w:numId w:val="0"/>
        </w:numPr>
        <w:shd w:val="clear" w:color="auto" w:fill="auto"/>
        <w:spacing w:before="0" w:line="360" w:lineRule="auto"/>
        <w:jc w:val="both"/>
        <w:rPr>
          <w:rFonts w:hint="default" w:ascii="宋体" w:hAnsi="宋体" w:eastAsia="宋体" w:cs="宋体"/>
          <w:b/>
          <w:bCs/>
          <w:color w:val="auto"/>
          <w:kern w:val="0"/>
          <w:sz w:val="24"/>
          <w:szCs w:val="20"/>
          <w:highlight w:val="none"/>
          <w:lang w:val="en-US" w:eastAsia="zh-CN" w:bidi="ar-SA"/>
        </w:rPr>
      </w:pPr>
      <w:bookmarkStart w:id="165" w:name="_Toc27200"/>
      <w:r>
        <w:rPr>
          <w:rFonts w:hint="eastAsia" w:ascii="宋体" w:hAnsi="宋体" w:eastAsia="宋体" w:cs="宋体"/>
          <w:b/>
          <w:bCs/>
          <w:color w:val="auto"/>
          <w:kern w:val="0"/>
          <w:sz w:val="24"/>
          <w:szCs w:val="20"/>
          <w:highlight w:val="none"/>
          <w:lang w:val="en-US" w:eastAsia="zh-CN" w:bidi="ar-SA"/>
        </w:rPr>
        <w:t>6、</w:t>
      </w:r>
      <w:bookmarkEnd w:id="161"/>
      <w:bookmarkEnd w:id="162"/>
      <w:bookmarkEnd w:id="163"/>
      <w:bookmarkEnd w:id="164"/>
      <w:r>
        <w:rPr>
          <w:rFonts w:hint="eastAsia" w:ascii="宋体" w:hAnsi="宋体" w:eastAsia="宋体" w:cs="宋体"/>
          <w:b/>
          <w:bCs/>
          <w:color w:val="auto"/>
          <w:kern w:val="0"/>
          <w:sz w:val="24"/>
          <w:szCs w:val="20"/>
          <w:highlight w:val="none"/>
          <w:lang w:val="en-US" w:eastAsia="zh-CN" w:bidi="ar-SA"/>
        </w:rPr>
        <w:t>参加政府采购活动前3年内在经营活动中没有重大违法记录的书面声明</w:t>
      </w:r>
      <w:bookmarkEnd w:id="165"/>
      <w:r>
        <w:rPr>
          <w:rFonts w:hint="eastAsia" w:ascii="宋体" w:hAnsi="宋体" w:cs="宋体"/>
          <w:b/>
          <w:bCs/>
          <w:color w:val="auto"/>
          <w:kern w:val="0"/>
          <w:sz w:val="24"/>
          <w:szCs w:val="20"/>
          <w:highlight w:val="none"/>
          <w:lang w:val="en-US" w:eastAsia="zh-CN" w:bidi="ar-SA"/>
        </w:rPr>
        <w:t>；</w:t>
      </w:r>
    </w:p>
    <w:p w14:paraId="069A9634">
      <w:pPr>
        <w:pStyle w:val="13"/>
        <w:shd w:val="clear" w:color="auto" w:fill="auto"/>
        <w:tabs>
          <w:tab w:val="left" w:pos="5580"/>
        </w:tabs>
        <w:spacing w:line="360" w:lineRule="auto"/>
        <w:ind w:left="1080" w:leftChars="257" w:hanging="540"/>
        <w:jc w:val="center"/>
        <w:rPr>
          <w:rFonts w:hint="eastAsia" w:ascii="宋体" w:hAnsi="宋体" w:eastAsia="宋体" w:cs="宋体"/>
          <w:b/>
          <w:color w:val="auto"/>
          <w:sz w:val="24"/>
          <w:highlight w:val="none"/>
        </w:rPr>
      </w:pPr>
    </w:p>
    <w:p w14:paraId="5731E5DD">
      <w:pPr>
        <w:pStyle w:val="13"/>
        <w:shd w:val="clear" w:color="auto" w:fill="auto"/>
        <w:tabs>
          <w:tab w:val="left" w:pos="5580"/>
        </w:tabs>
        <w:spacing w:line="360" w:lineRule="auto"/>
        <w:ind w:left="1080" w:leftChars="257" w:hanging="540"/>
        <w:rPr>
          <w:rFonts w:hint="eastAsia" w:ascii="宋体" w:hAnsi="宋体" w:eastAsia="宋体" w:cs="宋体"/>
          <w:color w:val="auto"/>
          <w:sz w:val="24"/>
          <w:highlight w:val="none"/>
        </w:rPr>
      </w:pPr>
    </w:p>
    <w:p w14:paraId="5AD57251">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r>
        <w:rPr>
          <w:rFonts w:hint="eastAsia" w:ascii="宋体" w:hAnsi="宋体" w:cs="宋体"/>
          <w:b/>
          <w:bCs/>
          <w:color w:val="auto"/>
          <w:kern w:val="0"/>
          <w:sz w:val="24"/>
          <w:szCs w:val="20"/>
          <w:highlight w:val="none"/>
          <w:lang w:val="en-US" w:eastAsia="zh-CN" w:bidi="ar-SA"/>
        </w:rPr>
        <w:t>7、参加政府采购活动前三年内，在经营活动中没有重大违法记录；未被“信用中国”（www.creditchina.gov.cn）及中国政府采购网 (www.ccgp.gov.cn）列入失信被执行人名单、重大税收违法失信主体、政府采购严重违法失信行为记录名单；</w:t>
      </w:r>
      <w:r>
        <w:rPr>
          <w:rFonts w:hint="eastAsia" w:ascii="宋体" w:hAnsi="宋体" w:eastAsia="宋体" w:cs="宋体"/>
          <w:b/>
          <w:bCs/>
          <w:color w:val="auto"/>
          <w:kern w:val="0"/>
          <w:sz w:val="24"/>
          <w:szCs w:val="20"/>
          <w:highlight w:val="none"/>
          <w:lang w:val="en-US" w:eastAsia="zh-CN" w:bidi="ar-SA"/>
        </w:rPr>
        <w:t>；</w:t>
      </w:r>
    </w:p>
    <w:p w14:paraId="47C7C50F">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70865875">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0FC0D77B">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52AAA68F">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7EBCCCBF">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r>
        <w:rPr>
          <w:rFonts w:hint="eastAsia" w:ascii="宋体" w:hAnsi="宋体" w:eastAsia="宋体" w:cs="宋体"/>
          <w:b/>
          <w:bCs/>
          <w:color w:val="auto"/>
          <w:kern w:val="0"/>
          <w:sz w:val="24"/>
          <w:szCs w:val="20"/>
          <w:highlight w:val="none"/>
          <w:lang w:val="en-US" w:eastAsia="zh-CN" w:bidi="ar-SA"/>
        </w:rPr>
        <w:t>8、投标人须知资料表要求的其他资格证明文件。</w:t>
      </w:r>
    </w:p>
    <w:p w14:paraId="22C4F368">
      <w:pPr>
        <w:pStyle w:val="3"/>
        <w:numPr>
          <w:ilvl w:val="0"/>
          <w:numId w:val="0"/>
        </w:numPr>
        <w:shd w:val="clear" w:color="auto" w:fill="auto"/>
        <w:spacing w:before="0" w:line="240" w:lineRule="atLeast"/>
        <w:rPr>
          <w:rFonts w:hint="eastAsia" w:ascii="宋体" w:hAnsi="宋体" w:eastAsia="宋体" w:cs="宋体"/>
          <w:color w:val="auto"/>
          <w:sz w:val="24"/>
          <w:highlight w:val="none"/>
          <w:lang w:val="en-US" w:eastAsia="zh-CN"/>
        </w:rPr>
      </w:pPr>
      <w:bookmarkStart w:id="166" w:name="_Toc24428"/>
      <w:bookmarkStart w:id="167" w:name="_Toc4937"/>
      <w:bookmarkStart w:id="168" w:name="_Toc515647811"/>
      <w:bookmarkStart w:id="169" w:name="_Toc32670"/>
    </w:p>
    <w:p w14:paraId="4A76D5FF">
      <w:pPr>
        <w:rPr>
          <w:rFonts w:hint="eastAsia" w:ascii="宋体" w:hAnsi="宋体" w:eastAsia="宋体" w:cs="宋体"/>
          <w:color w:val="auto"/>
          <w:sz w:val="24"/>
          <w:highlight w:val="none"/>
          <w:lang w:val="en-US" w:eastAsia="zh-CN"/>
        </w:rPr>
      </w:pPr>
    </w:p>
    <w:p w14:paraId="4CF0A77A">
      <w:pPr>
        <w:pStyle w:val="10"/>
        <w:rPr>
          <w:rFonts w:hint="eastAsia" w:ascii="宋体" w:hAnsi="宋体" w:eastAsia="宋体" w:cs="宋体"/>
          <w:color w:val="auto"/>
          <w:sz w:val="24"/>
          <w:highlight w:val="none"/>
          <w:lang w:val="en-US" w:eastAsia="zh-CN"/>
        </w:rPr>
      </w:pPr>
    </w:p>
    <w:p w14:paraId="22AD2EEF">
      <w:pPr>
        <w:rPr>
          <w:rFonts w:hint="eastAsia" w:ascii="宋体" w:hAnsi="宋体" w:eastAsia="宋体" w:cs="宋体"/>
          <w:color w:val="auto"/>
          <w:sz w:val="24"/>
          <w:highlight w:val="none"/>
          <w:lang w:val="en-US" w:eastAsia="zh-CN"/>
        </w:rPr>
      </w:pPr>
    </w:p>
    <w:p w14:paraId="653488DF">
      <w:pPr>
        <w:pStyle w:val="10"/>
        <w:rPr>
          <w:rFonts w:hint="eastAsia"/>
          <w:color w:val="auto"/>
          <w:highlight w:val="none"/>
          <w:lang w:val="en-US" w:eastAsia="zh-CN"/>
        </w:rPr>
      </w:pPr>
    </w:p>
    <w:bookmarkEnd w:id="166"/>
    <w:bookmarkEnd w:id="167"/>
    <w:bookmarkEnd w:id="168"/>
    <w:bookmarkEnd w:id="169"/>
    <w:p w14:paraId="66527DC4">
      <w:pPr>
        <w:pStyle w:val="2"/>
        <w:keepNext/>
        <w:keepLines/>
        <w:pageBreakBefore w:val="0"/>
        <w:widowControl w:val="0"/>
        <w:shd w:val="clear" w:color="auto" w:fill="auto"/>
        <w:kinsoku/>
        <w:wordWrap/>
        <w:overflowPunct/>
        <w:topLinePunct w:val="0"/>
        <w:autoSpaceDE/>
        <w:autoSpaceDN/>
        <w:bidi w:val="0"/>
        <w:adjustRightInd/>
        <w:snapToGrid/>
        <w:spacing w:before="40" w:after="40" w:line="579" w:lineRule="auto"/>
        <w:jc w:val="both"/>
        <w:textAlignment w:val="auto"/>
        <w:rPr>
          <w:rFonts w:hint="eastAsia"/>
          <w:color w:val="auto"/>
          <w:sz w:val="32"/>
          <w:szCs w:val="32"/>
          <w:highlight w:val="none"/>
        </w:rPr>
      </w:pPr>
      <w:bookmarkStart w:id="170" w:name="_Toc5695"/>
      <w:bookmarkStart w:id="171" w:name="_Toc22967"/>
      <w:bookmarkStart w:id="172" w:name="_Toc11180"/>
      <w:bookmarkStart w:id="173" w:name="_Toc515647816"/>
    </w:p>
    <w:p w14:paraId="2369C52C">
      <w:pPr>
        <w:rPr>
          <w:rFonts w:hint="eastAsia"/>
          <w:color w:val="auto"/>
          <w:sz w:val="32"/>
          <w:szCs w:val="32"/>
          <w:highlight w:val="none"/>
        </w:rPr>
      </w:pPr>
    </w:p>
    <w:p w14:paraId="3D230CF5">
      <w:pPr>
        <w:pStyle w:val="21"/>
        <w:rPr>
          <w:rFonts w:hint="eastAsia"/>
          <w:color w:val="auto"/>
          <w:sz w:val="32"/>
          <w:szCs w:val="32"/>
          <w:highlight w:val="none"/>
        </w:rPr>
      </w:pPr>
    </w:p>
    <w:p w14:paraId="1033A27E">
      <w:pPr>
        <w:pStyle w:val="21"/>
        <w:rPr>
          <w:rFonts w:hint="eastAsia"/>
          <w:color w:val="auto"/>
          <w:sz w:val="32"/>
          <w:szCs w:val="32"/>
          <w:highlight w:val="none"/>
        </w:rPr>
      </w:pPr>
    </w:p>
    <w:p w14:paraId="6D17E157">
      <w:pPr>
        <w:pStyle w:val="21"/>
        <w:rPr>
          <w:rFonts w:hint="eastAsia"/>
          <w:color w:val="auto"/>
          <w:sz w:val="32"/>
          <w:szCs w:val="32"/>
          <w:highlight w:val="none"/>
        </w:rPr>
      </w:pPr>
    </w:p>
    <w:p w14:paraId="3A6AC2A7">
      <w:pPr>
        <w:pStyle w:val="21"/>
        <w:rPr>
          <w:rFonts w:hint="eastAsia"/>
          <w:color w:val="auto"/>
          <w:sz w:val="32"/>
          <w:szCs w:val="32"/>
          <w:highlight w:val="none"/>
        </w:rPr>
      </w:pPr>
    </w:p>
    <w:p w14:paraId="71E9E45D">
      <w:pPr>
        <w:pStyle w:val="21"/>
        <w:rPr>
          <w:rFonts w:hint="eastAsia"/>
          <w:color w:val="auto"/>
          <w:sz w:val="32"/>
          <w:szCs w:val="32"/>
          <w:highlight w:val="none"/>
        </w:rPr>
      </w:pPr>
    </w:p>
    <w:p w14:paraId="041B99F0">
      <w:pPr>
        <w:pStyle w:val="21"/>
        <w:rPr>
          <w:rFonts w:hint="eastAsia"/>
          <w:color w:val="auto"/>
          <w:sz w:val="32"/>
          <w:szCs w:val="32"/>
          <w:highlight w:val="none"/>
        </w:rPr>
      </w:pPr>
    </w:p>
    <w:p w14:paraId="7D058992">
      <w:pPr>
        <w:pStyle w:val="21"/>
        <w:rPr>
          <w:rFonts w:hint="eastAsia"/>
          <w:color w:val="auto"/>
          <w:sz w:val="32"/>
          <w:szCs w:val="32"/>
          <w:highlight w:val="none"/>
        </w:rPr>
      </w:pPr>
    </w:p>
    <w:p w14:paraId="0297CC46">
      <w:pPr>
        <w:pStyle w:val="21"/>
        <w:rPr>
          <w:rFonts w:hint="eastAsia"/>
          <w:color w:val="auto"/>
          <w:sz w:val="32"/>
          <w:szCs w:val="32"/>
          <w:highlight w:val="none"/>
        </w:rPr>
      </w:pPr>
    </w:p>
    <w:p w14:paraId="0A269540">
      <w:pPr>
        <w:pStyle w:val="2"/>
        <w:keepNext/>
        <w:keepLines/>
        <w:pageBreakBefore w:val="0"/>
        <w:widowControl w:val="0"/>
        <w:shd w:val="clear" w:color="auto" w:fill="auto"/>
        <w:kinsoku/>
        <w:wordWrap/>
        <w:overflowPunct/>
        <w:topLinePunct w:val="0"/>
        <w:autoSpaceDE/>
        <w:autoSpaceDN/>
        <w:bidi w:val="0"/>
        <w:adjustRightInd/>
        <w:snapToGrid/>
        <w:spacing w:before="40" w:after="40" w:line="579" w:lineRule="auto"/>
        <w:jc w:val="center"/>
        <w:textAlignment w:val="auto"/>
        <w:rPr>
          <w:rFonts w:hint="eastAsia"/>
          <w:color w:val="auto"/>
          <w:sz w:val="32"/>
          <w:szCs w:val="32"/>
          <w:highlight w:val="none"/>
        </w:rPr>
      </w:pPr>
      <w:bookmarkStart w:id="174" w:name="_Toc5510"/>
      <w:r>
        <w:rPr>
          <w:rFonts w:hint="eastAsia"/>
          <w:color w:val="auto"/>
          <w:sz w:val="32"/>
          <w:szCs w:val="32"/>
          <w:highlight w:val="none"/>
        </w:rPr>
        <w:t>第二部分  商务及技术文件</w:t>
      </w:r>
      <w:bookmarkEnd w:id="170"/>
      <w:bookmarkEnd w:id="171"/>
      <w:bookmarkEnd w:id="172"/>
      <w:bookmarkEnd w:id="173"/>
      <w:bookmarkEnd w:id="174"/>
    </w:p>
    <w:bookmarkEnd w:id="141"/>
    <w:bookmarkEnd w:id="142"/>
    <w:bookmarkEnd w:id="143"/>
    <w:bookmarkEnd w:id="144"/>
    <w:p w14:paraId="657CC9F8">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bookmarkStart w:id="175" w:name="_Toc1266"/>
      <w:bookmarkStart w:id="176" w:name="_Toc10107"/>
      <w:bookmarkStart w:id="177" w:name="_Toc23473"/>
      <w:r>
        <w:rPr>
          <w:rFonts w:hint="eastAsia" w:ascii="宋体" w:hAnsi="宋体" w:eastAsia="宋体" w:cs="Times New Roman"/>
          <w:color w:val="auto"/>
          <w:szCs w:val="21"/>
          <w:highlight w:val="none"/>
          <w:lang w:val="en-US" w:eastAsia="zh-CN"/>
        </w:rPr>
        <w:t>1、投标函</w:t>
      </w:r>
    </w:p>
    <w:p w14:paraId="1A42B109">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2、开标一览表</w:t>
      </w:r>
    </w:p>
    <w:p w14:paraId="1DC1A5F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3、投标分项报价表</w:t>
      </w:r>
    </w:p>
    <w:p w14:paraId="7710E794">
      <w:pPr>
        <w:shd w:val="clear" w:color="auto" w:fill="auto"/>
        <w:spacing w:line="360" w:lineRule="auto"/>
        <w:ind w:firstLine="283" w:firstLineChars="135"/>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4、货物说明一览表</w:t>
      </w:r>
    </w:p>
    <w:p w14:paraId="740C9742">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lang w:val="en-US" w:eastAsia="zh-CN"/>
        </w:rPr>
        <w:t>、技术规格偏离表</w:t>
      </w:r>
    </w:p>
    <w:p w14:paraId="767DF30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lang w:val="en-US" w:eastAsia="zh-CN"/>
        </w:rPr>
        <w:t>、商务条款偏离表</w:t>
      </w:r>
    </w:p>
    <w:p w14:paraId="1700B7B6">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、投标人基本情况表</w:t>
      </w:r>
    </w:p>
    <w:p w14:paraId="78FE2E5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近年</w:t>
      </w:r>
      <w:r>
        <w:rPr>
          <w:rFonts w:hint="eastAsia" w:ascii="宋体" w:hAnsi="宋体" w:eastAsia="宋体" w:cs="Times New Roman"/>
          <w:color w:val="auto"/>
          <w:szCs w:val="21"/>
          <w:highlight w:val="none"/>
          <w:lang w:val="en-US" w:eastAsia="zh-CN"/>
        </w:rPr>
        <w:t>类似项目业绩表</w:t>
      </w:r>
    </w:p>
    <w:p w14:paraId="5140CC4D">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9</w:t>
      </w:r>
      <w:r>
        <w:rPr>
          <w:rFonts w:hint="eastAsia" w:ascii="宋体" w:hAnsi="宋体" w:eastAsia="宋体" w:cs="Times New Roman"/>
          <w:color w:val="auto"/>
          <w:szCs w:val="21"/>
          <w:highlight w:val="none"/>
          <w:lang w:val="en-US" w:eastAsia="zh-CN"/>
        </w:rPr>
        <w:t>、中小企业声明函(货物)</w:t>
      </w:r>
    </w:p>
    <w:p w14:paraId="5A82CDD0">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r>
        <w:rPr>
          <w:rFonts w:hint="eastAsia" w:asciiTheme="minorEastAsia" w:hAnsiTheme="minorEastAsia" w:eastAsiaTheme="minorEastAsia" w:cstheme="minorEastAsia"/>
          <w:color w:val="auto"/>
          <w:highlight w:val="none"/>
          <w:lang w:eastAsia="zh-CN"/>
        </w:rPr>
        <w:t>关于符合本国产品标准的声明函</w:t>
      </w:r>
    </w:p>
    <w:p w14:paraId="10D7D16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11</w:t>
      </w:r>
      <w:r>
        <w:rPr>
          <w:rFonts w:hint="eastAsia" w:ascii="宋体" w:hAnsi="宋体" w:eastAsia="宋体" w:cs="Times New Roman"/>
          <w:color w:val="auto"/>
          <w:szCs w:val="21"/>
          <w:highlight w:val="none"/>
          <w:lang w:val="en-US" w:eastAsia="zh-CN"/>
        </w:rPr>
        <w:t>、投标人关联单位的说明（格式自拟）</w:t>
      </w:r>
    </w:p>
    <w:p w14:paraId="04FD1703">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12、</w:t>
      </w:r>
      <w:r>
        <w:rPr>
          <w:rFonts w:hint="eastAsia" w:ascii="宋体" w:hAnsi="宋体" w:eastAsia="宋体" w:cs="Times New Roman"/>
          <w:color w:val="auto"/>
          <w:szCs w:val="21"/>
          <w:highlight w:val="none"/>
          <w:lang w:val="en-US" w:eastAsia="zh-CN"/>
        </w:rPr>
        <w:t>评分标准和细则中技术部分证明材料（格式自拟）</w:t>
      </w:r>
    </w:p>
    <w:p w14:paraId="0B5A68B7">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13</w:t>
      </w:r>
      <w:r>
        <w:rPr>
          <w:rFonts w:hint="eastAsia" w:ascii="宋体" w:hAnsi="宋体" w:eastAsia="宋体" w:cs="Times New Roman"/>
          <w:color w:val="auto"/>
          <w:szCs w:val="21"/>
          <w:highlight w:val="none"/>
          <w:lang w:val="en-US" w:eastAsia="zh-CN"/>
        </w:rPr>
        <w:t>、评分标准和细则中</w:t>
      </w:r>
      <w:r>
        <w:rPr>
          <w:rFonts w:hint="eastAsia" w:ascii="宋体" w:hAnsi="宋体" w:cs="Times New Roman"/>
          <w:color w:val="auto"/>
          <w:szCs w:val="21"/>
          <w:highlight w:val="none"/>
          <w:lang w:val="en-US" w:eastAsia="zh-CN"/>
        </w:rPr>
        <w:t>商务</w:t>
      </w:r>
      <w:r>
        <w:rPr>
          <w:rFonts w:hint="eastAsia" w:ascii="宋体" w:hAnsi="宋体" w:eastAsia="宋体" w:cs="Times New Roman"/>
          <w:color w:val="auto"/>
          <w:szCs w:val="21"/>
          <w:highlight w:val="none"/>
          <w:lang w:val="en-US" w:eastAsia="zh-CN"/>
        </w:rPr>
        <w:t>部分证明材料（格式自拟）</w:t>
      </w:r>
    </w:p>
    <w:p w14:paraId="7B9F242A">
      <w:pPr>
        <w:shd w:val="clear" w:color="auto" w:fill="auto"/>
        <w:spacing w:line="360" w:lineRule="auto"/>
        <w:ind w:firstLine="283" w:firstLineChars="135"/>
        <w:rPr>
          <w:rFonts w:hint="eastAsia" w:ascii="宋体" w:hAnsi="宋体" w:eastAsia="宋体" w:cs="宋体"/>
          <w:color w:val="auto"/>
          <w:sz w:val="24"/>
          <w:highlight w:val="none"/>
        </w:rPr>
      </w:pPr>
      <w:r>
        <w:rPr>
          <w:rFonts w:hint="eastAsia" w:ascii="宋体" w:hAnsi="宋体" w:cs="Times New Roman"/>
          <w:color w:val="auto"/>
          <w:szCs w:val="21"/>
          <w:highlight w:val="none"/>
          <w:lang w:val="en-US" w:eastAsia="zh-CN"/>
        </w:rPr>
        <w:t>14</w:t>
      </w:r>
      <w:r>
        <w:rPr>
          <w:rFonts w:hint="eastAsia" w:ascii="宋体" w:hAnsi="宋体" w:eastAsia="宋体" w:cs="Times New Roman"/>
          <w:color w:val="auto"/>
          <w:szCs w:val="21"/>
          <w:highlight w:val="none"/>
          <w:lang w:val="en-US" w:eastAsia="zh-CN"/>
        </w:rPr>
        <w:t>、投标人认为有必要提供的其他证明材料（格式自拟）</w:t>
      </w:r>
    </w:p>
    <w:p w14:paraId="39E41891">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0CAB6A98">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7910A89C">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4B7D4C44">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62C9B7D1">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08AC00DA">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3793DF47">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5FD0ED0B">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22DAB4CA">
      <w:pPr>
        <w:rPr>
          <w:rFonts w:hint="eastAsia" w:ascii="仿宋" w:hAnsi="仿宋" w:eastAsia="仿宋" w:cs="仿宋"/>
          <w:b/>
          <w:bCs/>
          <w:color w:val="auto"/>
          <w:sz w:val="36"/>
          <w:szCs w:val="36"/>
          <w:highlight w:val="none"/>
          <w:lang w:val="en-US" w:eastAsia="zh-CN"/>
        </w:rPr>
      </w:pPr>
    </w:p>
    <w:bookmarkEnd w:id="175"/>
    <w:bookmarkEnd w:id="176"/>
    <w:bookmarkEnd w:id="177"/>
    <w:p w14:paraId="4FE7621F">
      <w:pPr>
        <w:pStyle w:val="10"/>
        <w:numPr>
          <w:ilvl w:val="0"/>
          <w:numId w:val="0"/>
        </w:numPr>
        <w:kinsoku w:val="0"/>
        <w:overflowPunct w:val="0"/>
        <w:spacing w:before="130" w:line="355" w:lineRule="auto"/>
        <w:ind w:left="480" w:leftChars="0" w:right="7" w:right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1</w:t>
      </w:r>
      <w:r>
        <w:rPr>
          <w:rFonts w:hint="eastAsia" w:ascii="宋体" w:hAnsi="宋体" w:eastAsia="宋体" w:cs="宋体"/>
          <w:b/>
          <w:bCs/>
          <w:color w:val="auto"/>
          <w:sz w:val="28"/>
          <w:szCs w:val="28"/>
          <w:highlight w:val="none"/>
        </w:rPr>
        <w:t>、投标函</w:t>
      </w:r>
    </w:p>
    <w:p w14:paraId="3F3915FB">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致：</w:t>
      </w:r>
      <w:r>
        <w:rPr>
          <w:rFonts w:hint="eastAsia" w:ascii="宋体" w:hAnsi="宋体" w:eastAsia="宋体" w:cs="宋体"/>
          <w:color w:val="auto"/>
          <w:kern w:val="0"/>
          <w:sz w:val="21"/>
          <w:szCs w:val="21"/>
          <w:highlight w:val="none"/>
          <w:u w:val="single"/>
        </w:rPr>
        <w:t xml:space="preserve">                     </w:t>
      </w:r>
    </w:p>
    <w:p w14:paraId="5CF6D0B2">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为响应你方组织的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项目的招标项目编号为：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，我方愿参与投标。</w:t>
      </w:r>
    </w:p>
    <w:p w14:paraId="2FCA1E03">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我方确认收到贵方提供的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none"/>
        </w:rPr>
        <w:t>招标</w:t>
      </w:r>
      <w:r>
        <w:rPr>
          <w:rFonts w:hint="eastAsia" w:ascii="宋体" w:hAnsi="宋体" w:eastAsia="宋体" w:cs="宋体"/>
          <w:color w:val="auto"/>
          <w:kern w:val="0"/>
          <w:sz w:val="21"/>
          <w:szCs w:val="21"/>
          <w:highlight w:val="none"/>
        </w:rPr>
        <w:t>文件的全部内容。</w:t>
      </w:r>
    </w:p>
    <w:p w14:paraId="0A2BAE27">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报价投标人的内容，我方同意招标文件的相关条款，放弃对招标文件提出误解和质疑的一切权力。</w:t>
      </w:r>
    </w:p>
    <w:p w14:paraId="6A689CFD">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rPr>
        <w:t xml:space="preserve">      (投标人名称)      </w:t>
      </w:r>
      <w:r>
        <w:rPr>
          <w:rFonts w:hint="eastAsia" w:ascii="宋体" w:hAnsi="宋体" w:eastAsia="宋体" w:cs="宋体"/>
          <w:color w:val="auto"/>
          <w:kern w:val="0"/>
          <w:sz w:val="21"/>
          <w:szCs w:val="21"/>
          <w:highlight w:val="none"/>
        </w:rPr>
        <w:t>作为投标人正式授权</w:t>
      </w:r>
      <w:r>
        <w:rPr>
          <w:rFonts w:hint="eastAsia" w:ascii="宋体" w:hAnsi="宋体" w:eastAsia="宋体" w:cs="宋体"/>
          <w:color w:val="auto"/>
          <w:kern w:val="0"/>
          <w:sz w:val="21"/>
          <w:szCs w:val="21"/>
          <w:highlight w:val="none"/>
          <w:u w:val="single"/>
        </w:rPr>
        <w:t xml:space="preserve">  (授权代表全名, 职务)  </w:t>
      </w:r>
      <w:r>
        <w:rPr>
          <w:rFonts w:hint="eastAsia" w:ascii="宋体" w:hAnsi="宋体" w:eastAsia="宋体" w:cs="宋体"/>
          <w:color w:val="auto"/>
          <w:kern w:val="0"/>
          <w:sz w:val="21"/>
          <w:szCs w:val="21"/>
          <w:highlight w:val="none"/>
        </w:rPr>
        <w:t>代表我方全权处理有关本报价的一切事宜。</w:t>
      </w:r>
    </w:p>
    <w:p w14:paraId="14BA42D1">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我方已完全明白招标文件的所有条款要求，并申明如下：</w:t>
      </w:r>
    </w:p>
    <w:p w14:paraId="7C329F90">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（一）按招标文件提供的全部货物与相关服务的投标</w:t>
      </w:r>
      <w:r>
        <w:rPr>
          <w:rFonts w:hint="eastAsia" w:ascii="宋体" w:hAnsi="宋体" w:cs="宋体"/>
          <w:color w:val="auto"/>
          <w:kern w:val="0"/>
          <w:sz w:val="21"/>
          <w:szCs w:val="21"/>
          <w:highlight w:val="none"/>
          <w:lang w:val="en-US" w:eastAsia="zh-CN"/>
        </w:rPr>
        <w:t>单价</w:t>
      </w:r>
      <w:r>
        <w:rPr>
          <w:rFonts w:hint="eastAsia" w:ascii="宋体" w:hAnsi="宋体" w:eastAsia="宋体" w:cs="宋体"/>
          <w:color w:val="auto"/>
          <w:kern w:val="0"/>
          <w:sz w:val="21"/>
          <w:szCs w:val="21"/>
          <w:highlight w:val="none"/>
        </w:rPr>
        <w:t>详见《开标一览表》。</w:t>
      </w:r>
    </w:p>
    <w:p w14:paraId="1EC41764">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（二）本投标文件的有效期为投标截止时间起</w:t>
      </w:r>
      <w:r>
        <w:rPr>
          <w:rFonts w:hint="eastAsia" w:ascii="宋体" w:hAnsi="宋体" w:eastAsia="宋体" w:cs="宋体"/>
          <w:color w:val="auto"/>
          <w:kern w:val="0"/>
          <w:sz w:val="21"/>
          <w:szCs w:val="21"/>
          <w:highlight w:val="none"/>
          <w:u w:val="single"/>
          <w:lang w:val="en-US" w:eastAsia="zh-CN"/>
        </w:rPr>
        <w:t>60</w:t>
      </w:r>
      <w:r>
        <w:rPr>
          <w:rFonts w:hint="eastAsia" w:ascii="宋体" w:hAnsi="宋体" w:eastAsia="宋体" w:cs="宋体"/>
          <w:color w:val="auto"/>
          <w:kern w:val="0"/>
          <w:sz w:val="21"/>
          <w:szCs w:val="21"/>
          <w:highlight w:val="none"/>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037E9A46">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（三）我方同意按照贵方可能提出的要求而提供与投标有关的任何其它数据、信息或资料。</w:t>
      </w:r>
    </w:p>
    <w:p w14:paraId="55A2FB72">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四</w:t>
      </w:r>
      <w:r>
        <w:rPr>
          <w:rFonts w:hint="eastAsia" w:ascii="宋体" w:hAnsi="宋体" w:eastAsia="宋体" w:cs="宋体"/>
          <w:color w:val="auto"/>
          <w:kern w:val="0"/>
          <w:sz w:val="21"/>
          <w:szCs w:val="21"/>
          <w:highlight w:val="none"/>
        </w:rPr>
        <w:t>）我方理解贵方不一定接受最低投标价或任何贵方可能收到的投标。</w:t>
      </w:r>
    </w:p>
    <w:p w14:paraId="3DEF5E59">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五</w:t>
      </w:r>
      <w:r>
        <w:rPr>
          <w:rFonts w:hint="eastAsia" w:ascii="宋体" w:hAnsi="宋体" w:eastAsia="宋体" w:cs="宋体"/>
          <w:color w:val="auto"/>
          <w:kern w:val="0"/>
          <w:sz w:val="21"/>
          <w:szCs w:val="21"/>
          <w:highlight w:val="none"/>
        </w:rPr>
        <w:t>）我方如果中标，将保证履行招标文件及其澄清、修改文件（如果有）中的全部责任和义务，按质、按量、按期完成《招标内容》及《合同书》中的全部任务。</w:t>
      </w:r>
    </w:p>
    <w:p w14:paraId="4A28DE6F">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六</w:t>
      </w:r>
      <w:r>
        <w:rPr>
          <w:rFonts w:hint="eastAsia" w:ascii="宋体" w:hAnsi="宋体" w:eastAsia="宋体" w:cs="宋体"/>
          <w:color w:val="auto"/>
          <w:kern w:val="0"/>
          <w:sz w:val="21"/>
          <w:szCs w:val="21"/>
          <w:highlight w:val="none"/>
        </w:rPr>
        <w:t>）如我方被授予合同，我方承诺支付就本次招标应支付或将支付的中标服务费（详见按招标文件要求格式填写的《中标服务费支付承诺书》）。</w:t>
      </w:r>
    </w:p>
    <w:p w14:paraId="042F7C2D">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七</w:t>
      </w:r>
      <w:r>
        <w:rPr>
          <w:rFonts w:hint="eastAsia" w:ascii="宋体" w:hAnsi="宋体" w:eastAsia="宋体" w:cs="宋体"/>
          <w:color w:val="auto"/>
          <w:kern w:val="0"/>
          <w:sz w:val="21"/>
          <w:szCs w:val="21"/>
          <w:highlight w:val="none"/>
        </w:rPr>
        <w:t>）我方作为在法律、财务和运作上独立于采购人、招标代理机构的投标人，在此保证所提交的所有文件和全部说明是真实的和正确的。</w:t>
      </w:r>
    </w:p>
    <w:p w14:paraId="32B4E69D">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八</w:t>
      </w:r>
      <w:r>
        <w:rPr>
          <w:rFonts w:hint="eastAsia" w:ascii="宋体" w:hAnsi="宋体" w:eastAsia="宋体" w:cs="宋体"/>
          <w:color w:val="auto"/>
          <w:kern w:val="0"/>
          <w:sz w:val="21"/>
          <w:szCs w:val="21"/>
          <w:highlight w:val="none"/>
        </w:rPr>
        <w:t>）我方投标报价已包含应向知识产权所有权人支付的所有相关税费，并保证采购人在中国使用我方提供的货物时，如有第三方提出侵犯其知识产权主张的，责任由我方承担。</w:t>
      </w:r>
    </w:p>
    <w:p w14:paraId="3D51E7E1">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九</w:t>
      </w:r>
      <w:r>
        <w:rPr>
          <w:rFonts w:hint="eastAsia" w:ascii="宋体" w:hAnsi="宋体" w:eastAsia="宋体" w:cs="宋体"/>
          <w:color w:val="auto"/>
          <w:kern w:val="0"/>
          <w:sz w:val="21"/>
          <w:szCs w:val="21"/>
          <w:highlight w:val="none"/>
        </w:rPr>
        <w:t>）我方与其他投标人不存在单位负责人为同一人或者存在直接控股、管理关系。</w:t>
      </w:r>
    </w:p>
    <w:p w14:paraId="0BAECA03">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（十）我方承诺未为本项目提供整体设计、规范编制或者项目管理、监理、检测等服务。</w:t>
      </w:r>
    </w:p>
    <w:p w14:paraId="703E33DF">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w:t>
      </w:r>
      <w:r>
        <w:rPr>
          <w:rFonts w:hint="eastAsia" w:ascii="宋体" w:hAnsi="宋体" w:eastAsia="宋体" w:cs="宋体"/>
          <w:color w:val="auto"/>
          <w:kern w:val="0"/>
          <w:sz w:val="21"/>
          <w:szCs w:val="21"/>
          <w:highlight w:val="none"/>
          <w:lang w:eastAsia="zh-CN"/>
        </w:rPr>
        <w:t>一</w:t>
      </w:r>
      <w:r>
        <w:rPr>
          <w:rFonts w:hint="eastAsia" w:ascii="宋体" w:hAnsi="宋体" w:eastAsia="宋体" w:cs="宋体"/>
          <w:color w:val="auto"/>
          <w:kern w:val="0"/>
          <w:sz w:val="21"/>
          <w:szCs w:val="21"/>
          <w:highlight w:val="none"/>
        </w:rPr>
        <w:t>）我方具备《政府采购法》第二十二条规定的条件，承诺如下：</w:t>
      </w:r>
    </w:p>
    <w:p w14:paraId="7F8C25DB">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（1）我方已依法缴纳了各项税费及社会保险费用，如有需要，可随时向采购人提供近</w:t>
      </w:r>
      <w:r>
        <w:rPr>
          <w:rFonts w:hint="eastAsia" w:ascii="宋体" w:hAnsi="宋体" w:cs="宋体"/>
          <w:color w:val="auto"/>
          <w:kern w:val="0"/>
          <w:sz w:val="21"/>
          <w:szCs w:val="21"/>
          <w:highlight w:val="none"/>
          <w:lang w:val="en-US" w:eastAsia="zh-CN"/>
        </w:rPr>
        <w:t>六</w:t>
      </w:r>
      <w:r>
        <w:rPr>
          <w:rFonts w:hint="eastAsia" w:ascii="宋体" w:hAnsi="宋体" w:eastAsia="宋体" w:cs="宋体"/>
          <w:color w:val="auto"/>
          <w:kern w:val="0"/>
          <w:sz w:val="21"/>
          <w:szCs w:val="21"/>
          <w:highlight w:val="none"/>
        </w:rPr>
        <w:t>个月内</w:t>
      </w:r>
      <w:r>
        <w:rPr>
          <w:rFonts w:hint="eastAsia" w:ascii="宋体" w:hAnsi="宋体" w:eastAsia="宋体" w:cs="宋体"/>
          <w:color w:val="auto"/>
          <w:kern w:val="0"/>
          <w:sz w:val="21"/>
          <w:szCs w:val="21"/>
          <w:highlight w:val="none"/>
          <w:lang w:val="en-US" w:eastAsia="zh-CN"/>
        </w:rPr>
        <w:t>任意一个月</w:t>
      </w:r>
      <w:r>
        <w:rPr>
          <w:rFonts w:hint="eastAsia" w:ascii="宋体" w:hAnsi="宋体" w:eastAsia="宋体" w:cs="宋体"/>
          <w:color w:val="auto"/>
          <w:kern w:val="0"/>
          <w:sz w:val="21"/>
          <w:szCs w:val="21"/>
          <w:highlight w:val="none"/>
        </w:rPr>
        <w:t>的相关缴费证明，以便核查。</w:t>
      </w:r>
    </w:p>
    <w:p w14:paraId="2582B3B2">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（2）我方已依法建立健全的财务会计制度，如有需要，可随时向采购人提供相关的证明材料，以便核查。</w:t>
      </w:r>
    </w:p>
    <w:p w14:paraId="19049DCB">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（3）我方参加本项目政府采购活动前3年内在经营活动中没有重大违法记录。</w:t>
      </w:r>
    </w:p>
    <w:p w14:paraId="3B533F30">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（4）我方具备履行合同所必需的设备和专业技术能力。</w:t>
      </w:r>
    </w:p>
    <w:p w14:paraId="028A6219">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（5）我方符合法律、行政法规规定的其他条件。</w:t>
      </w:r>
    </w:p>
    <w:p w14:paraId="2E305E6C">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以上内容如有虚假或与事实不符的，评审委员会可将我方做无效投标处理，我方愿意承担相应的法律责任。</w:t>
      </w:r>
    </w:p>
    <w:p w14:paraId="2467B5D6">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（十三）我方对在本函及投标文件中所作的所有承诺承担法律责任。</w:t>
      </w:r>
    </w:p>
    <w:p w14:paraId="71C5C96F">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（十四）所有与本招标有关的函件请发往下列地址：</w:t>
      </w:r>
    </w:p>
    <w:p w14:paraId="21D9749E">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    址：</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.邮政编码：</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6DF2626">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    话：</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071347ED">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传    真：</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7C8928A">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代表姓名：</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.职    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F7D9F85">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 xml:space="preserve">（公章） </w:t>
      </w:r>
    </w:p>
    <w:p w14:paraId="70EB9159">
      <w:pPr>
        <w:keepNext w:val="0"/>
        <w:keepLines w:val="0"/>
        <w:pageBreakBefore w:val="0"/>
        <w:widowControl w:val="0"/>
        <w:wordWrap w:val="0"/>
        <w:topLinePunct w:val="0"/>
        <w:autoSpaceDE/>
        <w:autoSpaceDN/>
        <w:bidi w:val="0"/>
        <w:adjustRightInd/>
        <w:snapToGrid/>
        <w:spacing w:line="440" w:lineRule="exact"/>
        <w:ind w:firstLine="420" w:firstLineChars="200"/>
        <w:jc w:val="righ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法定代表人或委托人：</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签字或盖章</w:t>
      </w:r>
      <w:r>
        <w:rPr>
          <w:rFonts w:hint="eastAsia" w:ascii="宋体" w:hAnsi="宋体" w:eastAsia="宋体" w:cs="宋体"/>
          <w:color w:val="auto"/>
          <w:kern w:val="0"/>
          <w:sz w:val="21"/>
          <w:szCs w:val="21"/>
          <w:highlight w:val="none"/>
        </w:rPr>
        <w:t xml:space="preserve">）  </w:t>
      </w:r>
    </w:p>
    <w:p w14:paraId="246A741C">
      <w:pPr>
        <w:keepNext w:val="0"/>
        <w:keepLines w:val="0"/>
        <w:pageBreakBefore w:val="0"/>
        <w:widowControl w:val="0"/>
        <w:wordWrap w:val="0"/>
        <w:topLinePunct w:val="0"/>
        <w:autoSpaceDE/>
        <w:autoSpaceDN/>
        <w:bidi w:val="0"/>
        <w:adjustRightInd/>
        <w:snapToGrid/>
        <w:spacing w:line="440" w:lineRule="exact"/>
        <w:ind w:firstLine="420" w:firstLineChars="200"/>
        <w:jc w:val="righ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日</w:t>
      </w:r>
    </w:p>
    <w:p w14:paraId="0463D6C7">
      <w:pPr>
        <w:pStyle w:val="3"/>
        <w:numPr>
          <w:ilvl w:val="0"/>
          <w:numId w:val="0"/>
        </w:numPr>
        <w:shd w:val="clear" w:color="auto" w:fill="auto"/>
        <w:spacing w:before="0" w:line="240" w:lineRule="atLeast"/>
        <w:ind w:left="431" w:leftChars="0"/>
        <w:rPr>
          <w:rFonts w:hint="eastAsia" w:ascii="宋体" w:hAnsi="宋体" w:eastAsia="宋体" w:cs="宋体"/>
          <w:color w:val="auto"/>
          <w:sz w:val="24"/>
          <w:highlight w:val="none"/>
        </w:rPr>
      </w:pPr>
    </w:p>
    <w:p w14:paraId="5898927B">
      <w:pPr>
        <w:pStyle w:val="4"/>
        <w:rPr>
          <w:rFonts w:hint="eastAsia"/>
          <w:color w:val="auto"/>
          <w:highlight w:val="none"/>
        </w:rPr>
      </w:pPr>
    </w:p>
    <w:p w14:paraId="10122706">
      <w:pPr>
        <w:rPr>
          <w:rFonts w:hint="eastAsia"/>
          <w:color w:val="auto"/>
          <w:highlight w:val="none"/>
        </w:rPr>
      </w:pPr>
    </w:p>
    <w:p w14:paraId="09F0A8AF">
      <w:pPr>
        <w:pStyle w:val="6"/>
        <w:shd w:val="clear" w:color="auto" w:fill="auto"/>
        <w:tabs>
          <w:tab w:val="left" w:pos="5580"/>
        </w:tabs>
        <w:spacing w:line="240" w:lineRule="atLeast"/>
        <w:ind w:firstLine="3350" w:firstLineChars="927"/>
        <w:jc w:val="both"/>
        <w:rPr>
          <w:rFonts w:hint="eastAsia" w:ascii="宋体" w:hAnsi="宋体" w:eastAsia="宋体" w:cs="宋体"/>
          <w:b/>
          <w:color w:val="auto"/>
          <w:sz w:val="36"/>
          <w:szCs w:val="24"/>
          <w:highlight w:val="none"/>
        </w:rPr>
      </w:pPr>
      <w:bookmarkStart w:id="178" w:name="_Toc494296984"/>
    </w:p>
    <w:p w14:paraId="51828084">
      <w:pPr>
        <w:rPr>
          <w:rFonts w:hint="eastAsia" w:ascii="宋体" w:hAnsi="宋体" w:eastAsia="宋体" w:cs="宋体"/>
          <w:b/>
          <w:color w:val="auto"/>
          <w:sz w:val="36"/>
          <w:szCs w:val="24"/>
          <w:highlight w:val="none"/>
        </w:rPr>
      </w:pPr>
    </w:p>
    <w:p w14:paraId="5F6C38C6">
      <w:pPr>
        <w:pStyle w:val="4"/>
        <w:rPr>
          <w:rFonts w:hint="eastAsia" w:ascii="宋体" w:hAnsi="宋体" w:eastAsia="宋体" w:cs="宋体"/>
          <w:b/>
          <w:color w:val="auto"/>
          <w:sz w:val="36"/>
          <w:szCs w:val="24"/>
          <w:highlight w:val="none"/>
        </w:rPr>
      </w:pPr>
    </w:p>
    <w:p w14:paraId="0BBDACBE">
      <w:pPr>
        <w:rPr>
          <w:rFonts w:hint="eastAsia" w:ascii="宋体" w:hAnsi="宋体" w:eastAsia="宋体" w:cs="宋体"/>
          <w:b/>
          <w:color w:val="auto"/>
          <w:sz w:val="36"/>
          <w:szCs w:val="24"/>
          <w:highlight w:val="none"/>
        </w:rPr>
      </w:pPr>
    </w:p>
    <w:p w14:paraId="303D8DAD">
      <w:pPr>
        <w:pStyle w:val="4"/>
        <w:rPr>
          <w:rFonts w:hint="eastAsia" w:ascii="宋体" w:hAnsi="宋体" w:eastAsia="宋体" w:cs="宋体"/>
          <w:b/>
          <w:color w:val="auto"/>
          <w:sz w:val="36"/>
          <w:szCs w:val="24"/>
          <w:highlight w:val="none"/>
        </w:rPr>
      </w:pPr>
    </w:p>
    <w:p w14:paraId="42633E6E">
      <w:pPr>
        <w:rPr>
          <w:rFonts w:hint="eastAsia"/>
          <w:color w:val="auto"/>
          <w:highlight w:val="none"/>
        </w:rPr>
      </w:pPr>
    </w:p>
    <w:p w14:paraId="589DFDBE">
      <w:pPr>
        <w:rPr>
          <w:rFonts w:hint="eastAsia"/>
          <w:color w:val="auto"/>
          <w:highlight w:val="none"/>
        </w:rPr>
      </w:pPr>
    </w:p>
    <w:p w14:paraId="327995DD">
      <w:pPr>
        <w:rPr>
          <w:rFonts w:hint="eastAsia"/>
          <w:color w:val="auto"/>
          <w:highlight w:val="none"/>
        </w:rPr>
      </w:pPr>
    </w:p>
    <w:p w14:paraId="770536B4">
      <w:pPr>
        <w:pStyle w:val="6"/>
        <w:numPr>
          <w:ilvl w:val="0"/>
          <w:numId w:val="12"/>
        </w:numPr>
        <w:shd w:val="clear" w:color="auto" w:fill="auto"/>
        <w:tabs>
          <w:tab w:val="left" w:pos="5580"/>
        </w:tabs>
        <w:spacing w:line="240" w:lineRule="atLeast"/>
        <w:ind w:leftChars="0"/>
        <w:jc w:val="center"/>
        <w:rPr>
          <w:rFonts w:hint="eastAsia" w:ascii="宋体" w:hAnsi="宋体" w:eastAsia="宋体" w:cs="宋体"/>
          <w:b/>
          <w:color w:val="auto"/>
          <w:sz w:val="28"/>
          <w:szCs w:val="21"/>
          <w:highlight w:val="none"/>
        </w:rPr>
      </w:pPr>
      <w:r>
        <w:rPr>
          <w:rFonts w:hint="eastAsia" w:ascii="宋体" w:hAnsi="宋体" w:eastAsia="宋体" w:cs="宋体"/>
          <w:b/>
          <w:color w:val="auto"/>
          <w:sz w:val="28"/>
          <w:szCs w:val="21"/>
          <w:highlight w:val="none"/>
        </w:rPr>
        <w:t>开标一览表</w:t>
      </w:r>
      <w:bookmarkEnd w:id="178"/>
    </w:p>
    <w:p w14:paraId="5FCE0028">
      <w:pPr>
        <w:numPr>
          <w:ilvl w:val="0"/>
          <w:numId w:val="0"/>
        </w:numPr>
        <w:rPr>
          <w:rFonts w:hint="eastAsia"/>
          <w:highlight w:val="none"/>
        </w:rPr>
      </w:pPr>
    </w:p>
    <w:p w14:paraId="484C1325">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4D280F43">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5AABEA4A">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Cs w:val="21"/>
          <w:highlight w:val="none"/>
        </w:rPr>
        <w:t xml:space="preserve">                                                </w:t>
      </w:r>
    </w:p>
    <w:p w14:paraId="70B801A6">
      <w:pPr>
        <w:shd w:val="clear" w:color="auto" w:fill="auto"/>
        <w:spacing w:line="5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单位：元（人民币）</w:t>
      </w:r>
    </w:p>
    <w:tbl>
      <w:tblPr>
        <w:tblStyle w:val="29"/>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787D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3B6434CD">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投标项目名称</w:t>
            </w:r>
          </w:p>
        </w:tc>
        <w:tc>
          <w:tcPr>
            <w:tcW w:w="6185" w:type="dxa"/>
            <w:vAlign w:val="center"/>
          </w:tcPr>
          <w:p w14:paraId="48097352">
            <w:pPr>
              <w:shd w:val="clear" w:color="auto" w:fill="auto"/>
              <w:rPr>
                <w:rFonts w:hint="eastAsia" w:ascii="宋体" w:hAnsi="宋体" w:eastAsia="宋体" w:cs="宋体"/>
                <w:color w:val="auto"/>
                <w:szCs w:val="21"/>
                <w:highlight w:val="none"/>
              </w:rPr>
            </w:pPr>
          </w:p>
        </w:tc>
      </w:tr>
      <w:tr w14:paraId="3053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7C6F3BE9">
            <w:pPr>
              <w:shd w:val="clear" w:color="auto" w:fill="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质保期</w:t>
            </w:r>
          </w:p>
        </w:tc>
        <w:tc>
          <w:tcPr>
            <w:tcW w:w="6185" w:type="dxa"/>
            <w:vAlign w:val="center"/>
          </w:tcPr>
          <w:p w14:paraId="207595FA">
            <w:pPr>
              <w:shd w:val="clear" w:color="auto" w:fill="auto"/>
              <w:jc w:val="center"/>
              <w:rPr>
                <w:rFonts w:hint="eastAsia" w:ascii="宋体" w:hAnsi="宋体" w:eastAsia="宋体" w:cs="宋体"/>
                <w:color w:val="auto"/>
                <w:szCs w:val="21"/>
                <w:highlight w:val="none"/>
              </w:rPr>
            </w:pPr>
          </w:p>
        </w:tc>
      </w:tr>
      <w:tr w14:paraId="16EF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5EE43FFE">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185" w:type="dxa"/>
            <w:vAlign w:val="center"/>
          </w:tcPr>
          <w:p w14:paraId="1FC1EC0F">
            <w:pPr>
              <w:shd w:val="clear" w:color="auto" w:fill="auto"/>
              <w:jc w:val="center"/>
              <w:rPr>
                <w:rFonts w:hint="eastAsia" w:ascii="宋体" w:hAnsi="宋体" w:eastAsia="宋体" w:cs="宋体"/>
                <w:color w:val="auto"/>
                <w:szCs w:val="21"/>
                <w:highlight w:val="none"/>
              </w:rPr>
            </w:pPr>
          </w:p>
        </w:tc>
      </w:tr>
      <w:tr w14:paraId="17FC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3DD3E640">
            <w:pPr>
              <w:shd w:val="clear" w:color="auto" w:fill="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总</w:t>
            </w:r>
            <w:r>
              <w:rPr>
                <w:rFonts w:hint="eastAsia" w:ascii="宋体" w:hAnsi="宋体" w:eastAsia="宋体" w:cs="宋体"/>
                <w:color w:val="auto"/>
                <w:szCs w:val="21"/>
                <w:highlight w:val="none"/>
                <w:lang w:eastAsia="zh-CN"/>
              </w:rPr>
              <w:t>合计</w:t>
            </w:r>
          </w:p>
          <w:p w14:paraId="1C091EC1">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w:t>
            </w:r>
          </w:p>
        </w:tc>
        <w:tc>
          <w:tcPr>
            <w:tcW w:w="974" w:type="dxa"/>
            <w:tcBorders>
              <w:top w:val="single" w:color="auto" w:sz="4" w:space="0"/>
              <w:bottom w:val="single" w:color="auto" w:sz="4" w:space="0"/>
            </w:tcBorders>
            <w:vAlign w:val="center"/>
          </w:tcPr>
          <w:p w14:paraId="57431525">
            <w:pPr>
              <w:widowControl/>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p>
        </w:tc>
        <w:tc>
          <w:tcPr>
            <w:tcW w:w="6185" w:type="dxa"/>
            <w:vAlign w:val="center"/>
          </w:tcPr>
          <w:p w14:paraId="2834FB9A">
            <w:pPr>
              <w:shd w:val="clear" w:color="auto" w:fill="auto"/>
              <w:jc w:val="center"/>
              <w:rPr>
                <w:rFonts w:hint="eastAsia" w:ascii="宋体" w:hAnsi="宋体" w:eastAsia="宋体" w:cs="宋体"/>
                <w:color w:val="auto"/>
                <w:szCs w:val="21"/>
                <w:highlight w:val="none"/>
              </w:rPr>
            </w:pPr>
          </w:p>
        </w:tc>
      </w:tr>
      <w:tr w14:paraId="71A5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14E70FD2">
            <w:pPr>
              <w:shd w:val="clear" w:color="auto" w:fill="auto"/>
              <w:jc w:val="center"/>
              <w:rPr>
                <w:rFonts w:hint="eastAsia" w:ascii="宋体" w:hAnsi="宋体" w:eastAsia="宋体" w:cs="宋体"/>
                <w:color w:val="auto"/>
                <w:szCs w:val="21"/>
                <w:highlight w:val="none"/>
              </w:rPr>
            </w:pPr>
          </w:p>
        </w:tc>
        <w:tc>
          <w:tcPr>
            <w:tcW w:w="974" w:type="dxa"/>
            <w:tcBorders>
              <w:top w:val="single" w:color="auto" w:sz="4" w:space="0"/>
              <w:bottom w:val="single" w:color="auto" w:sz="4" w:space="0"/>
            </w:tcBorders>
            <w:vAlign w:val="center"/>
          </w:tcPr>
          <w:p w14:paraId="0D71C53F">
            <w:pPr>
              <w:widowControl/>
              <w:shd w:val="clear" w:color="auto" w:fill="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大写</w:t>
            </w:r>
          </w:p>
        </w:tc>
        <w:tc>
          <w:tcPr>
            <w:tcW w:w="6185" w:type="dxa"/>
            <w:vAlign w:val="center"/>
          </w:tcPr>
          <w:p w14:paraId="628E338A">
            <w:pPr>
              <w:shd w:val="clear" w:color="auto" w:fill="auto"/>
              <w:jc w:val="center"/>
              <w:rPr>
                <w:rFonts w:hint="eastAsia" w:ascii="宋体" w:hAnsi="宋体" w:eastAsia="宋体" w:cs="宋体"/>
                <w:color w:val="auto"/>
                <w:szCs w:val="21"/>
                <w:highlight w:val="none"/>
              </w:rPr>
            </w:pPr>
          </w:p>
        </w:tc>
      </w:tr>
    </w:tbl>
    <w:p w14:paraId="286C314D">
      <w:pPr>
        <w:shd w:val="clear" w:color="auto" w:fill="auto"/>
        <w:spacing w:line="500" w:lineRule="exact"/>
        <w:ind w:firstLine="411" w:firstLineChars="196"/>
        <w:rPr>
          <w:rFonts w:hint="eastAsia" w:ascii="宋体" w:hAnsi="宋体" w:eastAsia="宋体" w:cs="宋体"/>
          <w:color w:val="auto"/>
          <w:szCs w:val="21"/>
          <w:highlight w:val="none"/>
        </w:rPr>
      </w:pPr>
      <w:bookmarkStart w:id="179" w:name="_Toc23717"/>
      <w:r>
        <w:rPr>
          <w:rFonts w:hint="eastAsia" w:ascii="宋体" w:hAnsi="宋体" w:eastAsia="宋体" w:cs="宋体"/>
          <w:color w:val="auto"/>
          <w:szCs w:val="21"/>
          <w:highlight w:val="none"/>
        </w:rPr>
        <w:t>填写说明：</w:t>
      </w:r>
    </w:p>
    <w:p w14:paraId="24FF076B">
      <w:pPr>
        <w:shd w:val="clear" w:color="auto" w:fill="auto"/>
        <w:spacing w:line="5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1.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05F070B4">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.投标总价为招标范围所列全部招标项目的报价总和，并应与投标报价明细表及分项价格表保持一致。</w:t>
      </w:r>
    </w:p>
    <w:p w14:paraId="0B1F241C">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.投标报价不得填报选择性报价。</w:t>
      </w:r>
    </w:p>
    <w:p w14:paraId="3A866940">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r>
        <w:rPr>
          <w:rFonts w:hint="eastAsia" w:ascii="宋体" w:hAnsi="宋体" w:eastAsia="宋体" w:cs="宋体"/>
          <w:color w:val="auto"/>
          <w:szCs w:val="21"/>
          <w:highlight w:val="none"/>
          <w:u w:val="single"/>
        </w:rPr>
        <w:t xml:space="preserve">    （加盖公章）     </w:t>
      </w:r>
      <w:r>
        <w:rPr>
          <w:rFonts w:hint="eastAsia" w:ascii="宋体" w:hAnsi="宋体" w:eastAsia="宋体" w:cs="宋体"/>
          <w:color w:val="auto"/>
          <w:szCs w:val="21"/>
          <w:highlight w:val="none"/>
        </w:rPr>
        <w:t xml:space="preserve">       </w:t>
      </w:r>
    </w:p>
    <w:p w14:paraId="7B750178">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法定代表人签字或盖章：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0AA9F04C">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授权代表签字或盖章：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31720977">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签署日期：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43E6083">
      <w:pPr>
        <w:shd w:val="clear" w:color="auto" w:fill="auto"/>
        <w:spacing w:line="500" w:lineRule="exact"/>
        <w:ind w:firstLine="420" w:firstLineChars="200"/>
        <w:rPr>
          <w:rFonts w:hint="eastAsia" w:ascii="宋体" w:hAnsi="宋体" w:eastAsia="宋体" w:cs="宋体"/>
          <w:color w:val="auto"/>
          <w:szCs w:val="21"/>
          <w:highlight w:val="none"/>
          <w:lang w:eastAsia="zh-CN"/>
        </w:rPr>
      </w:pPr>
    </w:p>
    <w:p w14:paraId="155920EE">
      <w:pPr>
        <w:shd w:val="clear" w:color="auto" w:fill="auto"/>
        <w:spacing w:line="500" w:lineRule="exact"/>
        <w:ind w:firstLine="420" w:firstLineChars="200"/>
        <w:rPr>
          <w:rFonts w:hint="eastAsia" w:ascii="宋体" w:hAnsi="宋体" w:eastAsia="宋体" w:cs="宋体"/>
          <w:color w:val="auto"/>
          <w:szCs w:val="21"/>
          <w:highlight w:val="none"/>
          <w:lang w:eastAsia="zh-CN"/>
        </w:rPr>
      </w:pPr>
    </w:p>
    <w:p w14:paraId="56AC9630">
      <w:pPr>
        <w:shd w:val="clear" w:color="auto" w:fill="auto"/>
        <w:spacing w:line="500" w:lineRule="exact"/>
        <w:ind w:firstLine="420" w:firstLineChars="200"/>
        <w:rPr>
          <w:rFonts w:hint="eastAsia" w:ascii="宋体" w:hAnsi="宋体" w:eastAsia="宋体" w:cs="宋体"/>
          <w:color w:val="auto"/>
          <w:szCs w:val="21"/>
          <w:highlight w:val="none"/>
          <w:lang w:eastAsia="zh-CN"/>
        </w:rPr>
      </w:pPr>
    </w:p>
    <w:p w14:paraId="6C148F97">
      <w:pPr>
        <w:pStyle w:val="6"/>
        <w:rPr>
          <w:rFonts w:hint="eastAsia" w:ascii="宋体" w:hAnsi="宋体" w:eastAsia="宋体" w:cs="宋体"/>
          <w:color w:val="auto"/>
          <w:szCs w:val="21"/>
          <w:highlight w:val="none"/>
          <w:lang w:eastAsia="zh-CN"/>
        </w:rPr>
      </w:pPr>
    </w:p>
    <w:p w14:paraId="6383E4B9">
      <w:pPr>
        <w:rPr>
          <w:rFonts w:hint="eastAsia" w:ascii="宋体" w:hAnsi="宋体" w:eastAsia="宋体" w:cs="宋体"/>
          <w:color w:val="auto"/>
          <w:szCs w:val="21"/>
          <w:highlight w:val="none"/>
          <w:lang w:eastAsia="zh-CN"/>
        </w:rPr>
      </w:pPr>
    </w:p>
    <w:bookmarkEnd w:id="179"/>
    <w:p w14:paraId="3B888935">
      <w:pPr>
        <w:pStyle w:val="3"/>
        <w:numPr>
          <w:ilvl w:val="1"/>
          <w:numId w:val="0"/>
        </w:numPr>
        <w:shd w:val="clear" w:color="auto" w:fill="auto"/>
        <w:spacing w:before="0" w:line="240" w:lineRule="atLeast"/>
        <w:ind w:leftChars="0"/>
        <w:jc w:val="center"/>
        <w:rPr>
          <w:rFonts w:hint="eastAsia" w:ascii="宋体" w:hAnsi="宋体" w:eastAsia="宋体" w:cs="宋体"/>
          <w:b/>
          <w:bCs/>
          <w:color w:val="auto"/>
          <w:sz w:val="24"/>
          <w:highlight w:val="none"/>
        </w:rPr>
      </w:pPr>
      <w:bookmarkStart w:id="180" w:name="_Toc6977"/>
      <w:bookmarkStart w:id="181" w:name="_Toc10313"/>
      <w:bookmarkStart w:id="182" w:name="_Toc1881"/>
      <w:bookmarkStart w:id="183" w:name="_Toc216582815"/>
      <w:bookmarkStart w:id="184" w:name="_Toc515647818"/>
      <w:bookmarkStart w:id="185" w:name="_Toc29660"/>
      <w:bookmarkStart w:id="186" w:name="_Toc20897"/>
      <w:bookmarkStart w:id="187" w:name="_Toc216582817"/>
      <w:bookmarkStart w:id="188" w:name="_Toc515647820"/>
      <w:bookmarkStart w:id="189" w:name="_Toc22563"/>
      <w:bookmarkStart w:id="190" w:name="_Toc28959"/>
      <w:r>
        <w:rPr>
          <w:rFonts w:hint="eastAsia" w:ascii="宋体" w:hAnsi="宋体" w:cs="宋体"/>
          <w:b/>
          <w:bCs/>
          <w:color w:val="auto"/>
          <w:sz w:val="24"/>
          <w:highlight w:val="none"/>
          <w:lang w:val="en-US" w:eastAsia="zh-CN"/>
        </w:rPr>
        <w:t>3、</w:t>
      </w:r>
      <w:r>
        <w:rPr>
          <w:rFonts w:hint="eastAsia" w:ascii="宋体" w:hAnsi="宋体" w:eastAsia="宋体" w:cs="宋体"/>
          <w:b/>
          <w:bCs/>
          <w:color w:val="auto"/>
          <w:sz w:val="24"/>
          <w:highlight w:val="none"/>
        </w:rPr>
        <w:t>投标分项报价表</w:t>
      </w:r>
      <w:bookmarkEnd w:id="180"/>
      <w:bookmarkEnd w:id="181"/>
      <w:bookmarkEnd w:id="182"/>
      <w:bookmarkEnd w:id="183"/>
      <w:bookmarkEnd w:id="184"/>
      <w:bookmarkEnd w:id="185"/>
      <w:bookmarkEnd w:id="186"/>
    </w:p>
    <w:p w14:paraId="7AC9661E">
      <w:pPr>
        <w:pStyle w:val="13"/>
        <w:shd w:val="clear" w:color="auto" w:fill="auto"/>
        <w:spacing w:line="240" w:lineRule="atLeast"/>
        <w:ind w:left="1080" w:leftChars="257" w:hanging="540"/>
        <w:rPr>
          <w:rFonts w:hint="eastAsia" w:ascii="宋体" w:hAnsi="宋体" w:eastAsia="宋体" w:cs="宋体"/>
          <w:color w:val="auto"/>
          <w:sz w:val="24"/>
          <w:highlight w:val="none"/>
        </w:rPr>
      </w:pPr>
    </w:p>
    <w:p w14:paraId="1F27D8C2">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bookmarkStart w:id="191" w:name="_Toc12170"/>
      <w:r>
        <w:rPr>
          <w:rFonts w:hint="eastAsia" w:ascii="宋体" w:hAnsi="宋体" w:eastAsia="宋体" w:cs="宋体"/>
          <w:color w:val="auto"/>
          <w:sz w:val="21"/>
          <w:szCs w:val="21"/>
          <w:highlight w:val="none"/>
        </w:rPr>
        <w:t xml:space="preserve">项目名称: </w:t>
      </w:r>
    </w:p>
    <w:p w14:paraId="4A99EF9A">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FB274C8">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项目编号: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p>
    <w:p w14:paraId="0C2834C2">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w:t>
      </w:r>
      <w:r>
        <w:rPr>
          <w:rFonts w:hint="eastAsia" w:hAnsi="宋体" w:cs="宋体"/>
          <w:color w:val="auto"/>
          <w:sz w:val="21"/>
          <w:szCs w:val="21"/>
          <w:highlight w:val="none"/>
          <w:lang w:val="en-US" w:eastAsia="zh-CN"/>
        </w:rPr>
        <w:t xml:space="preserve">                 </w:t>
      </w:r>
      <w:r>
        <w:rPr>
          <w:rFonts w:hint="eastAsia" w:ascii="仿宋" w:hAnsi="仿宋" w:eastAsia="仿宋" w:cs="仿宋"/>
          <w:color w:val="auto"/>
          <w:sz w:val="21"/>
          <w:szCs w:val="21"/>
          <w:highlight w:val="none"/>
          <w:lang w:val="en-US" w:eastAsia="zh-CN"/>
        </w:rPr>
        <w:t xml:space="preserve"> </w:t>
      </w:r>
      <w:r>
        <w:rPr>
          <w:rFonts w:hint="eastAsia" w:ascii="宋体" w:hAnsi="宋体" w:eastAsia="宋体" w:cs="宋体"/>
          <w:color w:val="auto"/>
          <w:sz w:val="21"/>
          <w:szCs w:val="21"/>
          <w:highlight w:val="none"/>
        </w:rPr>
        <w:t>单位：元（人民币）</w:t>
      </w:r>
    </w:p>
    <w:tbl>
      <w:tblPr>
        <w:tblStyle w:val="29"/>
        <w:tblW w:w="10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599"/>
        <w:gridCol w:w="1310"/>
        <w:gridCol w:w="868"/>
        <w:gridCol w:w="1075"/>
        <w:gridCol w:w="975"/>
        <w:gridCol w:w="1350"/>
        <w:gridCol w:w="802"/>
        <w:gridCol w:w="720"/>
        <w:gridCol w:w="720"/>
      </w:tblGrid>
      <w:tr w14:paraId="0DB8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78" w:type="dxa"/>
            <w:vAlign w:val="center"/>
          </w:tcPr>
          <w:p w14:paraId="723F0C86">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599" w:type="dxa"/>
            <w:vAlign w:val="center"/>
          </w:tcPr>
          <w:p w14:paraId="457DC0D7">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标的</w:t>
            </w:r>
            <w:r>
              <w:rPr>
                <w:rFonts w:hint="eastAsia" w:hAnsi="宋体" w:eastAsia="宋体" w:cs="宋体"/>
                <w:color w:val="auto"/>
                <w:sz w:val="21"/>
                <w:szCs w:val="21"/>
                <w:highlight w:val="none"/>
                <w:lang w:val="en-US" w:eastAsia="zh-CN"/>
              </w:rPr>
              <w:t>名称</w:t>
            </w:r>
          </w:p>
        </w:tc>
        <w:tc>
          <w:tcPr>
            <w:tcW w:w="1310" w:type="dxa"/>
            <w:vAlign w:val="center"/>
          </w:tcPr>
          <w:p w14:paraId="33C9EA35">
            <w:pPr>
              <w:pStyle w:val="13"/>
              <w:shd w:val="clear" w:color="auto" w:fill="auto"/>
              <w:spacing w:line="240" w:lineRule="atLeast"/>
              <w:jc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型号和规格</w:t>
            </w:r>
          </w:p>
        </w:tc>
        <w:tc>
          <w:tcPr>
            <w:tcW w:w="868" w:type="dxa"/>
            <w:vAlign w:val="center"/>
          </w:tcPr>
          <w:p w14:paraId="6C6B1D2B">
            <w:pPr>
              <w:pStyle w:val="13"/>
              <w:shd w:val="clear" w:color="auto" w:fill="auto"/>
              <w:spacing w:line="240" w:lineRule="atLeas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p>
        </w:tc>
        <w:tc>
          <w:tcPr>
            <w:tcW w:w="1075" w:type="dxa"/>
            <w:vAlign w:val="center"/>
          </w:tcPr>
          <w:p w14:paraId="44A7E096">
            <w:pPr>
              <w:pStyle w:val="13"/>
              <w:shd w:val="clear" w:color="auto" w:fill="auto"/>
              <w:spacing w:line="240" w:lineRule="atLeas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单位</w:t>
            </w:r>
          </w:p>
        </w:tc>
        <w:tc>
          <w:tcPr>
            <w:tcW w:w="975" w:type="dxa"/>
            <w:vAlign w:val="center"/>
          </w:tcPr>
          <w:p w14:paraId="3BFA14B4">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品牌</w:t>
            </w:r>
          </w:p>
        </w:tc>
        <w:tc>
          <w:tcPr>
            <w:tcW w:w="1350" w:type="dxa"/>
            <w:vAlign w:val="center"/>
          </w:tcPr>
          <w:p w14:paraId="6AAB95A2">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制造商名称</w:t>
            </w:r>
          </w:p>
        </w:tc>
        <w:tc>
          <w:tcPr>
            <w:tcW w:w="802" w:type="dxa"/>
            <w:vAlign w:val="center"/>
          </w:tcPr>
          <w:p w14:paraId="3F4A134A">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单价</w:t>
            </w:r>
          </w:p>
        </w:tc>
        <w:tc>
          <w:tcPr>
            <w:tcW w:w="720" w:type="dxa"/>
            <w:vAlign w:val="center"/>
          </w:tcPr>
          <w:p w14:paraId="586E8033">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总价</w:t>
            </w:r>
          </w:p>
        </w:tc>
        <w:tc>
          <w:tcPr>
            <w:tcW w:w="720" w:type="dxa"/>
            <w:vAlign w:val="center"/>
          </w:tcPr>
          <w:p w14:paraId="6F99513E">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r>
      <w:tr w14:paraId="5FF7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778" w:type="dxa"/>
            <w:vAlign w:val="center"/>
          </w:tcPr>
          <w:p w14:paraId="3338DDCD">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599" w:type="dxa"/>
            <w:vAlign w:val="center"/>
          </w:tcPr>
          <w:p w14:paraId="4B155429">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p>
        </w:tc>
        <w:tc>
          <w:tcPr>
            <w:tcW w:w="1310" w:type="dxa"/>
            <w:vAlign w:val="center"/>
          </w:tcPr>
          <w:p w14:paraId="240436BE">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868" w:type="dxa"/>
            <w:vAlign w:val="center"/>
          </w:tcPr>
          <w:p w14:paraId="6BFCE101">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1075" w:type="dxa"/>
            <w:vAlign w:val="center"/>
          </w:tcPr>
          <w:p w14:paraId="3206B608">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975" w:type="dxa"/>
            <w:vAlign w:val="center"/>
          </w:tcPr>
          <w:p w14:paraId="2CC3F5F0">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1350" w:type="dxa"/>
            <w:vAlign w:val="center"/>
          </w:tcPr>
          <w:p w14:paraId="00FAA508">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802" w:type="dxa"/>
            <w:vAlign w:val="center"/>
          </w:tcPr>
          <w:p w14:paraId="34EFB971">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720" w:type="dxa"/>
            <w:vAlign w:val="center"/>
          </w:tcPr>
          <w:p w14:paraId="25EA9125">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720" w:type="dxa"/>
            <w:vAlign w:val="center"/>
          </w:tcPr>
          <w:p w14:paraId="438B7168">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r>
      <w:tr w14:paraId="7903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502E3A3">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599" w:type="dxa"/>
            <w:vAlign w:val="center"/>
          </w:tcPr>
          <w:p w14:paraId="488546C4">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268C34DA">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49EA707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139A96CF">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6CCCEEC0">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30E9D21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575E226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469994D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4DE83707">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3671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475A14C">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599" w:type="dxa"/>
            <w:vAlign w:val="center"/>
          </w:tcPr>
          <w:p w14:paraId="586FBE3B">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7EEB034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031B4B1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691A917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209054B1">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44B55129">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13527331">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263C6E40">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747B8EE5">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0F2C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27E10704">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599" w:type="dxa"/>
            <w:vAlign w:val="center"/>
          </w:tcPr>
          <w:p w14:paraId="1380875A">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7641010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73FD15BE">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4D51C88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30541F8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138BF9B5">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1C0A6E7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46C053DB">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36886A89">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70C2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78" w:type="dxa"/>
            <w:vAlign w:val="center"/>
          </w:tcPr>
          <w:p w14:paraId="263B0684">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599" w:type="dxa"/>
            <w:vAlign w:val="center"/>
          </w:tcPr>
          <w:p w14:paraId="5510718A">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3FCA5841">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4068E226">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0C353B8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4E3E546A">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2A0BF1CA">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27DF54A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5B16987D">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2C93C0F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6D02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78" w:type="dxa"/>
            <w:vAlign w:val="center"/>
          </w:tcPr>
          <w:p w14:paraId="24D3425E">
            <w:pPr>
              <w:pStyle w:val="13"/>
              <w:shd w:val="clear" w:color="auto" w:fill="auto"/>
              <w:spacing w:line="240" w:lineRule="atLeast"/>
              <w:ind w:left="1080" w:leftChars="257" w:hanging="540"/>
              <w:jc w:val="both"/>
              <w:rPr>
                <w:rFonts w:hint="eastAsia" w:hAnsi="宋体" w:eastAsia="宋体" w:cs="宋体"/>
                <w:color w:val="auto"/>
                <w:sz w:val="21"/>
                <w:szCs w:val="21"/>
                <w:highlight w:val="none"/>
                <w:lang w:val="en-US" w:eastAsia="zh-CN"/>
              </w:rPr>
            </w:pPr>
          </w:p>
        </w:tc>
        <w:tc>
          <w:tcPr>
            <w:tcW w:w="9419" w:type="dxa"/>
            <w:gridSpan w:val="9"/>
            <w:vAlign w:val="center"/>
          </w:tcPr>
          <w:p w14:paraId="4301BCE6">
            <w:pPr>
              <w:pStyle w:val="13"/>
              <w:shd w:val="clear" w:color="auto" w:fill="auto"/>
              <w:spacing w:line="240" w:lineRule="atLeast"/>
              <w:ind w:left="1080" w:leftChars="257" w:hanging="540"/>
              <w:jc w:val="both"/>
              <w:rPr>
                <w:rFonts w:hint="eastAsia"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总计（元）：</w:t>
            </w:r>
          </w:p>
        </w:tc>
      </w:tr>
    </w:tbl>
    <w:p w14:paraId="295C0417">
      <w:pPr>
        <w:pStyle w:val="13"/>
        <w:shd w:val="clear" w:color="auto" w:fill="auto"/>
        <w:spacing w:line="240" w:lineRule="atLeast"/>
        <w:ind w:left="1080" w:leftChars="257" w:hanging="540"/>
        <w:rPr>
          <w:rFonts w:hint="eastAsia" w:ascii="宋体" w:hAnsi="宋体" w:eastAsia="宋体" w:cs="宋体"/>
          <w:color w:val="auto"/>
          <w:sz w:val="21"/>
          <w:szCs w:val="21"/>
          <w:highlight w:val="none"/>
        </w:rPr>
      </w:pPr>
    </w:p>
    <w:p w14:paraId="2CA74F1C">
      <w:pPr>
        <w:pStyle w:val="13"/>
        <w:shd w:val="clear" w:color="auto" w:fill="auto"/>
        <w:spacing w:line="240" w:lineRule="atLeast"/>
        <w:ind w:left="1080"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法定代表人或其委托代理人签字或盖章: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p>
    <w:p w14:paraId="5707FEE8">
      <w:pPr>
        <w:pStyle w:val="13"/>
        <w:shd w:val="clear" w:color="auto" w:fill="auto"/>
        <w:tabs>
          <w:tab w:val="left" w:pos="5370"/>
        </w:tabs>
        <w:spacing w:line="240" w:lineRule="atLeast"/>
        <w:ind w:left="1080" w:leftChars="257" w:hanging="54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投标人(盖单位章):</w:t>
      </w:r>
      <w:r>
        <w:rPr>
          <w:rFonts w:hint="eastAsia" w:ascii="宋体" w:hAnsi="宋体" w:eastAsia="宋体" w:cs="宋体"/>
          <w:color w:val="auto"/>
          <w:sz w:val="21"/>
          <w:szCs w:val="21"/>
          <w:highlight w:val="none"/>
          <w:u w:val="single"/>
        </w:rPr>
        <w:tab/>
      </w:r>
    </w:p>
    <w:p w14:paraId="4564CF82">
      <w:pPr>
        <w:pStyle w:val="13"/>
        <w:spacing w:line="240" w:lineRule="atLeast"/>
        <w:ind w:left="1080" w:leftChars="257" w:hanging="540"/>
        <w:rPr>
          <w:rFonts w:hint="eastAsia" w:ascii="宋体" w:hAnsi="宋体" w:eastAsia="宋体" w:cs="Times New Roman"/>
          <w:color w:val="auto"/>
          <w:sz w:val="24"/>
          <w:highlight w:val="none"/>
        </w:rPr>
      </w:pPr>
    </w:p>
    <w:p w14:paraId="221D9731">
      <w:pPr>
        <w:pStyle w:val="13"/>
        <w:spacing w:line="240" w:lineRule="atLeas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注:1.如果按单价计算的结果与总价不一致,以单价为准修正总价。</w:t>
      </w:r>
    </w:p>
    <w:p w14:paraId="0FA5C6F5">
      <w:pPr>
        <w:pStyle w:val="13"/>
        <w:spacing w:line="240" w:lineRule="atLeas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rPr>
        <w:t>如果开标一览表（报价表）内容与投标文件中明细表内容不一致的，以开标一览表（报价表）内容为准。</w:t>
      </w:r>
    </w:p>
    <w:p w14:paraId="7D181C12">
      <w:pPr>
        <w:pStyle w:val="14"/>
        <w:numPr>
          <w:ilvl w:val="0"/>
          <w:numId w:val="0"/>
        </w:numPr>
        <w:ind w:left="909" w:leftChars="0"/>
        <w:rPr>
          <w:color w:val="auto"/>
          <w:highlight w:val="none"/>
        </w:rPr>
      </w:pPr>
    </w:p>
    <w:p w14:paraId="72F03CF5">
      <w:pPr>
        <w:pStyle w:val="13"/>
        <w:shd w:val="clear" w:color="auto" w:fill="auto"/>
        <w:spacing w:line="240" w:lineRule="atLeast"/>
        <w:ind w:left="1074" w:leftChars="455" w:hanging="119" w:hangingChars="57"/>
        <w:rPr>
          <w:rFonts w:hint="eastAsia" w:ascii="宋体" w:hAnsi="宋体" w:eastAsia="宋体" w:cs="宋体"/>
          <w:color w:val="auto"/>
          <w:sz w:val="21"/>
          <w:szCs w:val="21"/>
          <w:highlight w:val="none"/>
        </w:rPr>
      </w:pPr>
    </w:p>
    <w:p w14:paraId="2D46D960">
      <w:pPr>
        <w:pStyle w:val="13"/>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05151820">
      <w:pPr>
        <w:pStyle w:val="13"/>
        <w:spacing w:line="240" w:lineRule="atLeast"/>
        <w:jc w:val="center"/>
        <w:rPr>
          <w:rFonts w:hAnsi="宋体"/>
          <w:b/>
          <w:bCs/>
          <w:color w:val="auto"/>
          <w:sz w:val="24"/>
          <w:highlight w:val="none"/>
        </w:rPr>
      </w:pPr>
      <w:bookmarkStart w:id="192" w:name="_Toc18267"/>
      <w:bookmarkStart w:id="193" w:name="_Toc216582816"/>
      <w:bookmarkStart w:id="194" w:name="_Toc14037"/>
      <w:bookmarkStart w:id="195" w:name="_Toc515647819"/>
      <w:bookmarkStart w:id="196" w:name="_Toc4012"/>
      <w:r>
        <w:rPr>
          <w:rFonts w:hint="eastAsia" w:ascii="宋体" w:hAnsi="宋体" w:eastAsia="宋体" w:cs="宋体"/>
          <w:b/>
          <w:bCs/>
          <w:color w:val="auto"/>
          <w:sz w:val="24"/>
          <w:highlight w:val="none"/>
          <w:lang w:val="en-US" w:eastAsia="zh-CN"/>
        </w:rPr>
        <w:t>4、</w:t>
      </w:r>
      <w:r>
        <w:rPr>
          <w:rFonts w:hint="eastAsia" w:hAnsi="宋体"/>
          <w:b/>
          <w:bCs/>
          <w:color w:val="auto"/>
          <w:sz w:val="24"/>
          <w:highlight w:val="none"/>
        </w:rPr>
        <w:t>货物说明一览表</w:t>
      </w:r>
      <w:bookmarkEnd w:id="192"/>
      <w:bookmarkEnd w:id="193"/>
      <w:bookmarkEnd w:id="194"/>
      <w:bookmarkEnd w:id="195"/>
      <w:bookmarkEnd w:id="196"/>
    </w:p>
    <w:p w14:paraId="43193BCF">
      <w:pPr>
        <w:pStyle w:val="13"/>
        <w:spacing w:line="240" w:lineRule="atLeast"/>
        <w:ind w:left="1080" w:leftChars="257" w:hanging="540"/>
        <w:rPr>
          <w:rFonts w:hAnsi="宋体"/>
          <w:color w:val="auto"/>
          <w:sz w:val="24"/>
          <w:highlight w:val="none"/>
        </w:rPr>
      </w:pPr>
    </w:p>
    <w:p w14:paraId="562A67FF">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6C7A5C49">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A9F7612">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Ansi="宋体"/>
          <w:color w:val="auto"/>
          <w:sz w:val="24"/>
          <w:highlight w:val="none"/>
        </w:rPr>
      </w:pPr>
      <w:r>
        <w:rPr>
          <w:rFonts w:hint="eastAsia" w:ascii="宋体" w:hAnsi="宋体" w:eastAsia="宋体" w:cs="宋体"/>
          <w:color w:val="auto"/>
          <w:sz w:val="21"/>
          <w:szCs w:val="21"/>
          <w:highlight w:val="none"/>
        </w:rPr>
        <w:t xml:space="preserve">项目编号: </w:t>
      </w:r>
      <w:r>
        <w:rPr>
          <w:rFonts w:hint="eastAsia" w:hAnsi="宋体"/>
          <w:color w:val="auto"/>
          <w:sz w:val="24"/>
          <w:highlight w:val="none"/>
        </w:rPr>
        <w:t xml:space="preserve">                                       </w:t>
      </w:r>
    </w:p>
    <w:p w14:paraId="666623CD">
      <w:pPr>
        <w:pStyle w:val="13"/>
        <w:spacing w:line="240" w:lineRule="atLeast"/>
        <w:ind w:left="1080" w:leftChars="257" w:hanging="540"/>
        <w:rPr>
          <w:rFonts w:hAnsi="宋体"/>
          <w:color w:val="auto"/>
          <w:sz w:val="24"/>
          <w:highlight w:val="none"/>
        </w:rPr>
      </w:pPr>
    </w:p>
    <w:tbl>
      <w:tblPr>
        <w:tblStyle w:val="29"/>
        <w:tblW w:w="8644"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01"/>
        <w:gridCol w:w="1225"/>
        <w:gridCol w:w="1138"/>
        <w:gridCol w:w="1275"/>
        <w:gridCol w:w="1250"/>
        <w:gridCol w:w="1459"/>
      </w:tblGrid>
      <w:tr w14:paraId="6682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96" w:type="dxa"/>
          </w:tcPr>
          <w:p w14:paraId="0A7A7988">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序号</w:t>
            </w:r>
          </w:p>
        </w:tc>
        <w:tc>
          <w:tcPr>
            <w:tcW w:w="1601" w:type="dxa"/>
          </w:tcPr>
          <w:p w14:paraId="62ECBB43">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货物名称</w:t>
            </w:r>
          </w:p>
        </w:tc>
        <w:tc>
          <w:tcPr>
            <w:tcW w:w="1225" w:type="dxa"/>
          </w:tcPr>
          <w:p w14:paraId="0B457697">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主要规格</w:t>
            </w:r>
          </w:p>
        </w:tc>
        <w:tc>
          <w:tcPr>
            <w:tcW w:w="1138" w:type="dxa"/>
          </w:tcPr>
          <w:p w14:paraId="4A0D7314">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数量</w:t>
            </w:r>
          </w:p>
        </w:tc>
        <w:tc>
          <w:tcPr>
            <w:tcW w:w="1275" w:type="dxa"/>
          </w:tcPr>
          <w:p w14:paraId="297212C1">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交货期</w:t>
            </w:r>
          </w:p>
        </w:tc>
        <w:tc>
          <w:tcPr>
            <w:tcW w:w="1250" w:type="dxa"/>
          </w:tcPr>
          <w:p w14:paraId="2F96F079">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交货地点</w:t>
            </w:r>
          </w:p>
        </w:tc>
        <w:tc>
          <w:tcPr>
            <w:tcW w:w="1459" w:type="dxa"/>
          </w:tcPr>
          <w:p w14:paraId="5CCF1EBF">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其它</w:t>
            </w:r>
          </w:p>
        </w:tc>
      </w:tr>
      <w:tr w14:paraId="3F93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202F140F">
            <w:pPr>
              <w:pStyle w:val="13"/>
              <w:spacing w:line="240" w:lineRule="atLeast"/>
              <w:ind w:left="1080" w:leftChars="257" w:hanging="540"/>
              <w:rPr>
                <w:rFonts w:hAnsi="宋体"/>
                <w:color w:val="auto"/>
                <w:sz w:val="21"/>
                <w:szCs w:val="21"/>
                <w:highlight w:val="none"/>
              </w:rPr>
            </w:pPr>
          </w:p>
        </w:tc>
        <w:tc>
          <w:tcPr>
            <w:tcW w:w="1601" w:type="dxa"/>
          </w:tcPr>
          <w:p w14:paraId="716C8145">
            <w:pPr>
              <w:pStyle w:val="13"/>
              <w:spacing w:line="240" w:lineRule="atLeast"/>
              <w:ind w:left="1080" w:leftChars="257" w:hanging="540"/>
              <w:rPr>
                <w:rFonts w:hAnsi="宋体"/>
                <w:color w:val="auto"/>
                <w:sz w:val="21"/>
                <w:szCs w:val="21"/>
                <w:highlight w:val="none"/>
              </w:rPr>
            </w:pPr>
          </w:p>
        </w:tc>
        <w:tc>
          <w:tcPr>
            <w:tcW w:w="1225" w:type="dxa"/>
          </w:tcPr>
          <w:p w14:paraId="3F896B7A">
            <w:pPr>
              <w:pStyle w:val="13"/>
              <w:spacing w:line="240" w:lineRule="atLeast"/>
              <w:ind w:left="1080" w:leftChars="257" w:hanging="540"/>
              <w:rPr>
                <w:rFonts w:hAnsi="宋体"/>
                <w:color w:val="auto"/>
                <w:sz w:val="21"/>
                <w:szCs w:val="21"/>
                <w:highlight w:val="none"/>
              </w:rPr>
            </w:pPr>
          </w:p>
        </w:tc>
        <w:tc>
          <w:tcPr>
            <w:tcW w:w="1138" w:type="dxa"/>
          </w:tcPr>
          <w:p w14:paraId="4BE4CE47">
            <w:pPr>
              <w:pStyle w:val="13"/>
              <w:spacing w:line="240" w:lineRule="atLeast"/>
              <w:ind w:left="1080" w:leftChars="257" w:hanging="540"/>
              <w:rPr>
                <w:rFonts w:hAnsi="宋体"/>
                <w:color w:val="auto"/>
                <w:sz w:val="21"/>
                <w:szCs w:val="21"/>
                <w:highlight w:val="none"/>
              </w:rPr>
            </w:pPr>
          </w:p>
        </w:tc>
        <w:tc>
          <w:tcPr>
            <w:tcW w:w="1275" w:type="dxa"/>
          </w:tcPr>
          <w:p w14:paraId="4C5B3C98">
            <w:pPr>
              <w:pStyle w:val="13"/>
              <w:spacing w:line="240" w:lineRule="atLeast"/>
              <w:ind w:left="1080" w:leftChars="257" w:hanging="540"/>
              <w:rPr>
                <w:rFonts w:hAnsi="宋体"/>
                <w:color w:val="auto"/>
                <w:sz w:val="21"/>
                <w:szCs w:val="21"/>
                <w:highlight w:val="none"/>
              </w:rPr>
            </w:pPr>
          </w:p>
        </w:tc>
        <w:tc>
          <w:tcPr>
            <w:tcW w:w="1250" w:type="dxa"/>
          </w:tcPr>
          <w:p w14:paraId="343199A4">
            <w:pPr>
              <w:pStyle w:val="13"/>
              <w:spacing w:line="240" w:lineRule="atLeast"/>
              <w:ind w:left="1080" w:leftChars="257" w:hanging="540"/>
              <w:rPr>
                <w:rFonts w:hAnsi="宋体"/>
                <w:color w:val="auto"/>
                <w:sz w:val="21"/>
                <w:szCs w:val="21"/>
                <w:highlight w:val="none"/>
              </w:rPr>
            </w:pPr>
          </w:p>
        </w:tc>
        <w:tc>
          <w:tcPr>
            <w:tcW w:w="1459" w:type="dxa"/>
          </w:tcPr>
          <w:p w14:paraId="1DC1F348">
            <w:pPr>
              <w:pStyle w:val="13"/>
              <w:spacing w:line="240" w:lineRule="atLeast"/>
              <w:ind w:left="1080" w:leftChars="257" w:hanging="540"/>
              <w:rPr>
                <w:rFonts w:hAnsi="宋体"/>
                <w:color w:val="auto"/>
                <w:sz w:val="21"/>
                <w:szCs w:val="21"/>
                <w:highlight w:val="none"/>
              </w:rPr>
            </w:pPr>
          </w:p>
        </w:tc>
      </w:tr>
      <w:tr w14:paraId="3242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2D95A13D">
            <w:pPr>
              <w:pStyle w:val="13"/>
              <w:spacing w:line="240" w:lineRule="atLeast"/>
              <w:ind w:left="1080" w:leftChars="257" w:hanging="540"/>
              <w:rPr>
                <w:rFonts w:hAnsi="宋体"/>
                <w:color w:val="auto"/>
                <w:sz w:val="21"/>
                <w:szCs w:val="21"/>
                <w:highlight w:val="none"/>
              </w:rPr>
            </w:pPr>
          </w:p>
        </w:tc>
        <w:tc>
          <w:tcPr>
            <w:tcW w:w="1601" w:type="dxa"/>
          </w:tcPr>
          <w:p w14:paraId="27FC3537">
            <w:pPr>
              <w:pStyle w:val="13"/>
              <w:spacing w:line="240" w:lineRule="atLeast"/>
              <w:ind w:left="1080" w:leftChars="257" w:hanging="540"/>
              <w:rPr>
                <w:rFonts w:hAnsi="宋体"/>
                <w:color w:val="auto"/>
                <w:sz w:val="21"/>
                <w:szCs w:val="21"/>
                <w:highlight w:val="none"/>
              </w:rPr>
            </w:pPr>
          </w:p>
        </w:tc>
        <w:tc>
          <w:tcPr>
            <w:tcW w:w="1225" w:type="dxa"/>
          </w:tcPr>
          <w:p w14:paraId="1B831AC3">
            <w:pPr>
              <w:pStyle w:val="13"/>
              <w:spacing w:line="240" w:lineRule="atLeast"/>
              <w:ind w:left="1080" w:leftChars="257" w:hanging="540"/>
              <w:rPr>
                <w:rFonts w:hAnsi="宋体"/>
                <w:color w:val="auto"/>
                <w:sz w:val="21"/>
                <w:szCs w:val="21"/>
                <w:highlight w:val="none"/>
              </w:rPr>
            </w:pPr>
          </w:p>
        </w:tc>
        <w:tc>
          <w:tcPr>
            <w:tcW w:w="1138" w:type="dxa"/>
          </w:tcPr>
          <w:p w14:paraId="7F4328D9">
            <w:pPr>
              <w:pStyle w:val="13"/>
              <w:spacing w:line="240" w:lineRule="atLeast"/>
              <w:ind w:left="1080" w:leftChars="257" w:hanging="540"/>
              <w:rPr>
                <w:rFonts w:hAnsi="宋体"/>
                <w:color w:val="auto"/>
                <w:sz w:val="21"/>
                <w:szCs w:val="21"/>
                <w:highlight w:val="none"/>
              </w:rPr>
            </w:pPr>
          </w:p>
        </w:tc>
        <w:tc>
          <w:tcPr>
            <w:tcW w:w="1275" w:type="dxa"/>
          </w:tcPr>
          <w:p w14:paraId="193F6467">
            <w:pPr>
              <w:pStyle w:val="13"/>
              <w:spacing w:line="240" w:lineRule="atLeast"/>
              <w:ind w:left="1080" w:leftChars="257" w:hanging="540"/>
              <w:rPr>
                <w:rFonts w:hAnsi="宋体"/>
                <w:color w:val="auto"/>
                <w:sz w:val="21"/>
                <w:szCs w:val="21"/>
                <w:highlight w:val="none"/>
              </w:rPr>
            </w:pPr>
          </w:p>
        </w:tc>
        <w:tc>
          <w:tcPr>
            <w:tcW w:w="1250" w:type="dxa"/>
          </w:tcPr>
          <w:p w14:paraId="46281837">
            <w:pPr>
              <w:pStyle w:val="13"/>
              <w:spacing w:line="240" w:lineRule="atLeast"/>
              <w:ind w:left="1080" w:leftChars="257" w:hanging="540"/>
              <w:rPr>
                <w:rFonts w:hAnsi="宋体"/>
                <w:color w:val="auto"/>
                <w:sz w:val="21"/>
                <w:szCs w:val="21"/>
                <w:highlight w:val="none"/>
              </w:rPr>
            </w:pPr>
          </w:p>
        </w:tc>
        <w:tc>
          <w:tcPr>
            <w:tcW w:w="1459" w:type="dxa"/>
          </w:tcPr>
          <w:p w14:paraId="70B945F6">
            <w:pPr>
              <w:pStyle w:val="13"/>
              <w:spacing w:line="240" w:lineRule="atLeast"/>
              <w:ind w:left="1080" w:leftChars="257" w:hanging="540"/>
              <w:rPr>
                <w:rFonts w:hAnsi="宋体"/>
                <w:color w:val="auto"/>
                <w:sz w:val="21"/>
                <w:szCs w:val="21"/>
                <w:highlight w:val="none"/>
              </w:rPr>
            </w:pPr>
          </w:p>
        </w:tc>
      </w:tr>
      <w:tr w14:paraId="430B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6BD351E5">
            <w:pPr>
              <w:pStyle w:val="13"/>
              <w:spacing w:line="240" w:lineRule="atLeast"/>
              <w:ind w:left="1080" w:leftChars="257" w:hanging="540"/>
              <w:rPr>
                <w:rFonts w:hAnsi="宋体"/>
                <w:color w:val="auto"/>
                <w:sz w:val="21"/>
                <w:szCs w:val="21"/>
                <w:highlight w:val="none"/>
              </w:rPr>
            </w:pPr>
          </w:p>
        </w:tc>
        <w:tc>
          <w:tcPr>
            <w:tcW w:w="1601" w:type="dxa"/>
          </w:tcPr>
          <w:p w14:paraId="6EAB65FE">
            <w:pPr>
              <w:pStyle w:val="13"/>
              <w:spacing w:line="240" w:lineRule="atLeast"/>
              <w:ind w:left="1080" w:leftChars="257" w:hanging="540"/>
              <w:rPr>
                <w:rFonts w:hAnsi="宋体"/>
                <w:color w:val="auto"/>
                <w:sz w:val="21"/>
                <w:szCs w:val="21"/>
                <w:highlight w:val="none"/>
              </w:rPr>
            </w:pPr>
          </w:p>
        </w:tc>
        <w:tc>
          <w:tcPr>
            <w:tcW w:w="1225" w:type="dxa"/>
          </w:tcPr>
          <w:p w14:paraId="1C8A706F">
            <w:pPr>
              <w:pStyle w:val="13"/>
              <w:spacing w:line="240" w:lineRule="atLeast"/>
              <w:ind w:left="1080" w:leftChars="257" w:hanging="540"/>
              <w:rPr>
                <w:rFonts w:hAnsi="宋体"/>
                <w:color w:val="auto"/>
                <w:sz w:val="21"/>
                <w:szCs w:val="21"/>
                <w:highlight w:val="none"/>
              </w:rPr>
            </w:pPr>
          </w:p>
        </w:tc>
        <w:tc>
          <w:tcPr>
            <w:tcW w:w="1138" w:type="dxa"/>
          </w:tcPr>
          <w:p w14:paraId="14723C69">
            <w:pPr>
              <w:pStyle w:val="13"/>
              <w:spacing w:line="240" w:lineRule="atLeast"/>
              <w:ind w:left="1080" w:leftChars="257" w:hanging="540"/>
              <w:rPr>
                <w:rFonts w:hAnsi="宋体"/>
                <w:color w:val="auto"/>
                <w:sz w:val="21"/>
                <w:szCs w:val="21"/>
                <w:highlight w:val="none"/>
              </w:rPr>
            </w:pPr>
          </w:p>
        </w:tc>
        <w:tc>
          <w:tcPr>
            <w:tcW w:w="1275" w:type="dxa"/>
          </w:tcPr>
          <w:p w14:paraId="7292601F">
            <w:pPr>
              <w:pStyle w:val="13"/>
              <w:spacing w:line="240" w:lineRule="atLeast"/>
              <w:ind w:left="1080" w:leftChars="257" w:hanging="540"/>
              <w:rPr>
                <w:rFonts w:hAnsi="宋体"/>
                <w:color w:val="auto"/>
                <w:sz w:val="21"/>
                <w:szCs w:val="21"/>
                <w:highlight w:val="none"/>
              </w:rPr>
            </w:pPr>
          </w:p>
        </w:tc>
        <w:tc>
          <w:tcPr>
            <w:tcW w:w="1250" w:type="dxa"/>
          </w:tcPr>
          <w:p w14:paraId="0D00FE31">
            <w:pPr>
              <w:pStyle w:val="13"/>
              <w:spacing w:line="240" w:lineRule="atLeast"/>
              <w:ind w:left="1080" w:leftChars="257" w:hanging="540"/>
              <w:rPr>
                <w:rFonts w:hAnsi="宋体"/>
                <w:color w:val="auto"/>
                <w:sz w:val="21"/>
                <w:szCs w:val="21"/>
                <w:highlight w:val="none"/>
              </w:rPr>
            </w:pPr>
          </w:p>
        </w:tc>
        <w:tc>
          <w:tcPr>
            <w:tcW w:w="1459" w:type="dxa"/>
          </w:tcPr>
          <w:p w14:paraId="088C6A66">
            <w:pPr>
              <w:pStyle w:val="13"/>
              <w:spacing w:line="240" w:lineRule="atLeast"/>
              <w:ind w:left="1080" w:leftChars="257" w:hanging="540"/>
              <w:rPr>
                <w:rFonts w:hAnsi="宋体"/>
                <w:color w:val="auto"/>
                <w:sz w:val="21"/>
                <w:szCs w:val="21"/>
                <w:highlight w:val="none"/>
              </w:rPr>
            </w:pPr>
          </w:p>
        </w:tc>
      </w:tr>
      <w:tr w14:paraId="23EC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4DBCEAE5">
            <w:pPr>
              <w:pStyle w:val="13"/>
              <w:spacing w:line="240" w:lineRule="atLeast"/>
              <w:ind w:left="1080" w:leftChars="257" w:hanging="540"/>
              <w:rPr>
                <w:rFonts w:hAnsi="宋体"/>
                <w:color w:val="auto"/>
                <w:sz w:val="21"/>
                <w:szCs w:val="21"/>
                <w:highlight w:val="none"/>
              </w:rPr>
            </w:pPr>
          </w:p>
        </w:tc>
        <w:tc>
          <w:tcPr>
            <w:tcW w:w="1601" w:type="dxa"/>
          </w:tcPr>
          <w:p w14:paraId="50FF2C84">
            <w:pPr>
              <w:pStyle w:val="13"/>
              <w:spacing w:line="240" w:lineRule="atLeast"/>
              <w:ind w:left="1080" w:leftChars="257" w:hanging="540"/>
              <w:rPr>
                <w:rFonts w:hAnsi="宋体"/>
                <w:color w:val="auto"/>
                <w:sz w:val="21"/>
                <w:szCs w:val="21"/>
                <w:highlight w:val="none"/>
              </w:rPr>
            </w:pPr>
          </w:p>
        </w:tc>
        <w:tc>
          <w:tcPr>
            <w:tcW w:w="1225" w:type="dxa"/>
          </w:tcPr>
          <w:p w14:paraId="7AA979E3">
            <w:pPr>
              <w:pStyle w:val="13"/>
              <w:spacing w:line="240" w:lineRule="atLeast"/>
              <w:ind w:left="1080" w:leftChars="257" w:hanging="540"/>
              <w:rPr>
                <w:rFonts w:hAnsi="宋体"/>
                <w:color w:val="auto"/>
                <w:sz w:val="21"/>
                <w:szCs w:val="21"/>
                <w:highlight w:val="none"/>
              </w:rPr>
            </w:pPr>
          </w:p>
        </w:tc>
        <w:tc>
          <w:tcPr>
            <w:tcW w:w="1138" w:type="dxa"/>
          </w:tcPr>
          <w:p w14:paraId="612BBFCC">
            <w:pPr>
              <w:pStyle w:val="13"/>
              <w:spacing w:line="240" w:lineRule="atLeast"/>
              <w:ind w:left="1080" w:leftChars="257" w:hanging="540"/>
              <w:rPr>
                <w:rFonts w:hAnsi="宋体"/>
                <w:color w:val="auto"/>
                <w:sz w:val="21"/>
                <w:szCs w:val="21"/>
                <w:highlight w:val="none"/>
              </w:rPr>
            </w:pPr>
          </w:p>
        </w:tc>
        <w:tc>
          <w:tcPr>
            <w:tcW w:w="1275" w:type="dxa"/>
          </w:tcPr>
          <w:p w14:paraId="5D2480E6">
            <w:pPr>
              <w:pStyle w:val="13"/>
              <w:spacing w:line="240" w:lineRule="atLeast"/>
              <w:ind w:left="1080" w:leftChars="257" w:hanging="540"/>
              <w:rPr>
                <w:rFonts w:hAnsi="宋体"/>
                <w:color w:val="auto"/>
                <w:sz w:val="21"/>
                <w:szCs w:val="21"/>
                <w:highlight w:val="none"/>
              </w:rPr>
            </w:pPr>
          </w:p>
        </w:tc>
        <w:tc>
          <w:tcPr>
            <w:tcW w:w="1250" w:type="dxa"/>
          </w:tcPr>
          <w:p w14:paraId="79EC9299">
            <w:pPr>
              <w:pStyle w:val="13"/>
              <w:spacing w:line="240" w:lineRule="atLeast"/>
              <w:ind w:left="1080" w:leftChars="257" w:hanging="540"/>
              <w:rPr>
                <w:rFonts w:hAnsi="宋体"/>
                <w:color w:val="auto"/>
                <w:sz w:val="21"/>
                <w:szCs w:val="21"/>
                <w:highlight w:val="none"/>
              </w:rPr>
            </w:pPr>
          </w:p>
        </w:tc>
        <w:tc>
          <w:tcPr>
            <w:tcW w:w="1459" w:type="dxa"/>
          </w:tcPr>
          <w:p w14:paraId="6D0BE7A7">
            <w:pPr>
              <w:pStyle w:val="13"/>
              <w:spacing w:line="240" w:lineRule="atLeast"/>
              <w:ind w:left="1080" w:leftChars="257" w:hanging="540"/>
              <w:rPr>
                <w:rFonts w:hAnsi="宋体"/>
                <w:color w:val="auto"/>
                <w:sz w:val="21"/>
                <w:szCs w:val="21"/>
                <w:highlight w:val="none"/>
              </w:rPr>
            </w:pPr>
          </w:p>
        </w:tc>
      </w:tr>
      <w:tr w14:paraId="5BB1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96" w:type="dxa"/>
          </w:tcPr>
          <w:p w14:paraId="795F4CB8">
            <w:pPr>
              <w:pStyle w:val="13"/>
              <w:spacing w:line="240" w:lineRule="atLeast"/>
              <w:ind w:left="1080" w:leftChars="257" w:hanging="540"/>
              <w:rPr>
                <w:rFonts w:hAnsi="宋体"/>
                <w:color w:val="auto"/>
                <w:sz w:val="21"/>
                <w:szCs w:val="21"/>
                <w:highlight w:val="none"/>
              </w:rPr>
            </w:pPr>
          </w:p>
        </w:tc>
        <w:tc>
          <w:tcPr>
            <w:tcW w:w="1601" w:type="dxa"/>
          </w:tcPr>
          <w:p w14:paraId="18B5D697">
            <w:pPr>
              <w:pStyle w:val="13"/>
              <w:spacing w:line="240" w:lineRule="atLeast"/>
              <w:ind w:left="1080" w:leftChars="257" w:hanging="540"/>
              <w:rPr>
                <w:rFonts w:hAnsi="宋体"/>
                <w:color w:val="auto"/>
                <w:sz w:val="21"/>
                <w:szCs w:val="21"/>
                <w:highlight w:val="none"/>
              </w:rPr>
            </w:pPr>
          </w:p>
        </w:tc>
        <w:tc>
          <w:tcPr>
            <w:tcW w:w="1225" w:type="dxa"/>
          </w:tcPr>
          <w:p w14:paraId="73CC51D2">
            <w:pPr>
              <w:pStyle w:val="13"/>
              <w:spacing w:line="240" w:lineRule="atLeast"/>
              <w:ind w:left="1080" w:leftChars="257" w:hanging="540"/>
              <w:rPr>
                <w:rFonts w:hAnsi="宋体"/>
                <w:color w:val="auto"/>
                <w:sz w:val="21"/>
                <w:szCs w:val="21"/>
                <w:highlight w:val="none"/>
              </w:rPr>
            </w:pPr>
          </w:p>
        </w:tc>
        <w:tc>
          <w:tcPr>
            <w:tcW w:w="1138" w:type="dxa"/>
          </w:tcPr>
          <w:p w14:paraId="6E0D09ED">
            <w:pPr>
              <w:pStyle w:val="13"/>
              <w:spacing w:line="240" w:lineRule="atLeast"/>
              <w:ind w:left="1080" w:leftChars="257" w:hanging="540"/>
              <w:rPr>
                <w:rFonts w:hAnsi="宋体"/>
                <w:color w:val="auto"/>
                <w:sz w:val="21"/>
                <w:szCs w:val="21"/>
                <w:highlight w:val="none"/>
              </w:rPr>
            </w:pPr>
          </w:p>
        </w:tc>
        <w:tc>
          <w:tcPr>
            <w:tcW w:w="1275" w:type="dxa"/>
          </w:tcPr>
          <w:p w14:paraId="2A25822A">
            <w:pPr>
              <w:pStyle w:val="13"/>
              <w:spacing w:line="240" w:lineRule="atLeast"/>
              <w:ind w:left="1080" w:leftChars="257" w:hanging="540"/>
              <w:rPr>
                <w:rFonts w:hAnsi="宋体"/>
                <w:color w:val="auto"/>
                <w:sz w:val="21"/>
                <w:szCs w:val="21"/>
                <w:highlight w:val="none"/>
              </w:rPr>
            </w:pPr>
          </w:p>
        </w:tc>
        <w:tc>
          <w:tcPr>
            <w:tcW w:w="1250" w:type="dxa"/>
          </w:tcPr>
          <w:p w14:paraId="0E9E4EFD">
            <w:pPr>
              <w:pStyle w:val="13"/>
              <w:spacing w:line="240" w:lineRule="atLeast"/>
              <w:ind w:left="1080" w:leftChars="257" w:hanging="540"/>
              <w:rPr>
                <w:rFonts w:hAnsi="宋体"/>
                <w:color w:val="auto"/>
                <w:sz w:val="21"/>
                <w:szCs w:val="21"/>
                <w:highlight w:val="none"/>
              </w:rPr>
            </w:pPr>
          </w:p>
        </w:tc>
        <w:tc>
          <w:tcPr>
            <w:tcW w:w="1459" w:type="dxa"/>
          </w:tcPr>
          <w:p w14:paraId="1ACC8D40">
            <w:pPr>
              <w:pStyle w:val="13"/>
              <w:spacing w:line="240" w:lineRule="atLeast"/>
              <w:ind w:left="1080" w:leftChars="257" w:hanging="540"/>
              <w:rPr>
                <w:rFonts w:hAnsi="宋体"/>
                <w:color w:val="auto"/>
                <w:sz w:val="21"/>
                <w:szCs w:val="21"/>
                <w:highlight w:val="none"/>
              </w:rPr>
            </w:pPr>
          </w:p>
        </w:tc>
      </w:tr>
      <w:tr w14:paraId="1932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696" w:type="dxa"/>
          </w:tcPr>
          <w:p w14:paraId="007DEDDF">
            <w:pPr>
              <w:pStyle w:val="13"/>
              <w:spacing w:line="240" w:lineRule="atLeast"/>
              <w:ind w:left="1080" w:leftChars="257" w:hanging="540"/>
              <w:rPr>
                <w:rFonts w:hAnsi="宋体"/>
                <w:color w:val="auto"/>
                <w:sz w:val="21"/>
                <w:szCs w:val="21"/>
                <w:highlight w:val="none"/>
              </w:rPr>
            </w:pPr>
          </w:p>
        </w:tc>
        <w:tc>
          <w:tcPr>
            <w:tcW w:w="1601" w:type="dxa"/>
          </w:tcPr>
          <w:p w14:paraId="58C9F8E4">
            <w:pPr>
              <w:pStyle w:val="13"/>
              <w:spacing w:line="240" w:lineRule="atLeast"/>
              <w:ind w:left="1080" w:leftChars="257" w:hanging="540"/>
              <w:rPr>
                <w:rFonts w:hAnsi="宋体"/>
                <w:color w:val="auto"/>
                <w:sz w:val="21"/>
                <w:szCs w:val="21"/>
                <w:highlight w:val="none"/>
              </w:rPr>
            </w:pPr>
          </w:p>
        </w:tc>
        <w:tc>
          <w:tcPr>
            <w:tcW w:w="1225" w:type="dxa"/>
          </w:tcPr>
          <w:p w14:paraId="581CB216">
            <w:pPr>
              <w:pStyle w:val="13"/>
              <w:spacing w:line="240" w:lineRule="atLeast"/>
              <w:ind w:left="1080" w:leftChars="257" w:hanging="540"/>
              <w:rPr>
                <w:rFonts w:hAnsi="宋体"/>
                <w:color w:val="auto"/>
                <w:sz w:val="21"/>
                <w:szCs w:val="21"/>
                <w:highlight w:val="none"/>
              </w:rPr>
            </w:pPr>
          </w:p>
        </w:tc>
        <w:tc>
          <w:tcPr>
            <w:tcW w:w="1138" w:type="dxa"/>
          </w:tcPr>
          <w:p w14:paraId="0C49275C">
            <w:pPr>
              <w:pStyle w:val="13"/>
              <w:spacing w:line="240" w:lineRule="atLeast"/>
              <w:ind w:left="1080" w:leftChars="257" w:hanging="540"/>
              <w:rPr>
                <w:rFonts w:hAnsi="宋体"/>
                <w:color w:val="auto"/>
                <w:sz w:val="21"/>
                <w:szCs w:val="21"/>
                <w:highlight w:val="none"/>
              </w:rPr>
            </w:pPr>
          </w:p>
        </w:tc>
        <w:tc>
          <w:tcPr>
            <w:tcW w:w="1275" w:type="dxa"/>
          </w:tcPr>
          <w:p w14:paraId="21804399">
            <w:pPr>
              <w:pStyle w:val="13"/>
              <w:spacing w:line="240" w:lineRule="atLeast"/>
              <w:ind w:left="1080" w:leftChars="257" w:hanging="540"/>
              <w:rPr>
                <w:rFonts w:hAnsi="宋体"/>
                <w:color w:val="auto"/>
                <w:sz w:val="21"/>
                <w:szCs w:val="21"/>
                <w:highlight w:val="none"/>
              </w:rPr>
            </w:pPr>
          </w:p>
        </w:tc>
        <w:tc>
          <w:tcPr>
            <w:tcW w:w="1250" w:type="dxa"/>
          </w:tcPr>
          <w:p w14:paraId="7753FD78">
            <w:pPr>
              <w:pStyle w:val="13"/>
              <w:spacing w:line="240" w:lineRule="atLeast"/>
              <w:ind w:left="1080" w:leftChars="257" w:hanging="540"/>
              <w:rPr>
                <w:rFonts w:hAnsi="宋体"/>
                <w:color w:val="auto"/>
                <w:sz w:val="21"/>
                <w:szCs w:val="21"/>
                <w:highlight w:val="none"/>
              </w:rPr>
            </w:pPr>
          </w:p>
        </w:tc>
        <w:tc>
          <w:tcPr>
            <w:tcW w:w="1459" w:type="dxa"/>
          </w:tcPr>
          <w:p w14:paraId="5DD101C3">
            <w:pPr>
              <w:pStyle w:val="13"/>
              <w:spacing w:line="240" w:lineRule="atLeast"/>
              <w:ind w:left="1080" w:leftChars="257" w:hanging="540"/>
              <w:rPr>
                <w:rFonts w:hAnsi="宋体"/>
                <w:color w:val="auto"/>
                <w:sz w:val="21"/>
                <w:szCs w:val="21"/>
                <w:highlight w:val="none"/>
              </w:rPr>
            </w:pPr>
          </w:p>
        </w:tc>
      </w:tr>
      <w:tr w14:paraId="7A88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96" w:type="dxa"/>
          </w:tcPr>
          <w:p w14:paraId="0217BD7F">
            <w:pPr>
              <w:pStyle w:val="13"/>
              <w:spacing w:line="240" w:lineRule="atLeast"/>
              <w:ind w:left="1080" w:leftChars="257" w:hanging="540"/>
              <w:rPr>
                <w:rFonts w:hAnsi="宋体"/>
                <w:color w:val="auto"/>
                <w:sz w:val="21"/>
                <w:szCs w:val="21"/>
                <w:highlight w:val="none"/>
              </w:rPr>
            </w:pPr>
          </w:p>
        </w:tc>
        <w:tc>
          <w:tcPr>
            <w:tcW w:w="1601" w:type="dxa"/>
          </w:tcPr>
          <w:p w14:paraId="65BA4738">
            <w:pPr>
              <w:pStyle w:val="13"/>
              <w:spacing w:line="240" w:lineRule="atLeast"/>
              <w:ind w:left="1080" w:leftChars="257" w:hanging="540"/>
              <w:rPr>
                <w:rFonts w:hAnsi="宋体"/>
                <w:color w:val="auto"/>
                <w:sz w:val="21"/>
                <w:szCs w:val="21"/>
                <w:highlight w:val="none"/>
              </w:rPr>
            </w:pPr>
          </w:p>
        </w:tc>
        <w:tc>
          <w:tcPr>
            <w:tcW w:w="1225" w:type="dxa"/>
          </w:tcPr>
          <w:p w14:paraId="2C4D0058">
            <w:pPr>
              <w:pStyle w:val="13"/>
              <w:spacing w:line="240" w:lineRule="atLeast"/>
              <w:ind w:left="1080" w:leftChars="257" w:hanging="540"/>
              <w:rPr>
                <w:rFonts w:hAnsi="宋体"/>
                <w:color w:val="auto"/>
                <w:sz w:val="21"/>
                <w:szCs w:val="21"/>
                <w:highlight w:val="none"/>
              </w:rPr>
            </w:pPr>
          </w:p>
        </w:tc>
        <w:tc>
          <w:tcPr>
            <w:tcW w:w="1138" w:type="dxa"/>
          </w:tcPr>
          <w:p w14:paraId="20B2C69C">
            <w:pPr>
              <w:pStyle w:val="13"/>
              <w:spacing w:line="240" w:lineRule="atLeast"/>
              <w:ind w:left="1080" w:leftChars="257" w:hanging="540"/>
              <w:rPr>
                <w:rFonts w:hAnsi="宋体"/>
                <w:color w:val="auto"/>
                <w:sz w:val="21"/>
                <w:szCs w:val="21"/>
                <w:highlight w:val="none"/>
              </w:rPr>
            </w:pPr>
          </w:p>
        </w:tc>
        <w:tc>
          <w:tcPr>
            <w:tcW w:w="1275" w:type="dxa"/>
          </w:tcPr>
          <w:p w14:paraId="32623452">
            <w:pPr>
              <w:pStyle w:val="13"/>
              <w:spacing w:line="240" w:lineRule="atLeast"/>
              <w:ind w:left="1080" w:leftChars="257" w:hanging="540"/>
              <w:rPr>
                <w:rFonts w:hAnsi="宋体"/>
                <w:color w:val="auto"/>
                <w:sz w:val="21"/>
                <w:szCs w:val="21"/>
                <w:highlight w:val="none"/>
              </w:rPr>
            </w:pPr>
          </w:p>
        </w:tc>
        <w:tc>
          <w:tcPr>
            <w:tcW w:w="1250" w:type="dxa"/>
          </w:tcPr>
          <w:p w14:paraId="3B7EB81A">
            <w:pPr>
              <w:pStyle w:val="13"/>
              <w:spacing w:line="240" w:lineRule="atLeast"/>
              <w:ind w:left="1080" w:leftChars="257" w:hanging="540"/>
              <w:rPr>
                <w:rFonts w:hAnsi="宋体"/>
                <w:color w:val="auto"/>
                <w:sz w:val="21"/>
                <w:szCs w:val="21"/>
                <w:highlight w:val="none"/>
              </w:rPr>
            </w:pPr>
          </w:p>
        </w:tc>
        <w:tc>
          <w:tcPr>
            <w:tcW w:w="1459" w:type="dxa"/>
          </w:tcPr>
          <w:p w14:paraId="759DE222">
            <w:pPr>
              <w:pStyle w:val="13"/>
              <w:spacing w:line="240" w:lineRule="atLeast"/>
              <w:ind w:left="1080" w:leftChars="257" w:hanging="540"/>
              <w:rPr>
                <w:rFonts w:hAnsi="宋体"/>
                <w:color w:val="auto"/>
                <w:sz w:val="21"/>
                <w:szCs w:val="21"/>
                <w:highlight w:val="none"/>
              </w:rPr>
            </w:pPr>
          </w:p>
        </w:tc>
      </w:tr>
      <w:tr w14:paraId="0DC7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96" w:type="dxa"/>
          </w:tcPr>
          <w:p w14:paraId="70C2EAB1">
            <w:pPr>
              <w:pStyle w:val="13"/>
              <w:spacing w:line="240" w:lineRule="atLeast"/>
              <w:ind w:left="1080" w:leftChars="257" w:hanging="540"/>
              <w:rPr>
                <w:rFonts w:hAnsi="宋体"/>
                <w:color w:val="auto"/>
                <w:sz w:val="21"/>
                <w:szCs w:val="21"/>
                <w:highlight w:val="none"/>
              </w:rPr>
            </w:pPr>
          </w:p>
        </w:tc>
        <w:tc>
          <w:tcPr>
            <w:tcW w:w="1601" w:type="dxa"/>
          </w:tcPr>
          <w:p w14:paraId="741A1A05">
            <w:pPr>
              <w:pStyle w:val="13"/>
              <w:spacing w:line="240" w:lineRule="atLeast"/>
              <w:ind w:left="1080" w:leftChars="257" w:hanging="540"/>
              <w:rPr>
                <w:rFonts w:hAnsi="宋体"/>
                <w:color w:val="auto"/>
                <w:sz w:val="21"/>
                <w:szCs w:val="21"/>
                <w:highlight w:val="none"/>
              </w:rPr>
            </w:pPr>
          </w:p>
        </w:tc>
        <w:tc>
          <w:tcPr>
            <w:tcW w:w="1225" w:type="dxa"/>
          </w:tcPr>
          <w:p w14:paraId="5B90AA5B">
            <w:pPr>
              <w:pStyle w:val="13"/>
              <w:spacing w:line="240" w:lineRule="atLeast"/>
              <w:ind w:left="1080" w:leftChars="257" w:hanging="540"/>
              <w:rPr>
                <w:rFonts w:hAnsi="宋体"/>
                <w:color w:val="auto"/>
                <w:sz w:val="21"/>
                <w:szCs w:val="21"/>
                <w:highlight w:val="none"/>
              </w:rPr>
            </w:pPr>
          </w:p>
        </w:tc>
        <w:tc>
          <w:tcPr>
            <w:tcW w:w="1138" w:type="dxa"/>
          </w:tcPr>
          <w:p w14:paraId="0965B815">
            <w:pPr>
              <w:pStyle w:val="13"/>
              <w:spacing w:line="240" w:lineRule="atLeast"/>
              <w:ind w:left="1080" w:leftChars="257" w:hanging="540"/>
              <w:rPr>
                <w:rFonts w:hAnsi="宋体"/>
                <w:color w:val="auto"/>
                <w:sz w:val="21"/>
                <w:szCs w:val="21"/>
                <w:highlight w:val="none"/>
              </w:rPr>
            </w:pPr>
          </w:p>
        </w:tc>
        <w:tc>
          <w:tcPr>
            <w:tcW w:w="1275" w:type="dxa"/>
          </w:tcPr>
          <w:p w14:paraId="2DF844EB">
            <w:pPr>
              <w:pStyle w:val="13"/>
              <w:spacing w:line="240" w:lineRule="atLeast"/>
              <w:ind w:left="1080" w:leftChars="257" w:hanging="540"/>
              <w:rPr>
                <w:rFonts w:hAnsi="宋体"/>
                <w:color w:val="auto"/>
                <w:sz w:val="21"/>
                <w:szCs w:val="21"/>
                <w:highlight w:val="none"/>
              </w:rPr>
            </w:pPr>
          </w:p>
        </w:tc>
        <w:tc>
          <w:tcPr>
            <w:tcW w:w="1250" w:type="dxa"/>
          </w:tcPr>
          <w:p w14:paraId="62CBE921">
            <w:pPr>
              <w:pStyle w:val="13"/>
              <w:spacing w:line="240" w:lineRule="atLeast"/>
              <w:ind w:left="1080" w:leftChars="257" w:hanging="540"/>
              <w:rPr>
                <w:rFonts w:hAnsi="宋体"/>
                <w:color w:val="auto"/>
                <w:sz w:val="21"/>
                <w:szCs w:val="21"/>
                <w:highlight w:val="none"/>
              </w:rPr>
            </w:pPr>
          </w:p>
        </w:tc>
        <w:tc>
          <w:tcPr>
            <w:tcW w:w="1459" w:type="dxa"/>
          </w:tcPr>
          <w:p w14:paraId="055A5963">
            <w:pPr>
              <w:pStyle w:val="13"/>
              <w:spacing w:line="240" w:lineRule="atLeast"/>
              <w:ind w:left="1080" w:leftChars="257" w:hanging="540"/>
              <w:rPr>
                <w:rFonts w:hAnsi="宋体"/>
                <w:color w:val="auto"/>
                <w:sz w:val="21"/>
                <w:szCs w:val="21"/>
                <w:highlight w:val="none"/>
              </w:rPr>
            </w:pPr>
          </w:p>
        </w:tc>
      </w:tr>
    </w:tbl>
    <w:p w14:paraId="630EEC6A">
      <w:pPr>
        <w:pStyle w:val="13"/>
        <w:spacing w:line="240" w:lineRule="atLeast"/>
        <w:ind w:left="1080" w:leftChars="257" w:hanging="540"/>
        <w:rPr>
          <w:rFonts w:hAnsi="宋体"/>
          <w:color w:val="auto"/>
          <w:sz w:val="21"/>
          <w:szCs w:val="21"/>
          <w:highlight w:val="none"/>
        </w:rPr>
      </w:pPr>
    </w:p>
    <w:p w14:paraId="5352AFFF">
      <w:pPr>
        <w:pStyle w:val="13"/>
        <w:spacing w:line="240" w:lineRule="atLeast"/>
        <w:ind w:left="1080" w:leftChars="257" w:hanging="540"/>
        <w:rPr>
          <w:rFonts w:hAnsi="宋体"/>
          <w:color w:val="auto"/>
          <w:sz w:val="21"/>
          <w:szCs w:val="21"/>
          <w:highlight w:val="none"/>
        </w:rPr>
      </w:pPr>
      <w:r>
        <w:rPr>
          <w:rFonts w:hint="eastAsia" w:hAnsi="宋体"/>
          <w:color w:val="auto"/>
          <w:sz w:val="21"/>
          <w:szCs w:val="21"/>
          <w:highlight w:val="none"/>
        </w:rPr>
        <w:t>法定代表人或其委托代理人签字或盖章:</w:t>
      </w:r>
      <w:r>
        <w:rPr>
          <w:rFonts w:hint="eastAsia" w:hAnsi="宋体"/>
          <w:color w:val="auto"/>
          <w:sz w:val="21"/>
          <w:szCs w:val="21"/>
          <w:highlight w:val="none"/>
          <w:u w:val="single"/>
        </w:rPr>
        <w:t xml:space="preserve"> </w:t>
      </w:r>
      <w:r>
        <w:rPr>
          <w:rFonts w:hint="eastAsia" w:hAnsi="宋体"/>
          <w:color w:val="auto"/>
          <w:sz w:val="21"/>
          <w:szCs w:val="21"/>
          <w:highlight w:val="none"/>
          <w:u w:val="single"/>
        </w:rPr>
        <w:tab/>
      </w:r>
      <w:r>
        <w:rPr>
          <w:rFonts w:hint="eastAsia" w:hAnsi="宋体"/>
          <w:color w:val="auto"/>
          <w:sz w:val="21"/>
          <w:szCs w:val="21"/>
          <w:highlight w:val="none"/>
          <w:u w:val="single"/>
        </w:rPr>
        <w:t xml:space="preserve">                 </w:t>
      </w:r>
    </w:p>
    <w:p w14:paraId="3660A4E3">
      <w:pPr>
        <w:pStyle w:val="13"/>
        <w:tabs>
          <w:tab w:val="left" w:pos="5370"/>
        </w:tabs>
        <w:spacing w:line="240" w:lineRule="atLeast"/>
        <w:ind w:left="1080" w:leftChars="257" w:hanging="540"/>
        <w:rPr>
          <w:rFonts w:hAnsi="宋体"/>
          <w:color w:val="auto"/>
          <w:sz w:val="21"/>
          <w:szCs w:val="21"/>
          <w:highlight w:val="none"/>
          <w:u w:val="single"/>
        </w:rPr>
      </w:pPr>
      <w:r>
        <w:rPr>
          <w:rFonts w:hint="eastAsia" w:hAnsi="宋体"/>
          <w:color w:val="auto"/>
          <w:sz w:val="21"/>
          <w:szCs w:val="21"/>
          <w:highlight w:val="none"/>
        </w:rPr>
        <w:t>投标人(盖单位章):</w:t>
      </w:r>
      <w:r>
        <w:rPr>
          <w:rFonts w:hint="eastAsia" w:hAnsi="宋体"/>
          <w:color w:val="auto"/>
          <w:sz w:val="21"/>
          <w:szCs w:val="21"/>
          <w:highlight w:val="none"/>
          <w:u w:val="single"/>
        </w:rPr>
        <w:tab/>
      </w:r>
    </w:p>
    <w:p w14:paraId="60F52B12">
      <w:pPr>
        <w:pStyle w:val="3"/>
        <w:numPr>
          <w:ilvl w:val="0"/>
          <w:numId w:val="0"/>
        </w:numPr>
        <w:shd w:val="clear" w:color="auto" w:fill="auto"/>
        <w:spacing w:before="0" w:line="240" w:lineRule="atLeast"/>
        <w:jc w:val="both"/>
        <w:rPr>
          <w:rFonts w:hint="eastAsia" w:ascii="宋体" w:hAnsi="宋体" w:eastAsia="宋体" w:cs="宋体"/>
          <w:b/>
          <w:bCs/>
          <w:color w:val="auto"/>
          <w:sz w:val="21"/>
          <w:szCs w:val="21"/>
          <w:highlight w:val="none"/>
          <w:lang w:val="en-US" w:eastAsia="zh-CN"/>
        </w:rPr>
      </w:pPr>
    </w:p>
    <w:p w14:paraId="77BAF939">
      <w:pPr>
        <w:ind w:firstLine="630" w:firstLineChars="300"/>
        <w:rPr>
          <w:rFonts w:hint="eastAsia"/>
          <w:color w:val="auto"/>
          <w:sz w:val="21"/>
          <w:szCs w:val="21"/>
          <w:highlight w:val="none"/>
          <w:lang w:val="en-US" w:eastAsia="zh-CN"/>
        </w:rPr>
      </w:pPr>
      <w:r>
        <w:rPr>
          <w:rFonts w:hint="eastAsia"/>
          <w:color w:val="auto"/>
          <w:sz w:val="21"/>
          <w:szCs w:val="21"/>
          <w:highlight w:val="none"/>
          <w:lang w:val="en-US" w:eastAsia="zh-CN"/>
        </w:rPr>
        <w:t>注: 各项货物详细技术性能应另页描述。</w:t>
      </w:r>
    </w:p>
    <w:p w14:paraId="733B504E">
      <w:pPr>
        <w:rPr>
          <w:rFonts w:hint="eastAsia"/>
          <w:color w:val="auto"/>
          <w:highlight w:val="none"/>
          <w:lang w:val="en-US" w:eastAsia="zh-CN"/>
        </w:rPr>
        <w:sectPr>
          <w:footerReference r:id="rId8" w:type="default"/>
          <w:pgSz w:w="11900" w:h="16838"/>
          <w:pgMar w:top="1431" w:right="1505" w:bottom="1570" w:left="1510" w:header="0" w:footer="1409" w:gutter="0"/>
          <w:pgNumType w:fmt="decimal"/>
          <w:cols w:space="720" w:num="1"/>
        </w:sectPr>
      </w:pPr>
    </w:p>
    <w:p w14:paraId="21C81C03">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bookmarkStart w:id="197" w:name="_Toc17302"/>
      <w:bookmarkStart w:id="198" w:name="_Toc30490"/>
      <w:r>
        <w:rPr>
          <w:rFonts w:hint="eastAsia" w:ascii="宋体" w:hAnsi="宋体" w:cs="宋体"/>
          <w:b/>
          <w:bCs/>
          <w:color w:val="auto"/>
          <w:sz w:val="24"/>
          <w:highlight w:val="none"/>
          <w:lang w:val="en-US" w:eastAsia="zh-CN"/>
        </w:rPr>
        <w:t>5</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技术规格偏离表</w:t>
      </w:r>
      <w:bookmarkEnd w:id="187"/>
      <w:bookmarkEnd w:id="188"/>
      <w:bookmarkEnd w:id="189"/>
      <w:bookmarkEnd w:id="190"/>
      <w:bookmarkEnd w:id="191"/>
      <w:bookmarkEnd w:id="197"/>
      <w:bookmarkEnd w:id="198"/>
    </w:p>
    <w:p w14:paraId="43CE9C2C">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24BA255A">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34B4C622">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9E965A5">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 xml:space="preserve">项目编号: </w:t>
      </w:r>
      <w:r>
        <w:rPr>
          <w:rFonts w:hint="eastAsia" w:hAnsi="宋体"/>
          <w:color w:val="auto"/>
          <w:sz w:val="24"/>
          <w:highlight w:val="none"/>
        </w:rPr>
        <w:t xml:space="preserve"> </w:t>
      </w:r>
      <w:r>
        <w:rPr>
          <w:rFonts w:hint="eastAsia" w:ascii="宋体" w:hAnsi="宋体" w:eastAsia="宋体" w:cs="宋体"/>
          <w:color w:val="auto"/>
          <w:sz w:val="24"/>
          <w:highlight w:val="none"/>
        </w:rPr>
        <w:t xml:space="preserve">           </w:t>
      </w:r>
    </w:p>
    <w:p w14:paraId="4AD7DC34">
      <w:pPr>
        <w:pStyle w:val="13"/>
        <w:shd w:val="clear" w:color="auto" w:fill="auto"/>
        <w:spacing w:line="240" w:lineRule="atLeast"/>
        <w:ind w:left="1084" w:leftChars="257" w:hanging="540"/>
        <w:rPr>
          <w:rFonts w:hint="eastAsia" w:ascii="宋体" w:hAnsi="宋体" w:eastAsia="宋体" w:cs="宋体"/>
          <w:color w:val="auto"/>
          <w:sz w:val="24"/>
          <w:highlight w:val="none"/>
        </w:rPr>
      </w:pPr>
    </w:p>
    <w:tbl>
      <w:tblPr>
        <w:tblStyle w:val="29"/>
        <w:tblW w:w="8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1521"/>
        <w:gridCol w:w="1454"/>
        <w:gridCol w:w="1338"/>
        <w:gridCol w:w="2448"/>
        <w:gridCol w:w="750"/>
      </w:tblGrid>
      <w:tr w14:paraId="623B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886" w:type="dxa"/>
            <w:vAlign w:val="center"/>
          </w:tcPr>
          <w:p w14:paraId="73E43E45">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521" w:type="dxa"/>
            <w:vAlign w:val="center"/>
          </w:tcPr>
          <w:p w14:paraId="073F0D1E">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标的名称</w:t>
            </w:r>
          </w:p>
        </w:tc>
        <w:tc>
          <w:tcPr>
            <w:tcW w:w="1454" w:type="dxa"/>
            <w:vAlign w:val="center"/>
          </w:tcPr>
          <w:p w14:paraId="66661287">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招标规格</w:t>
            </w:r>
          </w:p>
        </w:tc>
        <w:tc>
          <w:tcPr>
            <w:tcW w:w="1338" w:type="dxa"/>
            <w:vAlign w:val="center"/>
          </w:tcPr>
          <w:p w14:paraId="6112533F">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投标规格</w:t>
            </w:r>
          </w:p>
        </w:tc>
        <w:tc>
          <w:tcPr>
            <w:tcW w:w="2448" w:type="dxa"/>
            <w:vAlign w:val="center"/>
          </w:tcPr>
          <w:p w14:paraId="33F0BBAD">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偏离</w:t>
            </w:r>
          </w:p>
        </w:tc>
        <w:tc>
          <w:tcPr>
            <w:tcW w:w="750" w:type="dxa"/>
            <w:vAlign w:val="center"/>
          </w:tcPr>
          <w:p w14:paraId="183AB4E5">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说明</w:t>
            </w:r>
          </w:p>
        </w:tc>
      </w:tr>
      <w:tr w14:paraId="4005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86" w:type="dxa"/>
            <w:vAlign w:val="top"/>
          </w:tcPr>
          <w:p w14:paraId="4BDE4DB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0FDAED8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7818F1F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74A57FB8">
            <w:pPr>
              <w:pStyle w:val="13"/>
              <w:shd w:val="clear" w:color="auto" w:fill="auto"/>
              <w:spacing w:line="240" w:lineRule="atLeast"/>
              <w:ind w:left="1084" w:leftChars="257" w:hanging="540"/>
              <w:rPr>
                <w:rFonts w:hint="eastAsia" w:ascii="宋体" w:hAnsi="宋体" w:eastAsia="宋体" w:cs="宋体"/>
                <w:color w:val="auto"/>
                <w:sz w:val="21"/>
                <w:szCs w:val="16"/>
                <w:highlight w:val="none"/>
                <w:lang w:val="en-US" w:eastAsia="zh-CN"/>
              </w:rPr>
            </w:pPr>
          </w:p>
        </w:tc>
        <w:tc>
          <w:tcPr>
            <w:tcW w:w="2448" w:type="dxa"/>
            <w:vAlign w:val="center"/>
          </w:tcPr>
          <w:p w14:paraId="2DEEB957">
            <w:pPr>
              <w:pStyle w:val="13"/>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default" w:ascii="宋体" w:hAnsi="宋体" w:eastAsia="宋体" w:cs="宋体"/>
                <w:color w:val="auto"/>
                <w:sz w:val="21"/>
                <w:szCs w:val="16"/>
                <w:highlight w:val="none"/>
                <w:lang w:val="en-US" w:eastAsia="zh-CN"/>
              </w:rPr>
            </w:pPr>
            <w:r>
              <w:rPr>
                <w:rFonts w:hint="eastAsia" w:hAnsi="宋体" w:eastAsia="宋体" w:cs="宋体"/>
                <w:b/>
                <w:bCs/>
                <w:color w:val="auto"/>
                <w:sz w:val="21"/>
                <w:szCs w:val="16"/>
                <w:highlight w:val="none"/>
                <w:u w:val="single" w:color="auto"/>
                <w:lang w:val="en-US" w:eastAsia="zh-CN"/>
              </w:rPr>
              <w:t>如有正偏离需提供证明材料，证明材料附后(并注明页码)</w:t>
            </w:r>
          </w:p>
        </w:tc>
        <w:tc>
          <w:tcPr>
            <w:tcW w:w="750" w:type="dxa"/>
            <w:vAlign w:val="top"/>
          </w:tcPr>
          <w:p w14:paraId="135F4FE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9AE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2A3A4AF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141F156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AFFC8F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192B640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4D2F053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6AAF2BC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0A4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22645A7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4292325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64AE181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594DB9B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3697E2D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00DF401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5EE4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323DCBA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320A5EC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30B8CB2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3B30E4E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13767A7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5AFE736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3603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6AA0AE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1D4FA9F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6130B4A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3E0C7E8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049937D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6013F57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5A1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73BF043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01EEC4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44E5D9A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3765944B">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22F659D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215E8F7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3999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5A4D3A9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3C65D02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0455BD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4CC9F2B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30A6199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789C322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84F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411D511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561F636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5ED41E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48EFC9B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3001CAC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2E03C2F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D92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86" w:type="dxa"/>
            <w:vAlign w:val="top"/>
          </w:tcPr>
          <w:p w14:paraId="197BBF0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6E331C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0159EFF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623E9CD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2BA8B4E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7A88149B">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0B31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11E2F01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1217DE3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19A56D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1F4AFBDB">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5E8562D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4CA3C77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7FDF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86" w:type="dxa"/>
            <w:vAlign w:val="top"/>
          </w:tcPr>
          <w:p w14:paraId="7E77676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88D879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523755F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76EFDCB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439BF27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305340E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1E74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396F3E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07546D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0E25E67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242B25D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4C2039F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461BC93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6A3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86" w:type="dxa"/>
            <w:vAlign w:val="top"/>
          </w:tcPr>
          <w:p w14:paraId="735D0B8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21471E8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7B61CA3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05FC4DB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7860064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10D8388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bl>
    <w:p w14:paraId="4AE7AA88">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58AC0FA7">
      <w:pPr>
        <w:pStyle w:val="13"/>
        <w:shd w:val="clear" w:color="auto" w:fill="auto"/>
        <w:spacing w:line="240" w:lineRule="atLeast"/>
        <w:ind w:left="1084" w:leftChars="257" w:hanging="540"/>
        <w:rPr>
          <w:rFonts w:hint="eastAsia" w:ascii="宋体" w:hAnsi="宋体" w:eastAsia="宋体" w:cs="宋体"/>
          <w:color w:val="auto"/>
          <w:sz w:val="24"/>
          <w:highlight w:val="none"/>
          <w:lang w:eastAsia="zh-CN"/>
        </w:rPr>
      </w:pPr>
    </w:p>
    <w:p w14:paraId="1B52226F">
      <w:pPr>
        <w:pStyle w:val="13"/>
        <w:shd w:val="clear" w:color="auto" w:fill="auto"/>
        <w:spacing w:line="240" w:lineRule="atLeast"/>
        <w:ind w:left="1084"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法定代表人或其委托代理人签字或盖章: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62281B6A">
      <w:pPr>
        <w:pStyle w:val="13"/>
        <w:shd w:val="clear" w:color="auto" w:fill="auto"/>
        <w:tabs>
          <w:tab w:val="left" w:pos="5370"/>
        </w:tabs>
        <w:spacing w:line="240" w:lineRule="atLeast"/>
        <w:ind w:left="1084"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57326751">
      <w:pPr>
        <w:pStyle w:val="13"/>
        <w:shd w:val="clear" w:color="auto" w:fill="auto"/>
        <w:tabs>
          <w:tab w:val="left" w:pos="5580"/>
        </w:tabs>
        <w:spacing w:line="240" w:lineRule="atLeast"/>
        <w:ind w:left="1084"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日期：          年    月      日</w:t>
      </w:r>
      <w:r>
        <w:rPr>
          <w:rFonts w:hint="eastAsia" w:ascii="宋体" w:hAnsi="宋体" w:eastAsia="宋体" w:cs="宋体"/>
          <w:color w:val="auto"/>
          <w:sz w:val="24"/>
          <w:highlight w:val="none"/>
          <w:u w:val="single"/>
        </w:rPr>
        <w:br w:type="page"/>
      </w:r>
    </w:p>
    <w:p w14:paraId="3E3B06EB">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bookmarkStart w:id="199" w:name="_Toc216582818"/>
      <w:bookmarkStart w:id="200" w:name="_Toc20836"/>
      <w:bookmarkStart w:id="201" w:name="_Toc515647821"/>
      <w:bookmarkStart w:id="202" w:name="_Toc16459"/>
      <w:bookmarkStart w:id="203" w:name="_Toc21391"/>
      <w:bookmarkStart w:id="204" w:name="_Toc23"/>
      <w:bookmarkStart w:id="205" w:name="_Toc1980"/>
      <w:r>
        <w:rPr>
          <w:rFonts w:hint="eastAsia" w:ascii="宋体" w:hAnsi="宋体" w:cs="宋体"/>
          <w:b/>
          <w:bCs/>
          <w:color w:val="auto"/>
          <w:sz w:val="24"/>
          <w:highlight w:val="none"/>
          <w:lang w:val="en-US" w:eastAsia="zh-CN"/>
        </w:rPr>
        <w:t>6</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商务条款偏离表</w:t>
      </w:r>
      <w:bookmarkEnd w:id="199"/>
      <w:r>
        <w:rPr>
          <w:rFonts w:hint="eastAsia" w:ascii="宋体" w:hAnsi="宋体" w:eastAsia="宋体" w:cs="宋体"/>
          <w:b/>
          <w:bCs/>
          <w:color w:val="auto"/>
          <w:sz w:val="24"/>
          <w:highlight w:val="none"/>
        </w:rPr>
        <w:t>（投标文件格式</w:t>
      </w:r>
      <w:r>
        <w:rPr>
          <w:rFonts w:hint="eastAsia" w:ascii="宋体" w:hAnsi="宋体" w:eastAsia="宋体" w:cs="宋体"/>
          <w:b/>
          <w:bCs/>
          <w:color w:val="auto"/>
          <w:sz w:val="24"/>
          <w:highlight w:val="none"/>
          <w:lang w:eastAsia="zh-CN"/>
        </w:rPr>
        <w:t>九</w:t>
      </w:r>
      <w:r>
        <w:rPr>
          <w:rFonts w:hint="eastAsia" w:ascii="宋体" w:hAnsi="宋体" w:eastAsia="宋体" w:cs="宋体"/>
          <w:b/>
          <w:bCs/>
          <w:color w:val="auto"/>
          <w:sz w:val="24"/>
          <w:highlight w:val="none"/>
        </w:rPr>
        <w:t>）</w:t>
      </w:r>
      <w:bookmarkEnd w:id="200"/>
      <w:bookmarkEnd w:id="201"/>
      <w:bookmarkEnd w:id="202"/>
      <w:bookmarkEnd w:id="203"/>
      <w:bookmarkEnd w:id="204"/>
      <w:bookmarkEnd w:id="205"/>
    </w:p>
    <w:p w14:paraId="318E065C">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7E63774E">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2E8972FB">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5B751E40">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BA99C99">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2"/>
          <w:szCs w:val="18"/>
          <w:highlight w:val="none"/>
        </w:rPr>
      </w:pPr>
      <w:r>
        <w:rPr>
          <w:rFonts w:hint="eastAsia" w:ascii="宋体" w:hAnsi="宋体" w:eastAsia="宋体" w:cs="宋体"/>
          <w:color w:val="auto"/>
          <w:sz w:val="21"/>
          <w:szCs w:val="21"/>
          <w:highlight w:val="none"/>
        </w:rPr>
        <w:t xml:space="preserve">项目编号: </w:t>
      </w:r>
      <w:r>
        <w:rPr>
          <w:rFonts w:hint="eastAsia" w:hAnsi="宋体"/>
          <w:color w:val="auto"/>
          <w:sz w:val="24"/>
          <w:highlight w:val="none"/>
        </w:rPr>
        <w:t xml:space="preserve"> </w:t>
      </w:r>
      <w:r>
        <w:rPr>
          <w:rFonts w:hint="eastAsia" w:ascii="宋体" w:hAnsi="宋体" w:eastAsia="宋体" w:cs="宋体"/>
          <w:color w:val="auto"/>
          <w:sz w:val="22"/>
          <w:szCs w:val="18"/>
          <w:highlight w:val="none"/>
        </w:rPr>
        <w:t xml:space="preserve">     </w:t>
      </w:r>
    </w:p>
    <w:p w14:paraId="72E4599A">
      <w:pPr>
        <w:pStyle w:val="13"/>
        <w:shd w:val="clear" w:color="auto" w:fill="auto"/>
        <w:spacing w:line="240" w:lineRule="atLeast"/>
        <w:ind w:left="1084" w:leftChars="257" w:hanging="540"/>
        <w:rPr>
          <w:rFonts w:hint="eastAsia" w:ascii="宋体" w:hAnsi="宋体" w:eastAsia="宋体" w:cs="宋体"/>
          <w:color w:val="auto"/>
          <w:sz w:val="22"/>
          <w:szCs w:val="18"/>
          <w:highlight w:val="none"/>
        </w:rPr>
      </w:pPr>
    </w:p>
    <w:tbl>
      <w:tblPr>
        <w:tblStyle w:val="29"/>
        <w:tblW w:w="7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2882"/>
        <w:gridCol w:w="2882"/>
        <w:gridCol w:w="1029"/>
      </w:tblGrid>
      <w:tr w14:paraId="17E3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54ACFAB1">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序号</w:t>
            </w:r>
          </w:p>
        </w:tc>
        <w:tc>
          <w:tcPr>
            <w:tcW w:w="2882" w:type="dxa"/>
            <w:vAlign w:val="top"/>
          </w:tcPr>
          <w:p w14:paraId="3BB80D2F">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hAnsi="宋体" w:cs="宋体"/>
                <w:color w:val="auto"/>
                <w:sz w:val="22"/>
                <w:szCs w:val="18"/>
                <w:highlight w:val="none"/>
                <w:lang w:val="en-US" w:eastAsia="zh-CN"/>
              </w:rPr>
              <w:t>招标</w:t>
            </w:r>
            <w:r>
              <w:rPr>
                <w:rFonts w:hint="eastAsia" w:hAnsi="宋体" w:eastAsia="宋体" w:cs="宋体"/>
                <w:color w:val="auto"/>
                <w:sz w:val="22"/>
                <w:szCs w:val="18"/>
                <w:highlight w:val="none"/>
                <w:lang w:val="en-US" w:eastAsia="zh-CN"/>
              </w:rPr>
              <w:t>文件</w:t>
            </w:r>
            <w:r>
              <w:rPr>
                <w:rFonts w:hint="eastAsia" w:ascii="宋体" w:hAnsi="宋体" w:eastAsia="宋体" w:cs="宋体"/>
                <w:color w:val="auto"/>
                <w:sz w:val="22"/>
                <w:szCs w:val="18"/>
                <w:highlight w:val="none"/>
                <w:lang w:val="en-US" w:eastAsia="zh-CN"/>
              </w:rPr>
              <w:t>的商务条款</w:t>
            </w:r>
          </w:p>
        </w:tc>
        <w:tc>
          <w:tcPr>
            <w:tcW w:w="2882" w:type="dxa"/>
            <w:vAlign w:val="top"/>
          </w:tcPr>
          <w:p w14:paraId="7C08FD3C">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投标文件的商务条款</w:t>
            </w:r>
          </w:p>
        </w:tc>
        <w:tc>
          <w:tcPr>
            <w:tcW w:w="1029" w:type="dxa"/>
            <w:vAlign w:val="top"/>
          </w:tcPr>
          <w:p w14:paraId="5BDC172F">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说明</w:t>
            </w:r>
          </w:p>
        </w:tc>
      </w:tr>
      <w:tr w14:paraId="5481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33A04E19">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24E6F3C6">
            <w:pPr>
              <w:pStyle w:val="13"/>
              <w:shd w:val="clear" w:color="auto" w:fill="auto"/>
              <w:spacing w:line="240" w:lineRule="atLeast"/>
              <w:ind w:left="1084" w:leftChars="257" w:hanging="540"/>
              <w:jc w:val="center"/>
              <w:rPr>
                <w:rFonts w:hint="eastAsia" w:ascii="宋体" w:hAnsi="宋体" w:eastAsia="宋体" w:cs="宋体"/>
                <w:color w:val="auto"/>
                <w:sz w:val="22"/>
                <w:szCs w:val="18"/>
                <w:highlight w:val="none"/>
                <w:lang w:val="en-US" w:eastAsia="zh-CN"/>
              </w:rPr>
            </w:pPr>
          </w:p>
        </w:tc>
        <w:tc>
          <w:tcPr>
            <w:tcW w:w="2882" w:type="dxa"/>
            <w:vAlign w:val="top"/>
          </w:tcPr>
          <w:p w14:paraId="662DF15E">
            <w:pPr>
              <w:pStyle w:val="13"/>
              <w:shd w:val="clear" w:color="auto" w:fill="auto"/>
              <w:spacing w:line="240" w:lineRule="atLeast"/>
              <w:ind w:left="1084" w:leftChars="257" w:hanging="540"/>
              <w:jc w:val="center"/>
              <w:rPr>
                <w:rFonts w:hint="eastAsia" w:ascii="宋体" w:hAnsi="宋体" w:eastAsia="宋体" w:cs="宋体"/>
                <w:color w:val="auto"/>
                <w:sz w:val="22"/>
                <w:szCs w:val="18"/>
                <w:highlight w:val="none"/>
                <w:lang w:val="en-US" w:eastAsia="zh-CN"/>
              </w:rPr>
            </w:pPr>
          </w:p>
        </w:tc>
        <w:tc>
          <w:tcPr>
            <w:tcW w:w="1029" w:type="dxa"/>
            <w:vAlign w:val="top"/>
          </w:tcPr>
          <w:p w14:paraId="0B482111">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351F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3F255474">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13C02164">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75CA6B60">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1029" w:type="dxa"/>
            <w:vAlign w:val="top"/>
          </w:tcPr>
          <w:p w14:paraId="6F2C6890">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4461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43B35845">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40886D18">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5D1C13A6">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1029" w:type="dxa"/>
            <w:vAlign w:val="top"/>
          </w:tcPr>
          <w:p w14:paraId="6E366AE1">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56A6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23F17358">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1DE9C7B0">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3860F95C">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1029" w:type="dxa"/>
            <w:vAlign w:val="top"/>
          </w:tcPr>
          <w:p w14:paraId="24763D31">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5994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5947D0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5EFF625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2DDEBF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594E9D5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D41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71C9FE1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1C93B6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467392B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244344F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42A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6EF893C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1F9B57E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86FA7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17F6910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17E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72524D5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23EA54C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1E60A1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456A1B3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11C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51FD3F5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6B6F79F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CB11AE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2BA291B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6F1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768E9B3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5158CF0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C040B5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3A4478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C34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09AA259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CC9D19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D4677C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4AA3CF6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8C9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65D1336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65B6048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3D0ECD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1187B2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7671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38BA9DF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71CA39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E28891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170B903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3580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1620C63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1F8515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4C0646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0384665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0D59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22AD264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AF14B5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EA0415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439E2B4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bl>
    <w:p w14:paraId="5E913BA7">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2F7C6AD2">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0B831E44">
      <w:pPr>
        <w:pStyle w:val="13"/>
        <w:shd w:val="clear" w:color="auto" w:fill="auto"/>
        <w:spacing w:line="240" w:lineRule="atLeast"/>
        <w:ind w:left="1084" w:leftChars="257" w:hanging="540"/>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法定代表人或其委托代理人签字或盖章:</w:t>
      </w:r>
      <w:r>
        <w:rPr>
          <w:rFonts w:hint="eastAsia" w:ascii="宋体" w:hAnsi="宋体" w:eastAsia="宋体" w:cs="宋体"/>
          <w:color w:val="auto"/>
          <w:sz w:val="22"/>
          <w:szCs w:val="18"/>
          <w:highlight w:val="none"/>
          <w:u w:val="single"/>
        </w:rPr>
        <w:t xml:space="preserve"> </w:t>
      </w:r>
      <w:r>
        <w:rPr>
          <w:rFonts w:hint="eastAsia" w:ascii="宋体" w:hAnsi="宋体" w:eastAsia="宋体" w:cs="宋体"/>
          <w:color w:val="auto"/>
          <w:sz w:val="22"/>
          <w:szCs w:val="18"/>
          <w:highlight w:val="none"/>
          <w:u w:val="single"/>
        </w:rPr>
        <w:tab/>
      </w:r>
      <w:r>
        <w:rPr>
          <w:rFonts w:hint="eastAsia" w:ascii="宋体" w:hAnsi="宋体" w:eastAsia="宋体" w:cs="宋体"/>
          <w:color w:val="auto"/>
          <w:sz w:val="22"/>
          <w:szCs w:val="18"/>
          <w:highlight w:val="none"/>
          <w:u w:val="single"/>
        </w:rPr>
        <w:t xml:space="preserve">                 </w:t>
      </w:r>
    </w:p>
    <w:p w14:paraId="365CFA44">
      <w:pPr>
        <w:pStyle w:val="13"/>
        <w:shd w:val="clear" w:color="auto" w:fill="auto"/>
        <w:tabs>
          <w:tab w:val="left" w:pos="5370"/>
        </w:tabs>
        <w:spacing w:line="240" w:lineRule="atLeast"/>
        <w:ind w:left="1084" w:leftChars="257" w:hanging="540"/>
        <w:rPr>
          <w:rFonts w:hint="eastAsia" w:ascii="宋体" w:hAnsi="宋体" w:eastAsia="宋体" w:cs="宋体"/>
          <w:color w:val="auto"/>
          <w:sz w:val="22"/>
          <w:szCs w:val="18"/>
          <w:highlight w:val="none"/>
          <w:u w:val="single"/>
        </w:rPr>
      </w:pPr>
      <w:r>
        <w:rPr>
          <w:rFonts w:hint="eastAsia" w:ascii="宋体" w:hAnsi="宋体" w:eastAsia="宋体" w:cs="宋体"/>
          <w:color w:val="auto"/>
          <w:sz w:val="22"/>
          <w:szCs w:val="18"/>
          <w:highlight w:val="none"/>
        </w:rPr>
        <w:t>投标人(盖单位章):</w:t>
      </w:r>
      <w:r>
        <w:rPr>
          <w:rFonts w:hint="eastAsia" w:ascii="宋体" w:hAnsi="宋体" w:eastAsia="宋体" w:cs="宋体"/>
          <w:color w:val="auto"/>
          <w:sz w:val="22"/>
          <w:szCs w:val="18"/>
          <w:highlight w:val="none"/>
          <w:u w:val="single"/>
        </w:rPr>
        <w:tab/>
      </w:r>
    </w:p>
    <w:p w14:paraId="0899D48B">
      <w:pPr>
        <w:pStyle w:val="83"/>
        <w:keepNext w:val="0"/>
        <w:keepLines w:val="0"/>
        <w:widowControl w:val="0"/>
        <w:shd w:val="clear" w:color="auto" w:fill="auto"/>
        <w:bidi w:val="0"/>
        <w:spacing w:before="0" w:after="0" w:line="240" w:lineRule="auto"/>
        <w:ind w:left="0" w:right="0" w:firstLine="420"/>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06" w:name="_Toc21312"/>
      <w:bookmarkStart w:id="207" w:name="_Toc515647823"/>
      <w:bookmarkStart w:id="208" w:name="_Toc10725"/>
      <w:bookmarkStart w:id="209" w:name="_Toc2963"/>
      <w:bookmarkStart w:id="210" w:name="_Toc30795"/>
      <w:bookmarkStart w:id="211" w:name="_Toc28099"/>
      <w:bookmarkStart w:id="212" w:name="_Toc515647827"/>
    </w:p>
    <w:p w14:paraId="5388D50D">
      <w:pPr>
        <w:pStyle w:val="83"/>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r>
        <w:rPr>
          <w:rFonts w:hint="eastAsia" w:cs="宋体"/>
          <w:b/>
          <w:bCs/>
          <w:color w:val="auto"/>
          <w:spacing w:val="0"/>
          <w:w w:val="100"/>
          <w:position w:val="0"/>
          <w:sz w:val="24"/>
          <w:szCs w:val="24"/>
          <w:highlight w:val="none"/>
          <w:lang w:val="en-US" w:eastAsia="zh-CN"/>
        </w:rPr>
        <w:t>7</w:t>
      </w:r>
      <w:r>
        <w:rPr>
          <w:rFonts w:hint="eastAsia" w:ascii="宋体" w:hAnsi="宋体" w:eastAsia="宋体" w:cs="宋体"/>
          <w:b/>
          <w:bCs/>
          <w:color w:val="auto"/>
          <w:spacing w:val="0"/>
          <w:w w:val="100"/>
          <w:position w:val="0"/>
          <w:sz w:val="24"/>
          <w:szCs w:val="24"/>
          <w:highlight w:val="none"/>
          <w:lang w:val="en-US" w:eastAsia="zh-CN"/>
        </w:rPr>
        <w:t>、投标人基本情况表</w:t>
      </w:r>
    </w:p>
    <w:p w14:paraId="7551A10D">
      <w:pPr>
        <w:pStyle w:val="10"/>
        <w:numPr>
          <w:ilvl w:val="0"/>
          <w:numId w:val="0"/>
        </w:numPr>
        <w:kinsoku w:val="0"/>
        <w:overflowPunct w:val="0"/>
        <w:spacing w:before="5"/>
        <w:ind w:leftChars="0" w:right="0" w:rightChars="0"/>
        <w:rPr>
          <w:rFonts w:hint="eastAsia" w:ascii="仿宋" w:hAnsi="仿宋" w:eastAsia="仿宋" w:cs="仿宋"/>
          <w:b/>
          <w:bCs/>
          <w:color w:val="auto"/>
          <w:sz w:val="6"/>
          <w:szCs w:val="6"/>
          <w:highlight w:val="none"/>
        </w:rPr>
      </w:pPr>
    </w:p>
    <w:tbl>
      <w:tblPr>
        <w:tblStyle w:val="29"/>
        <w:tblW w:w="8639" w:type="dxa"/>
        <w:jc w:val="center"/>
        <w:tblLayout w:type="fixed"/>
        <w:tblCellMar>
          <w:top w:w="0" w:type="dxa"/>
          <w:left w:w="0" w:type="dxa"/>
          <w:bottom w:w="0" w:type="dxa"/>
          <w:right w:w="0" w:type="dxa"/>
        </w:tblCellMar>
      </w:tblPr>
      <w:tblGrid>
        <w:gridCol w:w="1231"/>
        <w:gridCol w:w="1432"/>
        <w:gridCol w:w="842"/>
        <w:gridCol w:w="488"/>
        <w:gridCol w:w="1331"/>
        <w:gridCol w:w="455"/>
        <w:gridCol w:w="910"/>
        <w:gridCol w:w="1950"/>
      </w:tblGrid>
      <w:tr w14:paraId="6CAD7307">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675E3901">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18801380">
            <w:pPr>
              <w:rPr>
                <w:rFonts w:hint="eastAsia" w:ascii="宋体" w:hAnsi="宋体" w:eastAsia="宋体" w:cs="宋体"/>
                <w:color w:val="auto"/>
                <w:sz w:val="21"/>
                <w:szCs w:val="21"/>
                <w:highlight w:val="none"/>
              </w:rPr>
            </w:pPr>
          </w:p>
        </w:tc>
      </w:tr>
      <w:tr w14:paraId="1E233514">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1FFF076A">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单位地址</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5C860DFF">
            <w:pPr>
              <w:rPr>
                <w:rFonts w:hint="eastAsia" w:ascii="宋体" w:hAnsi="宋体" w:eastAsia="宋体" w:cs="宋体"/>
                <w:color w:val="auto"/>
                <w:sz w:val="21"/>
                <w:szCs w:val="21"/>
                <w:highlight w:val="none"/>
              </w:rPr>
            </w:pPr>
          </w:p>
        </w:tc>
      </w:tr>
      <w:tr w14:paraId="6C1AF1F9">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405B3607">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主管部门</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6FFAA8E6">
            <w:pPr>
              <w:rPr>
                <w:rFonts w:hint="eastAsia" w:ascii="宋体" w:hAnsi="宋体" w:eastAsia="宋体" w:cs="宋体"/>
                <w:color w:val="auto"/>
                <w:sz w:val="21"/>
                <w:szCs w:val="21"/>
                <w:highlight w:val="none"/>
              </w:rPr>
            </w:pPr>
          </w:p>
        </w:tc>
      </w:tr>
      <w:tr w14:paraId="23D99E0E">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0FDE6E34">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成立时间</w:t>
            </w:r>
          </w:p>
        </w:tc>
        <w:tc>
          <w:tcPr>
            <w:tcW w:w="2274" w:type="dxa"/>
            <w:gridSpan w:val="2"/>
            <w:tcBorders>
              <w:top w:val="single" w:color="000000" w:sz="4" w:space="0"/>
              <w:left w:val="single" w:color="000000" w:sz="4" w:space="0"/>
              <w:bottom w:val="single" w:color="000000" w:sz="4" w:space="0"/>
              <w:right w:val="single" w:color="000000" w:sz="4" w:space="0"/>
            </w:tcBorders>
            <w:vAlign w:val="top"/>
          </w:tcPr>
          <w:p w14:paraId="4F2266B6">
            <w:pPr>
              <w:rPr>
                <w:rFonts w:hint="eastAsia" w:ascii="宋体" w:hAnsi="宋体" w:eastAsia="宋体" w:cs="宋体"/>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vAlign w:val="top"/>
          </w:tcPr>
          <w:p w14:paraId="166AFAAC">
            <w:pPr>
              <w:pStyle w:val="58"/>
              <w:kinsoku w:val="0"/>
              <w:overflowPunct w:val="0"/>
              <w:spacing w:before="145"/>
              <w:ind w:left="18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vAlign w:val="top"/>
          </w:tcPr>
          <w:p w14:paraId="3735B6D9">
            <w:pPr>
              <w:rPr>
                <w:rFonts w:hint="eastAsia" w:ascii="宋体" w:hAnsi="宋体" w:eastAsia="宋体" w:cs="宋体"/>
                <w:color w:val="auto"/>
                <w:sz w:val="21"/>
                <w:szCs w:val="21"/>
                <w:highlight w:val="none"/>
              </w:rPr>
            </w:pPr>
          </w:p>
        </w:tc>
      </w:tr>
      <w:tr w14:paraId="566A4C33">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38DA0611">
            <w:pPr>
              <w:pStyle w:val="58"/>
              <w:kinsoku w:val="0"/>
              <w:overflowPunct w:val="0"/>
              <w:spacing w:before="146"/>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单位性质</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552BBB2F">
            <w:pPr>
              <w:rPr>
                <w:rFonts w:hint="eastAsia" w:ascii="宋体" w:hAnsi="宋体" w:eastAsia="宋体" w:cs="宋体"/>
                <w:color w:val="auto"/>
                <w:sz w:val="21"/>
                <w:szCs w:val="21"/>
                <w:highlight w:val="none"/>
              </w:rPr>
            </w:pPr>
          </w:p>
        </w:tc>
      </w:tr>
      <w:tr w14:paraId="1362B38C">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2D5331BA">
            <w:pPr>
              <w:pStyle w:val="58"/>
              <w:kinsoku w:val="0"/>
              <w:overflowPunct w:val="0"/>
              <w:spacing w:before="141" w:line="312" w:lineRule="exact"/>
              <w:ind w:left="257" w:right="133" w:hanging="1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投标期间 联系人</w:t>
            </w:r>
          </w:p>
        </w:tc>
        <w:tc>
          <w:tcPr>
            <w:tcW w:w="1432" w:type="dxa"/>
            <w:tcBorders>
              <w:top w:val="single" w:color="000000" w:sz="4" w:space="0"/>
              <w:left w:val="single" w:color="000000" w:sz="4" w:space="0"/>
              <w:bottom w:val="single" w:color="000000" w:sz="4" w:space="0"/>
              <w:right w:val="single" w:color="000000" w:sz="4" w:space="0"/>
            </w:tcBorders>
            <w:vAlign w:val="top"/>
          </w:tcPr>
          <w:p w14:paraId="11A26357">
            <w:pPr>
              <w:rPr>
                <w:rFonts w:hint="eastAsia" w:ascii="宋体" w:hAnsi="宋体" w:eastAsia="宋体" w:cs="宋体"/>
                <w:color w:val="auto"/>
                <w:sz w:val="21"/>
                <w:szCs w:val="21"/>
                <w:highlight w:val="none"/>
              </w:rPr>
            </w:pPr>
          </w:p>
        </w:tc>
        <w:tc>
          <w:tcPr>
            <w:tcW w:w="1330" w:type="dxa"/>
            <w:gridSpan w:val="2"/>
            <w:tcBorders>
              <w:top w:val="single" w:color="000000" w:sz="4" w:space="0"/>
              <w:left w:val="single" w:color="000000" w:sz="4" w:space="0"/>
              <w:bottom w:val="single" w:color="000000" w:sz="4" w:space="0"/>
              <w:right w:val="single" w:color="000000" w:sz="4" w:space="0"/>
            </w:tcBorders>
            <w:vAlign w:val="top"/>
          </w:tcPr>
          <w:p w14:paraId="4E918134">
            <w:pPr>
              <w:pStyle w:val="58"/>
              <w:kinsoku w:val="0"/>
              <w:overflowPunct w:val="0"/>
              <w:spacing w:before="4"/>
              <w:rPr>
                <w:rFonts w:hint="eastAsia" w:ascii="宋体" w:hAnsi="宋体" w:eastAsia="宋体" w:cs="宋体"/>
                <w:b/>
                <w:bCs/>
                <w:color w:val="auto"/>
                <w:sz w:val="21"/>
                <w:szCs w:val="21"/>
                <w:highlight w:val="none"/>
              </w:rPr>
            </w:pPr>
          </w:p>
          <w:p w14:paraId="043F8FB1">
            <w:pPr>
              <w:pStyle w:val="58"/>
              <w:kinsoku w:val="0"/>
              <w:overflowPunct w:val="0"/>
              <w:ind w:left="36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p>
        </w:tc>
        <w:tc>
          <w:tcPr>
            <w:tcW w:w="1331" w:type="dxa"/>
            <w:tcBorders>
              <w:top w:val="single" w:color="000000" w:sz="4" w:space="0"/>
              <w:left w:val="single" w:color="000000" w:sz="4" w:space="0"/>
              <w:bottom w:val="single" w:color="000000" w:sz="4" w:space="0"/>
              <w:right w:val="single" w:color="000000" w:sz="4" w:space="0"/>
            </w:tcBorders>
            <w:vAlign w:val="top"/>
          </w:tcPr>
          <w:p w14:paraId="6B7B73AF">
            <w:pPr>
              <w:rPr>
                <w:rFonts w:hint="eastAsia" w:ascii="宋体" w:hAnsi="宋体" w:eastAsia="宋体" w:cs="宋体"/>
                <w:color w:val="auto"/>
                <w:sz w:val="21"/>
                <w:szCs w:val="21"/>
                <w:highlight w:val="none"/>
              </w:rPr>
            </w:pPr>
          </w:p>
        </w:tc>
        <w:tc>
          <w:tcPr>
            <w:tcW w:w="1365" w:type="dxa"/>
            <w:gridSpan w:val="2"/>
            <w:tcBorders>
              <w:top w:val="single" w:color="000000" w:sz="4" w:space="0"/>
              <w:left w:val="single" w:color="000000" w:sz="4" w:space="0"/>
              <w:bottom w:val="single" w:color="000000" w:sz="4" w:space="0"/>
              <w:right w:val="single" w:color="000000" w:sz="4" w:space="0"/>
            </w:tcBorders>
            <w:vAlign w:val="top"/>
          </w:tcPr>
          <w:p w14:paraId="1DC83D4C">
            <w:pPr>
              <w:pStyle w:val="58"/>
              <w:kinsoku w:val="0"/>
              <w:overflowPunct w:val="0"/>
              <w:spacing w:before="4"/>
              <w:rPr>
                <w:rFonts w:hint="eastAsia" w:ascii="宋体" w:hAnsi="宋体" w:eastAsia="宋体" w:cs="宋体"/>
                <w:b/>
                <w:bCs/>
                <w:color w:val="auto"/>
                <w:sz w:val="21"/>
                <w:szCs w:val="21"/>
                <w:highlight w:val="none"/>
              </w:rPr>
            </w:pPr>
          </w:p>
          <w:p w14:paraId="2E50EAE4">
            <w:pPr>
              <w:pStyle w:val="58"/>
              <w:kinsoku w:val="0"/>
              <w:overflowPunct w:val="0"/>
              <w:ind w:left="38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p>
        </w:tc>
        <w:tc>
          <w:tcPr>
            <w:tcW w:w="1950" w:type="dxa"/>
            <w:tcBorders>
              <w:top w:val="single" w:color="000000" w:sz="4" w:space="0"/>
              <w:left w:val="single" w:color="000000" w:sz="4" w:space="0"/>
              <w:bottom w:val="single" w:color="000000" w:sz="4" w:space="0"/>
              <w:right w:val="single" w:color="000000" w:sz="4" w:space="0"/>
            </w:tcBorders>
            <w:vAlign w:val="top"/>
          </w:tcPr>
          <w:p w14:paraId="716A9058">
            <w:pPr>
              <w:rPr>
                <w:rFonts w:hint="eastAsia" w:ascii="宋体" w:hAnsi="宋体" w:eastAsia="宋体" w:cs="宋体"/>
                <w:color w:val="auto"/>
                <w:sz w:val="21"/>
                <w:szCs w:val="21"/>
                <w:highlight w:val="none"/>
              </w:rPr>
            </w:pPr>
          </w:p>
        </w:tc>
      </w:tr>
      <w:tr w14:paraId="72DCB97A">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131F746D">
            <w:pPr>
              <w:pStyle w:val="58"/>
              <w:kinsoku w:val="0"/>
              <w:overflowPunct w:val="0"/>
              <w:spacing w:before="141" w:line="312" w:lineRule="exact"/>
              <w:ind w:left="257" w:right="133" w:hanging="1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职工总数</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018699DA">
            <w:pPr>
              <w:pStyle w:val="58"/>
              <w:kinsoku w:val="0"/>
              <w:overflowPunct w:val="0"/>
              <w:spacing w:before="144"/>
              <w:rPr>
                <w:rFonts w:hint="eastAsia" w:ascii="宋体" w:hAnsi="宋体" w:eastAsia="宋体" w:cs="宋体"/>
                <w:color w:val="auto"/>
                <w:sz w:val="21"/>
                <w:szCs w:val="21"/>
                <w:highlight w:val="none"/>
              </w:rPr>
            </w:pPr>
          </w:p>
        </w:tc>
      </w:tr>
      <w:tr w14:paraId="29B9C8B1">
        <w:tblPrEx>
          <w:tblCellMar>
            <w:top w:w="0" w:type="dxa"/>
            <w:left w:w="0" w:type="dxa"/>
            <w:bottom w:w="0" w:type="dxa"/>
            <w:right w:w="0" w:type="dxa"/>
          </w:tblCellMar>
        </w:tblPrEx>
        <w:trPr>
          <w:trHeight w:val="2009"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739B99A7">
            <w:pPr>
              <w:pStyle w:val="58"/>
              <w:kinsoku w:val="0"/>
              <w:overflowPunct w:val="0"/>
              <w:spacing w:line="237" w:lineRule="auto"/>
              <w:ind w:left="497" w:right="49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 位 概 况</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37C6B3AC">
            <w:pPr>
              <w:rPr>
                <w:rFonts w:hint="eastAsia" w:ascii="宋体" w:hAnsi="宋体" w:eastAsia="宋体" w:cs="宋体"/>
                <w:color w:val="auto"/>
                <w:sz w:val="21"/>
                <w:szCs w:val="21"/>
                <w:highlight w:val="none"/>
              </w:rPr>
            </w:pPr>
          </w:p>
        </w:tc>
      </w:tr>
    </w:tbl>
    <w:p w14:paraId="0DB51AD7">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2404E3E3">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334ADA7C">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41224D6">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03031D10">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4C50436C">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23DB125F">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5D249CF">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b/>
          <w:color w:val="auto"/>
          <w:sz w:val="30"/>
          <w:szCs w:val="30"/>
          <w:highlight w:val="none"/>
        </w:rPr>
      </w:pPr>
    </w:p>
    <w:p w14:paraId="2B72364B">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b/>
          <w:color w:val="auto"/>
          <w:sz w:val="30"/>
          <w:szCs w:val="30"/>
          <w:highlight w:val="none"/>
        </w:rPr>
      </w:pPr>
    </w:p>
    <w:p w14:paraId="6A96BC58">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b/>
          <w:color w:val="auto"/>
          <w:sz w:val="30"/>
          <w:szCs w:val="30"/>
          <w:highlight w:val="none"/>
        </w:rPr>
      </w:pPr>
    </w:p>
    <w:p w14:paraId="560AC705">
      <w:pPr>
        <w:pStyle w:val="10"/>
        <w:numPr>
          <w:ilvl w:val="0"/>
          <w:numId w:val="0"/>
        </w:numPr>
        <w:kinsoku w:val="0"/>
        <w:overflowPunct w:val="0"/>
        <w:spacing w:before="34" w:line="357" w:lineRule="auto"/>
        <w:ind w:left="480" w:leftChars="0" w:right="126" w:rightChars="0"/>
        <w:jc w:val="center"/>
        <w:rPr>
          <w:rFonts w:hint="eastAsia" w:ascii="宋体" w:hAnsi="宋体" w:eastAsia="宋体" w:cs="宋体"/>
          <w:b/>
          <w:bCs/>
          <w:color w:val="auto"/>
          <w:w w:val="90"/>
          <w:sz w:val="24"/>
          <w:szCs w:val="24"/>
          <w:highlight w:val="none"/>
          <w:lang w:eastAsia="zh-CN"/>
        </w:rPr>
      </w:pPr>
      <w:r>
        <w:rPr>
          <w:rFonts w:hint="eastAsia" w:ascii="宋体" w:hAnsi="宋体" w:cs="宋体"/>
          <w:b w:val="0"/>
          <w:bCs/>
          <w:color w:val="auto"/>
          <w:kern w:val="0"/>
          <w:sz w:val="24"/>
          <w:szCs w:val="24"/>
          <w:highlight w:val="none"/>
          <w:lang w:val="en-US" w:eastAsia="zh-CN"/>
        </w:rPr>
        <w:t>8</w:t>
      </w:r>
      <w:r>
        <w:rPr>
          <w:rFonts w:hint="eastAsia" w:ascii="宋体" w:hAnsi="宋体" w:eastAsia="宋体" w:cs="宋体"/>
          <w:b w:val="0"/>
          <w:bCs/>
          <w:color w:val="auto"/>
          <w:kern w:val="0"/>
          <w:sz w:val="24"/>
          <w:szCs w:val="24"/>
          <w:highlight w:val="none"/>
          <w:lang w:val="en-US" w:eastAsia="zh-CN"/>
        </w:rPr>
        <w:t>、</w:t>
      </w:r>
      <w:r>
        <w:rPr>
          <w:rFonts w:hint="eastAsia" w:ascii="宋体" w:hAnsi="宋体" w:eastAsia="宋体" w:cs="宋体"/>
          <w:b/>
          <w:bCs/>
          <w:color w:val="auto"/>
          <w:w w:val="90"/>
          <w:sz w:val="24"/>
          <w:szCs w:val="24"/>
          <w:highlight w:val="none"/>
        </w:rPr>
        <w:t>近年类似项目业绩</w:t>
      </w:r>
      <w:r>
        <w:rPr>
          <w:rFonts w:hint="eastAsia" w:ascii="宋体" w:hAnsi="宋体" w:eastAsia="宋体" w:cs="宋体"/>
          <w:b/>
          <w:bCs/>
          <w:color w:val="auto"/>
          <w:w w:val="90"/>
          <w:sz w:val="24"/>
          <w:szCs w:val="24"/>
          <w:highlight w:val="none"/>
          <w:lang w:eastAsia="zh-CN"/>
        </w:rPr>
        <w:t>表</w:t>
      </w:r>
    </w:p>
    <w:p w14:paraId="79CD9A1A">
      <w:pPr>
        <w:pStyle w:val="10"/>
        <w:numPr>
          <w:ilvl w:val="0"/>
          <w:numId w:val="0"/>
        </w:numPr>
        <w:kinsoku w:val="0"/>
        <w:overflowPunct w:val="0"/>
        <w:ind w:leftChars="0" w:right="0" w:rightChars="0"/>
        <w:rPr>
          <w:rFonts w:hint="eastAsia" w:ascii="仿宋" w:hAnsi="仿宋" w:eastAsia="仿宋" w:cs="仿宋"/>
          <w:b/>
          <w:bCs/>
          <w:color w:val="auto"/>
          <w:sz w:val="20"/>
          <w:szCs w:val="20"/>
          <w:highlight w:val="none"/>
        </w:rPr>
      </w:pPr>
    </w:p>
    <w:tbl>
      <w:tblPr>
        <w:tblStyle w:val="29"/>
        <w:tblW w:w="9115" w:type="dxa"/>
        <w:jc w:val="center"/>
        <w:tblLayout w:type="fixed"/>
        <w:tblCellMar>
          <w:top w:w="0" w:type="dxa"/>
          <w:left w:w="10" w:type="dxa"/>
          <w:bottom w:w="0" w:type="dxa"/>
          <w:right w:w="10" w:type="dxa"/>
        </w:tblCellMar>
      </w:tblPr>
      <w:tblGrid>
        <w:gridCol w:w="1919"/>
        <w:gridCol w:w="7196"/>
      </w:tblGrid>
      <w:tr w14:paraId="2E63B8B8">
        <w:tblPrEx>
          <w:tblCellMar>
            <w:top w:w="0" w:type="dxa"/>
            <w:left w:w="10" w:type="dxa"/>
            <w:bottom w:w="0" w:type="dxa"/>
            <w:right w:w="10" w:type="dxa"/>
          </w:tblCellMar>
        </w:tblPrEx>
        <w:trPr>
          <w:trHeight w:val="511" w:hRule="exact"/>
          <w:jc w:val="center"/>
        </w:trPr>
        <w:tc>
          <w:tcPr>
            <w:tcW w:w="1919" w:type="dxa"/>
            <w:tcBorders>
              <w:top w:val="single" w:color="auto" w:sz="4" w:space="0"/>
              <w:left w:val="single" w:color="auto" w:sz="4" w:space="0"/>
            </w:tcBorders>
            <w:vAlign w:val="center"/>
          </w:tcPr>
          <w:p w14:paraId="0FAB6A87">
            <w:pPr>
              <w:pStyle w:val="85"/>
              <w:keepNext w:val="0"/>
              <w:keepLines w:val="0"/>
              <w:widowControl w:val="0"/>
              <w:shd w:val="clear" w:color="auto" w:fill="auto"/>
              <w:bidi w:val="0"/>
              <w:spacing w:before="0" w:after="0" w:line="24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项目名称</w:t>
            </w:r>
          </w:p>
        </w:tc>
        <w:tc>
          <w:tcPr>
            <w:tcW w:w="7196" w:type="dxa"/>
            <w:tcBorders>
              <w:top w:val="single" w:color="auto" w:sz="4" w:space="0"/>
              <w:left w:val="single" w:color="auto" w:sz="4" w:space="0"/>
              <w:right w:val="single" w:color="auto" w:sz="4" w:space="0"/>
            </w:tcBorders>
            <w:vAlign w:val="top"/>
          </w:tcPr>
          <w:p w14:paraId="251E3455">
            <w:pPr>
              <w:widowControl w:val="0"/>
              <w:rPr>
                <w:rFonts w:hint="eastAsia" w:ascii="宋体" w:hAnsi="宋体" w:eastAsia="宋体" w:cs="宋体"/>
                <w:color w:val="auto"/>
                <w:sz w:val="21"/>
                <w:szCs w:val="21"/>
                <w:highlight w:val="none"/>
              </w:rPr>
            </w:pPr>
          </w:p>
        </w:tc>
      </w:tr>
      <w:tr w14:paraId="23488E10">
        <w:tblPrEx>
          <w:tblCellMar>
            <w:top w:w="0" w:type="dxa"/>
            <w:left w:w="10" w:type="dxa"/>
            <w:bottom w:w="0" w:type="dxa"/>
            <w:right w:w="10" w:type="dxa"/>
          </w:tblCellMar>
        </w:tblPrEx>
        <w:trPr>
          <w:trHeight w:val="518" w:hRule="exact"/>
          <w:jc w:val="center"/>
        </w:trPr>
        <w:tc>
          <w:tcPr>
            <w:tcW w:w="1919" w:type="dxa"/>
            <w:tcBorders>
              <w:top w:val="single" w:color="auto" w:sz="4" w:space="0"/>
              <w:left w:val="single" w:color="auto" w:sz="4" w:space="0"/>
            </w:tcBorders>
            <w:vAlign w:val="center"/>
          </w:tcPr>
          <w:p w14:paraId="47EC1D89">
            <w:pPr>
              <w:pStyle w:val="85"/>
              <w:keepNext w:val="0"/>
              <w:keepLines w:val="0"/>
              <w:widowControl w:val="0"/>
              <w:shd w:val="clear" w:color="auto" w:fill="auto"/>
              <w:bidi w:val="0"/>
              <w:spacing w:before="120" w:after="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项目单位名称</w:t>
            </w:r>
          </w:p>
        </w:tc>
        <w:tc>
          <w:tcPr>
            <w:tcW w:w="7196" w:type="dxa"/>
            <w:tcBorders>
              <w:top w:val="single" w:color="auto" w:sz="4" w:space="0"/>
              <w:left w:val="single" w:color="auto" w:sz="4" w:space="0"/>
              <w:right w:val="single" w:color="auto" w:sz="4" w:space="0"/>
            </w:tcBorders>
            <w:vAlign w:val="top"/>
          </w:tcPr>
          <w:p w14:paraId="33E2F2D3">
            <w:pPr>
              <w:widowControl w:val="0"/>
              <w:rPr>
                <w:rFonts w:hint="eastAsia" w:ascii="宋体" w:hAnsi="宋体" w:eastAsia="宋体" w:cs="宋体"/>
                <w:color w:val="auto"/>
                <w:sz w:val="21"/>
                <w:szCs w:val="21"/>
                <w:highlight w:val="none"/>
              </w:rPr>
            </w:pPr>
          </w:p>
        </w:tc>
      </w:tr>
      <w:tr w14:paraId="3730A09A">
        <w:tblPrEx>
          <w:tblCellMar>
            <w:top w:w="0" w:type="dxa"/>
            <w:left w:w="10" w:type="dxa"/>
            <w:bottom w:w="0" w:type="dxa"/>
            <w:right w:w="10" w:type="dxa"/>
          </w:tblCellMar>
        </w:tblPrEx>
        <w:trPr>
          <w:trHeight w:val="724" w:hRule="exact"/>
          <w:jc w:val="center"/>
        </w:trPr>
        <w:tc>
          <w:tcPr>
            <w:tcW w:w="1919" w:type="dxa"/>
            <w:tcBorders>
              <w:top w:val="single" w:color="auto" w:sz="4" w:space="0"/>
              <w:left w:val="single" w:color="auto" w:sz="4" w:space="0"/>
            </w:tcBorders>
            <w:vAlign w:val="center"/>
          </w:tcPr>
          <w:p w14:paraId="6A2F3F5D">
            <w:pPr>
              <w:pStyle w:val="85"/>
              <w:keepNext w:val="0"/>
              <w:keepLines w:val="0"/>
              <w:widowControl w:val="0"/>
              <w:shd w:val="clear" w:color="auto" w:fill="auto"/>
              <w:bidi w:val="0"/>
              <w:spacing w:before="0" w:after="0" w:line="320" w:lineRule="exact"/>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项目单位联系姓名及联系方式</w:t>
            </w:r>
          </w:p>
        </w:tc>
        <w:tc>
          <w:tcPr>
            <w:tcW w:w="7196" w:type="dxa"/>
            <w:tcBorders>
              <w:top w:val="single" w:color="auto" w:sz="4" w:space="0"/>
              <w:left w:val="single" w:color="auto" w:sz="4" w:space="0"/>
              <w:right w:val="single" w:color="auto" w:sz="4" w:space="0"/>
            </w:tcBorders>
            <w:vAlign w:val="top"/>
          </w:tcPr>
          <w:p w14:paraId="08CD3E10">
            <w:pPr>
              <w:widowControl w:val="0"/>
              <w:rPr>
                <w:rFonts w:hint="eastAsia" w:ascii="宋体" w:hAnsi="宋体" w:eastAsia="宋体" w:cs="宋体"/>
                <w:color w:val="auto"/>
                <w:sz w:val="21"/>
                <w:szCs w:val="21"/>
                <w:highlight w:val="none"/>
              </w:rPr>
            </w:pPr>
          </w:p>
        </w:tc>
      </w:tr>
      <w:tr w14:paraId="4AA83300">
        <w:tblPrEx>
          <w:tblCellMar>
            <w:top w:w="0" w:type="dxa"/>
            <w:left w:w="10" w:type="dxa"/>
            <w:bottom w:w="0" w:type="dxa"/>
            <w:right w:w="10" w:type="dxa"/>
          </w:tblCellMar>
        </w:tblPrEx>
        <w:trPr>
          <w:trHeight w:val="634" w:hRule="exact"/>
          <w:jc w:val="center"/>
        </w:trPr>
        <w:tc>
          <w:tcPr>
            <w:tcW w:w="1919" w:type="dxa"/>
            <w:tcBorders>
              <w:top w:val="single" w:color="auto" w:sz="4" w:space="0"/>
              <w:left w:val="single" w:color="auto" w:sz="4" w:space="0"/>
            </w:tcBorders>
            <w:vAlign w:val="center"/>
          </w:tcPr>
          <w:p w14:paraId="3BE41208">
            <w:pPr>
              <w:pStyle w:val="85"/>
              <w:keepNext w:val="0"/>
              <w:keepLines w:val="0"/>
              <w:widowControl w:val="0"/>
              <w:shd w:val="clear" w:color="auto" w:fill="auto"/>
              <w:bidi w:val="0"/>
              <w:spacing w:before="0" w:after="0" w:line="24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合同金额</w:t>
            </w:r>
          </w:p>
        </w:tc>
        <w:tc>
          <w:tcPr>
            <w:tcW w:w="7196" w:type="dxa"/>
            <w:tcBorders>
              <w:top w:val="single" w:color="auto" w:sz="4" w:space="0"/>
              <w:left w:val="single" w:color="auto" w:sz="4" w:space="0"/>
              <w:right w:val="single" w:color="auto" w:sz="4" w:space="0"/>
            </w:tcBorders>
            <w:vAlign w:val="top"/>
          </w:tcPr>
          <w:p w14:paraId="17FFE16F">
            <w:pPr>
              <w:widowControl w:val="0"/>
              <w:rPr>
                <w:rFonts w:hint="eastAsia" w:ascii="宋体" w:hAnsi="宋体" w:eastAsia="宋体" w:cs="宋体"/>
                <w:color w:val="auto"/>
                <w:sz w:val="21"/>
                <w:szCs w:val="21"/>
                <w:highlight w:val="none"/>
              </w:rPr>
            </w:pPr>
          </w:p>
        </w:tc>
      </w:tr>
      <w:tr w14:paraId="08D490C3">
        <w:tblPrEx>
          <w:tblCellMar>
            <w:top w:w="0" w:type="dxa"/>
            <w:left w:w="10" w:type="dxa"/>
            <w:bottom w:w="0" w:type="dxa"/>
            <w:right w:w="10" w:type="dxa"/>
          </w:tblCellMar>
        </w:tblPrEx>
        <w:trPr>
          <w:trHeight w:val="637" w:hRule="exact"/>
          <w:jc w:val="center"/>
        </w:trPr>
        <w:tc>
          <w:tcPr>
            <w:tcW w:w="1919" w:type="dxa"/>
            <w:tcBorders>
              <w:top w:val="single" w:color="auto" w:sz="4" w:space="0"/>
              <w:left w:val="single" w:color="auto" w:sz="4" w:space="0"/>
            </w:tcBorders>
            <w:vAlign w:val="center"/>
          </w:tcPr>
          <w:p w14:paraId="3895A345">
            <w:pPr>
              <w:pStyle w:val="85"/>
              <w:keepNext w:val="0"/>
              <w:keepLines w:val="0"/>
              <w:widowControl w:val="0"/>
              <w:shd w:val="clear" w:color="auto" w:fill="auto"/>
              <w:bidi w:val="0"/>
              <w:spacing w:before="0" w:after="0" w:line="306" w:lineRule="exact"/>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项目负责人姓名</w:t>
            </w:r>
          </w:p>
        </w:tc>
        <w:tc>
          <w:tcPr>
            <w:tcW w:w="7196" w:type="dxa"/>
            <w:tcBorders>
              <w:top w:val="single" w:color="auto" w:sz="4" w:space="0"/>
              <w:left w:val="single" w:color="auto" w:sz="4" w:space="0"/>
              <w:right w:val="single" w:color="auto" w:sz="4" w:space="0"/>
            </w:tcBorders>
            <w:vAlign w:val="top"/>
          </w:tcPr>
          <w:p w14:paraId="7990DAC2">
            <w:pPr>
              <w:widowControl w:val="0"/>
              <w:rPr>
                <w:rFonts w:hint="eastAsia" w:ascii="宋体" w:hAnsi="宋体" w:eastAsia="宋体" w:cs="宋体"/>
                <w:color w:val="auto"/>
                <w:sz w:val="21"/>
                <w:szCs w:val="21"/>
                <w:highlight w:val="none"/>
              </w:rPr>
            </w:pPr>
          </w:p>
        </w:tc>
      </w:tr>
      <w:tr w14:paraId="4BCF6126">
        <w:tblPrEx>
          <w:tblCellMar>
            <w:top w:w="0" w:type="dxa"/>
            <w:left w:w="10" w:type="dxa"/>
            <w:bottom w:w="0" w:type="dxa"/>
            <w:right w:w="10" w:type="dxa"/>
          </w:tblCellMar>
        </w:tblPrEx>
        <w:trPr>
          <w:trHeight w:val="482" w:hRule="exact"/>
          <w:jc w:val="center"/>
        </w:trPr>
        <w:tc>
          <w:tcPr>
            <w:tcW w:w="1919" w:type="dxa"/>
            <w:tcBorders>
              <w:top w:val="single" w:color="auto" w:sz="4" w:space="0"/>
              <w:left w:val="single" w:color="auto" w:sz="4" w:space="0"/>
            </w:tcBorders>
            <w:vAlign w:val="center"/>
          </w:tcPr>
          <w:p w14:paraId="47C1ECCB">
            <w:pPr>
              <w:pStyle w:val="85"/>
              <w:keepNext w:val="0"/>
              <w:keepLines w:val="0"/>
              <w:widowControl w:val="0"/>
              <w:shd w:val="clear" w:color="auto" w:fill="auto"/>
              <w:bidi w:val="0"/>
              <w:spacing w:before="120" w:after="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项目实施时间</w:t>
            </w:r>
          </w:p>
        </w:tc>
        <w:tc>
          <w:tcPr>
            <w:tcW w:w="7196" w:type="dxa"/>
            <w:tcBorders>
              <w:top w:val="single" w:color="auto" w:sz="4" w:space="0"/>
              <w:left w:val="single" w:color="auto" w:sz="4" w:space="0"/>
              <w:right w:val="single" w:color="auto" w:sz="4" w:space="0"/>
            </w:tcBorders>
            <w:vAlign w:val="top"/>
          </w:tcPr>
          <w:p w14:paraId="6BE7866F">
            <w:pPr>
              <w:widowControl w:val="0"/>
              <w:rPr>
                <w:rFonts w:hint="eastAsia" w:ascii="宋体" w:hAnsi="宋体" w:eastAsia="宋体" w:cs="宋体"/>
                <w:color w:val="auto"/>
                <w:sz w:val="21"/>
                <w:szCs w:val="21"/>
                <w:highlight w:val="none"/>
              </w:rPr>
            </w:pPr>
          </w:p>
        </w:tc>
      </w:tr>
      <w:tr w14:paraId="1F8114AD">
        <w:tblPrEx>
          <w:tblCellMar>
            <w:top w:w="0" w:type="dxa"/>
            <w:left w:w="10" w:type="dxa"/>
            <w:bottom w:w="0" w:type="dxa"/>
            <w:right w:w="10" w:type="dxa"/>
          </w:tblCellMar>
        </w:tblPrEx>
        <w:trPr>
          <w:trHeight w:val="1699" w:hRule="exact"/>
          <w:jc w:val="center"/>
        </w:trPr>
        <w:tc>
          <w:tcPr>
            <w:tcW w:w="1919" w:type="dxa"/>
            <w:tcBorders>
              <w:top w:val="single" w:color="auto" w:sz="4" w:space="0"/>
              <w:left w:val="single" w:color="auto" w:sz="4" w:space="0"/>
              <w:bottom w:val="single" w:color="auto" w:sz="4" w:space="0"/>
            </w:tcBorders>
            <w:vAlign w:val="center"/>
          </w:tcPr>
          <w:p w14:paraId="6E44D973">
            <w:pPr>
              <w:pStyle w:val="8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项目内容说明</w:t>
            </w:r>
          </w:p>
        </w:tc>
        <w:tc>
          <w:tcPr>
            <w:tcW w:w="7196" w:type="dxa"/>
            <w:tcBorders>
              <w:top w:val="single" w:color="auto" w:sz="4" w:space="0"/>
              <w:left w:val="single" w:color="auto" w:sz="4" w:space="0"/>
              <w:bottom w:val="single" w:color="auto" w:sz="4" w:space="0"/>
              <w:right w:val="single" w:color="auto" w:sz="4" w:space="0"/>
            </w:tcBorders>
            <w:vAlign w:val="top"/>
          </w:tcPr>
          <w:p w14:paraId="2D81B2A0">
            <w:pPr>
              <w:widowControl w:val="0"/>
              <w:rPr>
                <w:rFonts w:hint="eastAsia" w:ascii="宋体" w:hAnsi="宋体" w:eastAsia="宋体" w:cs="宋体"/>
                <w:color w:val="auto"/>
                <w:sz w:val="21"/>
                <w:szCs w:val="21"/>
                <w:highlight w:val="none"/>
              </w:rPr>
            </w:pPr>
          </w:p>
        </w:tc>
      </w:tr>
    </w:tbl>
    <w:p w14:paraId="7785E3CC">
      <w:pPr>
        <w:rPr>
          <w:rFonts w:hint="eastAsia" w:ascii="仿宋" w:hAnsi="仿宋" w:eastAsia="仿宋" w:cs="仿宋"/>
          <w:color w:val="auto"/>
          <w:spacing w:val="-1"/>
          <w:kern w:val="0"/>
          <w:sz w:val="24"/>
          <w:highlight w:val="none"/>
        </w:rPr>
      </w:pPr>
    </w:p>
    <w:p w14:paraId="6B25D45D">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39CE3A90">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144BE337">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2DB7F2CD">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1E1E1960">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（盖章）</w:t>
      </w:r>
    </w:p>
    <w:p w14:paraId="7E611989">
      <w:pPr>
        <w:pStyle w:val="21"/>
        <w:rPr>
          <w:rFonts w:hint="eastAsia"/>
          <w:highlight w:val="none"/>
          <w:lang w:val="en-US" w:eastAsia="zh-CN"/>
        </w:rPr>
      </w:pPr>
    </w:p>
    <w:p w14:paraId="56BCF764">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w w:val="95"/>
          <w:sz w:val="21"/>
          <w:szCs w:val="21"/>
          <w:highlight w:val="none"/>
        </w:rPr>
      </w:pPr>
      <w:r>
        <w:rPr>
          <w:rFonts w:hint="eastAsia" w:ascii="宋体" w:hAnsi="宋体" w:eastAsia="宋体" w:cs="宋体"/>
          <w:color w:val="auto"/>
          <w:sz w:val="21"/>
          <w:szCs w:val="21"/>
          <w:highlight w:val="none"/>
        </w:rPr>
        <w:t>法定代表人或被授权人：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bidi="ar-SA"/>
        </w:rPr>
        <w:t>(签字或盖章）</w:t>
      </w:r>
    </w:p>
    <w:p w14:paraId="45D08CE3">
      <w:pPr>
        <w:pStyle w:val="10"/>
        <w:numPr>
          <w:ilvl w:val="0"/>
          <w:numId w:val="0"/>
        </w:numPr>
        <w:tabs>
          <w:tab w:val="left" w:pos="5551"/>
          <w:tab w:val="left" w:pos="6511"/>
          <w:tab w:val="left" w:pos="7111"/>
          <w:tab w:val="left" w:pos="7711"/>
        </w:tabs>
        <w:kinsoku w:val="0"/>
        <w:overflowPunct w:val="0"/>
        <w:spacing w:before="46"/>
        <w:ind w:right="0" w:rightChars="0" w:firstLine="3816" w:firstLineChars="18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日</w:t>
      </w:r>
    </w:p>
    <w:p w14:paraId="4D426246">
      <w:pPr>
        <w:pStyle w:val="83"/>
        <w:keepNext w:val="0"/>
        <w:keepLines w:val="0"/>
        <w:widowControl w:val="0"/>
        <w:shd w:val="clear" w:color="auto" w:fill="auto"/>
        <w:bidi w:val="0"/>
        <w:spacing w:before="0" w:after="580" w:line="240" w:lineRule="auto"/>
        <w:ind w:left="0" w:right="0" w:firstLine="360"/>
        <w:jc w:val="left"/>
        <w:rPr>
          <w:rFonts w:hint="eastAsia" w:ascii="仿宋" w:hAnsi="仿宋" w:eastAsia="仿宋" w:cs="仿宋"/>
          <w:color w:val="auto"/>
          <w:spacing w:val="0"/>
          <w:w w:val="100"/>
          <w:position w:val="0"/>
          <w:highlight w:val="none"/>
        </w:rPr>
      </w:pPr>
    </w:p>
    <w:p w14:paraId="57D055B1">
      <w:pPr>
        <w:pStyle w:val="3"/>
        <w:numPr>
          <w:ilvl w:val="0"/>
          <w:numId w:val="0"/>
        </w:numPr>
        <w:shd w:val="clear" w:color="auto" w:fill="auto"/>
        <w:spacing w:before="0" w:line="240" w:lineRule="atLeast"/>
        <w:jc w:val="both"/>
        <w:rPr>
          <w:rFonts w:hint="eastAsia" w:ascii="宋体" w:hAnsi="宋体" w:eastAsia="宋体" w:cs="宋体"/>
          <w:color w:val="auto"/>
          <w:highlight w:val="none"/>
        </w:rPr>
      </w:pPr>
    </w:p>
    <w:p w14:paraId="2BED2EA2">
      <w:pPr>
        <w:rPr>
          <w:rFonts w:hint="eastAsia" w:ascii="宋体" w:hAnsi="宋体" w:eastAsia="宋体" w:cs="宋体"/>
          <w:color w:val="auto"/>
          <w:highlight w:val="none"/>
        </w:rPr>
      </w:pPr>
    </w:p>
    <w:p w14:paraId="34ACBAB4">
      <w:pPr>
        <w:pStyle w:val="4"/>
        <w:jc w:val="center"/>
        <w:rPr>
          <w:rFonts w:hint="eastAsia" w:ascii="宋体" w:hAnsi="宋体" w:eastAsia="宋体" w:cs="宋体"/>
          <w:b/>
          <w:bCs/>
          <w:color w:val="auto"/>
          <w:sz w:val="24"/>
          <w:highlight w:val="none"/>
          <w:lang w:val="en-US" w:eastAsia="zh-CN"/>
        </w:rPr>
      </w:pPr>
      <w:bookmarkStart w:id="213" w:name="_Toc19122"/>
      <w:bookmarkStart w:id="214" w:name="_Toc6707"/>
      <w:r>
        <w:rPr>
          <w:rFonts w:hint="eastAsia" w:ascii="宋体" w:hAnsi="宋体" w:cs="宋体"/>
          <w:b/>
          <w:bCs/>
          <w:color w:val="auto"/>
          <w:kern w:val="0"/>
          <w:sz w:val="24"/>
          <w:szCs w:val="20"/>
          <w:highlight w:val="none"/>
          <w:u w:val="none"/>
          <w:lang w:val="en-US" w:eastAsia="zh-CN" w:bidi="ar-SA"/>
        </w:rPr>
        <w:t>9</w:t>
      </w:r>
      <w:r>
        <w:rPr>
          <w:rFonts w:hint="eastAsia" w:ascii="宋体" w:hAnsi="宋体" w:eastAsia="宋体" w:cs="宋体"/>
          <w:b/>
          <w:bCs/>
          <w:color w:val="auto"/>
          <w:kern w:val="0"/>
          <w:sz w:val="24"/>
          <w:szCs w:val="20"/>
          <w:highlight w:val="none"/>
          <w:u w:val="none"/>
          <w:lang w:val="en-US" w:eastAsia="zh-CN" w:bidi="ar-SA"/>
        </w:rPr>
        <w:t>、中小企业声明函(货物)</w:t>
      </w:r>
      <w:bookmarkEnd w:id="213"/>
      <w:bookmarkEnd w:id="214"/>
    </w:p>
    <w:bookmarkEnd w:id="206"/>
    <w:bookmarkEnd w:id="207"/>
    <w:bookmarkEnd w:id="208"/>
    <w:bookmarkEnd w:id="209"/>
    <w:p w14:paraId="1E4924E8">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798FB62B">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    （标的名称），属于    （采购文件中明确的所属行业） ；制造商为   （企业名称），从业人员      人，营业收入为        万元，资产总额为     万元，属于（中型企业、小型企业、微型企业）；</w:t>
      </w:r>
    </w:p>
    <w:p w14:paraId="0630A46E">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      （标的名称），属于    （采购文件中明确的所属行业） ；制造商为    （企业名称），从业人员    人，营业收入为    万元，资产总额为    万元，属于   （中型企业、小型企业、微型企业）；</w:t>
      </w:r>
    </w:p>
    <w:p w14:paraId="0B5CF504">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w:t>
      </w:r>
    </w:p>
    <w:p w14:paraId="2BC821AC">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以上企业，不属于大企业的分支机构，不存在控股股东为大企业的情形，也不存在与大企业的负责人为同一人的情形。</w:t>
      </w:r>
    </w:p>
    <w:p w14:paraId="4AA2CFCD">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 xml:space="preserve">本企业对上述声明内容的真实性负责。如有虚假，将依法承担相应责任。                   </w:t>
      </w:r>
    </w:p>
    <w:p w14:paraId="2C5ACEB2">
      <w:pPr>
        <w:pStyle w:val="7"/>
        <w:rPr>
          <w:rFonts w:hint="eastAsia"/>
          <w:color w:val="auto"/>
          <w:sz w:val="21"/>
          <w:szCs w:val="21"/>
          <w:highlight w:val="none"/>
        </w:rPr>
      </w:pPr>
    </w:p>
    <w:p w14:paraId="47D2DFC3">
      <w:pPr>
        <w:widowControl/>
        <w:spacing w:before="100" w:beforeAutospacing="1" w:after="100" w:afterAutospacing="1" w:line="330" w:lineRule="atLeast"/>
        <w:ind w:firstLine="4558" w:firstLineChars="215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 xml:space="preserve"> 企业名称（盖章）：</w:t>
      </w:r>
    </w:p>
    <w:p w14:paraId="6C42D22A">
      <w:pPr>
        <w:widowControl/>
        <w:spacing w:before="100" w:beforeAutospacing="1" w:after="100" w:afterAutospacing="1" w:line="330" w:lineRule="atLeast"/>
        <w:ind w:left="5422" w:leftChars="2508" w:hanging="106" w:hangingChars="50"/>
        <w:jc w:val="left"/>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rPr>
        <w:t xml:space="preserve">                                               日期</w:t>
      </w:r>
      <w:r>
        <w:rPr>
          <w:rFonts w:hint="eastAsia" w:ascii="宋体" w:hAnsi="宋体" w:cs="宋体"/>
          <w:color w:val="auto"/>
          <w:kern w:val="0"/>
          <w:sz w:val="21"/>
          <w:szCs w:val="21"/>
          <w:highlight w:val="none"/>
          <w:lang w:eastAsia="zh-CN"/>
        </w:rPr>
        <w:t>：</w:t>
      </w:r>
    </w:p>
    <w:p w14:paraId="276A339F">
      <w:pPr>
        <w:widowControl/>
        <w:spacing w:before="100" w:beforeAutospacing="1" w:after="100" w:afterAutospacing="1" w:line="330" w:lineRule="atLeast"/>
        <w:ind w:firstLine="2756" w:firstLineChars="1300"/>
        <w:jc w:val="left"/>
        <w:rPr>
          <w:rFonts w:ascii="宋体" w:hAnsi="宋体" w:cs="宋体"/>
          <w:color w:val="auto"/>
          <w:kern w:val="0"/>
          <w:sz w:val="21"/>
          <w:szCs w:val="21"/>
          <w:highlight w:val="none"/>
        </w:rPr>
      </w:pPr>
    </w:p>
    <w:p w14:paraId="5CBB2EAA">
      <w:pPr>
        <w:widowControl/>
        <w:kinsoku/>
        <w:topLinePunct w:val="0"/>
        <w:bidi w:val="0"/>
        <w:spacing w:before="100" w:beforeAutospacing="1" w:after="100" w:afterAutospacing="1" w:line="380" w:lineRule="exact"/>
        <w:ind w:firstLine="3146" w:firstLineChars="13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p>
    <w:p w14:paraId="57016BC2">
      <w:pPr>
        <w:pStyle w:val="53"/>
        <w:kinsoku/>
        <w:topLinePunct w:val="0"/>
        <w:bidi w:val="0"/>
        <w:spacing w:line="380" w:lineRule="exact"/>
        <w:rPr>
          <w:rFonts w:hint="eastAsia" w:ascii="宋体" w:hAnsi="宋体" w:eastAsia="宋体" w:cs="宋体"/>
          <w:color w:val="auto"/>
          <w:kern w:val="0"/>
          <w:sz w:val="24"/>
          <w:highlight w:val="none"/>
        </w:rPr>
      </w:pPr>
    </w:p>
    <w:p w14:paraId="1CEAF531">
      <w:pPr>
        <w:pStyle w:val="53"/>
        <w:kinsoku/>
        <w:topLinePunct w:val="0"/>
        <w:bidi w:val="0"/>
        <w:spacing w:line="380" w:lineRule="exact"/>
        <w:rPr>
          <w:rFonts w:hint="eastAsia" w:ascii="宋体" w:hAnsi="宋体" w:eastAsia="宋体" w:cs="宋体"/>
          <w:color w:val="auto"/>
          <w:kern w:val="0"/>
          <w:sz w:val="24"/>
          <w:highlight w:val="none"/>
        </w:rPr>
      </w:pPr>
    </w:p>
    <w:p w14:paraId="561677F5">
      <w:pPr>
        <w:keepNext w:val="0"/>
        <w:keepLines w:val="0"/>
        <w:widowControl/>
        <w:suppressLineNumbers w:val="0"/>
        <w:jc w:val="left"/>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注：从业人员、营业收入、资产总额填报上一年度数据，无上一年度数据的新成立企业可不填报。</w:t>
      </w:r>
    </w:p>
    <w:p w14:paraId="29E68C12">
      <w:pPr>
        <w:widowControl/>
        <w:kinsoku/>
        <w:topLinePunct w:val="0"/>
        <w:bidi w:val="0"/>
        <w:spacing w:before="100" w:beforeAutospacing="1" w:after="100" w:afterAutospacing="1" w:line="380" w:lineRule="exact"/>
        <w:ind w:firstLine="420"/>
        <w:jc w:val="left"/>
        <w:rPr>
          <w:rFonts w:hint="eastAsia" w:ascii="宋体" w:hAnsi="宋体" w:eastAsia="宋体" w:cs="宋体"/>
          <w:color w:val="auto"/>
          <w:kern w:val="0"/>
          <w:sz w:val="24"/>
          <w:highlight w:val="none"/>
        </w:rPr>
      </w:pPr>
    </w:p>
    <w:p w14:paraId="537FFFDB">
      <w:pPr>
        <w:kinsoku/>
        <w:topLinePunct w:val="0"/>
        <w:bidi w:val="0"/>
        <w:spacing w:line="380" w:lineRule="exact"/>
        <w:rPr>
          <w:rFonts w:hint="eastAsia" w:ascii="宋体" w:hAnsi="宋体" w:eastAsia="宋体" w:cs="宋体"/>
          <w:color w:val="auto"/>
          <w:highlight w:val="none"/>
        </w:rPr>
      </w:pPr>
      <w:bookmarkStart w:id="215" w:name="_Toc10877"/>
      <w:bookmarkStart w:id="216" w:name="_Toc11803"/>
      <w:bookmarkStart w:id="217" w:name="_Toc515647824"/>
      <w:bookmarkStart w:id="218" w:name="_Toc10977"/>
    </w:p>
    <w:bookmarkEnd w:id="215"/>
    <w:bookmarkEnd w:id="216"/>
    <w:bookmarkEnd w:id="217"/>
    <w:bookmarkEnd w:id="218"/>
    <w:p w14:paraId="538C4333">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bookmarkStart w:id="219" w:name="_Toc23068"/>
      <w:bookmarkStart w:id="220" w:name="_Toc8010"/>
      <w:bookmarkStart w:id="221" w:name="_Toc19284"/>
      <w:bookmarkStart w:id="222" w:name="OLE_LINK14"/>
      <w:bookmarkStart w:id="223" w:name="OLE_LINK13"/>
      <w:bookmarkStart w:id="224" w:name="_Toc515647825"/>
      <w:r>
        <w:rPr>
          <w:rFonts w:hint="eastAsia" w:ascii="宋体" w:hAnsi="宋体" w:eastAsia="宋体" w:cs="宋体"/>
          <w:b/>
          <w:bCs/>
          <w:color w:val="auto"/>
          <w:highlight w:val="none"/>
        </w:rPr>
        <w:t xml:space="preserve"> </w:t>
      </w:r>
      <w:bookmarkEnd w:id="219"/>
      <w:bookmarkEnd w:id="220"/>
      <w:bookmarkEnd w:id="221"/>
      <w:bookmarkEnd w:id="222"/>
      <w:bookmarkEnd w:id="223"/>
      <w:bookmarkEnd w:id="224"/>
      <w:bookmarkStart w:id="225" w:name="_Toc6386"/>
    </w:p>
    <w:p w14:paraId="3E9AE689">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bookmarkStart w:id="226" w:name="_Toc5426"/>
      <w:bookmarkStart w:id="227" w:name="_Toc7513"/>
    </w:p>
    <w:p w14:paraId="2B9B4DF0">
      <w:pPr>
        <w:spacing w:line="360" w:lineRule="auto"/>
        <w:jc w:val="center"/>
        <w:rPr>
          <w:rFonts w:hint="eastAsia" w:asciiTheme="minorEastAsia" w:hAnsiTheme="minorEastAsia" w:eastAsiaTheme="minorEastAsia" w:cstheme="minorEastAsia"/>
          <w:b/>
          <w:bCs/>
          <w:color w:val="auto"/>
          <w:sz w:val="28"/>
          <w:szCs w:val="28"/>
          <w:highlight w:val="none"/>
          <w:lang w:val="en-US" w:eastAsia="zh-CN" w:bidi="en-US"/>
        </w:rPr>
      </w:pPr>
      <w:r>
        <w:rPr>
          <w:rFonts w:hint="eastAsia" w:asciiTheme="minorEastAsia" w:hAnsiTheme="minorEastAsia" w:eastAsiaTheme="minorEastAsia" w:cstheme="minorEastAsia"/>
          <w:b/>
          <w:bCs/>
          <w:color w:val="auto"/>
          <w:sz w:val="28"/>
          <w:szCs w:val="28"/>
          <w:highlight w:val="none"/>
          <w:lang w:val="en-US" w:eastAsia="zh-CN" w:bidi="en-US"/>
        </w:rPr>
        <w:t>10、关于符合本国产品标准的声明函</w:t>
      </w:r>
    </w:p>
    <w:p w14:paraId="20C69499">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p>
    <w:p w14:paraId="79C8DD12">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注：</w:t>
      </w:r>
    </w:p>
    <w:p w14:paraId="397843F4">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1.《</w:t>
      </w:r>
      <w:r>
        <w:rPr>
          <w:rFonts w:hint="eastAsia" w:ascii="宋体" w:hAnsi="宋体" w:eastAsia="宋体" w:cs="Times New Roman"/>
          <w:b/>
          <w:bCs/>
          <w:color w:val="auto"/>
          <w:sz w:val="21"/>
          <w:szCs w:val="21"/>
          <w:highlight w:val="none"/>
        </w:rPr>
        <w:t>国务院办公厅关于在政府采购中实施本国产品标准及相关政策的通知</w:t>
      </w:r>
      <w:r>
        <w:rPr>
          <w:rFonts w:hint="eastAsia" w:ascii="宋体" w:hAnsi="宋体" w:eastAsia="宋体" w:cs="Times New Roman"/>
          <w:b/>
          <w:bCs/>
          <w:color w:val="auto"/>
          <w:sz w:val="21"/>
          <w:szCs w:val="21"/>
          <w:highlight w:val="none"/>
          <w:lang w:eastAsia="zh-CN"/>
        </w:rPr>
        <w:t>》</w:t>
      </w:r>
      <w:r>
        <w:rPr>
          <w:rFonts w:hint="eastAsia" w:ascii="宋体" w:hAnsi="宋体" w:eastAsia="宋体" w:cs="Times New Roman"/>
          <w:b/>
          <w:bCs/>
          <w:color w:val="auto"/>
          <w:sz w:val="21"/>
          <w:szCs w:val="21"/>
          <w:highlight w:val="none"/>
          <w:lang w:val="en-US" w:eastAsia="zh-CN"/>
        </w:rPr>
        <w:t xml:space="preserve"> 第三条：三、对本国产品的支持政策：政府采购活动中既有本国产品又有非本国产品参与竞争的，依法对本国产品给予价格评审优惠，对本国产品的报价给予20%的价格扣除，用扣除后的价格参与评审。</w:t>
      </w:r>
    </w:p>
    <w:p w14:paraId="24B16B74">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7EEFE07">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投标人提供所投产品如全部为进口产品，或者提供符合本国标准的产品成本之和未占全部产品成本之和的比例未达到80%以上时，可不提供此声明函。</w:t>
      </w:r>
    </w:p>
    <w:p w14:paraId="7CE8B6F6">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如项目不接受进口产品，可不提供此声明函。</w:t>
      </w:r>
    </w:p>
    <w:p w14:paraId="4750532C">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未提供此声明函，则不享受相关</w:t>
      </w:r>
      <w:r>
        <w:rPr>
          <w:rFonts w:hint="eastAsia" w:ascii="宋体" w:hAnsi="宋体" w:eastAsia="宋体" w:cs="Times New Roman"/>
          <w:b/>
          <w:bCs/>
          <w:color w:val="auto"/>
          <w:sz w:val="21"/>
          <w:szCs w:val="21"/>
          <w:highlight w:val="none"/>
        </w:rPr>
        <w:t>政策</w:t>
      </w:r>
      <w:r>
        <w:rPr>
          <w:rFonts w:hint="eastAsia" w:ascii="宋体" w:hAnsi="宋体" w:eastAsia="宋体" w:cs="Times New Roman"/>
          <w:b/>
          <w:bCs/>
          <w:color w:val="auto"/>
          <w:sz w:val="21"/>
          <w:szCs w:val="21"/>
          <w:highlight w:val="none"/>
          <w:lang w:val="en-US" w:eastAsia="zh-CN"/>
        </w:rPr>
        <w:t>的优惠。</w:t>
      </w:r>
    </w:p>
    <w:p w14:paraId="1F552181">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38167953">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35540411">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4E8A18AA">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64B9B3EE">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03F280A0">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0D801655">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2D6BBBF3">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78EA1070">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31EF8082">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2F84FD8E">
      <w:pPr>
        <w:pStyle w:val="46"/>
        <w:tabs>
          <w:tab w:val="left" w:pos="715"/>
        </w:tabs>
        <w:rPr>
          <w:rFonts w:hint="eastAsia"/>
          <w:color w:val="auto"/>
          <w:highlight w:val="none"/>
          <w:lang w:val="en-US" w:eastAsia="zh-CN"/>
        </w:rPr>
      </w:pPr>
    </w:p>
    <w:p w14:paraId="1423AC55">
      <w:pPr>
        <w:adjustRightInd w:val="0"/>
        <w:snapToGrid w:val="0"/>
        <w:spacing w:before="50" w:line="360" w:lineRule="auto"/>
        <w:jc w:val="center"/>
        <w:rPr>
          <w:rFonts w:hint="eastAsia" w:ascii="黑体" w:hAnsi="宋体" w:eastAsia="黑体" w:cs="Times New Roman"/>
          <w:color w:val="auto"/>
          <w:sz w:val="28"/>
          <w:szCs w:val="28"/>
          <w:highlight w:val="none"/>
        </w:rPr>
      </w:pPr>
      <w:r>
        <w:rPr>
          <w:rFonts w:hint="eastAsia" w:ascii="黑体" w:hAnsi="宋体" w:eastAsia="黑体" w:cs="Times New Roman"/>
          <w:color w:val="auto"/>
          <w:sz w:val="28"/>
          <w:szCs w:val="28"/>
          <w:highlight w:val="none"/>
        </w:rPr>
        <w:t>关于符合本国产品标准的声明函</w:t>
      </w:r>
    </w:p>
    <w:p w14:paraId="5D0DA98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2010151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生产厂为（厂名）</w:t>
      </w: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6"/>
          <w:sz w:val="21"/>
          <w:szCs w:val="21"/>
          <w:highlight w:val="none"/>
          <w:u w:val="single"/>
        </w:rPr>
        <w:t>厂址为（生产厂址）</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的中国境内生产的组件成本占比≥</w:t>
      </w:r>
      <w:r>
        <w:rPr>
          <w:rFonts w:hint="eastAsia" w:ascii="宋体" w:hAnsi="宋体" w:eastAsia="宋体" w:cs="宋体"/>
          <w:color w:val="auto"/>
          <w:spacing w:val="6"/>
          <w:sz w:val="21"/>
          <w:szCs w:val="21"/>
          <w:highlight w:val="none"/>
          <w:u w:val="single"/>
        </w:rPr>
        <w:t>（规定比例）</w:t>
      </w:r>
      <w:r>
        <w:rPr>
          <w:rFonts w:hint="eastAsia" w:ascii="宋体" w:hAnsi="宋体" w:eastAsia="宋体" w:cs="宋体"/>
          <w:color w:val="auto"/>
          <w:spacing w:val="6"/>
          <w:sz w:val="21"/>
          <w:szCs w:val="21"/>
          <w:highlight w:val="none"/>
        </w:rPr>
        <w:t>3。</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（关键组件）</w:t>
      </w:r>
      <w:r>
        <w:rPr>
          <w:rFonts w:hint="eastAsia" w:ascii="宋体" w:hAnsi="宋体" w:eastAsia="宋体" w:cs="宋体"/>
          <w:color w:val="auto"/>
          <w:spacing w:val="6"/>
          <w:sz w:val="21"/>
          <w:szCs w:val="21"/>
          <w:highlight w:val="none"/>
        </w:rPr>
        <w:t>4在中国境内生产。（</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（关键工序）</w:t>
      </w:r>
      <w:r>
        <w:rPr>
          <w:rFonts w:hint="eastAsia" w:ascii="宋体" w:hAnsi="宋体" w:eastAsia="宋体" w:cs="宋体"/>
          <w:color w:val="auto"/>
          <w:spacing w:val="6"/>
          <w:sz w:val="21"/>
          <w:szCs w:val="21"/>
          <w:highlight w:val="none"/>
        </w:rPr>
        <w:t>5在中国境内完成。</w:t>
      </w:r>
    </w:p>
    <w:p w14:paraId="5D1AC402">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（产品名称</w:t>
      </w:r>
      <w:r>
        <w:rPr>
          <w:rFonts w:hint="eastAsia" w:ascii="宋体" w:hAnsi="宋体" w:eastAsia="宋体" w:cs="宋体"/>
          <w:color w:val="auto"/>
          <w:spacing w:val="6"/>
          <w:sz w:val="21"/>
          <w:szCs w:val="21"/>
          <w:highlight w:val="none"/>
          <w:u w:val="single"/>
          <w:lang w:val="en-US" w:eastAsia="zh-CN"/>
        </w:rPr>
        <w:t>2</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生产厂为（厂名）</w:t>
      </w: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6"/>
          <w:sz w:val="21"/>
          <w:szCs w:val="21"/>
          <w:highlight w:val="none"/>
          <w:u w:val="single"/>
        </w:rPr>
        <w:t>厂址为（生产厂址）</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6"/>
          <w:sz w:val="21"/>
          <w:szCs w:val="21"/>
          <w:highlight w:val="none"/>
          <w:u w:val="single"/>
        </w:rPr>
        <w:t>（产品名称</w:t>
      </w:r>
      <w:r>
        <w:rPr>
          <w:rFonts w:hint="eastAsia" w:ascii="宋体" w:hAnsi="宋体" w:eastAsia="宋体" w:cs="宋体"/>
          <w:color w:val="auto"/>
          <w:spacing w:val="6"/>
          <w:sz w:val="21"/>
          <w:szCs w:val="21"/>
          <w:highlight w:val="none"/>
          <w:u w:val="single"/>
          <w:lang w:val="en-US" w:eastAsia="zh-CN"/>
        </w:rPr>
        <w:t>2</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的中国境内生产的组件成本占比≥</w:t>
      </w:r>
      <w:r>
        <w:rPr>
          <w:rFonts w:hint="eastAsia" w:ascii="宋体" w:hAnsi="宋体" w:eastAsia="宋体" w:cs="宋体"/>
          <w:color w:val="auto"/>
          <w:spacing w:val="6"/>
          <w:sz w:val="21"/>
          <w:szCs w:val="21"/>
          <w:highlight w:val="none"/>
          <w:u w:val="single"/>
        </w:rPr>
        <w:t>（规定比例）</w:t>
      </w:r>
      <w:r>
        <w:rPr>
          <w:rFonts w:hint="eastAsia" w:ascii="宋体" w:hAnsi="宋体" w:eastAsia="宋体" w:cs="宋体"/>
          <w:color w:val="auto"/>
          <w:spacing w:val="6"/>
          <w:sz w:val="21"/>
          <w:szCs w:val="21"/>
          <w:highlight w:val="none"/>
        </w:rPr>
        <w:t>3。</w:t>
      </w:r>
      <w:r>
        <w:rPr>
          <w:rFonts w:hint="eastAsia" w:ascii="宋体" w:hAnsi="宋体" w:eastAsia="宋体" w:cs="宋体"/>
          <w:color w:val="auto"/>
          <w:spacing w:val="6"/>
          <w:sz w:val="21"/>
          <w:szCs w:val="21"/>
          <w:highlight w:val="none"/>
          <w:u w:val="single"/>
        </w:rPr>
        <w:t>（产品名称</w:t>
      </w:r>
      <w:r>
        <w:rPr>
          <w:rFonts w:hint="eastAsia" w:ascii="宋体" w:hAnsi="宋体" w:eastAsia="宋体" w:cs="宋体"/>
          <w:color w:val="auto"/>
          <w:spacing w:val="6"/>
          <w:sz w:val="21"/>
          <w:szCs w:val="21"/>
          <w:highlight w:val="none"/>
          <w:u w:val="single"/>
          <w:lang w:val="en-US" w:eastAsia="zh-CN"/>
        </w:rPr>
        <w:t>2</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（关键组件）</w:t>
      </w:r>
      <w:r>
        <w:rPr>
          <w:rFonts w:hint="eastAsia" w:ascii="宋体" w:hAnsi="宋体" w:eastAsia="宋体" w:cs="宋体"/>
          <w:color w:val="auto"/>
          <w:spacing w:val="6"/>
          <w:sz w:val="21"/>
          <w:szCs w:val="21"/>
          <w:highlight w:val="none"/>
        </w:rPr>
        <w:t>4在中国境内生产。（</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（关键工序）</w:t>
      </w:r>
      <w:r>
        <w:rPr>
          <w:rFonts w:hint="eastAsia" w:ascii="宋体" w:hAnsi="宋体" w:eastAsia="宋体" w:cs="宋体"/>
          <w:color w:val="auto"/>
          <w:spacing w:val="6"/>
          <w:sz w:val="21"/>
          <w:szCs w:val="21"/>
          <w:highlight w:val="none"/>
        </w:rPr>
        <w:t>5在中国境内完成。</w:t>
      </w:r>
    </w:p>
    <w:p w14:paraId="60C7B525">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w:t>
      </w:r>
    </w:p>
    <w:p w14:paraId="34AA8629">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w:t>
      </w:r>
    </w:p>
    <w:p w14:paraId="7507698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本公司（单位）对上述声明内容的真实性负责。如有虚假，愿承担相应法律责任。</w:t>
      </w:r>
    </w:p>
    <w:p w14:paraId="2D02B747">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 </w:t>
      </w:r>
    </w:p>
    <w:p w14:paraId="607E925B">
      <w:pPr>
        <w:adjustRightInd w:val="0"/>
        <w:snapToGrid w:val="0"/>
        <w:spacing w:line="440" w:lineRule="exact"/>
        <w:ind w:firstLine="448" w:firstLineChars="200"/>
        <w:jc w:val="right"/>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公司（单位）名称（盖章）：　        </w:t>
      </w:r>
    </w:p>
    <w:p w14:paraId="314C49CE">
      <w:pPr>
        <w:adjustRightInd w:val="0"/>
        <w:snapToGrid w:val="0"/>
        <w:spacing w:line="440" w:lineRule="exact"/>
        <w:ind w:firstLine="448" w:firstLineChars="200"/>
        <w:jc w:val="right"/>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日期：　     年　  月　  日         </w:t>
      </w:r>
    </w:p>
    <w:p w14:paraId="2287709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1.产品如有型号，请在“产品名称”栏一并填写。</w:t>
      </w:r>
    </w:p>
    <w:p w14:paraId="78C8A732">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2.生产厂名与厂址应与生产厂营业执照载明的相关信息保持一致。</w:t>
      </w:r>
    </w:p>
    <w:p w14:paraId="27A8B335">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3.该产品的中国境内生产的组件成本占比相关要求实施前，“规定比例”栏可不填，下同。</w:t>
      </w:r>
    </w:p>
    <w:p w14:paraId="5055D988">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4.该产品的关键组件要求实施前，“关键组件”栏可不填，下同。</w:t>
      </w:r>
    </w:p>
    <w:p w14:paraId="4E1F687C">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5.该产品的关键工序要求实施前，“关键工序”栏可不填，下同。</w:t>
      </w:r>
    </w:p>
    <w:p w14:paraId="65AFCE87">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203352B1">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52923034">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2AEC7C8A">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51B0E0B1">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60B94038">
      <w:pPr>
        <w:pStyle w:val="3"/>
        <w:numPr>
          <w:ilvl w:val="0"/>
          <w:numId w:val="0"/>
        </w:numPr>
        <w:shd w:val="clear" w:color="auto" w:fill="auto"/>
        <w:spacing w:before="0" w:line="240" w:lineRule="atLeast"/>
        <w:jc w:val="both"/>
        <w:rPr>
          <w:rFonts w:hint="eastAsia" w:ascii="宋体" w:hAnsi="宋体" w:cs="宋体"/>
          <w:b/>
          <w:bCs/>
          <w:color w:val="auto"/>
          <w:sz w:val="24"/>
          <w:highlight w:val="none"/>
          <w:lang w:val="en-US" w:eastAsia="zh-CN"/>
        </w:rPr>
      </w:pPr>
    </w:p>
    <w:p w14:paraId="36EA1299">
      <w:pPr>
        <w:pStyle w:val="3"/>
        <w:numPr>
          <w:ilvl w:val="0"/>
          <w:numId w:val="0"/>
        </w:numPr>
        <w:shd w:val="clear" w:color="auto" w:fill="auto"/>
        <w:spacing w:before="0" w:line="240" w:lineRule="atLeast"/>
        <w:jc w:val="both"/>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11</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投标人关联单位的说明</w:t>
      </w:r>
      <w:bookmarkEnd w:id="210"/>
      <w:bookmarkEnd w:id="211"/>
      <w:bookmarkEnd w:id="212"/>
      <w:bookmarkEnd w:id="225"/>
      <w:r>
        <w:rPr>
          <w:rFonts w:hint="eastAsia" w:ascii="宋体" w:hAnsi="宋体" w:eastAsia="宋体" w:cs="宋体"/>
          <w:b/>
          <w:bCs/>
          <w:color w:val="auto"/>
          <w:sz w:val="24"/>
          <w:highlight w:val="none"/>
          <w:lang w:eastAsia="zh-CN"/>
        </w:rPr>
        <w:t>（格式自拟）</w:t>
      </w:r>
      <w:bookmarkEnd w:id="226"/>
      <w:bookmarkEnd w:id="227"/>
    </w:p>
    <w:p w14:paraId="44DF901B">
      <w:pPr>
        <w:pStyle w:val="6"/>
        <w:shd w:val="clear" w:color="auto" w:fill="auto"/>
        <w:jc w:val="center"/>
        <w:rPr>
          <w:rFonts w:hint="eastAsia" w:ascii="宋体" w:hAnsi="宋体" w:eastAsia="宋体" w:cs="宋体"/>
          <w:color w:val="auto"/>
          <w:highlight w:val="none"/>
        </w:rPr>
      </w:pPr>
    </w:p>
    <w:p w14:paraId="1E56F3EF">
      <w:pPr>
        <w:pStyle w:val="6"/>
        <w:shd w:val="clear" w:color="auto" w:fill="auto"/>
        <w:ind w:firstLine="424" w:firstLineChars="20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说明：投标人应当如实披露与本单位存在下列关联关系的单位名称：</w:t>
      </w:r>
    </w:p>
    <w:p w14:paraId="2007BF4D">
      <w:pPr>
        <w:pStyle w:val="6"/>
        <w:shd w:val="clear" w:color="auto" w:fill="auto"/>
        <w:ind w:firstLine="424" w:firstLineChars="200"/>
        <w:rPr>
          <w:rFonts w:hint="eastAsia" w:ascii="宋体" w:hAnsi="宋体" w:eastAsia="宋体" w:cs="宋体"/>
          <w:color w:val="auto"/>
          <w:sz w:val="21"/>
          <w:szCs w:val="16"/>
          <w:highlight w:val="none"/>
          <w:lang w:eastAsia="zh-CN"/>
        </w:rPr>
      </w:pPr>
      <w:r>
        <w:rPr>
          <w:rFonts w:hint="eastAsia" w:ascii="宋体" w:hAnsi="宋体" w:eastAsia="宋体" w:cs="宋体"/>
          <w:color w:val="auto"/>
          <w:sz w:val="21"/>
          <w:szCs w:val="16"/>
          <w:highlight w:val="none"/>
        </w:rPr>
        <w:t>（1）与投标人单位负责人为同一人的其他单位；</w:t>
      </w:r>
    </w:p>
    <w:p w14:paraId="7D52254B">
      <w:pPr>
        <w:pStyle w:val="6"/>
        <w:shd w:val="clear" w:color="auto" w:fill="auto"/>
        <w:ind w:firstLine="424" w:firstLineChars="20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（2）与投标人存在直接控股、管理关系的其他单位。</w:t>
      </w:r>
    </w:p>
    <w:p w14:paraId="6E884573">
      <w:pPr>
        <w:pStyle w:val="6"/>
        <w:shd w:val="clear" w:color="auto" w:fill="auto"/>
        <w:ind w:firstLine="0"/>
        <w:rPr>
          <w:rFonts w:hint="eastAsia" w:ascii="宋体" w:hAnsi="宋体" w:eastAsia="宋体" w:cs="宋体"/>
          <w:color w:val="auto"/>
          <w:highlight w:val="none"/>
        </w:rPr>
      </w:pPr>
      <w:bookmarkStart w:id="228" w:name="_Toc7414"/>
      <w:bookmarkStart w:id="229" w:name="_Toc17333"/>
      <w:bookmarkStart w:id="230" w:name="_Toc515647828"/>
    </w:p>
    <w:p w14:paraId="6CB5D48C">
      <w:pPr>
        <w:pStyle w:val="53"/>
        <w:shd w:val="clear" w:color="auto" w:fill="auto"/>
        <w:ind w:left="0" w:leftChars="0" w:firstLine="0" w:firstLineChars="0"/>
        <w:rPr>
          <w:rFonts w:hint="eastAsia" w:ascii="宋体" w:hAnsi="宋体" w:eastAsia="宋体" w:cs="宋体"/>
          <w:color w:val="auto"/>
          <w:highlight w:val="none"/>
        </w:rPr>
      </w:pPr>
    </w:p>
    <w:p w14:paraId="42B63209">
      <w:pPr>
        <w:pStyle w:val="53"/>
        <w:shd w:val="clear" w:color="auto" w:fill="auto"/>
        <w:ind w:left="0" w:leftChars="0" w:firstLine="0" w:firstLineChars="0"/>
        <w:rPr>
          <w:rFonts w:hint="eastAsia" w:ascii="宋体" w:hAnsi="宋体" w:eastAsia="宋体" w:cs="宋体"/>
          <w:color w:val="auto"/>
          <w:highlight w:val="none"/>
        </w:rPr>
      </w:pPr>
    </w:p>
    <w:p w14:paraId="1DCD20CE">
      <w:pPr>
        <w:pStyle w:val="53"/>
        <w:shd w:val="clear" w:color="auto" w:fill="auto"/>
        <w:rPr>
          <w:rFonts w:hint="eastAsia" w:ascii="宋体" w:hAnsi="宋体" w:eastAsia="宋体" w:cs="宋体"/>
          <w:color w:val="auto"/>
          <w:highlight w:val="none"/>
        </w:rPr>
      </w:pPr>
    </w:p>
    <w:bookmarkEnd w:id="228"/>
    <w:bookmarkEnd w:id="229"/>
    <w:bookmarkEnd w:id="230"/>
    <w:p w14:paraId="678FF510">
      <w:pPr>
        <w:pStyle w:val="3"/>
        <w:numPr>
          <w:ilvl w:val="1"/>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6330E99E">
      <w:pPr>
        <w:pStyle w:val="3"/>
        <w:numPr>
          <w:ilvl w:val="1"/>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3907337F">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eastAsia="zh-CN"/>
        </w:rPr>
      </w:pPr>
      <w:bookmarkStart w:id="231" w:name="_Toc13692"/>
      <w:bookmarkStart w:id="232" w:name="_Toc20132"/>
      <w:r>
        <w:rPr>
          <w:rFonts w:hint="eastAsia" w:ascii="宋体" w:hAnsi="宋体" w:cs="宋体"/>
          <w:b/>
          <w:bCs/>
          <w:color w:val="auto"/>
          <w:sz w:val="24"/>
          <w:highlight w:val="none"/>
          <w:lang w:val="en-US" w:eastAsia="zh-CN"/>
        </w:rPr>
        <w:t>12</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评分标准和细则中技术部分证明材料（格式自拟）</w:t>
      </w:r>
      <w:bookmarkEnd w:id="231"/>
      <w:bookmarkEnd w:id="232"/>
    </w:p>
    <w:p w14:paraId="77A0D217">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6BFEF9A5">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60BE482C">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lang w:eastAsia="zh-CN"/>
        </w:rPr>
      </w:pPr>
      <w:r>
        <w:rPr>
          <w:rFonts w:hint="eastAsia" w:ascii="宋体" w:hAnsi="宋体" w:eastAsia="宋体" w:cs="宋体"/>
          <w:color w:val="auto"/>
          <w:sz w:val="21"/>
          <w:szCs w:val="16"/>
          <w:highlight w:val="none"/>
        </w:rPr>
        <w:t>说明：1.应提供</w:t>
      </w:r>
      <w:r>
        <w:rPr>
          <w:rFonts w:hint="eastAsia" w:ascii="宋体" w:hAnsi="宋体" w:eastAsia="宋体" w:cs="宋体"/>
          <w:color w:val="auto"/>
          <w:sz w:val="21"/>
          <w:szCs w:val="16"/>
          <w:highlight w:val="none"/>
          <w:u w:val="single" w:color="auto"/>
          <w:lang w:eastAsia="zh-CN"/>
        </w:rPr>
        <w:t>评分标准和细则中技术部分</w:t>
      </w:r>
      <w:r>
        <w:rPr>
          <w:rFonts w:hint="eastAsia" w:ascii="宋体" w:hAnsi="宋体" w:eastAsia="宋体" w:cs="宋体"/>
          <w:color w:val="auto"/>
          <w:sz w:val="21"/>
          <w:szCs w:val="16"/>
          <w:highlight w:val="none"/>
        </w:rPr>
        <w:t>要求的其他资格证明文件</w:t>
      </w:r>
      <w:r>
        <w:rPr>
          <w:rFonts w:hint="eastAsia" w:hAnsi="宋体" w:eastAsia="宋体" w:cs="宋体"/>
          <w:color w:val="auto"/>
          <w:sz w:val="21"/>
          <w:szCs w:val="16"/>
          <w:highlight w:val="none"/>
          <w:lang w:eastAsia="zh-CN"/>
        </w:rPr>
        <w:t>。</w:t>
      </w:r>
    </w:p>
    <w:p w14:paraId="54045A90">
      <w:pPr>
        <w:pStyle w:val="13"/>
        <w:shd w:val="clear" w:color="auto" w:fill="auto"/>
        <w:tabs>
          <w:tab w:val="left" w:pos="5580"/>
        </w:tabs>
        <w:spacing w:line="360" w:lineRule="auto"/>
        <w:ind w:firstLine="1060" w:firstLineChars="50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2.复印件上应加盖本单位章（自然人投标的无需盖章，需要签字）。</w:t>
      </w:r>
    </w:p>
    <w:p w14:paraId="0E533A27">
      <w:pPr>
        <w:pStyle w:val="13"/>
        <w:shd w:val="clear" w:color="auto" w:fill="auto"/>
        <w:tabs>
          <w:tab w:val="left" w:pos="5580"/>
        </w:tabs>
        <w:spacing w:line="240" w:lineRule="atLeast"/>
        <w:ind w:left="1267" w:leftChars="344" w:hanging="538"/>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7A77CC3A">
      <w:pPr>
        <w:shd w:val="clear" w:color="auto" w:fill="auto"/>
        <w:rPr>
          <w:rFonts w:hint="eastAsia" w:ascii="宋体" w:hAnsi="宋体" w:eastAsia="宋体" w:cs="宋体"/>
          <w:color w:val="auto"/>
          <w:sz w:val="24"/>
          <w:highlight w:val="none"/>
          <w:lang w:val="en-US" w:eastAsia="zh-CN"/>
        </w:rPr>
      </w:pPr>
    </w:p>
    <w:p w14:paraId="51504085">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668116C8">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eastAsia="zh-CN"/>
        </w:rPr>
      </w:pPr>
      <w:bookmarkStart w:id="233" w:name="_Toc19391"/>
      <w:bookmarkStart w:id="234" w:name="_Toc25327"/>
      <w:r>
        <w:rPr>
          <w:rFonts w:hint="eastAsia" w:ascii="宋体" w:hAnsi="宋体" w:cs="宋体"/>
          <w:b/>
          <w:bCs/>
          <w:color w:val="auto"/>
          <w:sz w:val="24"/>
          <w:highlight w:val="none"/>
          <w:lang w:val="en-US" w:eastAsia="zh-CN"/>
        </w:rPr>
        <w:t>13</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评分标准和细则中商务部分证明材料（格式自拟）</w:t>
      </w:r>
      <w:bookmarkEnd w:id="233"/>
      <w:bookmarkEnd w:id="234"/>
    </w:p>
    <w:p w14:paraId="35B1FB88">
      <w:pPr>
        <w:pStyle w:val="13"/>
        <w:shd w:val="clear" w:color="auto" w:fill="auto"/>
        <w:tabs>
          <w:tab w:val="left" w:pos="5580"/>
        </w:tabs>
        <w:spacing w:line="240" w:lineRule="atLeast"/>
        <w:ind w:left="1084" w:leftChars="257" w:hanging="540"/>
        <w:rPr>
          <w:rFonts w:hint="eastAsia" w:ascii="宋体" w:hAnsi="宋体" w:eastAsia="宋体" w:cs="宋体"/>
          <w:color w:val="auto"/>
          <w:sz w:val="24"/>
          <w:highlight w:val="none"/>
        </w:rPr>
      </w:pPr>
    </w:p>
    <w:p w14:paraId="48F512A6">
      <w:pPr>
        <w:pStyle w:val="13"/>
        <w:shd w:val="clear" w:color="auto" w:fill="auto"/>
        <w:tabs>
          <w:tab w:val="left" w:pos="5580"/>
        </w:tabs>
        <w:spacing w:line="240" w:lineRule="atLeast"/>
        <w:ind w:left="1084" w:leftChars="257" w:hanging="540"/>
        <w:rPr>
          <w:rFonts w:hint="eastAsia" w:ascii="宋体" w:hAnsi="宋体" w:eastAsia="宋体" w:cs="宋体"/>
          <w:color w:val="auto"/>
          <w:sz w:val="24"/>
          <w:highlight w:val="none"/>
        </w:rPr>
      </w:pPr>
    </w:p>
    <w:p w14:paraId="5FF8847D">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说明</w:t>
      </w:r>
      <w:r>
        <w:rPr>
          <w:rFonts w:hint="eastAsia" w:ascii="宋体" w:hAnsi="宋体" w:eastAsia="宋体" w:cs="宋体"/>
          <w:color w:val="auto"/>
          <w:sz w:val="21"/>
          <w:szCs w:val="16"/>
          <w:highlight w:val="none"/>
          <w:lang w:val="en-US" w:eastAsia="zh-CN"/>
        </w:rPr>
        <w:t>.</w:t>
      </w:r>
      <w:r>
        <w:rPr>
          <w:rFonts w:hint="eastAsia" w:ascii="宋体" w:hAnsi="宋体" w:eastAsia="宋体" w:cs="宋体"/>
          <w:color w:val="auto"/>
          <w:sz w:val="21"/>
          <w:szCs w:val="16"/>
          <w:highlight w:val="none"/>
        </w:rPr>
        <w:t>1.应提供</w:t>
      </w:r>
      <w:r>
        <w:rPr>
          <w:rFonts w:hint="eastAsia" w:ascii="宋体" w:hAnsi="宋体" w:eastAsia="宋体" w:cs="宋体"/>
          <w:color w:val="auto"/>
          <w:sz w:val="21"/>
          <w:szCs w:val="16"/>
          <w:highlight w:val="none"/>
          <w:lang w:eastAsia="zh-CN"/>
        </w:rPr>
        <w:t>评分标准和细则中商务部分</w:t>
      </w:r>
      <w:r>
        <w:rPr>
          <w:rFonts w:hint="eastAsia" w:ascii="宋体" w:hAnsi="宋体" w:eastAsia="宋体" w:cs="宋体"/>
          <w:color w:val="auto"/>
          <w:sz w:val="21"/>
          <w:szCs w:val="16"/>
          <w:highlight w:val="none"/>
        </w:rPr>
        <w:t>要求的其他资格证明文件。</w:t>
      </w:r>
    </w:p>
    <w:p w14:paraId="5F501DE2">
      <w:pPr>
        <w:pStyle w:val="13"/>
        <w:shd w:val="clear" w:color="auto" w:fill="auto"/>
        <w:tabs>
          <w:tab w:val="left" w:pos="5580"/>
        </w:tabs>
        <w:spacing w:line="360" w:lineRule="auto"/>
        <w:ind w:left="1148" w:leftChars="485" w:hanging="120" w:hangingChars="57"/>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2.复印件上应加盖本单位章（自然人投标的无需盖章，需要签字）。</w:t>
      </w:r>
    </w:p>
    <w:p w14:paraId="2E1A0B30">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 xml:space="preserve"> </w:t>
      </w:r>
      <w:r>
        <w:rPr>
          <w:rFonts w:hint="eastAsia" w:ascii="宋体" w:hAnsi="宋体" w:eastAsia="宋体" w:cs="宋体"/>
          <w:color w:val="auto"/>
          <w:sz w:val="21"/>
          <w:szCs w:val="16"/>
          <w:highlight w:val="none"/>
          <w:lang w:val="en-US" w:eastAsia="zh-CN"/>
        </w:rPr>
        <w:t xml:space="preserve">   </w:t>
      </w:r>
      <w:r>
        <w:rPr>
          <w:rFonts w:hint="eastAsia" w:ascii="宋体" w:hAnsi="宋体" w:eastAsia="宋体" w:cs="宋体"/>
          <w:color w:val="auto"/>
          <w:sz w:val="21"/>
          <w:szCs w:val="16"/>
          <w:highlight w:val="none"/>
        </w:rPr>
        <w:t>3. （本项目不接受联合体）如果是联合体投标，联合体各方需提供的满足</w:t>
      </w:r>
      <w:r>
        <w:rPr>
          <w:rFonts w:hint="eastAsia" w:hAnsi="宋体" w:cs="宋体"/>
          <w:color w:val="auto"/>
          <w:sz w:val="21"/>
          <w:szCs w:val="16"/>
          <w:highlight w:val="none"/>
          <w:lang w:val="en-US" w:eastAsia="zh-CN"/>
        </w:rPr>
        <w:t>招标</w:t>
      </w:r>
      <w:r>
        <w:rPr>
          <w:rFonts w:hint="eastAsia" w:ascii="宋体" w:hAnsi="宋体" w:eastAsia="宋体" w:cs="宋体"/>
          <w:color w:val="auto"/>
          <w:sz w:val="21"/>
          <w:szCs w:val="16"/>
          <w:highlight w:val="none"/>
          <w:lang w:eastAsia="zh-CN"/>
        </w:rPr>
        <w:t>文件</w:t>
      </w:r>
      <w:r>
        <w:rPr>
          <w:rFonts w:hint="eastAsia" w:ascii="宋体" w:hAnsi="宋体" w:eastAsia="宋体" w:cs="宋体"/>
          <w:color w:val="auto"/>
          <w:sz w:val="21"/>
          <w:szCs w:val="16"/>
          <w:highlight w:val="none"/>
        </w:rPr>
        <w:t>要求的其他资格证明文件。</w:t>
      </w:r>
    </w:p>
    <w:p w14:paraId="7538DA0E">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41941924">
      <w:pPr>
        <w:pStyle w:val="3"/>
        <w:numPr>
          <w:ilvl w:val="1"/>
          <w:numId w:val="0"/>
        </w:numPr>
        <w:shd w:val="clear" w:color="auto" w:fill="auto"/>
        <w:spacing w:before="0" w:line="240" w:lineRule="atLeast"/>
        <w:jc w:val="left"/>
        <w:rPr>
          <w:rFonts w:hint="eastAsia" w:ascii="宋体" w:hAnsi="宋体" w:eastAsia="宋体" w:cs="宋体"/>
          <w:color w:val="auto"/>
          <w:sz w:val="24"/>
          <w:highlight w:val="none"/>
          <w:lang w:val="en-US" w:eastAsia="zh-CN"/>
        </w:rPr>
      </w:pPr>
    </w:p>
    <w:p w14:paraId="3AB31B14">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eastAsia="zh-CN"/>
        </w:rPr>
      </w:pPr>
      <w:bookmarkStart w:id="235" w:name="_Toc37"/>
      <w:bookmarkStart w:id="236" w:name="_Toc25686"/>
      <w:r>
        <w:rPr>
          <w:rFonts w:hint="eastAsia" w:ascii="宋体" w:hAnsi="宋体" w:cs="宋体"/>
          <w:b/>
          <w:bCs/>
          <w:color w:val="auto"/>
          <w:sz w:val="24"/>
          <w:highlight w:val="none"/>
          <w:lang w:val="en-US" w:eastAsia="zh-CN"/>
        </w:rPr>
        <w:t>14</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投标人认为有必要提供的其他证明材料（格式自拟）</w:t>
      </w:r>
      <w:bookmarkEnd w:id="235"/>
      <w:bookmarkEnd w:id="236"/>
    </w:p>
    <w:p w14:paraId="36A50F6A">
      <w:pPr>
        <w:shd w:val="clear" w:color="auto" w:fill="auto"/>
        <w:rPr>
          <w:rFonts w:hint="eastAsia" w:ascii="宋体" w:hAnsi="宋体" w:eastAsia="宋体" w:cs="宋体"/>
          <w:color w:val="auto"/>
          <w:highlight w:val="none"/>
        </w:rPr>
      </w:pPr>
    </w:p>
    <w:p w14:paraId="51ABD941">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lang w:val="en-US" w:eastAsia="zh-CN"/>
        </w:rPr>
      </w:pPr>
      <w:r>
        <w:rPr>
          <w:rFonts w:hint="eastAsia" w:ascii="宋体" w:hAnsi="宋体" w:eastAsia="宋体" w:cs="宋体"/>
          <w:color w:val="auto"/>
          <w:sz w:val="21"/>
          <w:szCs w:val="16"/>
          <w:highlight w:val="none"/>
          <w:lang w:val="en-US" w:eastAsia="zh-CN"/>
        </w:rPr>
        <w:t>说明：1.复印件上应加盖本单位章（自然人投标的无需盖章，需要签字）。</w:t>
      </w:r>
    </w:p>
    <w:p w14:paraId="56443AEC">
      <w:pPr>
        <w:pStyle w:val="13"/>
        <w:shd w:val="clear" w:color="auto" w:fill="auto"/>
        <w:tabs>
          <w:tab w:val="left" w:pos="5580"/>
        </w:tabs>
        <w:spacing w:line="360" w:lineRule="auto"/>
        <w:ind w:left="1084" w:leftChars="257" w:hanging="540"/>
        <w:rPr>
          <w:rFonts w:hint="eastAsia"/>
          <w:color w:val="auto"/>
          <w:highlight w:val="none"/>
        </w:rPr>
      </w:pPr>
      <w:r>
        <w:rPr>
          <w:rFonts w:hint="eastAsia" w:ascii="宋体" w:hAnsi="宋体" w:eastAsia="宋体" w:cs="宋体"/>
          <w:color w:val="auto"/>
          <w:sz w:val="21"/>
          <w:szCs w:val="16"/>
          <w:highlight w:val="none"/>
          <w:lang w:val="en-US" w:eastAsia="zh-CN"/>
        </w:rPr>
        <w:t>2.（本项目不接受联合体）如果是联合体投标，联合体各方需提供的满足招标文件要求的其他资格证明文件。</w:t>
      </w:r>
    </w:p>
    <w:p w14:paraId="5A35B208">
      <w:pPr>
        <w:pStyle w:val="13"/>
        <w:shd w:val="clear" w:color="auto" w:fill="auto"/>
        <w:tabs>
          <w:tab w:val="left" w:pos="5580"/>
        </w:tabs>
        <w:spacing w:line="360" w:lineRule="auto"/>
        <w:ind w:left="1084" w:leftChars="257" w:hanging="540"/>
        <w:rPr>
          <w:rFonts w:hint="eastAsia"/>
          <w:color w:val="auto"/>
          <w:highlight w:val="none"/>
        </w:rPr>
      </w:pPr>
    </w:p>
    <w:sectPr>
      <w:headerReference r:id="rId9" w:type="default"/>
      <w:footerReference r:id="rId10" w:type="default"/>
      <w:pgSz w:w="11905" w:h="16838"/>
      <w:pgMar w:top="1440" w:right="1797" w:bottom="1440" w:left="1797" w:header="850" w:footer="992" w:gutter="0"/>
      <w:pgNumType w:fmt="decimal"/>
      <w:cols w:space="0" w:num="1"/>
      <w:rtlGutter w:val="0"/>
      <w:docGrid w:type="linesAndChars" w:linePitch="332"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Courier New"/>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40001"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auto"/>
    <w:pitch w:val="default"/>
    <w:sig w:usb0="E00002FF" w:usb1="2AC7FDFF" w:usb2="00000016" w:usb3="00000000" w:csb0="2002009F" w:csb1="00000000"/>
  </w:font>
  <w:font w:name="长城仿宋">
    <w:altName w:val="宋体"/>
    <w:panose1 w:val="02010609000101010101"/>
    <w:charset w:val="86"/>
    <w:family w:val="modern"/>
    <w:pitch w:val="default"/>
    <w:sig w:usb0="00000000" w:usb1="00000000" w:usb2="00000010" w:usb3="00000000" w:csb0="00040000" w:csb1="00000000"/>
  </w:font>
  <w:font w:name="华文仿宋">
    <w:altName w:val="仿宋"/>
    <w:panose1 w:val="02010600040101010101"/>
    <w:charset w:val="86"/>
    <w:family w:val="swiss"/>
    <w:pitch w:val="default"/>
    <w:sig w:usb0="00000000" w:usb1="00000000" w:usb2="00000000" w:usb3="00000000" w:csb0="0004009F" w:csb1="DFD70000"/>
  </w:font>
  <w:font w:name="Tms Rmn">
    <w:altName w:val="Segoe Print"/>
    <w:panose1 w:val="02020603040505020304"/>
    <w:charset w:val="00"/>
    <w:family w:val="roman"/>
    <w:pitch w:val="default"/>
    <w:sig w:usb0="00000000" w:usb1="00000000" w:usb2="00000000" w:usb3="00000000" w:csb0="00000001" w:csb1="00000000"/>
  </w:font>
  <w:font w:name="新宋体">
    <w:panose1 w:val="02010609030101010101"/>
    <w:charset w:val="86"/>
    <w:family w:val="auto"/>
    <w:pitch w:val="default"/>
    <w:sig w:usb0="00000203" w:usb1="288F0000" w:usb2="00000006" w:usb3="00000000" w:csb0="00040001" w:csb1="00000000"/>
  </w:font>
  <w:font w:name="宋体-18030">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EC25F">
    <w:pPr>
      <w:pStyle w:val="17"/>
      <w:ind w:right="360"/>
      <w:jc w:val="both"/>
      <w:rPr>
        <w:rFonts w:hint="eastAsia"/>
      </w:rPr>
    </w:pPr>
    <w:r>
      <w:rPr>
        <w:rFonts w:hint="eastAsia"/>
        <w:sz w:val="13"/>
        <w:szCs w:val="13"/>
      </w:rPr>
      <w:t xml:space="preserve"> </w:t>
    </w:r>
    <w:r>
      <w:rPr>
        <w:rFonts w:hint="eastAsia"/>
      </w:rPr>
      <w:t xml:space="preserve">  </w:t>
    </w:r>
    <w:r>
      <w:rPr>
        <w:rFonts w:hint="eastAsia"/>
        <w:sz w:val="21"/>
        <w:szCs w:val="21"/>
      </w:rPr>
      <w:t xml:space="preserve"> </w:t>
    </w:r>
    <w:r>
      <w:rPr>
        <w:rFonts w:hint="eastAsia"/>
        <w:color w:val="800000"/>
        <w:sz w:val="16"/>
        <w:szCs w:val="20"/>
        <w:lang w:val="en-US" w:eastAsia="zh-CN"/>
      </w:rPr>
      <w:t xml:space="preserve">      </w:t>
    </w:r>
  </w:p>
  <w:p w14:paraId="43BDAFE7">
    <w:pPr>
      <w:pStyle w:val="17"/>
      <w:tabs>
        <w:tab w:val="center" w:pos="4320"/>
        <w:tab w:val="right" w:pos="8640"/>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AC1F0">
    <w:pPr>
      <w:pStyle w:val="17"/>
      <w:ind w:right="360"/>
      <w:jc w:val="both"/>
      <w:rPr>
        <w:rFonts w:hint="eastAsia"/>
      </w:rPr>
    </w:pPr>
    <w:r>
      <w:rPr>
        <w:rFonts w:hint="eastAsia"/>
        <w:sz w:val="13"/>
        <w:szCs w:val="13"/>
      </w:rPr>
      <w:t xml:space="preserve"> </w:t>
    </w:r>
    <w:r>
      <w:rPr>
        <w:rFonts w:hint="eastAsia"/>
      </w:rPr>
      <w:t xml:space="preserve">  </w:t>
    </w:r>
    <w:r>
      <w:rPr>
        <w:rFonts w:hint="eastAsia"/>
        <w:sz w:val="21"/>
        <w:szCs w:val="21"/>
      </w:rPr>
      <w:t xml:space="preserve"> </w:t>
    </w:r>
    <w:r>
      <w:rPr>
        <w:rFonts w:hint="eastAsia"/>
        <w:color w:val="800000"/>
        <w:sz w:val="16"/>
        <w:szCs w:val="20"/>
        <w:lang w:val="en-US" w:eastAsia="zh-CN"/>
      </w:rPr>
      <w:t xml:space="preserve">      </w:t>
    </w:r>
  </w:p>
  <w:p w14:paraId="417A5A9D">
    <w:pPr>
      <w:pStyle w:val="17"/>
      <w:tabs>
        <w:tab w:val="center" w:pos="4320"/>
        <w:tab w:val="right" w:pos="8640"/>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A250">
    <w:pPr>
      <w:pStyle w:val="17"/>
      <w:ind w:right="360"/>
      <w:jc w:val="both"/>
      <w:rPr>
        <w:rFonts w:hint="eastAsia"/>
      </w:rPr>
    </w:pPr>
    <w:r>
      <w:rPr>
        <w:sz w:val="1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BA96D">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27BA96D">
                    <w:pPr>
                      <w:pStyle w:val="17"/>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13"/>
        <w:szCs w:val="13"/>
      </w:rPr>
      <w:t xml:space="preserve"> </w:t>
    </w:r>
    <w:r>
      <w:rPr>
        <w:rFonts w:hint="eastAsia"/>
      </w:rPr>
      <w:t xml:space="preserve">  </w:t>
    </w:r>
    <w:r>
      <w:rPr>
        <w:rFonts w:hint="eastAsia"/>
        <w:sz w:val="21"/>
        <w:szCs w:val="21"/>
      </w:rPr>
      <w:t xml:space="preserve"> </w:t>
    </w:r>
    <w:r>
      <w:rPr>
        <w:rFonts w:hint="eastAsia"/>
        <w:color w:val="800000"/>
        <w:sz w:val="16"/>
        <w:szCs w:val="20"/>
        <w:lang w:val="en-US" w:eastAsia="zh-CN"/>
      </w:rPr>
      <w:t xml:space="preserve">     </w:t>
    </w:r>
  </w:p>
  <w:p w14:paraId="60B8FAF8">
    <w:pPr>
      <w:pStyle w:val="17"/>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7AAE">
    <w:pPr>
      <w:pStyle w:val="17"/>
      <w:ind w:right="360"/>
      <w:jc w:val="both"/>
    </w:pPr>
    <w:r>
      <w:rPr>
        <w:sz w:val="1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A9A4C">
                          <w:pPr>
                            <w:pStyle w:val="1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3DA9A4C">
                    <w:pPr>
                      <w:pStyle w:val="17"/>
                    </w:pPr>
                    <w:r>
                      <w:fldChar w:fldCharType="begin"/>
                    </w:r>
                    <w:r>
                      <w:instrText xml:space="preserve"> PAGE  \* MERGEFORMAT </w:instrText>
                    </w:r>
                    <w:r>
                      <w:fldChar w:fldCharType="separate"/>
                    </w:r>
                    <w:r>
                      <w:t>49</w:t>
                    </w:r>
                    <w:r>
                      <w:fldChar w:fldCharType="end"/>
                    </w:r>
                  </w:p>
                </w:txbxContent>
              </v:textbox>
            </v:shape>
          </w:pict>
        </mc:Fallback>
      </mc:AlternateContent>
    </w:r>
    <w:r>
      <w:rPr>
        <w:rFonts w:hint="eastAsia"/>
        <w:sz w:val="13"/>
        <w:szCs w:val="13"/>
      </w:rPr>
      <w:t xml:space="preserve"> </w:t>
    </w:r>
    <w:r>
      <w:rPr>
        <w:rFonts w:hint="eastAsia"/>
      </w:rPr>
      <w:t xml:space="preserve">  </w:t>
    </w:r>
  </w:p>
  <w:p w14:paraId="0D89E0C8">
    <w:pPr>
      <w:pStyle w:val="17"/>
      <w:tabs>
        <w:tab w:val="clear" w:pos="4153"/>
        <w:tab w:val="clear" w:pos="8306"/>
      </w:tabs>
      <w:ind w:right="360"/>
      <w:rPr>
        <w:rFonts w:hint="default" w:eastAsia="宋体"/>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AE431">
    <w:pPr>
      <w:spacing w:line="184" w:lineRule="auto"/>
      <w:ind w:left="435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55854">
                          <w:pPr>
                            <w:pStyle w:val="17"/>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5D55854">
                    <w:pPr>
                      <w:pStyle w:val="17"/>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400E">
    <w:pPr>
      <w:pStyle w:val="17"/>
      <w:ind w:right="360"/>
      <w:jc w:val="both"/>
      <w:rPr>
        <w:rFonts w:hint="eastAsia"/>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68D2B">
                          <w:pPr>
                            <w:pStyle w:val="17"/>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0E68D2B">
                    <w:pPr>
                      <w:pStyle w:val="17"/>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color w:val="800000"/>
        <w:sz w:val="16"/>
        <w:szCs w:val="20"/>
        <w:lang w:val="en-US" w:eastAsia="zh-CN"/>
      </w:rPr>
      <w:t xml:space="preserve">        </w:t>
    </w:r>
  </w:p>
  <w:p w14:paraId="22685703">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1C52C39B">
    <w:pPr>
      <w:pStyle w:val="17"/>
      <w:ind w:right="360"/>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A853A">
    <w:pPr>
      <w:pStyle w:val="18"/>
      <w:pBdr>
        <w:bottom w:val="none" w:color="auto" w:sz="0" w:space="1"/>
      </w:pBdr>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640A">
    <w:pPr>
      <w:pStyle w:val="18"/>
      <w:pBdr>
        <w:bottom w:val="none" w:color="auto" w:sz="0" w:space="1"/>
      </w:pBdr>
      <w:tabs>
        <w:tab w:val="left" w:pos="3088"/>
        <w:tab w:val="center" w:pos="4260"/>
      </w:tabs>
      <w:jc w:val="left"/>
      <w:rPr>
        <w:rFonts w:hint="eastAsia" w:ascii="宋体" w:hAnsi="宋体" w:eastAsia="宋体" w:cs="宋体"/>
        <w:b w:val="0"/>
        <w:bCs w:val="0"/>
        <w:sz w:val="21"/>
        <w:szCs w:val="21"/>
        <w:lang w:val="en-US" w:eastAsia="zh-CN"/>
      </w:rPr>
    </w:pPr>
    <w:r>
      <w:rPr>
        <w:rFonts w:hint="eastAsia"/>
        <w:lang w:eastAsia="zh-CN"/>
      </w:rPr>
      <w:tab/>
    </w:r>
    <w:r>
      <w:rPr>
        <w:rFonts w:hint="eastAsia"/>
        <w:lang w:eastAsia="zh-CN"/>
      </w:rPr>
      <w:tab/>
    </w:r>
    <w:r>
      <w:rPr>
        <w:rFonts w:hint="eastAsia"/>
        <w:lang w:eastAsia="zh-CN"/>
      </w:rPr>
      <w:tab/>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6C482C"/>
    <w:multiLevelType w:val="singleLevel"/>
    <w:tmpl w:val="B36C482C"/>
    <w:lvl w:ilvl="0" w:tentative="0">
      <w:start w:val="2"/>
      <w:numFmt w:val="chineseCounting"/>
      <w:suff w:val="space"/>
      <w:lvlText w:val="第%1章"/>
      <w:lvlJc w:val="left"/>
      <w:pPr>
        <w:ind w:left="-1816"/>
      </w:pPr>
      <w:rPr>
        <w:rFonts w:hint="eastAsia"/>
      </w:rPr>
    </w:lvl>
  </w:abstractNum>
  <w:abstractNum w:abstractNumId="1">
    <w:nsid w:val="B8A8889F"/>
    <w:multiLevelType w:val="singleLevel"/>
    <w:tmpl w:val="B8A8889F"/>
    <w:lvl w:ilvl="0" w:tentative="0">
      <w:start w:val="2"/>
      <w:numFmt w:val="chineseCounting"/>
      <w:suff w:val="space"/>
      <w:lvlText w:val="（%1）"/>
      <w:lvlJc w:val="left"/>
      <w:rPr>
        <w:rFonts w:hint="eastAsia"/>
      </w:rPr>
    </w:lvl>
  </w:abstractNum>
  <w:abstractNum w:abstractNumId="2">
    <w:nsid w:val="00000000"/>
    <w:multiLevelType w:val="multilevel"/>
    <w:tmpl w:val="00000000"/>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3">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4">
    <w:nsid w:val="11A64EEE"/>
    <w:multiLevelType w:val="singleLevel"/>
    <w:tmpl w:val="11A64EEE"/>
    <w:lvl w:ilvl="0" w:tentative="0">
      <w:start w:val="1"/>
      <w:numFmt w:val="chineseCounting"/>
      <w:suff w:val="nothing"/>
      <w:lvlText w:val="%1、"/>
      <w:lvlJc w:val="left"/>
      <w:pPr>
        <w:ind w:left="0"/>
      </w:pPr>
      <w:rPr>
        <w:rFonts w:hint="eastAsia"/>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374BFB32"/>
    <w:multiLevelType w:val="singleLevel"/>
    <w:tmpl w:val="374BFB32"/>
    <w:lvl w:ilvl="0" w:tentative="0">
      <w:start w:val="1"/>
      <w:numFmt w:val="decimal"/>
      <w:suff w:val="nothing"/>
      <w:lvlText w:val="（%1）"/>
      <w:lvlJc w:val="left"/>
    </w:lvl>
  </w:abstractNum>
  <w:abstractNum w:abstractNumId="7">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8">
    <w:nsid w:val="55CD4C99"/>
    <w:multiLevelType w:val="singleLevel"/>
    <w:tmpl w:val="55CD4C99"/>
    <w:lvl w:ilvl="0" w:tentative="0">
      <w:start w:val="1"/>
      <w:numFmt w:val="chineseCounting"/>
      <w:suff w:val="nothing"/>
      <w:lvlText w:val="%1、"/>
      <w:lvlJc w:val="left"/>
    </w:lvl>
  </w:abstractNum>
  <w:abstractNum w:abstractNumId="9">
    <w:nsid w:val="58E42E0E"/>
    <w:multiLevelType w:val="singleLevel"/>
    <w:tmpl w:val="58E42E0E"/>
    <w:lvl w:ilvl="0" w:tentative="0">
      <w:start w:val="2"/>
      <w:numFmt w:val="decimal"/>
      <w:suff w:val="nothing"/>
      <w:lvlText w:val="%1、"/>
      <w:lvlJc w:val="left"/>
    </w:lvl>
  </w:abstractNum>
  <w:abstractNum w:abstractNumId="10">
    <w:nsid w:val="712F340D"/>
    <w:multiLevelType w:val="singleLevel"/>
    <w:tmpl w:val="712F340D"/>
    <w:lvl w:ilvl="0" w:tentative="0">
      <w:start w:val="1"/>
      <w:numFmt w:val="lowerLetter"/>
      <w:lvlText w:val="%1."/>
      <w:lvlJc w:val="left"/>
      <w:pPr>
        <w:tabs>
          <w:tab w:val="left" w:pos="312"/>
        </w:tabs>
      </w:pPr>
    </w:lvl>
  </w:abstractNum>
  <w:abstractNum w:abstractNumId="11">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5"/>
  </w:num>
  <w:num w:numId="2">
    <w:abstractNumId w:val="7"/>
  </w:num>
  <w:num w:numId="3">
    <w:abstractNumId w:val="0"/>
  </w:num>
  <w:num w:numId="4">
    <w:abstractNumId w:val="4"/>
  </w:num>
  <w:num w:numId="5">
    <w:abstractNumId w:val="10"/>
  </w:num>
  <w:num w:numId="6">
    <w:abstractNumId w:val="6"/>
  </w:num>
  <w:num w:numId="7">
    <w:abstractNumId w:val="8"/>
  </w:num>
  <w:num w:numId="8">
    <w:abstractNumId w:val="3"/>
  </w:num>
  <w:num w:numId="9">
    <w:abstractNumId w:val="11"/>
  </w:num>
  <w:num w:numId="10">
    <w:abstractNumId w:val="1"/>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91"/>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jMDAyOTdiZGU1YTI4YzE1NTA5YWM3MGEyODEwMDEifQ=="/>
  </w:docVars>
  <w:rsids>
    <w:rsidRoot w:val="00AE79E0"/>
    <w:rsid w:val="000008FD"/>
    <w:rsid w:val="00003231"/>
    <w:rsid w:val="00003B78"/>
    <w:rsid w:val="00003F23"/>
    <w:rsid w:val="00005025"/>
    <w:rsid w:val="0000620B"/>
    <w:rsid w:val="0000681E"/>
    <w:rsid w:val="0000682D"/>
    <w:rsid w:val="00011FD2"/>
    <w:rsid w:val="000126C8"/>
    <w:rsid w:val="00012CFA"/>
    <w:rsid w:val="00013187"/>
    <w:rsid w:val="000137F2"/>
    <w:rsid w:val="00014B17"/>
    <w:rsid w:val="000165AB"/>
    <w:rsid w:val="000201C1"/>
    <w:rsid w:val="00021187"/>
    <w:rsid w:val="00021198"/>
    <w:rsid w:val="00021864"/>
    <w:rsid w:val="00023055"/>
    <w:rsid w:val="00023185"/>
    <w:rsid w:val="000242CE"/>
    <w:rsid w:val="00024AD6"/>
    <w:rsid w:val="00026A08"/>
    <w:rsid w:val="000279EA"/>
    <w:rsid w:val="000305D5"/>
    <w:rsid w:val="000319B0"/>
    <w:rsid w:val="00034387"/>
    <w:rsid w:val="00034B72"/>
    <w:rsid w:val="00034BA3"/>
    <w:rsid w:val="00034CDA"/>
    <w:rsid w:val="00034F63"/>
    <w:rsid w:val="0003627F"/>
    <w:rsid w:val="0003679A"/>
    <w:rsid w:val="00040E67"/>
    <w:rsid w:val="00041F06"/>
    <w:rsid w:val="000423B1"/>
    <w:rsid w:val="0004299A"/>
    <w:rsid w:val="000429F1"/>
    <w:rsid w:val="000437CC"/>
    <w:rsid w:val="00043E1C"/>
    <w:rsid w:val="00046FC5"/>
    <w:rsid w:val="00047373"/>
    <w:rsid w:val="000476D9"/>
    <w:rsid w:val="0005173F"/>
    <w:rsid w:val="00051864"/>
    <w:rsid w:val="00051ECE"/>
    <w:rsid w:val="000520FE"/>
    <w:rsid w:val="00053450"/>
    <w:rsid w:val="000538D1"/>
    <w:rsid w:val="00054A43"/>
    <w:rsid w:val="00055123"/>
    <w:rsid w:val="00055AB6"/>
    <w:rsid w:val="00055F34"/>
    <w:rsid w:val="00056350"/>
    <w:rsid w:val="00056A13"/>
    <w:rsid w:val="000576A3"/>
    <w:rsid w:val="00063B93"/>
    <w:rsid w:val="00064417"/>
    <w:rsid w:val="000649EF"/>
    <w:rsid w:val="00065388"/>
    <w:rsid w:val="00065665"/>
    <w:rsid w:val="00067D7A"/>
    <w:rsid w:val="00070288"/>
    <w:rsid w:val="00070340"/>
    <w:rsid w:val="000708C5"/>
    <w:rsid w:val="000712BD"/>
    <w:rsid w:val="000719DB"/>
    <w:rsid w:val="00072AC0"/>
    <w:rsid w:val="000738C2"/>
    <w:rsid w:val="000742BD"/>
    <w:rsid w:val="0007479D"/>
    <w:rsid w:val="00075123"/>
    <w:rsid w:val="00075390"/>
    <w:rsid w:val="0007565B"/>
    <w:rsid w:val="00075BB9"/>
    <w:rsid w:val="00076436"/>
    <w:rsid w:val="00076558"/>
    <w:rsid w:val="00077C43"/>
    <w:rsid w:val="00077D8B"/>
    <w:rsid w:val="0008094E"/>
    <w:rsid w:val="00080A6F"/>
    <w:rsid w:val="000816F2"/>
    <w:rsid w:val="00082869"/>
    <w:rsid w:val="00083463"/>
    <w:rsid w:val="00083CDC"/>
    <w:rsid w:val="00084CC1"/>
    <w:rsid w:val="000852D7"/>
    <w:rsid w:val="00085489"/>
    <w:rsid w:val="000863D1"/>
    <w:rsid w:val="00086A7A"/>
    <w:rsid w:val="00086B28"/>
    <w:rsid w:val="000874E4"/>
    <w:rsid w:val="0008796E"/>
    <w:rsid w:val="00087E9D"/>
    <w:rsid w:val="000901E9"/>
    <w:rsid w:val="00090BD9"/>
    <w:rsid w:val="00090F00"/>
    <w:rsid w:val="00091C9B"/>
    <w:rsid w:val="00091DC7"/>
    <w:rsid w:val="000926F6"/>
    <w:rsid w:val="000942A8"/>
    <w:rsid w:val="00094641"/>
    <w:rsid w:val="00094AC9"/>
    <w:rsid w:val="00095245"/>
    <w:rsid w:val="000955A6"/>
    <w:rsid w:val="00095B6E"/>
    <w:rsid w:val="0009686F"/>
    <w:rsid w:val="000A1761"/>
    <w:rsid w:val="000A184E"/>
    <w:rsid w:val="000A1B3C"/>
    <w:rsid w:val="000A2970"/>
    <w:rsid w:val="000A35E1"/>
    <w:rsid w:val="000A3813"/>
    <w:rsid w:val="000A4619"/>
    <w:rsid w:val="000A48D7"/>
    <w:rsid w:val="000A5705"/>
    <w:rsid w:val="000A6219"/>
    <w:rsid w:val="000A6DD1"/>
    <w:rsid w:val="000A7BFA"/>
    <w:rsid w:val="000A7E34"/>
    <w:rsid w:val="000B0CDF"/>
    <w:rsid w:val="000B19BA"/>
    <w:rsid w:val="000B21F3"/>
    <w:rsid w:val="000B5B49"/>
    <w:rsid w:val="000B5CD6"/>
    <w:rsid w:val="000B5D8E"/>
    <w:rsid w:val="000B71A8"/>
    <w:rsid w:val="000B7353"/>
    <w:rsid w:val="000B7627"/>
    <w:rsid w:val="000B7FDE"/>
    <w:rsid w:val="000C062A"/>
    <w:rsid w:val="000C0D0A"/>
    <w:rsid w:val="000C0D63"/>
    <w:rsid w:val="000C1047"/>
    <w:rsid w:val="000C2C5E"/>
    <w:rsid w:val="000C4AF2"/>
    <w:rsid w:val="000C58C5"/>
    <w:rsid w:val="000C627A"/>
    <w:rsid w:val="000C6774"/>
    <w:rsid w:val="000C68DD"/>
    <w:rsid w:val="000C742F"/>
    <w:rsid w:val="000C7D1B"/>
    <w:rsid w:val="000D07C7"/>
    <w:rsid w:val="000D16D6"/>
    <w:rsid w:val="000D1955"/>
    <w:rsid w:val="000D1963"/>
    <w:rsid w:val="000D260B"/>
    <w:rsid w:val="000D296C"/>
    <w:rsid w:val="000D2BE7"/>
    <w:rsid w:val="000D3BE4"/>
    <w:rsid w:val="000D3FDF"/>
    <w:rsid w:val="000D3FE5"/>
    <w:rsid w:val="000D5BFA"/>
    <w:rsid w:val="000D77C3"/>
    <w:rsid w:val="000E0018"/>
    <w:rsid w:val="000E169F"/>
    <w:rsid w:val="000E18AA"/>
    <w:rsid w:val="000E1F61"/>
    <w:rsid w:val="000E30EA"/>
    <w:rsid w:val="000E3822"/>
    <w:rsid w:val="000E416E"/>
    <w:rsid w:val="000E4C55"/>
    <w:rsid w:val="000E57CE"/>
    <w:rsid w:val="000E5BD2"/>
    <w:rsid w:val="000E6242"/>
    <w:rsid w:val="000E689E"/>
    <w:rsid w:val="000E6A46"/>
    <w:rsid w:val="000E6ED7"/>
    <w:rsid w:val="000F0113"/>
    <w:rsid w:val="000F1DED"/>
    <w:rsid w:val="000F2698"/>
    <w:rsid w:val="000F3E84"/>
    <w:rsid w:val="000F3FFF"/>
    <w:rsid w:val="000F4B95"/>
    <w:rsid w:val="000F6140"/>
    <w:rsid w:val="000F6A98"/>
    <w:rsid w:val="000F6AB9"/>
    <w:rsid w:val="000F6B00"/>
    <w:rsid w:val="000F6D6B"/>
    <w:rsid w:val="000F6DA7"/>
    <w:rsid w:val="000F7DEB"/>
    <w:rsid w:val="001008C8"/>
    <w:rsid w:val="00101800"/>
    <w:rsid w:val="00103AEE"/>
    <w:rsid w:val="00104E2B"/>
    <w:rsid w:val="00104E64"/>
    <w:rsid w:val="0010538C"/>
    <w:rsid w:val="001057AF"/>
    <w:rsid w:val="00110A45"/>
    <w:rsid w:val="00111249"/>
    <w:rsid w:val="001123E7"/>
    <w:rsid w:val="001135FE"/>
    <w:rsid w:val="00113871"/>
    <w:rsid w:val="0011439C"/>
    <w:rsid w:val="00114702"/>
    <w:rsid w:val="00116424"/>
    <w:rsid w:val="001167DB"/>
    <w:rsid w:val="00116D76"/>
    <w:rsid w:val="00117062"/>
    <w:rsid w:val="001170CE"/>
    <w:rsid w:val="001178E2"/>
    <w:rsid w:val="00117DEA"/>
    <w:rsid w:val="00117FAC"/>
    <w:rsid w:val="0012043E"/>
    <w:rsid w:val="001209D4"/>
    <w:rsid w:val="001209D7"/>
    <w:rsid w:val="00120A18"/>
    <w:rsid w:val="00120C83"/>
    <w:rsid w:val="00121289"/>
    <w:rsid w:val="001233FB"/>
    <w:rsid w:val="0012425E"/>
    <w:rsid w:val="0012511F"/>
    <w:rsid w:val="00125392"/>
    <w:rsid w:val="001255D4"/>
    <w:rsid w:val="001263BA"/>
    <w:rsid w:val="00126A4E"/>
    <w:rsid w:val="00126AD8"/>
    <w:rsid w:val="00126DF1"/>
    <w:rsid w:val="001276ED"/>
    <w:rsid w:val="00127742"/>
    <w:rsid w:val="00130067"/>
    <w:rsid w:val="00130C17"/>
    <w:rsid w:val="0013112F"/>
    <w:rsid w:val="0013118B"/>
    <w:rsid w:val="001311ED"/>
    <w:rsid w:val="0013431D"/>
    <w:rsid w:val="00134648"/>
    <w:rsid w:val="001348DF"/>
    <w:rsid w:val="00134FD5"/>
    <w:rsid w:val="0013509E"/>
    <w:rsid w:val="00135535"/>
    <w:rsid w:val="00135AED"/>
    <w:rsid w:val="00135BC4"/>
    <w:rsid w:val="00135F38"/>
    <w:rsid w:val="001369C3"/>
    <w:rsid w:val="00137B6B"/>
    <w:rsid w:val="00137D64"/>
    <w:rsid w:val="00137E4C"/>
    <w:rsid w:val="00141038"/>
    <w:rsid w:val="0014151F"/>
    <w:rsid w:val="00141941"/>
    <w:rsid w:val="00142184"/>
    <w:rsid w:val="0014311D"/>
    <w:rsid w:val="00144467"/>
    <w:rsid w:val="001449E6"/>
    <w:rsid w:val="0014579A"/>
    <w:rsid w:val="00145A0C"/>
    <w:rsid w:val="00145E17"/>
    <w:rsid w:val="00147477"/>
    <w:rsid w:val="0015038C"/>
    <w:rsid w:val="001508B1"/>
    <w:rsid w:val="00152331"/>
    <w:rsid w:val="00152403"/>
    <w:rsid w:val="00152CE0"/>
    <w:rsid w:val="00155001"/>
    <w:rsid w:val="001553F5"/>
    <w:rsid w:val="001554EC"/>
    <w:rsid w:val="00155CDB"/>
    <w:rsid w:val="00156646"/>
    <w:rsid w:val="001568CF"/>
    <w:rsid w:val="00157E12"/>
    <w:rsid w:val="00160800"/>
    <w:rsid w:val="00160863"/>
    <w:rsid w:val="0016087F"/>
    <w:rsid w:val="00160A88"/>
    <w:rsid w:val="001613E7"/>
    <w:rsid w:val="0016174A"/>
    <w:rsid w:val="001620F9"/>
    <w:rsid w:val="00165DAF"/>
    <w:rsid w:val="00167DD2"/>
    <w:rsid w:val="0017046D"/>
    <w:rsid w:val="0017080E"/>
    <w:rsid w:val="00171430"/>
    <w:rsid w:val="001714A4"/>
    <w:rsid w:val="00171FC2"/>
    <w:rsid w:val="001729B3"/>
    <w:rsid w:val="00172D11"/>
    <w:rsid w:val="00172FE9"/>
    <w:rsid w:val="001736ED"/>
    <w:rsid w:val="00173D1D"/>
    <w:rsid w:val="00174925"/>
    <w:rsid w:val="00174E84"/>
    <w:rsid w:val="00175BB3"/>
    <w:rsid w:val="00176570"/>
    <w:rsid w:val="00176A44"/>
    <w:rsid w:val="00176CDE"/>
    <w:rsid w:val="00177851"/>
    <w:rsid w:val="00180275"/>
    <w:rsid w:val="0018175A"/>
    <w:rsid w:val="00182153"/>
    <w:rsid w:val="00183525"/>
    <w:rsid w:val="00183724"/>
    <w:rsid w:val="00184539"/>
    <w:rsid w:val="00184EF2"/>
    <w:rsid w:val="0018523C"/>
    <w:rsid w:val="00186A8D"/>
    <w:rsid w:val="0019046D"/>
    <w:rsid w:val="00191194"/>
    <w:rsid w:val="00192441"/>
    <w:rsid w:val="001924AF"/>
    <w:rsid w:val="00192969"/>
    <w:rsid w:val="00192AB0"/>
    <w:rsid w:val="00193398"/>
    <w:rsid w:val="001935E2"/>
    <w:rsid w:val="00193A65"/>
    <w:rsid w:val="00194057"/>
    <w:rsid w:val="0019444D"/>
    <w:rsid w:val="001966AA"/>
    <w:rsid w:val="00196974"/>
    <w:rsid w:val="00196D5E"/>
    <w:rsid w:val="00196F4B"/>
    <w:rsid w:val="001972EB"/>
    <w:rsid w:val="001A0B29"/>
    <w:rsid w:val="001A12FE"/>
    <w:rsid w:val="001A406A"/>
    <w:rsid w:val="001A62A1"/>
    <w:rsid w:val="001A74C3"/>
    <w:rsid w:val="001B0B9D"/>
    <w:rsid w:val="001B1C75"/>
    <w:rsid w:val="001B2BBF"/>
    <w:rsid w:val="001B522A"/>
    <w:rsid w:val="001B560A"/>
    <w:rsid w:val="001B5738"/>
    <w:rsid w:val="001B6E93"/>
    <w:rsid w:val="001B70B5"/>
    <w:rsid w:val="001B7B84"/>
    <w:rsid w:val="001B7F39"/>
    <w:rsid w:val="001C05AB"/>
    <w:rsid w:val="001C1F35"/>
    <w:rsid w:val="001C2A8A"/>
    <w:rsid w:val="001C3B70"/>
    <w:rsid w:val="001C5539"/>
    <w:rsid w:val="001C59BE"/>
    <w:rsid w:val="001C5DC4"/>
    <w:rsid w:val="001C5E26"/>
    <w:rsid w:val="001C6220"/>
    <w:rsid w:val="001C6B18"/>
    <w:rsid w:val="001D0A93"/>
    <w:rsid w:val="001D2F5F"/>
    <w:rsid w:val="001D446C"/>
    <w:rsid w:val="001D5688"/>
    <w:rsid w:val="001D58FF"/>
    <w:rsid w:val="001D629D"/>
    <w:rsid w:val="001D63FD"/>
    <w:rsid w:val="001D6F3F"/>
    <w:rsid w:val="001D6F45"/>
    <w:rsid w:val="001D7E45"/>
    <w:rsid w:val="001E04F1"/>
    <w:rsid w:val="001E20D3"/>
    <w:rsid w:val="001E2E22"/>
    <w:rsid w:val="001E2FC4"/>
    <w:rsid w:val="001E36B7"/>
    <w:rsid w:val="001E47CD"/>
    <w:rsid w:val="001E5159"/>
    <w:rsid w:val="001E5832"/>
    <w:rsid w:val="001E591A"/>
    <w:rsid w:val="001E68D0"/>
    <w:rsid w:val="001F07C5"/>
    <w:rsid w:val="001F1324"/>
    <w:rsid w:val="001F134E"/>
    <w:rsid w:val="001F14AE"/>
    <w:rsid w:val="001F1946"/>
    <w:rsid w:val="001F26BA"/>
    <w:rsid w:val="001F3378"/>
    <w:rsid w:val="001F4661"/>
    <w:rsid w:val="001F4719"/>
    <w:rsid w:val="001F66D5"/>
    <w:rsid w:val="001F6A1F"/>
    <w:rsid w:val="001F7137"/>
    <w:rsid w:val="001F770C"/>
    <w:rsid w:val="00200094"/>
    <w:rsid w:val="00200808"/>
    <w:rsid w:val="00200C69"/>
    <w:rsid w:val="00201148"/>
    <w:rsid w:val="00202825"/>
    <w:rsid w:val="00202D5B"/>
    <w:rsid w:val="00202F2A"/>
    <w:rsid w:val="002036F3"/>
    <w:rsid w:val="00203F5C"/>
    <w:rsid w:val="00204191"/>
    <w:rsid w:val="0020421A"/>
    <w:rsid w:val="002047D3"/>
    <w:rsid w:val="0020497C"/>
    <w:rsid w:val="00205798"/>
    <w:rsid w:val="00205A83"/>
    <w:rsid w:val="00205DEE"/>
    <w:rsid w:val="00207016"/>
    <w:rsid w:val="0021092F"/>
    <w:rsid w:val="00210BCE"/>
    <w:rsid w:val="002111F8"/>
    <w:rsid w:val="002112B7"/>
    <w:rsid w:val="0021169E"/>
    <w:rsid w:val="00211789"/>
    <w:rsid w:val="00211B64"/>
    <w:rsid w:val="00211C86"/>
    <w:rsid w:val="00211FEE"/>
    <w:rsid w:val="002122F0"/>
    <w:rsid w:val="00212CA5"/>
    <w:rsid w:val="00212EB3"/>
    <w:rsid w:val="00213256"/>
    <w:rsid w:val="0021421B"/>
    <w:rsid w:val="0021435E"/>
    <w:rsid w:val="00217577"/>
    <w:rsid w:val="00217846"/>
    <w:rsid w:val="002203C0"/>
    <w:rsid w:val="002209E8"/>
    <w:rsid w:val="002215D0"/>
    <w:rsid w:val="0022309F"/>
    <w:rsid w:val="00224266"/>
    <w:rsid w:val="002248D5"/>
    <w:rsid w:val="00224BDB"/>
    <w:rsid w:val="00225A4D"/>
    <w:rsid w:val="00225E3E"/>
    <w:rsid w:val="00225E4A"/>
    <w:rsid w:val="00227FEE"/>
    <w:rsid w:val="00230CC1"/>
    <w:rsid w:val="00230D14"/>
    <w:rsid w:val="002314E9"/>
    <w:rsid w:val="00231CB1"/>
    <w:rsid w:val="00232C8A"/>
    <w:rsid w:val="0023334B"/>
    <w:rsid w:val="00234A89"/>
    <w:rsid w:val="00234E10"/>
    <w:rsid w:val="00235478"/>
    <w:rsid w:val="002358C7"/>
    <w:rsid w:val="002362AF"/>
    <w:rsid w:val="002362CC"/>
    <w:rsid w:val="00237506"/>
    <w:rsid w:val="002378D0"/>
    <w:rsid w:val="00237B57"/>
    <w:rsid w:val="00243A1C"/>
    <w:rsid w:val="00243B5E"/>
    <w:rsid w:val="00243C20"/>
    <w:rsid w:val="00243D7D"/>
    <w:rsid w:val="00243ECE"/>
    <w:rsid w:val="00245ACA"/>
    <w:rsid w:val="00246F54"/>
    <w:rsid w:val="0025249A"/>
    <w:rsid w:val="0025326E"/>
    <w:rsid w:val="002541D3"/>
    <w:rsid w:val="00254D18"/>
    <w:rsid w:val="00255705"/>
    <w:rsid w:val="00255C2F"/>
    <w:rsid w:val="00255D4D"/>
    <w:rsid w:val="00257088"/>
    <w:rsid w:val="002574B1"/>
    <w:rsid w:val="0025775C"/>
    <w:rsid w:val="0025785F"/>
    <w:rsid w:val="0026096A"/>
    <w:rsid w:val="00260B60"/>
    <w:rsid w:val="0026120E"/>
    <w:rsid w:val="00261315"/>
    <w:rsid w:val="0026223A"/>
    <w:rsid w:val="002632DC"/>
    <w:rsid w:val="00263F02"/>
    <w:rsid w:val="002648FB"/>
    <w:rsid w:val="00266892"/>
    <w:rsid w:val="00266CC0"/>
    <w:rsid w:val="002672ED"/>
    <w:rsid w:val="0027024E"/>
    <w:rsid w:val="00272390"/>
    <w:rsid w:val="0027543F"/>
    <w:rsid w:val="00275F7E"/>
    <w:rsid w:val="002760E4"/>
    <w:rsid w:val="002768B5"/>
    <w:rsid w:val="00277378"/>
    <w:rsid w:val="0028110D"/>
    <w:rsid w:val="00281371"/>
    <w:rsid w:val="002813D2"/>
    <w:rsid w:val="002819B4"/>
    <w:rsid w:val="0028291E"/>
    <w:rsid w:val="00282FBB"/>
    <w:rsid w:val="00283B88"/>
    <w:rsid w:val="00285CC4"/>
    <w:rsid w:val="00286851"/>
    <w:rsid w:val="00290235"/>
    <w:rsid w:val="00290EB7"/>
    <w:rsid w:val="00291B90"/>
    <w:rsid w:val="00291EBD"/>
    <w:rsid w:val="00293933"/>
    <w:rsid w:val="00295F38"/>
    <w:rsid w:val="00296FAA"/>
    <w:rsid w:val="002970FB"/>
    <w:rsid w:val="00297E16"/>
    <w:rsid w:val="002A07DB"/>
    <w:rsid w:val="002A1959"/>
    <w:rsid w:val="002A3638"/>
    <w:rsid w:val="002A484A"/>
    <w:rsid w:val="002A49E9"/>
    <w:rsid w:val="002A4C87"/>
    <w:rsid w:val="002A4E7F"/>
    <w:rsid w:val="002A51FE"/>
    <w:rsid w:val="002A79FB"/>
    <w:rsid w:val="002A7C46"/>
    <w:rsid w:val="002A7D6F"/>
    <w:rsid w:val="002B08C1"/>
    <w:rsid w:val="002B0A6F"/>
    <w:rsid w:val="002B12D0"/>
    <w:rsid w:val="002B17E9"/>
    <w:rsid w:val="002B1A43"/>
    <w:rsid w:val="002B1ABC"/>
    <w:rsid w:val="002B220A"/>
    <w:rsid w:val="002B28DF"/>
    <w:rsid w:val="002B3EF5"/>
    <w:rsid w:val="002B4721"/>
    <w:rsid w:val="002B635D"/>
    <w:rsid w:val="002B6423"/>
    <w:rsid w:val="002B6D27"/>
    <w:rsid w:val="002B6EAE"/>
    <w:rsid w:val="002B7C85"/>
    <w:rsid w:val="002C1472"/>
    <w:rsid w:val="002C1DFD"/>
    <w:rsid w:val="002C316D"/>
    <w:rsid w:val="002C324F"/>
    <w:rsid w:val="002C32A4"/>
    <w:rsid w:val="002C34A7"/>
    <w:rsid w:val="002C404C"/>
    <w:rsid w:val="002C44F8"/>
    <w:rsid w:val="002C48D8"/>
    <w:rsid w:val="002C50D1"/>
    <w:rsid w:val="002C53E5"/>
    <w:rsid w:val="002C5959"/>
    <w:rsid w:val="002C66EA"/>
    <w:rsid w:val="002C6EE6"/>
    <w:rsid w:val="002C76A3"/>
    <w:rsid w:val="002D16A5"/>
    <w:rsid w:val="002D1856"/>
    <w:rsid w:val="002D269B"/>
    <w:rsid w:val="002D4063"/>
    <w:rsid w:val="002D6C02"/>
    <w:rsid w:val="002D6F6A"/>
    <w:rsid w:val="002D702A"/>
    <w:rsid w:val="002D73D4"/>
    <w:rsid w:val="002D73FE"/>
    <w:rsid w:val="002E00B8"/>
    <w:rsid w:val="002E023A"/>
    <w:rsid w:val="002E05E3"/>
    <w:rsid w:val="002E0CF1"/>
    <w:rsid w:val="002E131F"/>
    <w:rsid w:val="002E3A5F"/>
    <w:rsid w:val="002E3A69"/>
    <w:rsid w:val="002E3A88"/>
    <w:rsid w:val="002E3B8A"/>
    <w:rsid w:val="002E5DDC"/>
    <w:rsid w:val="002E6CBA"/>
    <w:rsid w:val="002E70C0"/>
    <w:rsid w:val="002E779E"/>
    <w:rsid w:val="002F0126"/>
    <w:rsid w:val="002F1C05"/>
    <w:rsid w:val="002F3E1E"/>
    <w:rsid w:val="002F5154"/>
    <w:rsid w:val="002F5668"/>
    <w:rsid w:val="002F6350"/>
    <w:rsid w:val="002F726F"/>
    <w:rsid w:val="002F7307"/>
    <w:rsid w:val="002F775E"/>
    <w:rsid w:val="003002FC"/>
    <w:rsid w:val="00301764"/>
    <w:rsid w:val="0030256A"/>
    <w:rsid w:val="003049E1"/>
    <w:rsid w:val="00304EE7"/>
    <w:rsid w:val="003064DC"/>
    <w:rsid w:val="0030763F"/>
    <w:rsid w:val="0030791A"/>
    <w:rsid w:val="00311D1C"/>
    <w:rsid w:val="00311FE2"/>
    <w:rsid w:val="00312912"/>
    <w:rsid w:val="00312B46"/>
    <w:rsid w:val="003135CA"/>
    <w:rsid w:val="00314E48"/>
    <w:rsid w:val="00315218"/>
    <w:rsid w:val="003169FF"/>
    <w:rsid w:val="0031704D"/>
    <w:rsid w:val="00317374"/>
    <w:rsid w:val="0031782B"/>
    <w:rsid w:val="00317903"/>
    <w:rsid w:val="00317929"/>
    <w:rsid w:val="00320797"/>
    <w:rsid w:val="00321351"/>
    <w:rsid w:val="003215D0"/>
    <w:rsid w:val="003219FF"/>
    <w:rsid w:val="00321B0F"/>
    <w:rsid w:val="00323327"/>
    <w:rsid w:val="003233D3"/>
    <w:rsid w:val="0032368B"/>
    <w:rsid w:val="00323B3C"/>
    <w:rsid w:val="00323B9B"/>
    <w:rsid w:val="00323EE0"/>
    <w:rsid w:val="003250B5"/>
    <w:rsid w:val="00325C3D"/>
    <w:rsid w:val="00327B00"/>
    <w:rsid w:val="00330EEC"/>
    <w:rsid w:val="00331614"/>
    <w:rsid w:val="003316A2"/>
    <w:rsid w:val="003316AA"/>
    <w:rsid w:val="00331951"/>
    <w:rsid w:val="00333612"/>
    <w:rsid w:val="00333F5A"/>
    <w:rsid w:val="00334464"/>
    <w:rsid w:val="00335143"/>
    <w:rsid w:val="0033520E"/>
    <w:rsid w:val="003355DB"/>
    <w:rsid w:val="003360C0"/>
    <w:rsid w:val="00337E3A"/>
    <w:rsid w:val="00341701"/>
    <w:rsid w:val="00341E1B"/>
    <w:rsid w:val="00342063"/>
    <w:rsid w:val="00343AFA"/>
    <w:rsid w:val="00345340"/>
    <w:rsid w:val="00345DC6"/>
    <w:rsid w:val="00347D7F"/>
    <w:rsid w:val="0035000C"/>
    <w:rsid w:val="0035054D"/>
    <w:rsid w:val="00350672"/>
    <w:rsid w:val="003520CF"/>
    <w:rsid w:val="00352130"/>
    <w:rsid w:val="00352629"/>
    <w:rsid w:val="00352961"/>
    <w:rsid w:val="00352F5E"/>
    <w:rsid w:val="003535C3"/>
    <w:rsid w:val="00355078"/>
    <w:rsid w:val="003554BE"/>
    <w:rsid w:val="00355BD8"/>
    <w:rsid w:val="0035755D"/>
    <w:rsid w:val="00357634"/>
    <w:rsid w:val="003607F7"/>
    <w:rsid w:val="0036156D"/>
    <w:rsid w:val="00361C08"/>
    <w:rsid w:val="00362C15"/>
    <w:rsid w:val="003635A5"/>
    <w:rsid w:val="003639F7"/>
    <w:rsid w:val="00363A88"/>
    <w:rsid w:val="00364D6D"/>
    <w:rsid w:val="003660EB"/>
    <w:rsid w:val="0036682B"/>
    <w:rsid w:val="00366A3F"/>
    <w:rsid w:val="00366D2F"/>
    <w:rsid w:val="00367050"/>
    <w:rsid w:val="0036779C"/>
    <w:rsid w:val="00370079"/>
    <w:rsid w:val="00370746"/>
    <w:rsid w:val="003714B5"/>
    <w:rsid w:val="003727AA"/>
    <w:rsid w:val="003730CA"/>
    <w:rsid w:val="003733A8"/>
    <w:rsid w:val="00373B52"/>
    <w:rsid w:val="00374236"/>
    <w:rsid w:val="00374A30"/>
    <w:rsid w:val="0037500F"/>
    <w:rsid w:val="00375EBC"/>
    <w:rsid w:val="00376B56"/>
    <w:rsid w:val="00377293"/>
    <w:rsid w:val="003773A5"/>
    <w:rsid w:val="003773CE"/>
    <w:rsid w:val="003773E1"/>
    <w:rsid w:val="0037755A"/>
    <w:rsid w:val="0037765D"/>
    <w:rsid w:val="0037791B"/>
    <w:rsid w:val="00380988"/>
    <w:rsid w:val="003810A2"/>
    <w:rsid w:val="00381168"/>
    <w:rsid w:val="003827D4"/>
    <w:rsid w:val="00382C45"/>
    <w:rsid w:val="00383BED"/>
    <w:rsid w:val="00385827"/>
    <w:rsid w:val="00385E4B"/>
    <w:rsid w:val="0038654B"/>
    <w:rsid w:val="00386A77"/>
    <w:rsid w:val="00386B6F"/>
    <w:rsid w:val="00387676"/>
    <w:rsid w:val="00387770"/>
    <w:rsid w:val="00390418"/>
    <w:rsid w:val="003906A3"/>
    <w:rsid w:val="00390901"/>
    <w:rsid w:val="00390A55"/>
    <w:rsid w:val="00390D6E"/>
    <w:rsid w:val="00391153"/>
    <w:rsid w:val="0039119C"/>
    <w:rsid w:val="00392149"/>
    <w:rsid w:val="00392690"/>
    <w:rsid w:val="00392DE4"/>
    <w:rsid w:val="0039363C"/>
    <w:rsid w:val="00393D4C"/>
    <w:rsid w:val="00394FFF"/>
    <w:rsid w:val="00396C19"/>
    <w:rsid w:val="003A1A8E"/>
    <w:rsid w:val="003A1C83"/>
    <w:rsid w:val="003A1CE5"/>
    <w:rsid w:val="003A1FAF"/>
    <w:rsid w:val="003A24EE"/>
    <w:rsid w:val="003A4F37"/>
    <w:rsid w:val="003A6060"/>
    <w:rsid w:val="003A797D"/>
    <w:rsid w:val="003A7E53"/>
    <w:rsid w:val="003B03F9"/>
    <w:rsid w:val="003B0499"/>
    <w:rsid w:val="003B14CC"/>
    <w:rsid w:val="003B16BA"/>
    <w:rsid w:val="003B25CE"/>
    <w:rsid w:val="003B436D"/>
    <w:rsid w:val="003B4CAB"/>
    <w:rsid w:val="003B6267"/>
    <w:rsid w:val="003B76FC"/>
    <w:rsid w:val="003C01E5"/>
    <w:rsid w:val="003C1D2A"/>
    <w:rsid w:val="003C1E0B"/>
    <w:rsid w:val="003C2AF5"/>
    <w:rsid w:val="003C36AD"/>
    <w:rsid w:val="003C4FF3"/>
    <w:rsid w:val="003C5BF9"/>
    <w:rsid w:val="003C6429"/>
    <w:rsid w:val="003C6DB2"/>
    <w:rsid w:val="003C7068"/>
    <w:rsid w:val="003C7A1D"/>
    <w:rsid w:val="003D1587"/>
    <w:rsid w:val="003D1C4D"/>
    <w:rsid w:val="003D302B"/>
    <w:rsid w:val="003D32A3"/>
    <w:rsid w:val="003D38BA"/>
    <w:rsid w:val="003D44D8"/>
    <w:rsid w:val="003D4675"/>
    <w:rsid w:val="003D6965"/>
    <w:rsid w:val="003E04A9"/>
    <w:rsid w:val="003E0849"/>
    <w:rsid w:val="003E1E30"/>
    <w:rsid w:val="003E2182"/>
    <w:rsid w:val="003E333B"/>
    <w:rsid w:val="003E37E5"/>
    <w:rsid w:val="003E3BF0"/>
    <w:rsid w:val="003E4056"/>
    <w:rsid w:val="003E44EB"/>
    <w:rsid w:val="003E4507"/>
    <w:rsid w:val="003E54FB"/>
    <w:rsid w:val="003E5587"/>
    <w:rsid w:val="003E571E"/>
    <w:rsid w:val="003E5FB3"/>
    <w:rsid w:val="003E6E74"/>
    <w:rsid w:val="003E6F20"/>
    <w:rsid w:val="003E7AEF"/>
    <w:rsid w:val="003F101A"/>
    <w:rsid w:val="003F15CD"/>
    <w:rsid w:val="003F2112"/>
    <w:rsid w:val="003F3F4E"/>
    <w:rsid w:val="003F4963"/>
    <w:rsid w:val="003F51D0"/>
    <w:rsid w:val="003F5810"/>
    <w:rsid w:val="003F5F57"/>
    <w:rsid w:val="003F6082"/>
    <w:rsid w:val="003F60E2"/>
    <w:rsid w:val="003F6180"/>
    <w:rsid w:val="003F6452"/>
    <w:rsid w:val="003F659B"/>
    <w:rsid w:val="003F7825"/>
    <w:rsid w:val="003F7D6D"/>
    <w:rsid w:val="0040044F"/>
    <w:rsid w:val="00400942"/>
    <w:rsid w:val="00400AAA"/>
    <w:rsid w:val="0040108E"/>
    <w:rsid w:val="004019B0"/>
    <w:rsid w:val="00402C0A"/>
    <w:rsid w:val="004039CF"/>
    <w:rsid w:val="00403F19"/>
    <w:rsid w:val="00404DF2"/>
    <w:rsid w:val="00404F09"/>
    <w:rsid w:val="0040537E"/>
    <w:rsid w:val="00405A3C"/>
    <w:rsid w:val="00407458"/>
    <w:rsid w:val="00407A64"/>
    <w:rsid w:val="004100F4"/>
    <w:rsid w:val="00410282"/>
    <w:rsid w:val="0041072B"/>
    <w:rsid w:val="00411E24"/>
    <w:rsid w:val="004126E0"/>
    <w:rsid w:val="00415A8A"/>
    <w:rsid w:val="00415CBE"/>
    <w:rsid w:val="00415D23"/>
    <w:rsid w:val="004161D1"/>
    <w:rsid w:val="00416645"/>
    <w:rsid w:val="00416864"/>
    <w:rsid w:val="00416D19"/>
    <w:rsid w:val="0041780A"/>
    <w:rsid w:val="00417A6E"/>
    <w:rsid w:val="00417BC7"/>
    <w:rsid w:val="00417E88"/>
    <w:rsid w:val="00420C05"/>
    <w:rsid w:val="00420E6D"/>
    <w:rsid w:val="004211C4"/>
    <w:rsid w:val="00421C2B"/>
    <w:rsid w:val="004223C5"/>
    <w:rsid w:val="0042307D"/>
    <w:rsid w:val="004237BE"/>
    <w:rsid w:val="00423B8C"/>
    <w:rsid w:val="00423FF8"/>
    <w:rsid w:val="00426294"/>
    <w:rsid w:val="00426B59"/>
    <w:rsid w:val="0042715C"/>
    <w:rsid w:val="00427EEC"/>
    <w:rsid w:val="004310A8"/>
    <w:rsid w:val="00431381"/>
    <w:rsid w:val="004313CD"/>
    <w:rsid w:val="00431502"/>
    <w:rsid w:val="0043170A"/>
    <w:rsid w:val="004321AD"/>
    <w:rsid w:val="00432D5F"/>
    <w:rsid w:val="00432EA8"/>
    <w:rsid w:val="004338B0"/>
    <w:rsid w:val="00434745"/>
    <w:rsid w:val="0043632B"/>
    <w:rsid w:val="00441BE1"/>
    <w:rsid w:val="00441FA2"/>
    <w:rsid w:val="004424AF"/>
    <w:rsid w:val="004425B4"/>
    <w:rsid w:val="00442945"/>
    <w:rsid w:val="00442AA4"/>
    <w:rsid w:val="00443251"/>
    <w:rsid w:val="0044358F"/>
    <w:rsid w:val="0044399C"/>
    <w:rsid w:val="00444061"/>
    <w:rsid w:val="004441B5"/>
    <w:rsid w:val="0044427D"/>
    <w:rsid w:val="004451E6"/>
    <w:rsid w:val="004460F3"/>
    <w:rsid w:val="0044663D"/>
    <w:rsid w:val="0044683C"/>
    <w:rsid w:val="0045012A"/>
    <w:rsid w:val="004511E3"/>
    <w:rsid w:val="00453782"/>
    <w:rsid w:val="00453849"/>
    <w:rsid w:val="004542CB"/>
    <w:rsid w:val="0045480C"/>
    <w:rsid w:val="00454D19"/>
    <w:rsid w:val="00455612"/>
    <w:rsid w:val="00460038"/>
    <w:rsid w:val="0046010D"/>
    <w:rsid w:val="0046069B"/>
    <w:rsid w:val="004607F9"/>
    <w:rsid w:val="00460B47"/>
    <w:rsid w:val="00460F46"/>
    <w:rsid w:val="00461338"/>
    <w:rsid w:val="00461382"/>
    <w:rsid w:val="00462552"/>
    <w:rsid w:val="004630FD"/>
    <w:rsid w:val="0046401C"/>
    <w:rsid w:val="00464999"/>
    <w:rsid w:val="004658CB"/>
    <w:rsid w:val="00465A0C"/>
    <w:rsid w:val="004667AD"/>
    <w:rsid w:val="004668B1"/>
    <w:rsid w:val="004670CE"/>
    <w:rsid w:val="004672B9"/>
    <w:rsid w:val="00471C43"/>
    <w:rsid w:val="00472037"/>
    <w:rsid w:val="00473549"/>
    <w:rsid w:val="0047382F"/>
    <w:rsid w:val="00473AFE"/>
    <w:rsid w:val="00474D40"/>
    <w:rsid w:val="00474DB3"/>
    <w:rsid w:val="0047507D"/>
    <w:rsid w:val="00476EE9"/>
    <w:rsid w:val="004776DB"/>
    <w:rsid w:val="00477F37"/>
    <w:rsid w:val="00481B35"/>
    <w:rsid w:val="0048235F"/>
    <w:rsid w:val="00482CF4"/>
    <w:rsid w:val="00483728"/>
    <w:rsid w:val="004845DF"/>
    <w:rsid w:val="004849C7"/>
    <w:rsid w:val="004851F9"/>
    <w:rsid w:val="0049006E"/>
    <w:rsid w:val="0049015B"/>
    <w:rsid w:val="004918CC"/>
    <w:rsid w:val="00492569"/>
    <w:rsid w:val="00492EA5"/>
    <w:rsid w:val="004946A1"/>
    <w:rsid w:val="00494B71"/>
    <w:rsid w:val="004962AD"/>
    <w:rsid w:val="004974CC"/>
    <w:rsid w:val="004A381A"/>
    <w:rsid w:val="004A44AE"/>
    <w:rsid w:val="004A4C5E"/>
    <w:rsid w:val="004A5D0F"/>
    <w:rsid w:val="004A6E1F"/>
    <w:rsid w:val="004A7AB9"/>
    <w:rsid w:val="004A7B48"/>
    <w:rsid w:val="004B1083"/>
    <w:rsid w:val="004B2FCE"/>
    <w:rsid w:val="004B3258"/>
    <w:rsid w:val="004B339D"/>
    <w:rsid w:val="004B411D"/>
    <w:rsid w:val="004B4880"/>
    <w:rsid w:val="004B522D"/>
    <w:rsid w:val="004B580C"/>
    <w:rsid w:val="004B6147"/>
    <w:rsid w:val="004B6214"/>
    <w:rsid w:val="004B6278"/>
    <w:rsid w:val="004B7182"/>
    <w:rsid w:val="004B74DD"/>
    <w:rsid w:val="004B7850"/>
    <w:rsid w:val="004C0519"/>
    <w:rsid w:val="004C084D"/>
    <w:rsid w:val="004C0F35"/>
    <w:rsid w:val="004C193F"/>
    <w:rsid w:val="004C1E29"/>
    <w:rsid w:val="004C2023"/>
    <w:rsid w:val="004C2C02"/>
    <w:rsid w:val="004C36C7"/>
    <w:rsid w:val="004C4656"/>
    <w:rsid w:val="004C49F4"/>
    <w:rsid w:val="004C5351"/>
    <w:rsid w:val="004C5697"/>
    <w:rsid w:val="004C5836"/>
    <w:rsid w:val="004C6035"/>
    <w:rsid w:val="004C6194"/>
    <w:rsid w:val="004C6E98"/>
    <w:rsid w:val="004D067C"/>
    <w:rsid w:val="004D072B"/>
    <w:rsid w:val="004D0C9D"/>
    <w:rsid w:val="004D1634"/>
    <w:rsid w:val="004D1A3A"/>
    <w:rsid w:val="004D3FCF"/>
    <w:rsid w:val="004D5837"/>
    <w:rsid w:val="004D5C9E"/>
    <w:rsid w:val="004D7796"/>
    <w:rsid w:val="004E1166"/>
    <w:rsid w:val="004E33E6"/>
    <w:rsid w:val="004E355E"/>
    <w:rsid w:val="004E3A33"/>
    <w:rsid w:val="004E3FCB"/>
    <w:rsid w:val="004E4947"/>
    <w:rsid w:val="004E5558"/>
    <w:rsid w:val="004E628E"/>
    <w:rsid w:val="004F0179"/>
    <w:rsid w:val="004F07B4"/>
    <w:rsid w:val="004F0E55"/>
    <w:rsid w:val="004F1A17"/>
    <w:rsid w:val="004F2179"/>
    <w:rsid w:val="004F2F65"/>
    <w:rsid w:val="004F4107"/>
    <w:rsid w:val="004F4817"/>
    <w:rsid w:val="004F4CE8"/>
    <w:rsid w:val="004F5E5D"/>
    <w:rsid w:val="005005CA"/>
    <w:rsid w:val="00503F0C"/>
    <w:rsid w:val="005049C2"/>
    <w:rsid w:val="00505000"/>
    <w:rsid w:val="00505F35"/>
    <w:rsid w:val="00506243"/>
    <w:rsid w:val="0051007B"/>
    <w:rsid w:val="005109B4"/>
    <w:rsid w:val="00510FF3"/>
    <w:rsid w:val="0051101A"/>
    <w:rsid w:val="005110F6"/>
    <w:rsid w:val="005123B0"/>
    <w:rsid w:val="00512C46"/>
    <w:rsid w:val="005133F8"/>
    <w:rsid w:val="00516E05"/>
    <w:rsid w:val="0051736C"/>
    <w:rsid w:val="0051783C"/>
    <w:rsid w:val="00520213"/>
    <w:rsid w:val="00521398"/>
    <w:rsid w:val="005216F4"/>
    <w:rsid w:val="00521CF7"/>
    <w:rsid w:val="005230ED"/>
    <w:rsid w:val="005238A4"/>
    <w:rsid w:val="00523F17"/>
    <w:rsid w:val="005241CD"/>
    <w:rsid w:val="00524DC0"/>
    <w:rsid w:val="00525CF8"/>
    <w:rsid w:val="00527504"/>
    <w:rsid w:val="0052792F"/>
    <w:rsid w:val="00527D7D"/>
    <w:rsid w:val="00530019"/>
    <w:rsid w:val="00530C83"/>
    <w:rsid w:val="0053165F"/>
    <w:rsid w:val="005324E4"/>
    <w:rsid w:val="0053342C"/>
    <w:rsid w:val="00533A96"/>
    <w:rsid w:val="005355C1"/>
    <w:rsid w:val="005360E0"/>
    <w:rsid w:val="0053718C"/>
    <w:rsid w:val="00537E7F"/>
    <w:rsid w:val="0054056B"/>
    <w:rsid w:val="00541337"/>
    <w:rsid w:val="00541E82"/>
    <w:rsid w:val="00542409"/>
    <w:rsid w:val="0054258E"/>
    <w:rsid w:val="00543761"/>
    <w:rsid w:val="0054384F"/>
    <w:rsid w:val="005438A9"/>
    <w:rsid w:val="00543A5B"/>
    <w:rsid w:val="00544669"/>
    <w:rsid w:val="0054546A"/>
    <w:rsid w:val="00546F61"/>
    <w:rsid w:val="00547251"/>
    <w:rsid w:val="00550481"/>
    <w:rsid w:val="00550683"/>
    <w:rsid w:val="00551490"/>
    <w:rsid w:val="00551BCD"/>
    <w:rsid w:val="00551CEA"/>
    <w:rsid w:val="00552194"/>
    <w:rsid w:val="00552507"/>
    <w:rsid w:val="0055255E"/>
    <w:rsid w:val="00555A2D"/>
    <w:rsid w:val="0055608D"/>
    <w:rsid w:val="00556248"/>
    <w:rsid w:val="005567A5"/>
    <w:rsid w:val="005600B6"/>
    <w:rsid w:val="0056070C"/>
    <w:rsid w:val="0056129C"/>
    <w:rsid w:val="00561DE3"/>
    <w:rsid w:val="00562825"/>
    <w:rsid w:val="00562CB9"/>
    <w:rsid w:val="00563609"/>
    <w:rsid w:val="00563C9B"/>
    <w:rsid w:val="005651DF"/>
    <w:rsid w:val="0056536A"/>
    <w:rsid w:val="005669E9"/>
    <w:rsid w:val="00567C7B"/>
    <w:rsid w:val="005713D9"/>
    <w:rsid w:val="00573793"/>
    <w:rsid w:val="00573BFA"/>
    <w:rsid w:val="0057417D"/>
    <w:rsid w:val="00576042"/>
    <w:rsid w:val="00576110"/>
    <w:rsid w:val="00576136"/>
    <w:rsid w:val="00577870"/>
    <w:rsid w:val="0058030A"/>
    <w:rsid w:val="0058170B"/>
    <w:rsid w:val="00581D96"/>
    <w:rsid w:val="00584303"/>
    <w:rsid w:val="00584D60"/>
    <w:rsid w:val="0058516E"/>
    <w:rsid w:val="005851F3"/>
    <w:rsid w:val="00586659"/>
    <w:rsid w:val="00586D56"/>
    <w:rsid w:val="00587298"/>
    <w:rsid w:val="005904F0"/>
    <w:rsid w:val="00590CD1"/>
    <w:rsid w:val="00592D2A"/>
    <w:rsid w:val="0059415A"/>
    <w:rsid w:val="00594EC0"/>
    <w:rsid w:val="00594F8A"/>
    <w:rsid w:val="00595493"/>
    <w:rsid w:val="005A1204"/>
    <w:rsid w:val="005A2ABF"/>
    <w:rsid w:val="005A5F79"/>
    <w:rsid w:val="005A5F8B"/>
    <w:rsid w:val="005A72E5"/>
    <w:rsid w:val="005A7A1D"/>
    <w:rsid w:val="005A7AEA"/>
    <w:rsid w:val="005B06D3"/>
    <w:rsid w:val="005B0BE5"/>
    <w:rsid w:val="005B1CAE"/>
    <w:rsid w:val="005B214C"/>
    <w:rsid w:val="005B2527"/>
    <w:rsid w:val="005B2632"/>
    <w:rsid w:val="005B33BF"/>
    <w:rsid w:val="005B3815"/>
    <w:rsid w:val="005B4E15"/>
    <w:rsid w:val="005B5A7C"/>
    <w:rsid w:val="005B7348"/>
    <w:rsid w:val="005B79A8"/>
    <w:rsid w:val="005C0C02"/>
    <w:rsid w:val="005C0E14"/>
    <w:rsid w:val="005C14DC"/>
    <w:rsid w:val="005C21FF"/>
    <w:rsid w:val="005C3BA3"/>
    <w:rsid w:val="005C4719"/>
    <w:rsid w:val="005C486A"/>
    <w:rsid w:val="005C528A"/>
    <w:rsid w:val="005C53AD"/>
    <w:rsid w:val="005C5B8B"/>
    <w:rsid w:val="005C5C66"/>
    <w:rsid w:val="005C62AB"/>
    <w:rsid w:val="005C7C3E"/>
    <w:rsid w:val="005C7C54"/>
    <w:rsid w:val="005D0271"/>
    <w:rsid w:val="005D03FC"/>
    <w:rsid w:val="005D1EE1"/>
    <w:rsid w:val="005D2E94"/>
    <w:rsid w:val="005D32B9"/>
    <w:rsid w:val="005D3FF4"/>
    <w:rsid w:val="005D4094"/>
    <w:rsid w:val="005D4866"/>
    <w:rsid w:val="005D50B8"/>
    <w:rsid w:val="005E0B12"/>
    <w:rsid w:val="005E2911"/>
    <w:rsid w:val="005E3267"/>
    <w:rsid w:val="005E37AB"/>
    <w:rsid w:val="005E3CB5"/>
    <w:rsid w:val="005E645C"/>
    <w:rsid w:val="005E7A4E"/>
    <w:rsid w:val="005F0D9A"/>
    <w:rsid w:val="005F265C"/>
    <w:rsid w:val="005F328D"/>
    <w:rsid w:val="005F34DC"/>
    <w:rsid w:val="005F3DE4"/>
    <w:rsid w:val="005F3E1C"/>
    <w:rsid w:val="005F3F5F"/>
    <w:rsid w:val="005F472D"/>
    <w:rsid w:val="005F4F61"/>
    <w:rsid w:val="005F78D5"/>
    <w:rsid w:val="0060096E"/>
    <w:rsid w:val="00600A38"/>
    <w:rsid w:val="00600F75"/>
    <w:rsid w:val="006020B2"/>
    <w:rsid w:val="006026B5"/>
    <w:rsid w:val="00602AF5"/>
    <w:rsid w:val="00603A0D"/>
    <w:rsid w:val="00604420"/>
    <w:rsid w:val="00604D8B"/>
    <w:rsid w:val="0060572C"/>
    <w:rsid w:val="00605E01"/>
    <w:rsid w:val="00605FB4"/>
    <w:rsid w:val="00610392"/>
    <w:rsid w:val="006107B7"/>
    <w:rsid w:val="006130F4"/>
    <w:rsid w:val="00614329"/>
    <w:rsid w:val="006147E7"/>
    <w:rsid w:val="006148C0"/>
    <w:rsid w:val="0061506A"/>
    <w:rsid w:val="006156B1"/>
    <w:rsid w:val="00615D13"/>
    <w:rsid w:val="00615F86"/>
    <w:rsid w:val="00616603"/>
    <w:rsid w:val="00620A41"/>
    <w:rsid w:val="00621166"/>
    <w:rsid w:val="0062163B"/>
    <w:rsid w:val="00621C81"/>
    <w:rsid w:val="0062339E"/>
    <w:rsid w:val="00623D09"/>
    <w:rsid w:val="00623DFC"/>
    <w:rsid w:val="0062440C"/>
    <w:rsid w:val="00624524"/>
    <w:rsid w:val="0062472F"/>
    <w:rsid w:val="00625550"/>
    <w:rsid w:val="00626629"/>
    <w:rsid w:val="00627474"/>
    <w:rsid w:val="00627610"/>
    <w:rsid w:val="00630DA0"/>
    <w:rsid w:val="00632B09"/>
    <w:rsid w:val="00633555"/>
    <w:rsid w:val="00633D90"/>
    <w:rsid w:val="00633EC2"/>
    <w:rsid w:val="006347A2"/>
    <w:rsid w:val="00634E5B"/>
    <w:rsid w:val="00635711"/>
    <w:rsid w:val="00635DBA"/>
    <w:rsid w:val="00635EA4"/>
    <w:rsid w:val="00637445"/>
    <w:rsid w:val="00641F14"/>
    <w:rsid w:val="00642501"/>
    <w:rsid w:val="0064308A"/>
    <w:rsid w:val="00643FD1"/>
    <w:rsid w:val="00644099"/>
    <w:rsid w:val="00644E89"/>
    <w:rsid w:val="00645F55"/>
    <w:rsid w:val="00646A25"/>
    <w:rsid w:val="006476B7"/>
    <w:rsid w:val="006510E8"/>
    <w:rsid w:val="006516DC"/>
    <w:rsid w:val="00651C53"/>
    <w:rsid w:val="0065308D"/>
    <w:rsid w:val="00654004"/>
    <w:rsid w:val="0065443A"/>
    <w:rsid w:val="006600B9"/>
    <w:rsid w:val="0066164D"/>
    <w:rsid w:val="00661C1D"/>
    <w:rsid w:val="00661D5F"/>
    <w:rsid w:val="00662E06"/>
    <w:rsid w:val="00662FB6"/>
    <w:rsid w:val="00663CF3"/>
    <w:rsid w:val="00664193"/>
    <w:rsid w:val="006647FA"/>
    <w:rsid w:val="00664E12"/>
    <w:rsid w:val="0066518D"/>
    <w:rsid w:val="006653DB"/>
    <w:rsid w:val="00666349"/>
    <w:rsid w:val="006665F2"/>
    <w:rsid w:val="00666FE8"/>
    <w:rsid w:val="006671DE"/>
    <w:rsid w:val="006704EB"/>
    <w:rsid w:val="0067089D"/>
    <w:rsid w:val="00671C63"/>
    <w:rsid w:val="006723D5"/>
    <w:rsid w:val="006726D4"/>
    <w:rsid w:val="0067287C"/>
    <w:rsid w:val="00672D10"/>
    <w:rsid w:val="006733E5"/>
    <w:rsid w:val="006736C1"/>
    <w:rsid w:val="00674496"/>
    <w:rsid w:val="00674497"/>
    <w:rsid w:val="006744CD"/>
    <w:rsid w:val="0067499E"/>
    <w:rsid w:val="006756EF"/>
    <w:rsid w:val="00676BD2"/>
    <w:rsid w:val="00677784"/>
    <w:rsid w:val="0068018B"/>
    <w:rsid w:val="00680B45"/>
    <w:rsid w:val="006810F1"/>
    <w:rsid w:val="00681A38"/>
    <w:rsid w:val="00681D83"/>
    <w:rsid w:val="00682F92"/>
    <w:rsid w:val="006847D7"/>
    <w:rsid w:val="006856B6"/>
    <w:rsid w:val="0068609C"/>
    <w:rsid w:val="00686B0B"/>
    <w:rsid w:val="0068706D"/>
    <w:rsid w:val="006874D8"/>
    <w:rsid w:val="00687F19"/>
    <w:rsid w:val="00690638"/>
    <w:rsid w:val="00691076"/>
    <w:rsid w:val="00691098"/>
    <w:rsid w:val="00691980"/>
    <w:rsid w:val="00693E86"/>
    <w:rsid w:val="00694648"/>
    <w:rsid w:val="0069481D"/>
    <w:rsid w:val="00694B5F"/>
    <w:rsid w:val="00694C91"/>
    <w:rsid w:val="00695104"/>
    <w:rsid w:val="00696109"/>
    <w:rsid w:val="00696144"/>
    <w:rsid w:val="00696684"/>
    <w:rsid w:val="00696B27"/>
    <w:rsid w:val="006A10C7"/>
    <w:rsid w:val="006A10D8"/>
    <w:rsid w:val="006A10EF"/>
    <w:rsid w:val="006A1B03"/>
    <w:rsid w:val="006A2518"/>
    <w:rsid w:val="006A39AF"/>
    <w:rsid w:val="006A40CB"/>
    <w:rsid w:val="006A46F3"/>
    <w:rsid w:val="006A5308"/>
    <w:rsid w:val="006A577F"/>
    <w:rsid w:val="006A6B2B"/>
    <w:rsid w:val="006A753C"/>
    <w:rsid w:val="006B0351"/>
    <w:rsid w:val="006B0578"/>
    <w:rsid w:val="006B2A74"/>
    <w:rsid w:val="006B2C55"/>
    <w:rsid w:val="006B32A5"/>
    <w:rsid w:val="006B5339"/>
    <w:rsid w:val="006B5367"/>
    <w:rsid w:val="006B54DA"/>
    <w:rsid w:val="006B5D9B"/>
    <w:rsid w:val="006B5EF9"/>
    <w:rsid w:val="006B66C8"/>
    <w:rsid w:val="006B705F"/>
    <w:rsid w:val="006B7579"/>
    <w:rsid w:val="006B7FDD"/>
    <w:rsid w:val="006C012F"/>
    <w:rsid w:val="006C05A8"/>
    <w:rsid w:val="006C0731"/>
    <w:rsid w:val="006C1DF0"/>
    <w:rsid w:val="006C5277"/>
    <w:rsid w:val="006C61AA"/>
    <w:rsid w:val="006C6996"/>
    <w:rsid w:val="006D2000"/>
    <w:rsid w:val="006D3D6F"/>
    <w:rsid w:val="006D5E67"/>
    <w:rsid w:val="006D6704"/>
    <w:rsid w:val="006D693D"/>
    <w:rsid w:val="006E06DF"/>
    <w:rsid w:val="006E08DB"/>
    <w:rsid w:val="006E13F6"/>
    <w:rsid w:val="006E17C0"/>
    <w:rsid w:val="006E188C"/>
    <w:rsid w:val="006E190E"/>
    <w:rsid w:val="006E19E5"/>
    <w:rsid w:val="006E1FBF"/>
    <w:rsid w:val="006E37EA"/>
    <w:rsid w:val="006E3D4E"/>
    <w:rsid w:val="006E49ED"/>
    <w:rsid w:val="006E5612"/>
    <w:rsid w:val="006E56B3"/>
    <w:rsid w:val="006E6620"/>
    <w:rsid w:val="006E7385"/>
    <w:rsid w:val="006E7B1E"/>
    <w:rsid w:val="006F0A3E"/>
    <w:rsid w:val="006F1BBF"/>
    <w:rsid w:val="006F20E6"/>
    <w:rsid w:val="006F258F"/>
    <w:rsid w:val="006F2DED"/>
    <w:rsid w:val="006F3ACD"/>
    <w:rsid w:val="006F3E63"/>
    <w:rsid w:val="006F46C4"/>
    <w:rsid w:val="006F62AF"/>
    <w:rsid w:val="006F7536"/>
    <w:rsid w:val="0070173D"/>
    <w:rsid w:val="0070339D"/>
    <w:rsid w:val="007033FB"/>
    <w:rsid w:val="007040AD"/>
    <w:rsid w:val="00705C81"/>
    <w:rsid w:val="00705D76"/>
    <w:rsid w:val="0070660A"/>
    <w:rsid w:val="007068A4"/>
    <w:rsid w:val="00707CF0"/>
    <w:rsid w:val="00707F3F"/>
    <w:rsid w:val="00711531"/>
    <w:rsid w:val="00712C7E"/>
    <w:rsid w:val="00712D53"/>
    <w:rsid w:val="007132EF"/>
    <w:rsid w:val="007136B0"/>
    <w:rsid w:val="00714D93"/>
    <w:rsid w:val="00716395"/>
    <w:rsid w:val="00716C51"/>
    <w:rsid w:val="00716CC4"/>
    <w:rsid w:val="00716E17"/>
    <w:rsid w:val="007176FE"/>
    <w:rsid w:val="0071790B"/>
    <w:rsid w:val="00717D6B"/>
    <w:rsid w:val="00721CC5"/>
    <w:rsid w:val="00721D24"/>
    <w:rsid w:val="00722543"/>
    <w:rsid w:val="007230A0"/>
    <w:rsid w:val="00723224"/>
    <w:rsid w:val="0072329B"/>
    <w:rsid w:val="00723C85"/>
    <w:rsid w:val="00725FB7"/>
    <w:rsid w:val="00726199"/>
    <w:rsid w:val="007272AF"/>
    <w:rsid w:val="007272F7"/>
    <w:rsid w:val="00730B1B"/>
    <w:rsid w:val="007312DA"/>
    <w:rsid w:val="0073162E"/>
    <w:rsid w:val="00731D13"/>
    <w:rsid w:val="00732771"/>
    <w:rsid w:val="007349FD"/>
    <w:rsid w:val="00734A42"/>
    <w:rsid w:val="00737C5E"/>
    <w:rsid w:val="00737D64"/>
    <w:rsid w:val="00740DCB"/>
    <w:rsid w:val="007424E4"/>
    <w:rsid w:val="00742777"/>
    <w:rsid w:val="00742D47"/>
    <w:rsid w:val="00743AB1"/>
    <w:rsid w:val="00743E21"/>
    <w:rsid w:val="0074550E"/>
    <w:rsid w:val="00745A35"/>
    <w:rsid w:val="00745A48"/>
    <w:rsid w:val="00745B06"/>
    <w:rsid w:val="00745C40"/>
    <w:rsid w:val="007471FA"/>
    <w:rsid w:val="00747369"/>
    <w:rsid w:val="007473D8"/>
    <w:rsid w:val="00747C72"/>
    <w:rsid w:val="007500CF"/>
    <w:rsid w:val="00750850"/>
    <w:rsid w:val="00750D66"/>
    <w:rsid w:val="00751160"/>
    <w:rsid w:val="00752854"/>
    <w:rsid w:val="007535AE"/>
    <w:rsid w:val="00754C61"/>
    <w:rsid w:val="00754F7F"/>
    <w:rsid w:val="00755347"/>
    <w:rsid w:val="00755C51"/>
    <w:rsid w:val="00755C99"/>
    <w:rsid w:val="00756853"/>
    <w:rsid w:val="007568B6"/>
    <w:rsid w:val="007571A1"/>
    <w:rsid w:val="00757DCD"/>
    <w:rsid w:val="00760288"/>
    <w:rsid w:val="00760490"/>
    <w:rsid w:val="00760A2B"/>
    <w:rsid w:val="007618D8"/>
    <w:rsid w:val="0076208F"/>
    <w:rsid w:val="007625DB"/>
    <w:rsid w:val="00762EF7"/>
    <w:rsid w:val="00763199"/>
    <w:rsid w:val="0076430C"/>
    <w:rsid w:val="00764A1D"/>
    <w:rsid w:val="00764DD4"/>
    <w:rsid w:val="00764F2B"/>
    <w:rsid w:val="00765C55"/>
    <w:rsid w:val="007666F9"/>
    <w:rsid w:val="007709DA"/>
    <w:rsid w:val="00770ABF"/>
    <w:rsid w:val="00770BAD"/>
    <w:rsid w:val="007719B5"/>
    <w:rsid w:val="00771D46"/>
    <w:rsid w:val="00772869"/>
    <w:rsid w:val="00772C02"/>
    <w:rsid w:val="00772F8D"/>
    <w:rsid w:val="00773132"/>
    <w:rsid w:val="00773831"/>
    <w:rsid w:val="00773B01"/>
    <w:rsid w:val="00774875"/>
    <w:rsid w:val="00774E2D"/>
    <w:rsid w:val="00774F6E"/>
    <w:rsid w:val="007802A7"/>
    <w:rsid w:val="00780F12"/>
    <w:rsid w:val="007813CF"/>
    <w:rsid w:val="0078213C"/>
    <w:rsid w:val="0078237E"/>
    <w:rsid w:val="00782936"/>
    <w:rsid w:val="0078381E"/>
    <w:rsid w:val="007844C8"/>
    <w:rsid w:val="0078470F"/>
    <w:rsid w:val="007855F1"/>
    <w:rsid w:val="00785690"/>
    <w:rsid w:val="007903F8"/>
    <w:rsid w:val="00790432"/>
    <w:rsid w:val="007904B9"/>
    <w:rsid w:val="007907E1"/>
    <w:rsid w:val="00790808"/>
    <w:rsid w:val="00790FA5"/>
    <w:rsid w:val="00791822"/>
    <w:rsid w:val="007930D5"/>
    <w:rsid w:val="007936DC"/>
    <w:rsid w:val="007936EA"/>
    <w:rsid w:val="007971A4"/>
    <w:rsid w:val="007974FA"/>
    <w:rsid w:val="00797555"/>
    <w:rsid w:val="00797F1D"/>
    <w:rsid w:val="007A0AC9"/>
    <w:rsid w:val="007A1FAF"/>
    <w:rsid w:val="007A2F88"/>
    <w:rsid w:val="007A3752"/>
    <w:rsid w:val="007A38B9"/>
    <w:rsid w:val="007A427A"/>
    <w:rsid w:val="007A45AA"/>
    <w:rsid w:val="007A4B5E"/>
    <w:rsid w:val="007A59E3"/>
    <w:rsid w:val="007A5F57"/>
    <w:rsid w:val="007A6174"/>
    <w:rsid w:val="007A6A9E"/>
    <w:rsid w:val="007A7059"/>
    <w:rsid w:val="007B13EC"/>
    <w:rsid w:val="007B233C"/>
    <w:rsid w:val="007B2825"/>
    <w:rsid w:val="007B31B9"/>
    <w:rsid w:val="007B462B"/>
    <w:rsid w:val="007B57F4"/>
    <w:rsid w:val="007B78B0"/>
    <w:rsid w:val="007B7E15"/>
    <w:rsid w:val="007C0309"/>
    <w:rsid w:val="007C03E0"/>
    <w:rsid w:val="007C0935"/>
    <w:rsid w:val="007C1BF5"/>
    <w:rsid w:val="007C1F01"/>
    <w:rsid w:val="007C27E1"/>
    <w:rsid w:val="007C31F9"/>
    <w:rsid w:val="007C3DE6"/>
    <w:rsid w:val="007C4012"/>
    <w:rsid w:val="007C460F"/>
    <w:rsid w:val="007C49DF"/>
    <w:rsid w:val="007C4CB0"/>
    <w:rsid w:val="007C57AA"/>
    <w:rsid w:val="007D2649"/>
    <w:rsid w:val="007D269D"/>
    <w:rsid w:val="007D3189"/>
    <w:rsid w:val="007D4838"/>
    <w:rsid w:val="007D51D1"/>
    <w:rsid w:val="007D548E"/>
    <w:rsid w:val="007D6896"/>
    <w:rsid w:val="007D7E77"/>
    <w:rsid w:val="007E022F"/>
    <w:rsid w:val="007E0419"/>
    <w:rsid w:val="007E0A1D"/>
    <w:rsid w:val="007E19D9"/>
    <w:rsid w:val="007E3F20"/>
    <w:rsid w:val="007E4803"/>
    <w:rsid w:val="007E4E45"/>
    <w:rsid w:val="007E61C8"/>
    <w:rsid w:val="007E62E8"/>
    <w:rsid w:val="007E6894"/>
    <w:rsid w:val="007E7E6F"/>
    <w:rsid w:val="007F0E76"/>
    <w:rsid w:val="007F1A84"/>
    <w:rsid w:val="007F411B"/>
    <w:rsid w:val="007F4373"/>
    <w:rsid w:val="007F5CC6"/>
    <w:rsid w:val="007F5DA7"/>
    <w:rsid w:val="007F6DD8"/>
    <w:rsid w:val="007F7A3F"/>
    <w:rsid w:val="00800E1B"/>
    <w:rsid w:val="008011CA"/>
    <w:rsid w:val="00802115"/>
    <w:rsid w:val="0080297F"/>
    <w:rsid w:val="00802AEB"/>
    <w:rsid w:val="00804AA7"/>
    <w:rsid w:val="008050D4"/>
    <w:rsid w:val="00805C97"/>
    <w:rsid w:val="00807409"/>
    <w:rsid w:val="00810D7D"/>
    <w:rsid w:val="0081224C"/>
    <w:rsid w:val="008122F0"/>
    <w:rsid w:val="0081255C"/>
    <w:rsid w:val="008130BC"/>
    <w:rsid w:val="008139AE"/>
    <w:rsid w:val="00814482"/>
    <w:rsid w:val="00814613"/>
    <w:rsid w:val="00815814"/>
    <w:rsid w:val="0081713C"/>
    <w:rsid w:val="00817A3E"/>
    <w:rsid w:val="00817E38"/>
    <w:rsid w:val="008203A0"/>
    <w:rsid w:val="0082098C"/>
    <w:rsid w:val="00821049"/>
    <w:rsid w:val="008221ED"/>
    <w:rsid w:val="0082324A"/>
    <w:rsid w:val="00823410"/>
    <w:rsid w:val="00823934"/>
    <w:rsid w:val="00823C0E"/>
    <w:rsid w:val="00825C04"/>
    <w:rsid w:val="00825FD1"/>
    <w:rsid w:val="0082732D"/>
    <w:rsid w:val="00827D38"/>
    <w:rsid w:val="00830D77"/>
    <w:rsid w:val="00833F56"/>
    <w:rsid w:val="00834226"/>
    <w:rsid w:val="00835041"/>
    <w:rsid w:val="00835338"/>
    <w:rsid w:val="00837C25"/>
    <w:rsid w:val="00837CF8"/>
    <w:rsid w:val="0084055A"/>
    <w:rsid w:val="008409F6"/>
    <w:rsid w:val="00841666"/>
    <w:rsid w:val="0084180C"/>
    <w:rsid w:val="00842054"/>
    <w:rsid w:val="00842DBE"/>
    <w:rsid w:val="00843E13"/>
    <w:rsid w:val="00844277"/>
    <w:rsid w:val="00844DE2"/>
    <w:rsid w:val="00844E9F"/>
    <w:rsid w:val="008477BC"/>
    <w:rsid w:val="008477D1"/>
    <w:rsid w:val="008500B8"/>
    <w:rsid w:val="00853B3C"/>
    <w:rsid w:val="00853BF2"/>
    <w:rsid w:val="008579B9"/>
    <w:rsid w:val="00857D81"/>
    <w:rsid w:val="00860125"/>
    <w:rsid w:val="00860281"/>
    <w:rsid w:val="00864DFD"/>
    <w:rsid w:val="00864EE5"/>
    <w:rsid w:val="0086594A"/>
    <w:rsid w:val="008659FF"/>
    <w:rsid w:val="00870BED"/>
    <w:rsid w:val="00871639"/>
    <w:rsid w:val="008722A9"/>
    <w:rsid w:val="00872B76"/>
    <w:rsid w:val="00874032"/>
    <w:rsid w:val="008742D4"/>
    <w:rsid w:val="00875160"/>
    <w:rsid w:val="00877038"/>
    <w:rsid w:val="00877D18"/>
    <w:rsid w:val="0088034E"/>
    <w:rsid w:val="0088059E"/>
    <w:rsid w:val="00880A20"/>
    <w:rsid w:val="00881014"/>
    <w:rsid w:val="00881613"/>
    <w:rsid w:val="008819D7"/>
    <w:rsid w:val="00882328"/>
    <w:rsid w:val="00882CE4"/>
    <w:rsid w:val="008842B3"/>
    <w:rsid w:val="00884581"/>
    <w:rsid w:val="008848A4"/>
    <w:rsid w:val="00885487"/>
    <w:rsid w:val="0088623C"/>
    <w:rsid w:val="00887001"/>
    <w:rsid w:val="008875EC"/>
    <w:rsid w:val="008876A1"/>
    <w:rsid w:val="00887A30"/>
    <w:rsid w:val="0089204A"/>
    <w:rsid w:val="008925C1"/>
    <w:rsid w:val="00892823"/>
    <w:rsid w:val="00892E73"/>
    <w:rsid w:val="00893590"/>
    <w:rsid w:val="00893596"/>
    <w:rsid w:val="00893C65"/>
    <w:rsid w:val="008946D9"/>
    <w:rsid w:val="00894794"/>
    <w:rsid w:val="0089578A"/>
    <w:rsid w:val="00895FEA"/>
    <w:rsid w:val="00896309"/>
    <w:rsid w:val="00896CB1"/>
    <w:rsid w:val="00896D30"/>
    <w:rsid w:val="008973DD"/>
    <w:rsid w:val="008977E0"/>
    <w:rsid w:val="00897C4E"/>
    <w:rsid w:val="008A084B"/>
    <w:rsid w:val="008A0BEC"/>
    <w:rsid w:val="008A1976"/>
    <w:rsid w:val="008A3A8C"/>
    <w:rsid w:val="008A44AB"/>
    <w:rsid w:val="008A5646"/>
    <w:rsid w:val="008A60BD"/>
    <w:rsid w:val="008A646C"/>
    <w:rsid w:val="008A6591"/>
    <w:rsid w:val="008A68A6"/>
    <w:rsid w:val="008A6CCF"/>
    <w:rsid w:val="008A7BCB"/>
    <w:rsid w:val="008B0347"/>
    <w:rsid w:val="008B20D8"/>
    <w:rsid w:val="008B2C6E"/>
    <w:rsid w:val="008B37D1"/>
    <w:rsid w:val="008B4609"/>
    <w:rsid w:val="008B4713"/>
    <w:rsid w:val="008B4CFE"/>
    <w:rsid w:val="008B6593"/>
    <w:rsid w:val="008B7D9A"/>
    <w:rsid w:val="008C0275"/>
    <w:rsid w:val="008C06ED"/>
    <w:rsid w:val="008C1255"/>
    <w:rsid w:val="008C2893"/>
    <w:rsid w:val="008C2B3A"/>
    <w:rsid w:val="008C2DDF"/>
    <w:rsid w:val="008C382F"/>
    <w:rsid w:val="008C4945"/>
    <w:rsid w:val="008C594C"/>
    <w:rsid w:val="008C59D3"/>
    <w:rsid w:val="008C6AC6"/>
    <w:rsid w:val="008C6DBE"/>
    <w:rsid w:val="008D049E"/>
    <w:rsid w:val="008D08B1"/>
    <w:rsid w:val="008D1ADD"/>
    <w:rsid w:val="008D33DB"/>
    <w:rsid w:val="008D3CBB"/>
    <w:rsid w:val="008D489B"/>
    <w:rsid w:val="008D5020"/>
    <w:rsid w:val="008D6086"/>
    <w:rsid w:val="008D6221"/>
    <w:rsid w:val="008D6FA8"/>
    <w:rsid w:val="008E0008"/>
    <w:rsid w:val="008E0A7B"/>
    <w:rsid w:val="008E111A"/>
    <w:rsid w:val="008E1189"/>
    <w:rsid w:val="008E1259"/>
    <w:rsid w:val="008E265B"/>
    <w:rsid w:val="008E31C0"/>
    <w:rsid w:val="008E3C48"/>
    <w:rsid w:val="008E3C68"/>
    <w:rsid w:val="008E4E76"/>
    <w:rsid w:val="008E5C69"/>
    <w:rsid w:val="008E65EC"/>
    <w:rsid w:val="008E6792"/>
    <w:rsid w:val="008E7021"/>
    <w:rsid w:val="008E7ED9"/>
    <w:rsid w:val="008F0C15"/>
    <w:rsid w:val="008F1365"/>
    <w:rsid w:val="008F1512"/>
    <w:rsid w:val="008F1903"/>
    <w:rsid w:val="008F28AA"/>
    <w:rsid w:val="008F385E"/>
    <w:rsid w:val="008F5A54"/>
    <w:rsid w:val="008F5C39"/>
    <w:rsid w:val="008F5D8C"/>
    <w:rsid w:val="008F63D2"/>
    <w:rsid w:val="008F6C65"/>
    <w:rsid w:val="00900279"/>
    <w:rsid w:val="009009D3"/>
    <w:rsid w:val="0090149D"/>
    <w:rsid w:val="00901BC8"/>
    <w:rsid w:val="009027B1"/>
    <w:rsid w:val="00902A61"/>
    <w:rsid w:val="00902D57"/>
    <w:rsid w:val="00903801"/>
    <w:rsid w:val="009041D4"/>
    <w:rsid w:val="00905320"/>
    <w:rsid w:val="00905904"/>
    <w:rsid w:val="00906B8F"/>
    <w:rsid w:val="00907CB6"/>
    <w:rsid w:val="009100A1"/>
    <w:rsid w:val="009102B6"/>
    <w:rsid w:val="009102F3"/>
    <w:rsid w:val="009106B7"/>
    <w:rsid w:val="00910D50"/>
    <w:rsid w:val="0091102A"/>
    <w:rsid w:val="009113B6"/>
    <w:rsid w:val="009119E7"/>
    <w:rsid w:val="009131EA"/>
    <w:rsid w:val="00913747"/>
    <w:rsid w:val="00913E62"/>
    <w:rsid w:val="00914157"/>
    <w:rsid w:val="00914B70"/>
    <w:rsid w:val="00914D00"/>
    <w:rsid w:val="00916340"/>
    <w:rsid w:val="00917B17"/>
    <w:rsid w:val="00920CBB"/>
    <w:rsid w:val="009215B3"/>
    <w:rsid w:val="0092176E"/>
    <w:rsid w:val="00921771"/>
    <w:rsid w:val="00921855"/>
    <w:rsid w:val="00923804"/>
    <w:rsid w:val="009239A8"/>
    <w:rsid w:val="00924006"/>
    <w:rsid w:val="009250CC"/>
    <w:rsid w:val="009250E4"/>
    <w:rsid w:val="00925B70"/>
    <w:rsid w:val="00925D5A"/>
    <w:rsid w:val="009263DA"/>
    <w:rsid w:val="009269D9"/>
    <w:rsid w:val="00927530"/>
    <w:rsid w:val="0093028F"/>
    <w:rsid w:val="009311BF"/>
    <w:rsid w:val="00931895"/>
    <w:rsid w:val="009339B3"/>
    <w:rsid w:val="00934DF3"/>
    <w:rsid w:val="00934ED4"/>
    <w:rsid w:val="009359C1"/>
    <w:rsid w:val="00936246"/>
    <w:rsid w:val="00936BB8"/>
    <w:rsid w:val="00937A5C"/>
    <w:rsid w:val="009407CC"/>
    <w:rsid w:val="0094119C"/>
    <w:rsid w:val="00941460"/>
    <w:rsid w:val="009416A8"/>
    <w:rsid w:val="009422E8"/>
    <w:rsid w:val="00943EB7"/>
    <w:rsid w:val="00944BB1"/>
    <w:rsid w:val="00947807"/>
    <w:rsid w:val="00947CF9"/>
    <w:rsid w:val="00951727"/>
    <w:rsid w:val="00951F8F"/>
    <w:rsid w:val="00954165"/>
    <w:rsid w:val="00955535"/>
    <w:rsid w:val="00955EEC"/>
    <w:rsid w:val="00956106"/>
    <w:rsid w:val="009568E6"/>
    <w:rsid w:val="0095690D"/>
    <w:rsid w:val="00960C65"/>
    <w:rsid w:val="00960CD9"/>
    <w:rsid w:val="00960E15"/>
    <w:rsid w:val="009615D9"/>
    <w:rsid w:val="00961831"/>
    <w:rsid w:val="0096221C"/>
    <w:rsid w:val="00962495"/>
    <w:rsid w:val="009647EF"/>
    <w:rsid w:val="009670ED"/>
    <w:rsid w:val="00967352"/>
    <w:rsid w:val="00967700"/>
    <w:rsid w:val="0096771D"/>
    <w:rsid w:val="00967DB9"/>
    <w:rsid w:val="00970120"/>
    <w:rsid w:val="00970E0E"/>
    <w:rsid w:val="00971384"/>
    <w:rsid w:val="00971916"/>
    <w:rsid w:val="00971EAA"/>
    <w:rsid w:val="00972013"/>
    <w:rsid w:val="00973749"/>
    <w:rsid w:val="00974546"/>
    <w:rsid w:val="0097537A"/>
    <w:rsid w:val="00975419"/>
    <w:rsid w:val="00975464"/>
    <w:rsid w:val="00975672"/>
    <w:rsid w:val="0097685F"/>
    <w:rsid w:val="0098056A"/>
    <w:rsid w:val="009806FE"/>
    <w:rsid w:val="009816D9"/>
    <w:rsid w:val="009818C1"/>
    <w:rsid w:val="00981A95"/>
    <w:rsid w:val="00981D12"/>
    <w:rsid w:val="00983221"/>
    <w:rsid w:val="0098329F"/>
    <w:rsid w:val="00984000"/>
    <w:rsid w:val="009843FC"/>
    <w:rsid w:val="00985ECF"/>
    <w:rsid w:val="00986A3E"/>
    <w:rsid w:val="009870C7"/>
    <w:rsid w:val="009902FB"/>
    <w:rsid w:val="0099063B"/>
    <w:rsid w:val="0099116A"/>
    <w:rsid w:val="00991417"/>
    <w:rsid w:val="00991503"/>
    <w:rsid w:val="00992311"/>
    <w:rsid w:val="0099271E"/>
    <w:rsid w:val="00992C09"/>
    <w:rsid w:val="00993279"/>
    <w:rsid w:val="00993604"/>
    <w:rsid w:val="00994FDE"/>
    <w:rsid w:val="00995928"/>
    <w:rsid w:val="00995F70"/>
    <w:rsid w:val="009964C4"/>
    <w:rsid w:val="009968A9"/>
    <w:rsid w:val="00997029"/>
    <w:rsid w:val="009973BB"/>
    <w:rsid w:val="009979EA"/>
    <w:rsid w:val="009A01DD"/>
    <w:rsid w:val="009A0E02"/>
    <w:rsid w:val="009A28C4"/>
    <w:rsid w:val="009A36FE"/>
    <w:rsid w:val="009A4126"/>
    <w:rsid w:val="009A48AF"/>
    <w:rsid w:val="009A6664"/>
    <w:rsid w:val="009A786A"/>
    <w:rsid w:val="009B15F0"/>
    <w:rsid w:val="009B1E7B"/>
    <w:rsid w:val="009B20FF"/>
    <w:rsid w:val="009B2A02"/>
    <w:rsid w:val="009B2A70"/>
    <w:rsid w:val="009B572B"/>
    <w:rsid w:val="009B5D14"/>
    <w:rsid w:val="009B6080"/>
    <w:rsid w:val="009B695D"/>
    <w:rsid w:val="009B71DA"/>
    <w:rsid w:val="009B756F"/>
    <w:rsid w:val="009C0D73"/>
    <w:rsid w:val="009C11A8"/>
    <w:rsid w:val="009C3E8F"/>
    <w:rsid w:val="009C44D2"/>
    <w:rsid w:val="009C4DA6"/>
    <w:rsid w:val="009C514B"/>
    <w:rsid w:val="009C52C5"/>
    <w:rsid w:val="009C7253"/>
    <w:rsid w:val="009C796C"/>
    <w:rsid w:val="009C7D7A"/>
    <w:rsid w:val="009C7D96"/>
    <w:rsid w:val="009D176A"/>
    <w:rsid w:val="009D256C"/>
    <w:rsid w:val="009D39E9"/>
    <w:rsid w:val="009D3A7E"/>
    <w:rsid w:val="009D406F"/>
    <w:rsid w:val="009D46A1"/>
    <w:rsid w:val="009D4A03"/>
    <w:rsid w:val="009D506D"/>
    <w:rsid w:val="009D5FBF"/>
    <w:rsid w:val="009E1C4C"/>
    <w:rsid w:val="009E2240"/>
    <w:rsid w:val="009E29A8"/>
    <w:rsid w:val="009E3E09"/>
    <w:rsid w:val="009E4001"/>
    <w:rsid w:val="009E48CC"/>
    <w:rsid w:val="009E5B01"/>
    <w:rsid w:val="009F0055"/>
    <w:rsid w:val="009F113B"/>
    <w:rsid w:val="009F2064"/>
    <w:rsid w:val="009F2164"/>
    <w:rsid w:val="009F2CF8"/>
    <w:rsid w:val="009F33CE"/>
    <w:rsid w:val="009F3D24"/>
    <w:rsid w:val="009F3E85"/>
    <w:rsid w:val="009F4552"/>
    <w:rsid w:val="009F5866"/>
    <w:rsid w:val="009F587C"/>
    <w:rsid w:val="009F628B"/>
    <w:rsid w:val="009F6D38"/>
    <w:rsid w:val="009F70D5"/>
    <w:rsid w:val="00A01176"/>
    <w:rsid w:val="00A02C34"/>
    <w:rsid w:val="00A03F0D"/>
    <w:rsid w:val="00A0458E"/>
    <w:rsid w:val="00A04F33"/>
    <w:rsid w:val="00A0612A"/>
    <w:rsid w:val="00A070EA"/>
    <w:rsid w:val="00A0748F"/>
    <w:rsid w:val="00A0753F"/>
    <w:rsid w:val="00A07754"/>
    <w:rsid w:val="00A10C44"/>
    <w:rsid w:val="00A10F8C"/>
    <w:rsid w:val="00A117A1"/>
    <w:rsid w:val="00A11FFF"/>
    <w:rsid w:val="00A12A65"/>
    <w:rsid w:val="00A12B90"/>
    <w:rsid w:val="00A12DA2"/>
    <w:rsid w:val="00A13A72"/>
    <w:rsid w:val="00A15A35"/>
    <w:rsid w:val="00A16338"/>
    <w:rsid w:val="00A168AC"/>
    <w:rsid w:val="00A20282"/>
    <w:rsid w:val="00A202C8"/>
    <w:rsid w:val="00A202D9"/>
    <w:rsid w:val="00A208DF"/>
    <w:rsid w:val="00A2121E"/>
    <w:rsid w:val="00A21AA1"/>
    <w:rsid w:val="00A21C4D"/>
    <w:rsid w:val="00A21C7D"/>
    <w:rsid w:val="00A223FD"/>
    <w:rsid w:val="00A22490"/>
    <w:rsid w:val="00A22EC8"/>
    <w:rsid w:val="00A2338A"/>
    <w:rsid w:val="00A24C2E"/>
    <w:rsid w:val="00A25559"/>
    <w:rsid w:val="00A25C50"/>
    <w:rsid w:val="00A2784A"/>
    <w:rsid w:val="00A27CB5"/>
    <w:rsid w:val="00A3003E"/>
    <w:rsid w:val="00A3093E"/>
    <w:rsid w:val="00A3095C"/>
    <w:rsid w:val="00A30CD0"/>
    <w:rsid w:val="00A312FE"/>
    <w:rsid w:val="00A3196C"/>
    <w:rsid w:val="00A31CD2"/>
    <w:rsid w:val="00A31CD8"/>
    <w:rsid w:val="00A328EB"/>
    <w:rsid w:val="00A32B6C"/>
    <w:rsid w:val="00A33D86"/>
    <w:rsid w:val="00A34848"/>
    <w:rsid w:val="00A34E38"/>
    <w:rsid w:val="00A35020"/>
    <w:rsid w:val="00A35F68"/>
    <w:rsid w:val="00A3734F"/>
    <w:rsid w:val="00A374B9"/>
    <w:rsid w:val="00A37FDE"/>
    <w:rsid w:val="00A40184"/>
    <w:rsid w:val="00A4065C"/>
    <w:rsid w:val="00A4174E"/>
    <w:rsid w:val="00A41B9C"/>
    <w:rsid w:val="00A42695"/>
    <w:rsid w:val="00A42D81"/>
    <w:rsid w:val="00A443A9"/>
    <w:rsid w:val="00A444D0"/>
    <w:rsid w:val="00A44AC4"/>
    <w:rsid w:val="00A450FD"/>
    <w:rsid w:val="00A45114"/>
    <w:rsid w:val="00A45AC9"/>
    <w:rsid w:val="00A4620E"/>
    <w:rsid w:val="00A467FD"/>
    <w:rsid w:val="00A46894"/>
    <w:rsid w:val="00A501B7"/>
    <w:rsid w:val="00A50BD4"/>
    <w:rsid w:val="00A516DD"/>
    <w:rsid w:val="00A51E34"/>
    <w:rsid w:val="00A52588"/>
    <w:rsid w:val="00A566D5"/>
    <w:rsid w:val="00A567D2"/>
    <w:rsid w:val="00A572A2"/>
    <w:rsid w:val="00A6010A"/>
    <w:rsid w:val="00A605F8"/>
    <w:rsid w:val="00A60EE0"/>
    <w:rsid w:val="00A61456"/>
    <w:rsid w:val="00A6193F"/>
    <w:rsid w:val="00A629C1"/>
    <w:rsid w:val="00A62A44"/>
    <w:rsid w:val="00A62B99"/>
    <w:rsid w:val="00A632EB"/>
    <w:rsid w:val="00A632FE"/>
    <w:rsid w:val="00A63AD6"/>
    <w:rsid w:val="00A64448"/>
    <w:rsid w:val="00A64BD8"/>
    <w:rsid w:val="00A64FBA"/>
    <w:rsid w:val="00A64FCD"/>
    <w:rsid w:val="00A659F2"/>
    <w:rsid w:val="00A65BEE"/>
    <w:rsid w:val="00A67496"/>
    <w:rsid w:val="00A67AF8"/>
    <w:rsid w:val="00A705DC"/>
    <w:rsid w:val="00A70F7E"/>
    <w:rsid w:val="00A71179"/>
    <w:rsid w:val="00A715E1"/>
    <w:rsid w:val="00A71CD7"/>
    <w:rsid w:val="00A72559"/>
    <w:rsid w:val="00A72866"/>
    <w:rsid w:val="00A75B6D"/>
    <w:rsid w:val="00A75FDF"/>
    <w:rsid w:val="00A76242"/>
    <w:rsid w:val="00A76347"/>
    <w:rsid w:val="00A7657F"/>
    <w:rsid w:val="00A76874"/>
    <w:rsid w:val="00A77171"/>
    <w:rsid w:val="00A7793E"/>
    <w:rsid w:val="00A77B5C"/>
    <w:rsid w:val="00A807C2"/>
    <w:rsid w:val="00A81149"/>
    <w:rsid w:val="00A81926"/>
    <w:rsid w:val="00A81E2D"/>
    <w:rsid w:val="00A82819"/>
    <w:rsid w:val="00A8392C"/>
    <w:rsid w:val="00A84379"/>
    <w:rsid w:val="00A845F6"/>
    <w:rsid w:val="00A84C32"/>
    <w:rsid w:val="00A858B6"/>
    <w:rsid w:val="00A858E9"/>
    <w:rsid w:val="00A86180"/>
    <w:rsid w:val="00A86990"/>
    <w:rsid w:val="00A86C04"/>
    <w:rsid w:val="00A9048C"/>
    <w:rsid w:val="00A91899"/>
    <w:rsid w:val="00A91B2B"/>
    <w:rsid w:val="00A931B2"/>
    <w:rsid w:val="00A93736"/>
    <w:rsid w:val="00A93CA9"/>
    <w:rsid w:val="00A94933"/>
    <w:rsid w:val="00A94E4F"/>
    <w:rsid w:val="00A952A6"/>
    <w:rsid w:val="00A957A7"/>
    <w:rsid w:val="00A95C8D"/>
    <w:rsid w:val="00A96147"/>
    <w:rsid w:val="00A96E07"/>
    <w:rsid w:val="00A96E12"/>
    <w:rsid w:val="00A972C5"/>
    <w:rsid w:val="00AA0587"/>
    <w:rsid w:val="00AA0801"/>
    <w:rsid w:val="00AA0DE8"/>
    <w:rsid w:val="00AA273D"/>
    <w:rsid w:val="00AA2CC1"/>
    <w:rsid w:val="00AA2EFA"/>
    <w:rsid w:val="00AA3951"/>
    <w:rsid w:val="00AA3ADB"/>
    <w:rsid w:val="00AA441B"/>
    <w:rsid w:val="00AB1091"/>
    <w:rsid w:val="00AB1E5B"/>
    <w:rsid w:val="00AB227C"/>
    <w:rsid w:val="00AB2B6F"/>
    <w:rsid w:val="00AB3477"/>
    <w:rsid w:val="00AB357C"/>
    <w:rsid w:val="00AB44E6"/>
    <w:rsid w:val="00AB4A2B"/>
    <w:rsid w:val="00AB5034"/>
    <w:rsid w:val="00AB572F"/>
    <w:rsid w:val="00AB60CD"/>
    <w:rsid w:val="00AB6F2C"/>
    <w:rsid w:val="00AB7B80"/>
    <w:rsid w:val="00AC048B"/>
    <w:rsid w:val="00AC1C9C"/>
    <w:rsid w:val="00AC267E"/>
    <w:rsid w:val="00AC3246"/>
    <w:rsid w:val="00AC36A0"/>
    <w:rsid w:val="00AC399B"/>
    <w:rsid w:val="00AC47E1"/>
    <w:rsid w:val="00AC4AC9"/>
    <w:rsid w:val="00AC4EE1"/>
    <w:rsid w:val="00AC50A4"/>
    <w:rsid w:val="00AC6335"/>
    <w:rsid w:val="00AC6A0C"/>
    <w:rsid w:val="00AC7020"/>
    <w:rsid w:val="00AD0CC2"/>
    <w:rsid w:val="00AD12F6"/>
    <w:rsid w:val="00AD15B0"/>
    <w:rsid w:val="00AD1CBD"/>
    <w:rsid w:val="00AD1D1A"/>
    <w:rsid w:val="00AD1E38"/>
    <w:rsid w:val="00AD221E"/>
    <w:rsid w:val="00AD2DB6"/>
    <w:rsid w:val="00AD307C"/>
    <w:rsid w:val="00AD30C8"/>
    <w:rsid w:val="00AD34D4"/>
    <w:rsid w:val="00AD3D94"/>
    <w:rsid w:val="00AD41CC"/>
    <w:rsid w:val="00AD4205"/>
    <w:rsid w:val="00AD46EE"/>
    <w:rsid w:val="00AD50CD"/>
    <w:rsid w:val="00AD5273"/>
    <w:rsid w:val="00AD6858"/>
    <w:rsid w:val="00AD74D5"/>
    <w:rsid w:val="00AD763C"/>
    <w:rsid w:val="00AE0D5E"/>
    <w:rsid w:val="00AE22CE"/>
    <w:rsid w:val="00AE2C01"/>
    <w:rsid w:val="00AE3135"/>
    <w:rsid w:val="00AE3804"/>
    <w:rsid w:val="00AE3CBE"/>
    <w:rsid w:val="00AE5C9B"/>
    <w:rsid w:val="00AE6772"/>
    <w:rsid w:val="00AE79E0"/>
    <w:rsid w:val="00AE7D55"/>
    <w:rsid w:val="00AF0194"/>
    <w:rsid w:val="00AF0580"/>
    <w:rsid w:val="00AF06CF"/>
    <w:rsid w:val="00AF1827"/>
    <w:rsid w:val="00AF2006"/>
    <w:rsid w:val="00AF208F"/>
    <w:rsid w:val="00AF26A1"/>
    <w:rsid w:val="00AF3DAD"/>
    <w:rsid w:val="00AF5BD3"/>
    <w:rsid w:val="00AF5E95"/>
    <w:rsid w:val="00AF7329"/>
    <w:rsid w:val="00B0068A"/>
    <w:rsid w:val="00B00F74"/>
    <w:rsid w:val="00B02336"/>
    <w:rsid w:val="00B02486"/>
    <w:rsid w:val="00B04C8D"/>
    <w:rsid w:val="00B04D5F"/>
    <w:rsid w:val="00B05154"/>
    <w:rsid w:val="00B0534F"/>
    <w:rsid w:val="00B05DCC"/>
    <w:rsid w:val="00B12215"/>
    <w:rsid w:val="00B12BE1"/>
    <w:rsid w:val="00B13674"/>
    <w:rsid w:val="00B13953"/>
    <w:rsid w:val="00B16A4F"/>
    <w:rsid w:val="00B16DEE"/>
    <w:rsid w:val="00B17192"/>
    <w:rsid w:val="00B208E7"/>
    <w:rsid w:val="00B2316F"/>
    <w:rsid w:val="00B232AF"/>
    <w:rsid w:val="00B23F83"/>
    <w:rsid w:val="00B2454B"/>
    <w:rsid w:val="00B24814"/>
    <w:rsid w:val="00B2524B"/>
    <w:rsid w:val="00B2573C"/>
    <w:rsid w:val="00B25DE3"/>
    <w:rsid w:val="00B2626F"/>
    <w:rsid w:val="00B26F34"/>
    <w:rsid w:val="00B27682"/>
    <w:rsid w:val="00B319D1"/>
    <w:rsid w:val="00B330C3"/>
    <w:rsid w:val="00B336C1"/>
    <w:rsid w:val="00B34A54"/>
    <w:rsid w:val="00B34D79"/>
    <w:rsid w:val="00B36C44"/>
    <w:rsid w:val="00B379A1"/>
    <w:rsid w:val="00B37C87"/>
    <w:rsid w:val="00B4003E"/>
    <w:rsid w:val="00B400EF"/>
    <w:rsid w:val="00B41572"/>
    <w:rsid w:val="00B42D59"/>
    <w:rsid w:val="00B4334D"/>
    <w:rsid w:val="00B45C0B"/>
    <w:rsid w:val="00B45C89"/>
    <w:rsid w:val="00B47177"/>
    <w:rsid w:val="00B47A2D"/>
    <w:rsid w:val="00B5021E"/>
    <w:rsid w:val="00B502E8"/>
    <w:rsid w:val="00B5056D"/>
    <w:rsid w:val="00B506FF"/>
    <w:rsid w:val="00B50FF6"/>
    <w:rsid w:val="00B52414"/>
    <w:rsid w:val="00B5343C"/>
    <w:rsid w:val="00B535F4"/>
    <w:rsid w:val="00B53A6F"/>
    <w:rsid w:val="00B53CAD"/>
    <w:rsid w:val="00B54769"/>
    <w:rsid w:val="00B5599A"/>
    <w:rsid w:val="00B55ECC"/>
    <w:rsid w:val="00B56D38"/>
    <w:rsid w:val="00B57380"/>
    <w:rsid w:val="00B60944"/>
    <w:rsid w:val="00B61A33"/>
    <w:rsid w:val="00B61DBE"/>
    <w:rsid w:val="00B61E45"/>
    <w:rsid w:val="00B620C9"/>
    <w:rsid w:val="00B62560"/>
    <w:rsid w:val="00B634CE"/>
    <w:rsid w:val="00B635D6"/>
    <w:rsid w:val="00B639F0"/>
    <w:rsid w:val="00B6438D"/>
    <w:rsid w:val="00B6469B"/>
    <w:rsid w:val="00B6518D"/>
    <w:rsid w:val="00B652EA"/>
    <w:rsid w:val="00B65545"/>
    <w:rsid w:val="00B65886"/>
    <w:rsid w:val="00B6594F"/>
    <w:rsid w:val="00B67247"/>
    <w:rsid w:val="00B67F68"/>
    <w:rsid w:val="00B70670"/>
    <w:rsid w:val="00B71259"/>
    <w:rsid w:val="00B719E8"/>
    <w:rsid w:val="00B71C06"/>
    <w:rsid w:val="00B71FE4"/>
    <w:rsid w:val="00B723D1"/>
    <w:rsid w:val="00B72466"/>
    <w:rsid w:val="00B72A0C"/>
    <w:rsid w:val="00B74320"/>
    <w:rsid w:val="00B743FE"/>
    <w:rsid w:val="00B753CD"/>
    <w:rsid w:val="00B75D60"/>
    <w:rsid w:val="00B7710E"/>
    <w:rsid w:val="00B801AA"/>
    <w:rsid w:val="00B803B2"/>
    <w:rsid w:val="00B80855"/>
    <w:rsid w:val="00B827BF"/>
    <w:rsid w:val="00B82D67"/>
    <w:rsid w:val="00B82EB1"/>
    <w:rsid w:val="00B83506"/>
    <w:rsid w:val="00B83C43"/>
    <w:rsid w:val="00B85F5D"/>
    <w:rsid w:val="00B86290"/>
    <w:rsid w:val="00B86722"/>
    <w:rsid w:val="00B86BF9"/>
    <w:rsid w:val="00B87949"/>
    <w:rsid w:val="00B87968"/>
    <w:rsid w:val="00B87D47"/>
    <w:rsid w:val="00B907DE"/>
    <w:rsid w:val="00B90B20"/>
    <w:rsid w:val="00B91A97"/>
    <w:rsid w:val="00B92058"/>
    <w:rsid w:val="00B93275"/>
    <w:rsid w:val="00B93847"/>
    <w:rsid w:val="00B940D6"/>
    <w:rsid w:val="00B94110"/>
    <w:rsid w:val="00B95DB5"/>
    <w:rsid w:val="00B95EA9"/>
    <w:rsid w:val="00B96128"/>
    <w:rsid w:val="00BA086D"/>
    <w:rsid w:val="00BA27B9"/>
    <w:rsid w:val="00BA29A3"/>
    <w:rsid w:val="00BA2B5A"/>
    <w:rsid w:val="00BA396A"/>
    <w:rsid w:val="00BA3B4D"/>
    <w:rsid w:val="00BA440E"/>
    <w:rsid w:val="00BA46D5"/>
    <w:rsid w:val="00BA4761"/>
    <w:rsid w:val="00BA5988"/>
    <w:rsid w:val="00BA5EA9"/>
    <w:rsid w:val="00BA6677"/>
    <w:rsid w:val="00BA6CF0"/>
    <w:rsid w:val="00BA7B5F"/>
    <w:rsid w:val="00BA7D53"/>
    <w:rsid w:val="00BB07CA"/>
    <w:rsid w:val="00BB13B0"/>
    <w:rsid w:val="00BB2243"/>
    <w:rsid w:val="00BB2472"/>
    <w:rsid w:val="00BB26BD"/>
    <w:rsid w:val="00BB3071"/>
    <w:rsid w:val="00BB4DA8"/>
    <w:rsid w:val="00BB5C9B"/>
    <w:rsid w:val="00BB654C"/>
    <w:rsid w:val="00BB7259"/>
    <w:rsid w:val="00BB78E4"/>
    <w:rsid w:val="00BB7D10"/>
    <w:rsid w:val="00BC08F9"/>
    <w:rsid w:val="00BC2FB5"/>
    <w:rsid w:val="00BC7E1A"/>
    <w:rsid w:val="00BD0CCA"/>
    <w:rsid w:val="00BD0E1B"/>
    <w:rsid w:val="00BD14DA"/>
    <w:rsid w:val="00BD1520"/>
    <w:rsid w:val="00BD16A2"/>
    <w:rsid w:val="00BD17B8"/>
    <w:rsid w:val="00BD4A82"/>
    <w:rsid w:val="00BD4AF5"/>
    <w:rsid w:val="00BD581A"/>
    <w:rsid w:val="00BD6B29"/>
    <w:rsid w:val="00BE021F"/>
    <w:rsid w:val="00BE0B77"/>
    <w:rsid w:val="00BE1113"/>
    <w:rsid w:val="00BE2894"/>
    <w:rsid w:val="00BE28BA"/>
    <w:rsid w:val="00BE418D"/>
    <w:rsid w:val="00BE43EF"/>
    <w:rsid w:val="00BE4D39"/>
    <w:rsid w:val="00BE6C75"/>
    <w:rsid w:val="00BE6CE2"/>
    <w:rsid w:val="00BE6E37"/>
    <w:rsid w:val="00BE6F01"/>
    <w:rsid w:val="00BF0CD5"/>
    <w:rsid w:val="00BF2BAC"/>
    <w:rsid w:val="00BF35F2"/>
    <w:rsid w:val="00BF3885"/>
    <w:rsid w:val="00BF4700"/>
    <w:rsid w:val="00BF5832"/>
    <w:rsid w:val="00BF60FB"/>
    <w:rsid w:val="00BF61DA"/>
    <w:rsid w:val="00BF7616"/>
    <w:rsid w:val="00C012D5"/>
    <w:rsid w:val="00C03ECB"/>
    <w:rsid w:val="00C0410F"/>
    <w:rsid w:val="00C04D71"/>
    <w:rsid w:val="00C055D0"/>
    <w:rsid w:val="00C05A43"/>
    <w:rsid w:val="00C05BD9"/>
    <w:rsid w:val="00C06C13"/>
    <w:rsid w:val="00C074CA"/>
    <w:rsid w:val="00C11480"/>
    <w:rsid w:val="00C1189D"/>
    <w:rsid w:val="00C120BB"/>
    <w:rsid w:val="00C12496"/>
    <w:rsid w:val="00C124FE"/>
    <w:rsid w:val="00C12A5C"/>
    <w:rsid w:val="00C1366B"/>
    <w:rsid w:val="00C136D9"/>
    <w:rsid w:val="00C149D9"/>
    <w:rsid w:val="00C16774"/>
    <w:rsid w:val="00C20685"/>
    <w:rsid w:val="00C2267C"/>
    <w:rsid w:val="00C2287D"/>
    <w:rsid w:val="00C22FE8"/>
    <w:rsid w:val="00C23066"/>
    <w:rsid w:val="00C235C9"/>
    <w:rsid w:val="00C23A65"/>
    <w:rsid w:val="00C23C09"/>
    <w:rsid w:val="00C24E48"/>
    <w:rsid w:val="00C255CB"/>
    <w:rsid w:val="00C261D6"/>
    <w:rsid w:val="00C27ACA"/>
    <w:rsid w:val="00C308AD"/>
    <w:rsid w:val="00C30E75"/>
    <w:rsid w:val="00C31167"/>
    <w:rsid w:val="00C31EAC"/>
    <w:rsid w:val="00C348FC"/>
    <w:rsid w:val="00C34A09"/>
    <w:rsid w:val="00C35560"/>
    <w:rsid w:val="00C36D02"/>
    <w:rsid w:val="00C40878"/>
    <w:rsid w:val="00C408BB"/>
    <w:rsid w:val="00C40B12"/>
    <w:rsid w:val="00C40BF0"/>
    <w:rsid w:val="00C41E74"/>
    <w:rsid w:val="00C41EEE"/>
    <w:rsid w:val="00C42716"/>
    <w:rsid w:val="00C428C5"/>
    <w:rsid w:val="00C4294E"/>
    <w:rsid w:val="00C448B7"/>
    <w:rsid w:val="00C45DB4"/>
    <w:rsid w:val="00C45F58"/>
    <w:rsid w:val="00C469A0"/>
    <w:rsid w:val="00C46E5A"/>
    <w:rsid w:val="00C47624"/>
    <w:rsid w:val="00C47AC3"/>
    <w:rsid w:val="00C5028A"/>
    <w:rsid w:val="00C504A0"/>
    <w:rsid w:val="00C5082A"/>
    <w:rsid w:val="00C50869"/>
    <w:rsid w:val="00C51262"/>
    <w:rsid w:val="00C52038"/>
    <w:rsid w:val="00C525D6"/>
    <w:rsid w:val="00C53851"/>
    <w:rsid w:val="00C55002"/>
    <w:rsid w:val="00C55728"/>
    <w:rsid w:val="00C55B56"/>
    <w:rsid w:val="00C56EFF"/>
    <w:rsid w:val="00C6012A"/>
    <w:rsid w:val="00C612F0"/>
    <w:rsid w:val="00C61852"/>
    <w:rsid w:val="00C61AEE"/>
    <w:rsid w:val="00C625B0"/>
    <w:rsid w:val="00C631A9"/>
    <w:rsid w:val="00C633B9"/>
    <w:rsid w:val="00C63952"/>
    <w:rsid w:val="00C63D99"/>
    <w:rsid w:val="00C6488D"/>
    <w:rsid w:val="00C65AE3"/>
    <w:rsid w:val="00C66EE0"/>
    <w:rsid w:val="00C672F4"/>
    <w:rsid w:val="00C700B2"/>
    <w:rsid w:val="00C704CE"/>
    <w:rsid w:val="00C70CCA"/>
    <w:rsid w:val="00C72F5C"/>
    <w:rsid w:val="00C7318D"/>
    <w:rsid w:val="00C731B6"/>
    <w:rsid w:val="00C74632"/>
    <w:rsid w:val="00C74FB7"/>
    <w:rsid w:val="00C7504C"/>
    <w:rsid w:val="00C75318"/>
    <w:rsid w:val="00C7575F"/>
    <w:rsid w:val="00C75938"/>
    <w:rsid w:val="00C759C1"/>
    <w:rsid w:val="00C76BB7"/>
    <w:rsid w:val="00C76D91"/>
    <w:rsid w:val="00C80471"/>
    <w:rsid w:val="00C809B8"/>
    <w:rsid w:val="00C810F3"/>
    <w:rsid w:val="00C82E85"/>
    <w:rsid w:val="00C83C54"/>
    <w:rsid w:val="00C83E16"/>
    <w:rsid w:val="00C84924"/>
    <w:rsid w:val="00C84E8A"/>
    <w:rsid w:val="00C8793D"/>
    <w:rsid w:val="00C87B1E"/>
    <w:rsid w:val="00C90018"/>
    <w:rsid w:val="00C90BFA"/>
    <w:rsid w:val="00C92600"/>
    <w:rsid w:val="00C93782"/>
    <w:rsid w:val="00C93E4A"/>
    <w:rsid w:val="00C94BBA"/>
    <w:rsid w:val="00C94EA9"/>
    <w:rsid w:val="00C95513"/>
    <w:rsid w:val="00C95C89"/>
    <w:rsid w:val="00C96C17"/>
    <w:rsid w:val="00CA0FEE"/>
    <w:rsid w:val="00CA1540"/>
    <w:rsid w:val="00CA1659"/>
    <w:rsid w:val="00CA2763"/>
    <w:rsid w:val="00CA3355"/>
    <w:rsid w:val="00CA3699"/>
    <w:rsid w:val="00CA3BB0"/>
    <w:rsid w:val="00CA3D6A"/>
    <w:rsid w:val="00CA4DA6"/>
    <w:rsid w:val="00CA6301"/>
    <w:rsid w:val="00CA7A4C"/>
    <w:rsid w:val="00CB1B6F"/>
    <w:rsid w:val="00CB1E84"/>
    <w:rsid w:val="00CB289A"/>
    <w:rsid w:val="00CB328A"/>
    <w:rsid w:val="00CB37BA"/>
    <w:rsid w:val="00CB4157"/>
    <w:rsid w:val="00CB4437"/>
    <w:rsid w:val="00CB4A4F"/>
    <w:rsid w:val="00CB5402"/>
    <w:rsid w:val="00CB5AB1"/>
    <w:rsid w:val="00CB5C99"/>
    <w:rsid w:val="00CB637D"/>
    <w:rsid w:val="00CB7BB1"/>
    <w:rsid w:val="00CB7F68"/>
    <w:rsid w:val="00CC3265"/>
    <w:rsid w:val="00CC3EB7"/>
    <w:rsid w:val="00CC4C2A"/>
    <w:rsid w:val="00CC55FF"/>
    <w:rsid w:val="00CC69A1"/>
    <w:rsid w:val="00CC6EFE"/>
    <w:rsid w:val="00CC7BAB"/>
    <w:rsid w:val="00CD0675"/>
    <w:rsid w:val="00CD0684"/>
    <w:rsid w:val="00CD148C"/>
    <w:rsid w:val="00CD185E"/>
    <w:rsid w:val="00CD1D2C"/>
    <w:rsid w:val="00CD21B9"/>
    <w:rsid w:val="00CD2FC8"/>
    <w:rsid w:val="00CD3933"/>
    <w:rsid w:val="00CD3D29"/>
    <w:rsid w:val="00CD3D4F"/>
    <w:rsid w:val="00CD3E25"/>
    <w:rsid w:val="00CD3FB0"/>
    <w:rsid w:val="00CD4F6D"/>
    <w:rsid w:val="00CD5121"/>
    <w:rsid w:val="00CD5A03"/>
    <w:rsid w:val="00CD67D6"/>
    <w:rsid w:val="00CD6B69"/>
    <w:rsid w:val="00CD7CAF"/>
    <w:rsid w:val="00CE11E9"/>
    <w:rsid w:val="00CE11FE"/>
    <w:rsid w:val="00CE17F2"/>
    <w:rsid w:val="00CE24B4"/>
    <w:rsid w:val="00CE258D"/>
    <w:rsid w:val="00CE279C"/>
    <w:rsid w:val="00CE30D5"/>
    <w:rsid w:val="00CE470E"/>
    <w:rsid w:val="00CE58BA"/>
    <w:rsid w:val="00CE7CA4"/>
    <w:rsid w:val="00CE7E87"/>
    <w:rsid w:val="00CF0E20"/>
    <w:rsid w:val="00CF1B95"/>
    <w:rsid w:val="00CF210B"/>
    <w:rsid w:val="00CF2CDE"/>
    <w:rsid w:val="00CF2F34"/>
    <w:rsid w:val="00CF302C"/>
    <w:rsid w:val="00CF3462"/>
    <w:rsid w:val="00CF4433"/>
    <w:rsid w:val="00CF55CB"/>
    <w:rsid w:val="00CF572B"/>
    <w:rsid w:val="00CF5C36"/>
    <w:rsid w:val="00CF6C37"/>
    <w:rsid w:val="00CF6F8E"/>
    <w:rsid w:val="00CF711F"/>
    <w:rsid w:val="00CF7C7A"/>
    <w:rsid w:val="00CF7E51"/>
    <w:rsid w:val="00CF7F16"/>
    <w:rsid w:val="00D001EF"/>
    <w:rsid w:val="00D01418"/>
    <w:rsid w:val="00D01613"/>
    <w:rsid w:val="00D0287F"/>
    <w:rsid w:val="00D02E1A"/>
    <w:rsid w:val="00D02E6B"/>
    <w:rsid w:val="00D0475A"/>
    <w:rsid w:val="00D05A65"/>
    <w:rsid w:val="00D05CE8"/>
    <w:rsid w:val="00D079E0"/>
    <w:rsid w:val="00D1002A"/>
    <w:rsid w:val="00D10107"/>
    <w:rsid w:val="00D10AE1"/>
    <w:rsid w:val="00D1291A"/>
    <w:rsid w:val="00D133F8"/>
    <w:rsid w:val="00D136C0"/>
    <w:rsid w:val="00D13798"/>
    <w:rsid w:val="00D14704"/>
    <w:rsid w:val="00D149CA"/>
    <w:rsid w:val="00D14B54"/>
    <w:rsid w:val="00D15181"/>
    <w:rsid w:val="00D153B0"/>
    <w:rsid w:val="00D16DF7"/>
    <w:rsid w:val="00D16F70"/>
    <w:rsid w:val="00D1768D"/>
    <w:rsid w:val="00D17B8B"/>
    <w:rsid w:val="00D17DCF"/>
    <w:rsid w:val="00D20F6E"/>
    <w:rsid w:val="00D21313"/>
    <w:rsid w:val="00D213C7"/>
    <w:rsid w:val="00D222CF"/>
    <w:rsid w:val="00D242C6"/>
    <w:rsid w:val="00D255C8"/>
    <w:rsid w:val="00D2600A"/>
    <w:rsid w:val="00D26BF4"/>
    <w:rsid w:val="00D3001E"/>
    <w:rsid w:val="00D31C9B"/>
    <w:rsid w:val="00D32354"/>
    <w:rsid w:val="00D328D6"/>
    <w:rsid w:val="00D32C4F"/>
    <w:rsid w:val="00D34183"/>
    <w:rsid w:val="00D3432B"/>
    <w:rsid w:val="00D353D9"/>
    <w:rsid w:val="00D3573E"/>
    <w:rsid w:val="00D36292"/>
    <w:rsid w:val="00D36BE7"/>
    <w:rsid w:val="00D400FF"/>
    <w:rsid w:val="00D402A3"/>
    <w:rsid w:val="00D405CB"/>
    <w:rsid w:val="00D414D6"/>
    <w:rsid w:val="00D429C3"/>
    <w:rsid w:val="00D438DE"/>
    <w:rsid w:val="00D441B4"/>
    <w:rsid w:val="00D4616E"/>
    <w:rsid w:val="00D463AA"/>
    <w:rsid w:val="00D50142"/>
    <w:rsid w:val="00D50CF9"/>
    <w:rsid w:val="00D51288"/>
    <w:rsid w:val="00D51578"/>
    <w:rsid w:val="00D52C26"/>
    <w:rsid w:val="00D52CB4"/>
    <w:rsid w:val="00D53932"/>
    <w:rsid w:val="00D53F62"/>
    <w:rsid w:val="00D555F9"/>
    <w:rsid w:val="00D556F1"/>
    <w:rsid w:val="00D5619D"/>
    <w:rsid w:val="00D56ADB"/>
    <w:rsid w:val="00D56C5D"/>
    <w:rsid w:val="00D56F77"/>
    <w:rsid w:val="00D6008F"/>
    <w:rsid w:val="00D60DB7"/>
    <w:rsid w:val="00D613AE"/>
    <w:rsid w:val="00D61943"/>
    <w:rsid w:val="00D62BD7"/>
    <w:rsid w:val="00D63369"/>
    <w:rsid w:val="00D63413"/>
    <w:rsid w:val="00D64361"/>
    <w:rsid w:val="00D64870"/>
    <w:rsid w:val="00D64AAF"/>
    <w:rsid w:val="00D64C8B"/>
    <w:rsid w:val="00D659E4"/>
    <w:rsid w:val="00D661E3"/>
    <w:rsid w:val="00D66282"/>
    <w:rsid w:val="00D6681A"/>
    <w:rsid w:val="00D66BEA"/>
    <w:rsid w:val="00D6722E"/>
    <w:rsid w:val="00D6731B"/>
    <w:rsid w:val="00D70410"/>
    <w:rsid w:val="00D71682"/>
    <w:rsid w:val="00D72721"/>
    <w:rsid w:val="00D74EA2"/>
    <w:rsid w:val="00D75089"/>
    <w:rsid w:val="00D75A42"/>
    <w:rsid w:val="00D81951"/>
    <w:rsid w:val="00D819E4"/>
    <w:rsid w:val="00D829CD"/>
    <w:rsid w:val="00D8305D"/>
    <w:rsid w:val="00D83759"/>
    <w:rsid w:val="00D84259"/>
    <w:rsid w:val="00D842AF"/>
    <w:rsid w:val="00D844AF"/>
    <w:rsid w:val="00D849CC"/>
    <w:rsid w:val="00D85D34"/>
    <w:rsid w:val="00D86AB3"/>
    <w:rsid w:val="00D86D1E"/>
    <w:rsid w:val="00D87115"/>
    <w:rsid w:val="00D87B1F"/>
    <w:rsid w:val="00D9013D"/>
    <w:rsid w:val="00D90539"/>
    <w:rsid w:val="00D90B62"/>
    <w:rsid w:val="00D912FA"/>
    <w:rsid w:val="00D91D17"/>
    <w:rsid w:val="00D91D38"/>
    <w:rsid w:val="00D91EDB"/>
    <w:rsid w:val="00D927DD"/>
    <w:rsid w:val="00D92C17"/>
    <w:rsid w:val="00D934D8"/>
    <w:rsid w:val="00D9467E"/>
    <w:rsid w:val="00D95823"/>
    <w:rsid w:val="00D958FA"/>
    <w:rsid w:val="00D974CF"/>
    <w:rsid w:val="00D97904"/>
    <w:rsid w:val="00D97E0B"/>
    <w:rsid w:val="00DA02A1"/>
    <w:rsid w:val="00DA0F36"/>
    <w:rsid w:val="00DA21E6"/>
    <w:rsid w:val="00DA2DBF"/>
    <w:rsid w:val="00DA2F8B"/>
    <w:rsid w:val="00DA2FDB"/>
    <w:rsid w:val="00DA3FC0"/>
    <w:rsid w:val="00DA475F"/>
    <w:rsid w:val="00DA50C3"/>
    <w:rsid w:val="00DA5358"/>
    <w:rsid w:val="00DA5E0D"/>
    <w:rsid w:val="00DA618B"/>
    <w:rsid w:val="00DA6A3B"/>
    <w:rsid w:val="00DA6C8E"/>
    <w:rsid w:val="00DA6E25"/>
    <w:rsid w:val="00DA7549"/>
    <w:rsid w:val="00DA7628"/>
    <w:rsid w:val="00DA78ED"/>
    <w:rsid w:val="00DA79B2"/>
    <w:rsid w:val="00DA7AEB"/>
    <w:rsid w:val="00DA7BB8"/>
    <w:rsid w:val="00DB0546"/>
    <w:rsid w:val="00DB0570"/>
    <w:rsid w:val="00DB0B57"/>
    <w:rsid w:val="00DB1A0B"/>
    <w:rsid w:val="00DB1A8A"/>
    <w:rsid w:val="00DB22EC"/>
    <w:rsid w:val="00DB2842"/>
    <w:rsid w:val="00DB5120"/>
    <w:rsid w:val="00DB5AE9"/>
    <w:rsid w:val="00DB63E0"/>
    <w:rsid w:val="00DB67B2"/>
    <w:rsid w:val="00DB6970"/>
    <w:rsid w:val="00DB6E92"/>
    <w:rsid w:val="00DB7515"/>
    <w:rsid w:val="00DC0B7E"/>
    <w:rsid w:val="00DC1C58"/>
    <w:rsid w:val="00DC2451"/>
    <w:rsid w:val="00DC2610"/>
    <w:rsid w:val="00DC2A70"/>
    <w:rsid w:val="00DC2BB3"/>
    <w:rsid w:val="00DC4673"/>
    <w:rsid w:val="00DC4CE9"/>
    <w:rsid w:val="00DC5812"/>
    <w:rsid w:val="00DC5C08"/>
    <w:rsid w:val="00DC634F"/>
    <w:rsid w:val="00DC749B"/>
    <w:rsid w:val="00DC7FE1"/>
    <w:rsid w:val="00DD0974"/>
    <w:rsid w:val="00DD1BE8"/>
    <w:rsid w:val="00DD2808"/>
    <w:rsid w:val="00DD472F"/>
    <w:rsid w:val="00DD4954"/>
    <w:rsid w:val="00DD4C91"/>
    <w:rsid w:val="00DD5F88"/>
    <w:rsid w:val="00DD6AF7"/>
    <w:rsid w:val="00DD7F04"/>
    <w:rsid w:val="00DE03AC"/>
    <w:rsid w:val="00DE0744"/>
    <w:rsid w:val="00DE0912"/>
    <w:rsid w:val="00DE0CE7"/>
    <w:rsid w:val="00DE11AA"/>
    <w:rsid w:val="00DE250C"/>
    <w:rsid w:val="00DE2D9B"/>
    <w:rsid w:val="00DE35DC"/>
    <w:rsid w:val="00DE4C68"/>
    <w:rsid w:val="00DE5439"/>
    <w:rsid w:val="00DE547D"/>
    <w:rsid w:val="00DE69D6"/>
    <w:rsid w:val="00DE6D58"/>
    <w:rsid w:val="00DE7091"/>
    <w:rsid w:val="00DE7C48"/>
    <w:rsid w:val="00DE7F94"/>
    <w:rsid w:val="00DF05BF"/>
    <w:rsid w:val="00DF0BFC"/>
    <w:rsid w:val="00DF1933"/>
    <w:rsid w:val="00DF2054"/>
    <w:rsid w:val="00DF2B2F"/>
    <w:rsid w:val="00DF383A"/>
    <w:rsid w:val="00DF3C46"/>
    <w:rsid w:val="00DF7B68"/>
    <w:rsid w:val="00E006FE"/>
    <w:rsid w:val="00E00923"/>
    <w:rsid w:val="00E00A9F"/>
    <w:rsid w:val="00E02DFF"/>
    <w:rsid w:val="00E03F70"/>
    <w:rsid w:val="00E042CE"/>
    <w:rsid w:val="00E055A6"/>
    <w:rsid w:val="00E10940"/>
    <w:rsid w:val="00E112B0"/>
    <w:rsid w:val="00E11603"/>
    <w:rsid w:val="00E12696"/>
    <w:rsid w:val="00E12FC8"/>
    <w:rsid w:val="00E13276"/>
    <w:rsid w:val="00E133DB"/>
    <w:rsid w:val="00E140D6"/>
    <w:rsid w:val="00E14B8C"/>
    <w:rsid w:val="00E163FB"/>
    <w:rsid w:val="00E1664D"/>
    <w:rsid w:val="00E16941"/>
    <w:rsid w:val="00E16BC3"/>
    <w:rsid w:val="00E20B42"/>
    <w:rsid w:val="00E22006"/>
    <w:rsid w:val="00E2221B"/>
    <w:rsid w:val="00E22A59"/>
    <w:rsid w:val="00E236A0"/>
    <w:rsid w:val="00E26279"/>
    <w:rsid w:val="00E27B8C"/>
    <w:rsid w:val="00E3247D"/>
    <w:rsid w:val="00E329E8"/>
    <w:rsid w:val="00E32C2F"/>
    <w:rsid w:val="00E32E78"/>
    <w:rsid w:val="00E33305"/>
    <w:rsid w:val="00E3376D"/>
    <w:rsid w:val="00E33A5A"/>
    <w:rsid w:val="00E342A5"/>
    <w:rsid w:val="00E346CB"/>
    <w:rsid w:val="00E35217"/>
    <w:rsid w:val="00E373F6"/>
    <w:rsid w:val="00E37DFC"/>
    <w:rsid w:val="00E37E76"/>
    <w:rsid w:val="00E410E7"/>
    <w:rsid w:val="00E417AC"/>
    <w:rsid w:val="00E41B52"/>
    <w:rsid w:val="00E433B4"/>
    <w:rsid w:val="00E44618"/>
    <w:rsid w:val="00E4489E"/>
    <w:rsid w:val="00E453E2"/>
    <w:rsid w:val="00E46769"/>
    <w:rsid w:val="00E4694A"/>
    <w:rsid w:val="00E5115E"/>
    <w:rsid w:val="00E512E4"/>
    <w:rsid w:val="00E51AA6"/>
    <w:rsid w:val="00E53016"/>
    <w:rsid w:val="00E530BF"/>
    <w:rsid w:val="00E53911"/>
    <w:rsid w:val="00E53AD9"/>
    <w:rsid w:val="00E53EDA"/>
    <w:rsid w:val="00E546B0"/>
    <w:rsid w:val="00E54C1A"/>
    <w:rsid w:val="00E54E1B"/>
    <w:rsid w:val="00E56A0C"/>
    <w:rsid w:val="00E57FD7"/>
    <w:rsid w:val="00E605CA"/>
    <w:rsid w:val="00E60D97"/>
    <w:rsid w:val="00E62D0A"/>
    <w:rsid w:val="00E63ADC"/>
    <w:rsid w:val="00E64A01"/>
    <w:rsid w:val="00E64D67"/>
    <w:rsid w:val="00E6520C"/>
    <w:rsid w:val="00E65C38"/>
    <w:rsid w:val="00E66CE3"/>
    <w:rsid w:val="00E67725"/>
    <w:rsid w:val="00E67BE5"/>
    <w:rsid w:val="00E70134"/>
    <w:rsid w:val="00E701D5"/>
    <w:rsid w:val="00E71065"/>
    <w:rsid w:val="00E7150A"/>
    <w:rsid w:val="00E716B6"/>
    <w:rsid w:val="00E7190B"/>
    <w:rsid w:val="00E7341C"/>
    <w:rsid w:val="00E7398E"/>
    <w:rsid w:val="00E73B80"/>
    <w:rsid w:val="00E73D2F"/>
    <w:rsid w:val="00E74078"/>
    <w:rsid w:val="00E74536"/>
    <w:rsid w:val="00E74992"/>
    <w:rsid w:val="00E74C71"/>
    <w:rsid w:val="00E74E3A"/>
    <w:rsid w:val="00E7605E"/>
    <w:rsid w:val="00E76DE1"/>
    <w:rsid w:val="00E77574"/>
    <w:rsid w:val="00E77AC8"/>
    <w:rsid w:val="00E8081E"/>
    <w:rsid w:val="00E80E44"/>
    <w:rsid w:val="00E81909"/>
    <w:rsid w:val="00E84074"/>
    <w:rsid w:val="00E84877"/>
    <w:rsid w:val="00E84A88"/>
    <w:rsid w:val="00E85453"/>
    <w:rsid w:val="00E863F8"/>
    <w:rsid w:val="00E86CC2"/>
    <w:rsid w:val="00E86E07"/>
    <w:rsid w:val="00E86E5E"/>
    <w:rsid w:val="00E876B6"/>
    <w:rsid w:val="00E9005B"/>
    <w:rsid w:val="00E90F76"/>
    <w:rsid w:val="00E91F98"/>
    <w:rsid w:val="00E924F6"/>
    <w:rsid w:val="00E92561"/>
    <w:rsid w:val="00E9292D"/>
    <w:rsid w:val="00E9395D"/>
    <w:rsid w:val="00E943F3"/>
    <w:rsid w:val="00E961FD"/>
    <w:rsid w:val="00E96E96"/>
    <w:rsid w:val="00E97FDF"/>
    <w:rsid w:val="00EA0702"/>
    <w:rsid w:val="00EA1CC0"/>
    <w:rsid w:val="00EA42C7"/>
    <w:rsid w:val="00EA4449"/>
    <w:rsid w:val="00EA4579"/>
    <w:rsid w:val="00EA5675"/>
    <w:rsid w:val="00EA66D1"/>
    <w:rsid w:val="00EA7677"/>
    <w:rsid w:val="00EB2D3E"/>
    <w:rsid w:val="00EB2F2E"/>
    <w:rsid w:val="00EB3E30"/>
    <w:rsid w:val="00EB4A95"/>
    <w:rsid w:val="00EB533C"/>
    <w:rsid w:val="00EB641D"/>
    <w:rsid w:val="00EB6EC1"/>
    <w:rsid w:val="00EB6FB3"/>
    <w:rsid w:val="00EB7189"/>
    <w:rsid w:val="00EB789B"/>
    <w:rsid w:val="00EC02CD"/>
    <w:rsid w:val="00EC0ABA"/>
    <w:rsid w:val="00EC1FC3"/>
    <w:rsid w:val="00EC2D5A"/>
    <w:rsid w:val="00EC30CB"/>
    <w:rsid w:val="00EC375B"/>
    <w:rsid w:val="00EC40C3"/>
    <w:rsid w:val="00EC4F2E"/>
    <w:rsid w:val="00EC6E5C"/>
    <w:rsid w:val="00EC6F9C"/>
    <w:rsid w:val="00EC7131"/>
    <w:rsid w:val="00EC720E"/>
    <w:rsid w:val="00EC7C65"/>
    <w:rsid w:val="00EC7F98"/>
    <w:rsid w:val="00ED2248"/>
    <w:rsid w:val="00ED2A3A"/>
    <w:rsid w:val="00ED3A1F"/>
    <w:rsid w:val="00ED3EFC"/>
    <w:rsid w:val="00ED4054"/>
    <w:rsid w:val="00ED4956"/>
    <w:rsid w:val="00ED5AB8"/>
    <w:rsid w:val="00ED7B42"/>
    <w:rsid w:val="00EE124D"/>
    <w:rsid w:val="00EE332D"/>
    <w:rsid w:val="00EE3592"/>
    <w:rsid w:val="00EE36F9"/>
    <w:rsid w:val="00EE4177"/>
    <w:rsid w:val="00EE648B"/>
    <w:rsid w:val="00EE68FD"/>
    <w:rsid w:val="00EE7C38"/>
    <w:rsid w:val="00EF0BB8"/>
    <w:rsid w:val="00EF0E62"/>
    <w:rsid w:val="00EF0EBF"/>
    <w:rsid w:val="00EF1922"/>
    <w:rsid w:val="00EF1FC9"/>
    <w:rsid w:val="00EF262F"/>
    <w:rsid w:val="00EF2817"/>
    <w:rsid w:val="00EF2A7B"/>
    <w:rsid w:val="00EF3BA9"/>
    <w:rsid w:val="00EF4457"/>
    <w:rsid w:val="00EF4D8E"/>
    <w:rsid w:val="00EF52FD"/>
    <w:rsid w:val="00EF5B50"/>
    <w:rsid w:val="00EF63E9"/>
    <w:rsid w:val="00EF6CBB"/>
    <w:rsid w:val="00EF7015"/>
    <w:rsid w:val="00EF7271"/>
    <w:rsid w:val="00EF7A2C"/>
    <w:rsid w:val="00F001FE"/>
    <w:rsid w:val="00F00500"/>
    <w:rsid w:val="00F00A68"/>
    <w:rsid w:val="00F00A84"/>
    <w:rsid w:val="00F01554"/>
    <w:rsid w:val="00F02A29"/>
    <w:rsid w:val="00F033D9"/>
    <w:rsid w:val="00F03723"/>
    <w:rsid w:val="00F037C6"/>
    <w:rsid w:val="00F03E68"/>
    <w:rsid w:val="00F04239"/>
    <w:rsid w:val="00F04FEA"/>
    <w:rsid w:val="00F05A1D"/>
    <w:rsid w:val="00F0698C"/>
    <w:rsid w:val="00F06CDD"/>
    <w:rsid w:val="00F070AC"/>
    <w:rsid w:val="00F07BFF"/>
    <w:rsid w:val="00F105E7"/>
    <w:rsid w:val="00F11B1D"/>
    <w:rsid w:val="00F1226A"/>
    <w:rsid w:val="00F1258C"/>
    <w:rsid w:val="00F131AB"/>
    <w:rsid w:val="00F151AC"/>
    <w:rsid w:val="00F15514"/>
    <w:rsid w:val="00F1568B"/>
    <w:rsid w:val="00F16B36"/>
    <w:rsid w:val="00F17B6E"/>
    <w:rsid w:val="00F2036F"/>
    <w:rsid w:val="00F21178"/>
    <w:rsid w:val="00F22270"/>
    <w:rsid w:val="00F22CA5"/>
    <w:rsid w:val="00F2307A"/>
    <w:rsid w:val="00F23E3B"/>
    <w:rsid w:val="00F240B0"/>
    <w:rsid w:val="00F261CC"/>
    <w:rsid w:val="00F30086"/>
    <w:rsid w:val="00F30959"/>
    <w:rsid w:val="00F312A0"/>
    <w:rsid w:val="00F3159C"/>
    <w:rsid w:val="00F31E22"/>
    <w:rsid w:val="00F31E26"/>
    <w:rsid w:val="00F31FC6"/>
    <w:rsid w:val="00F31FF4"/>
    <w:rsid w:val="00F32175"/>
    <w:rsid w:val="00F3233D"/>
    <w:rsid w:val="00F325B2"/>
    <w:rsid w:val="00F33C79"/>
    <w:rsid w:val="00F354F4"/>
    <w:rsid w:val="00F35940"/>
    <w:rsid w:val="00F36936"/>
    <w:rsid w:val="00F36A38"/>
    <w:rsid w:val="00F3735B"/>
    <w:rsid w:val="00F37467"/>
    <w:rsid w:val="00F37779"/>
    <w:rsid w:val="00F37B12"/>
    <w:rsid w:val="00F37B74"/>
    <w:rsid w:val="00F40DF4"/>
    <w:rsid w:val="00F4130C"/>
    <w:rsid w:val="00F41788"/>
    <w:rsid w:val="00F41D7B"/>
    <w:rsid w:val="00F42085"/>
    <w:rsid w:val="00F43602"/>
    <w:rsid w:val="00F43736"/>
    <w:rsid w:val="00F45082"/>
    <w:rsid w:val="00F45675"/>
    <w:rsid w:val="00F45B5A"/>
    <w:rsid w:val="00F46670"/>
    <w:rsid w:val="00F4686A"/>
    <w:rsid w:val="00F46DD5"/>
    <w:rsid w:val="00F5006D"/>
    <w:rsid w:val="00F508E4"/>
    <w:rsid w:val="00F51128"/>
    <w:rsid w:val="00F5277E"/>
    <w:rsid w:val="00F55257"/>
    <w:rsid w:val="00F553A9"/>
    <w:rsid w:val="00F558D1"/>
    <w:rsid w:val="00F55ADC"/>
    <w:rsid w:val="00F56628"/>
    <w:rsid w:val="00F5666C"/>
    <w:rsid w:val="00F566BA"/>
    <w:rsid w:val="00F56CC8"/>
    <w:rsid w:val="00F57B80"/>
    <w:rsid w:val="00F60472"/>
    <w:rsid w:val="00F604D1"/>
    <w:rsid w:val="00F61447"/>
    <w:rsid w:val="00F61698"/>
    <w:rsid w:val="00F61AF2"/>
    <w:rsid w:val="00F6209B"/>
    <w:rsid w:val="00F6252F"/>
    <w:rsid w:val="00F6253A"/>
    <w:rsid w:val="00F628FE"/>
    <w:rsid w:val="00F63A74"/>
    <w:rsid w:val="00F64798"/>
    <w:rsid w:val="00F64A4B"/>
    <w:rsid w:val="00F64B74"/>
    <w:rsid w:val="00F653F9"/>
    <w:rsid w:val="00F66F40"/>
    <w:rsid w:val="00F66FFC"/>
    <w:rsid w:val="00F6732E"/>
    <w:rsid w:val="00F67835"/>
    <w:rsid w:val="00F70005"/>
    <w:rsid w:val="00F704A5"/>
    <w:rsid w:val="00F72D0E"/>
    <w:rsid w:val="00F73507"/>
    <w:rsid w:val="00F75724"/>
    <w:rsid w:val="00F75DAA"/>
    <w:rsid w:val="00F76380"/>
    <w:rsid w:val="00F76509"/>
    <w:rsid w:val="00F7681B"/>
    <w:rsid w:val="00F76EDB"/>
    <w:rsid w:val="00F7717A"/>
    <w:rsid w:val="00F77419"/>
    <w:rsid w:val="00F80AB8"/>
    <w:rsid w:val="00F812D5"/>
    <w:rsid w:val="00F836BB"/>
    <w:rsid w:val="00F851C1"/>
    <w:rsid w:val="00F85C26"/>
    <w:rsid w:val="00F86142"/>
    <w:rsid w:val="00F8753B"/>
    <w:rsid w:val="00F92A28"/>
    <w:rsid w:val="00F92C0D"/>
    <w:rsid w:val="00F92C86"/>
    <w:rsid w:val="00F92F34"/>
    <w:rsid w:val="00F9336D"/>
    <w:rsid w:val="00F9400D"/>
    <w:rsid w:val="00F948A4"/>
    <w:rsid w:val="00F963DD"/>
    <w:rsid w:val="00F972CD"/>
    <w:rsid w:val="00F97950"/>
    <w:rsid w:val="00F97EA2"/>
    <w:rsid w:val="00FA155D"/>
    <w:rsid w:val="00FA2094"/>
    <w:rsid w:val="00FA2EB8"/>
    <w:rsid w:val="00FA365D"/>
    <w:rsid w:val="00FA36E8"/>
    <w:rsid w:val="00FA37CC"/>
    <w:rsid w:val="00FA7A2E"/>
    <w:rsid w:val="00FB1492"/>
    <w:rsid w:val="00FB1BF3"/>
    <w:rsid w:val="00FB1C90"/>
    <w:rsid w:val="00FB1EA1"/>
    <w:rsid w:val="00FB2E6A"/>
    <w:rsid w:val="00FB3ADF"/>
    <w:rsid w:val="00FB4720"/>
    <w:rsid w:val="00FB49F4"/>
    <w:rsid w:val="00FB4B82"/>
    <w:rsid w:val="00FB4F70"/>
    <w:rsid w:val="00FB67B4"/>
    <w:rsid w:val="00FB71F1"/>
    <w:rsid w:val="00FB731B"/>
    <w:rsid w:val="00FB7FB0"/>
    <w:rsid w:val="00FC052F"/>
    <w:rsid w:val="00FC2C14"/>
    <w:rsid w:val="00FC30FA"/>
    <w:rsid w:val="00FC38F4"/>
    <w:rsid w:val="00FC3C14"/>
    <w:rsid w:val="00FC45B8"/>
    <w:rsid w:val="00FC5154"/>
    <w:rsid w:val="00FC6FC5"/>
    <w:rsid w:val="00FC747E"/>
    <w:rsid w:val="00FC74B8"/>
    <w:rsid w:val="00FD134E"/>
    <w:rsid w:val="00FD173C"/>
    <w:rsid w:val="00FD1750"/>
    <w:rsid w:val="00FD1DD8"/>
    <w:rsid w:val="00FD34D9"/>
    <w:rsid w:val="00FD3564"/>
    <w:rsid w:val="00FD480F"/>
    <w:rsid w:val="00FD487A"/>
    <w:rsid w:val="00FD751A"/>
    <w:rsid w:val="00FE0B38"/>
    <w:rsid w:val="00FE1206"/>
    <w:rsid w:val="00FE1797"/>
    <w:rsid w:val="00FE190E"/>
    <w:rsid w:val="00FE1D88"/>
    <w:rsid w:val="00FE2703"/>
    <w:rsid w:val="00FE60E1"/>
    <w:rsid w:val="00FE67CB"/>
    <w:rsid w:val="00FE7E4B"/>
    <w:rsid w:val="00FF0585"/>
    <w:rsid w:val="00FF151A"/>
    <w:rsid w:val="00FF191B"/>
    <w:rsid w:val="00FF2228"/>
    <w:rsid w:val="00FF2493"/>
    <w:rsid w:val="00FF25EF"/>
    <w:rsid w:val="00FF2A4E"/>
    <w:rsid w:val="00FF3172"/>
    <w:rsid w:val="00FF366A"/>
    <w:rsid w:val="00FF41B1"/>
    <w:rsid w:val="00FF452F"/>
    <w:rsid w:val="00FF4CA8"/>
    <w:rsid w:val="00FF4E67"/>
    <w:rsid w:val="00FF4F99"/>
    <w:rsid w:val="00FF695D"/>
    <w:rsid w:val="00FF70A0"/>
    <w:rsid w:val="00FF7322"/>
    <w:rsid w:val="00FF77A2"/>
    <w:rsid w:val="00FF792F"/>
    <w:rsid w:val="00FF7B66"/>
    <w:rsid w:val="00FF7F07"/>
    <w:rsid w:val="010827C0"/>
    <w:rsid w:val="010C0502"/>
    <w:rsid w:val="012B1DC1"/>
    <w:rsid w:val="01437C9C"/>
    <w:rsid w:val="014743B3"/>
    <w:rsid w:val="014E61FE"/>
    <w:rsid w:val="014F04E5"/>
    <w:rsid w:val="01596D86"/>
    <w:rsid w:val="015B4FE6"/>
    <w:rsid w:val="016F283F"/>
    <w:rsid w:val="01920401"/>
    <w:rsid w:val="0195644C"/>
    <w:rsid w:val="019E4202"/>
    <w:rsid w:val="01A072D2"/>
    <w:rsid w:val="01A324E9"/>
    <w:rsid w:val="01A83F1C"/>
    <w:rsid w:val="01B87B26"/>
    <w:rsid w:val="01C072D1"/>
    <w:rsid w:val="01C62F65"/>
    <w:rsid w:val="01EE141B"/>
    <w:rsid w:val="01F92B9A"/>
    <w:rsid w:val="020143AE"/>
    <w:rsid w:val="02162160"/>
    <w:rsid w:val="02405F8A"/>
    <w:rsid w:val="02535260"/>
    <w:rsid w:val="0255198A"/>
    <w:rsid w:val="025A0CF5"/>
    <w:rsid w:val="02637F53"/>
    <w:rsid w:val="027212CD"/>
    <w:rsid w:val="027423B3"/>
    <w:rsid w:val="028D1F0F"/>
    <w:rsid w:val="028E7BDF"/>
    <w:rsid w:val="02A4476B"/>
    <w:rsid w:val="02B472A9"/>
    <w:rsid w:val="02C95469"/>
    <w:rsid w:val="02D34744"/>
    <w:rsid w:val="02D61B95"/>
    <w:rsid w:val="03101E00"/>
    <w:rsid w:val="033E4DA4"/>
    <w:rsid w:val="0360329F"/>
    <w:rsid w:val="03623ADD"/>
    <w:rsid w:val="036A59B4"/>
    <w:rsid w:val="03936EA0"/>
    <w:rsid w:val="03977E2B"/>
    <w:rsid w:val="03AD7D9D"/>
    <w:rsid w:val="03B44E81"/>
    <w:rsid w:val="03D7492F"/>
    <w:rsid w:val="03E11484"/>
    <w:rsid w:val="03F62DA4"/>
    <w:rsid w:val="040636B7"/>
    <w:rsid w:val="044004C3"/>
    <w:rsid w:val="04552530"/>
    <w:rsid w:val="0465519A"/>
    <w:rsid w:val="04955C4F"/>
    <w:rsid w:val="04B05277"/>
    <w:rsid w:val="04B14A54"/>
    <w:rsid w:val="04BD7D66"/>
    <w:rsid w:val="04D23811"/>
    <w:rsid w:val="04E86924"/>
    <w:rsid w:val="05087233"/>
    <w:rsid w:val="050D4295"/>
    <w:rsid w:val="05371AF0"/>
    <w:rsid w:val="0548574A"/>
    <w:rsid w:val="054A03AF"/>
    <w:rsid w:val="05534E65"/>
    <w:rsid w:val="05544350"/>
    <w:rsid w:val="05812B41"/>
    <w:rsid w:val="05B35C7F"/>
    <w:rsid w:val="05C5291B"/>
    <w:rsid w:val="05CC630A"/>
    <w:rsid w:val="05D02834"/>
    <w:rsid w:val="05E64C20"/>
    <w:rsid w:val="05ED6429"/>
    <w:rsid w:val="05F45A09"/>
    <w:rsid w:val="060607F3"/>
    <w:rsid w:val="064A0705"/>
    <w:rsid w:val="06804B5B"/>
    <w:rsid w:val="06897EFF"/>
    <w:rsid w:val="06A04F45"/>
    <w:rsid w:val="06A61794"/>
    <w:rsid w:val="06A905A2"/>
    <w:rsid w:val="06AF7AFE"/>
    <w:rsid w:val="06B04F83"/>
    <w:rsid w:val="06D500D3"/>
    <w:rsid w:val="06D53145"/>
    <w:rsid w:val="06D86978"/>
    <w:rsid w:val="06F537E7"/>
    <w:rsid w:val="074143D2"/>
    <w:rsid w:val="07443158"/>
    <w:rsid w:val="074E6108"/>
    <w:rsid w:val="076369A2"/>
    <w:rsid w:val="07C66477"/>
    <w:rsid w:val="07D41F0B"/>
    <w:rsid w:val="07EF451C"/>
    <w:rsid w:val="08083F2A"/>
    <w:rsid w:val="080A62FE"/>
    <w:rsid w:val="081C73D8"/>
    <w:rsid w:val="082779D0"/>
    <w:rsid w:val="08305869"/>
    <w:rsid w:val="083640B7"/>
    <w:rsid w:val="08744BDF"/>
    <w:rsid w:val="088F1F3E"/>
    <w:rsid w:val="089E6217"/>
    <w:rsid w:val="08A3733C"/>
    <w:rsid w:val="08A92ADB"/>
    <w:rsid w:val="08BA4CE8"/>
    <w:rsid w:val="08BD6586"/>
    <w:rsid w:val="08BE09DC"/>
    <w:rsid w:val="08C12DDB"/>
    <w:rsid w:val="08C77405"/>
    <w:rsid w:val="08C96CD9"/>
    <w:rsid w:val="08D82CBE"/>
    <w:rsid w:val="08DF2475"/>
    <w:rsid w:val="08E421C5"/>
    <w:rsid w:val="08F32F05"/>
    <w:rsid w:val="08F63846"/>
    <w:rsid w:val="08F830FA"/>
    <w:rsid w:val="091F4B4B"/>
    <w:rsid w:val="09234945"/>
    <w:rsid w:val="092A4459"/>
    <w:rsid w:val="0965738E"/>
    <w:rsid w:val="097F5D4A"/>
    <w:rsid w:val="09B12BB7"/>
    <w:rsid w:val="09B96D4E"/>
    <w:rsid w:val="09F101AC"/>
    <w:rsid w:val="09F547F1"/>
    <w:rsid w:val="09FC6C3A"/>
    <w:rsid w:val="0A1641A0"/>
    <w:rsid w:val="0A374116"/>
    <w:rsid w:val="0A3E54A5"/>
    <w:rsid w:val="0A425D09"/>
    <w:rsid w:val="0A560047"/>
    <w:rsid w:val="0A5B6057"/>
    <w:rsid w:val="0A615213"/>
    <w:rsid w:val="0A7669ED"/>
    <w:rsid w:val="0ACA4847"/>
    <w:rsid w:val="0AD361DF"/>
    <w:rsid w:val="0AD96F7B"/>
    <w:rsid w:val="0AF049F1"/>
    <w:rsid w:val="0AF139A7"/>
    <w:rsid w:val="0AF91674"/>
    <w:rsid w:val="0AFD2C6A"/>
    <w:rsid w:val="0B516CFE"/>
    <w:rsid w:val="0B5A00BC"/>
    <w:rsid w:val="0B5A7BE7"/>
    <w:rsid w:val="0BAD4690"/>
    <w:rsid w:val="0BAF7383"/>
    <w:rsid w:val="0BB97AC8"/>
    <w:rsid w:val="0BCA09F3"/>
    <w:rsid w:val="0BCE4606"/>
    <w:rsid w:val="0BCF5D24"/>
    <w:rsid w:val="0BED0F30"/>
    <w:rsid w:val="0BFE51B8"/>
    <w:rsid w:val="0C174BC2"/>
    <w:rsid w:val="0C1A784C"/>
    <w:rsid w:val="0C503BC1"/>
    <w:rsid w:val="0C540FAF"/>
    <w:rsid w:val="0C7D722D"/>
    <w:rsid w:val="0C881CA5"/>
    <w:rsid w:val="0CAA0BCF"/>
    <w:rsid w:val="0CB912C3"/>
    <w:rsid w:val="0CB97FA9"/>
    <w:rsid w:val="0CC71781"/>
    <w:rsid w:val="0CCB1770"/>
    <w:rsid w:val="0CCE5B94"/>
    <w:rsid w:val="0CD10F85"/>
    <w:rsid w:val="0CE642FD"/>
    <w:rsid w:val="0CEF39AD"/>
    <w:rsid w:val="0CF91220"/>
    <w:rsid w:val="0CFF1A4A"/>
    <w:rsid w:val="0D327C6B"/>
    <w:rsid w:val="0D3F1B32"/>
    <w:rsid w:val="0D3F4664"/>
    <w:rsid w:val="0D5F286E"/>
    <w:rsid w:val="0D8B7369"/>
    <w:rsid w:val="0D9F4315"/>
    <w:rsid w:val="0DC256A0"/>
    <w:rsid w:val="0DD75F00"/>
    <w:rsid w:val="0DDE5D44"/>
    <w:rsid w:val="0DEB14A0"/>
    <w:rsid w:val="0DEB54DD"/>
    <w:rsid w:val="0E096438"/>
    <w:rsid w:val="0E0C2E16"/>
    <w:rsid w:val="0E33119A"/>
    <w:rsid w:val="0E484B44"/>
    <w:rsid w:val="0E4B4795"/>
    <w:rsid w:val="0E9A156A"/>
    <w:rsid w:val="0EA53D44"/>
    <w:rsid w:val="0EBB3568"/>
    <w:rsid w:val="0EEF05BA"/>
    <w:rsid w:val="0F0F11BE"/>
    <w:rsid w:val="0F2203CF"/>
    <w:rsid w:val="0F272863"/>
    <w:rsid w:val="0F2C78B5"/>
    <w:rsid w:val="0F49256A"/>
    <w:rsid w:val="0F4B48EC"/>
    <w:rsid w:val="0F515C7A"/>
    <w:rsid w:val="0F6256F4"/>
    <w:rsid w:val="0F6B6857"/>
    <w:rsid w:val="0F865924"/>
    <w:rsid w:val="0FA21F87"/>
    <w:rsid w:val="0FAC2639"/>
    <w:rsid w:val="0FB2671F"/>
    <w:rsid w:val="0FBE6BCF"/>
    <w:rsid w:val="0FBF4B97"/>
    <w:rsid w:val="10130368"/>
    <w:rsid w:val="102E514F"/>
    <w:rsid w:val="1040599F"/>
    <w:rsid w:val="10460B3E"/>
    <w:rsid w:val="104C77C0"/>
    <w:rsid w:val="106043C7"/>
    <w:rsid w:val="1061783B"/>
    <w:rsid w:val="10696D40"/>
    <w:rsid w:val="1090553E"/>
    <w:rsid w:val="10BF71E9"/>
    <w:rsid w:val="10C75DB2"/>
    <w:rsid w:val="10D241D0"/>
    <w:rsid w:val="10D66437"/>
    <w:rsid w:val="10F36FE9"/>
    <w:rsid w:val="11105DEF"/>
    <w:rsid w:val="111123A7"/>
    <w:rsid w:val="11281FAC"/>
    <w:rsid w:val="1132247A"/>
    <w:rsid w:val="11511AAD"/>
    <w:rsid w:val="11660481"/>
    <w:rsid w:val="11714438"/>
    <w:rsid w:val="117C475F"/>
    <w:rsid w:val="11A227BD"/>
    <w:rsid w:val="11A62B78"/>
    <w:rsid w:val="11D10160"/>
    <w:rsid w:val="11FD72E8"/>
    <w:rsid w:val="1204469C"/>
    <w:rsid w:val="12135469"/>
    <w:rsid w:val="121E04E8"/>
    <w:rsid w:val="12200177"/>
    <w:rsid w:val="125B6DD1"/>
    <w:rsid w:val="1260229D"/>
    <w:rsid w:val="126E04C4"/>
    <w:rsid w:val="12900868"/>
    <w:rsid w:val="129245E0"/>
    <w:rsid w:val="129C545E"/>
    <w:rsid w:val="12BD50E3"/>
    <w:rsid w:val="12C10A21"/>
    <w:rsid w:val="13386F35"/>
    <w:rsid w:val="13441AE5"/>
    <w:rsid w:val="13441D7E"/>
    <w:rsid w:val="134C6DD6"/>
    <w:rsid w:val="136D666B"/>
    <w:rsid w:val="139F799A"/>
    <w:rsid w:val="13AE71F7"/>
    <w:rsid w:val="13B17C71"/>
    <w:rsid w:val="13CE17D5"/>
    <w:rsid w:val="13E96481"/>
    <w:rsid w:val="13F0510A"/>
    <w:rsid w:val="1405689D"/>
    <w:rsid w:val="141A44CC"/>
    <w:rsid w:val="14236387"/>
    <w:rsid w:val="1425441D"/>
    <w:rsid w:val="14301B0C"/>
    <w:rsid w:val="1447684F"/>
    <w:rsid w:val="14711FFC"/>
    <w:rsid w:val="147C18B9"/>
    <w:rsid w:val="147E2158"/>
    <w:rsid w:val="14970D4A"/>
    <w:rsid w:val="14A44EB1"/>
    <w:rsid w:val="14AD4DB8"/>
    <w:rsid w:val="14C34F24"/>
    <w:rsid w:val="14C4258A"/>
    <w:rsid w:val="153B4ABB"/>
    <w:rsid w:val="15A10F61"/>
    <w:rsid w:val="15AF3B9B"/>
    <w:rsid w:val="15C13494"/>
    <w:rsid w:val="15EC220C"/>
    <w:rsid w:val="15F555B1"/>
    <w:rsid w:val="160C46A9"/>
    <w:rsid w:val="16116963"/>
    <w:rsid w:val="161E3404"/>
    <w:rsid w:val="162B6642"/>
    <w:rsid w:val="167504A0"/>
    <w:rsid w:val="169C77DB"/>
    <w:rsid w:val="16B014D8"/>
    <w:rsid w:val="16CD208A"/>
    <w:rsid w:val="16CF63D5"/>
    <w:rsid w:val="170A6E3A"/>
    <w:rsid w:val="17122A20"/>
    <w:rsid w:val="1720040C"/>
    <w:rsid w:val="172A03A2"/>
    <w:rsid w:val="17410382"/>
    <w:rsid w:val="174B2FAF"/>
    <w:rsid w:val="174E3C66"/>
    <w:rsid w:val="175005C5"/>
    <w:rsid w:val="17636B8E"/>
    <w:rsid w:val="17881110"/>
    <w:rsid w:val="178E0747"/>
    <w:rsid w:val="179915DB"/>
    <w:rsid w:val="17AB1CDB"/>
    <w:rsid w:val="17AC4596"/>
    <w:rsid w:val="17BA0860"/>
    <w:rsid w:val="17BF33D7"/>
    <w:rsid w:val="17CE60BA"/>
    <w:rsid w:val="17F45202"/>
    <w:rsid w:val="17FF1CA5"/>
    <w:rsid w:val="181212F2"/>
    <w:rsid w:val="18581E27"/>
    <w:rsid w:val="186576DB"/>
    <w:rsid w:val="1870581D"/>
    <w:rsid w:val="18852DC4"/>
    <w:rsid w:val="18B43EE8"/>
    <w:rsid w:val="18EC1704"/>
    <w:rsid w:val="18FD19C8"/>
    <w:rsid w:val="19091C74"/>
    <w:rsid w:val="192D0BBE"/>
    <w:rsid w:val="193F608C"/>
    <w:rsid w:val="19940024"/>
    <w:rsid w:val="19B73F44"/>
    <w:rsid w:val="19EB3998"/>
    <w:rsid w:val="19EF056A"/>
    <w:rsid w:val="19F811CC"/>
    <w:rsid w:val="19FB2026"/>
    <w:rsid w:val="1A134CA0"/>
    <w:rsid w:val="1A1C0075"/>
    <w:rsid w:val="1A2235E4"/>
    <w:rsid w:val="1A304E0A"/>
    <w:rsid w:val="1A3470A0"/>
    <w:rsid w:val="1A497C7A"/>
    <w:rsid w:val="1A705206"/>
    <w:rsid w:val="1A8769F4"/>
    <w:rsid w:val="1A943AF7"/>
    <w:rsid w:val="1AC63078"/>
    <w:rsid w:val="1ADC3C25"/>
    <w:rsid w:val="1ADE6EE4"/>
    <w:rsid w:val="1AE654C9"/>
    <w:rsid w:val="1AFC1A94"/>
    <w:rsid w:val="1B0E57C2"/>
    <w:rsid w:val="1B2558AF"/>
    <w:rsid w:val="1B2C68C9"/>
    <w:rsid w:val="1B2F50C2"/>
    <w:rsid w:val="1B642891"/>
    <w:rsid w:val="1B8A22F8"/>
    <w:rsid w:val="1B9B7430"/>
    <w:rsid w:val="1BA710FC"/>
    <w:rsid w:val="1BA809D0"/>
    <w:rsid w:val="1BAD4A8B"/>
    <w:rsid w:val="1BB67591"/>
    <w:rsid w:val="1BC43BCD"/>
    <w:rsid w:val="1BC872C4"/>
    <w:rsid w:val="1BC8769B"/>
    <w:rsid w:val="1BCE1685"/>
    <w:rsid w:val="1C041A94"/>
    <w:rsid w:val="1C170483"/>
    <w:rsid w:val="1C456AEB"/>
    <w:rsid w:val="1C5D6A38"/>
    <w:rsid w:val="1C7A05BE"/>
    <w:rsid w:val="1C817B9F"/>
    <w:rsid w:val="1C8C41A9"/>
    <w:rsid w:val="1C913B90"/>
    <w:rsid w:val="1C982E58"/>
    <w:rsid w:val="1C9A47BD"/>
    <w:rsid w:val="1CAA2094"/>
    <w:rsid w:val="1CB338B2"/>
    <w:rsid w:val="1CF52D14"/>
    <w:rsid w:val="1D076741"/>
    <w:rsid w:val="1D0F3860"/>
    <w:rsid w:val="1D2A5E93"/>
    <w:rsid w:val="1D374A97"/>
    <w:rsid w:val="1D5C49B8"/>
    <w:rsid w:val="1D6227F8"/>
    <w:rsid w:val="1D6313FC"/>
    <w:rsid w:val="1D644556"/>
    <w:rsid w:val="1D992CC6"/>
    <w:rsid w:val="1DAB29F9"/>
    <w:rsid w:val="1DAB7C59"/>
    <w:rsid w:val="1DBD1371"/>
    <w:rsid w:val="1DC96A0D"/>
    <w:rsid w:val="1DD3037F"/>
    <w:rsid w:val="1DE1661E"/>
    <w:rsid w:val="1DFE291F"/>
    <w:rsid w:val="1E107F84"/>
    <w:rsid w:val="1E140948"/>
    <w:rsid w:val="1E141822"/>
    <w:rsid w:val="1E356518"/>
    <w:rsid w:val="1E385966"/>
    <w:rsid w:val="1E674B72"/>
    <w:rsid w:val="1E6E5F01"/>
    <w:rsid w:val="1E7A17B5"/>
    <w:rsid w:val="1E7D1FC4"/>
    <w:rsid w:val="1E8F1470"/>
    <w:rsid w:val="1E990AA4"/>
    <w:rsid w:val="1E9B4284"/>
    <w:rsid w:val="1EC41FC5"/>
    <w:rsid w:val="1EE42889"/>
    <w:rsid w:val="1F334A54"/>
    <w:rsid w:val="1F4C5B16"/>
    <w:rsid w:val="1F69491A"/>
    <w:rsid w:val="1F852551"/>
    <w:rsid w:val="1FA73631"/>
    <w:rsid w:val="1FBB64FE"/>
    <w:rsid w:val="1FC009DE"/>
    <w:rsid w:val="1FC35DD8"/>
    <w:rsid w:val="1FF90AD1"/>
    <w:rsid w:val="20074B9B"/>
    <w:rsid w:val="200E1CB4"/>
    <w:rsid w:val="201448F3"/>
    <w:rsid w:val="202B3CAA"/>
    <w:rsid w:val="2056004D"/>
    <w:rsid w:val="205F5715"/>
    <w:rsid w:val="206B2007"/>
    <w:rsid w:val="207B4905"/>
    <w:rsid w:val="20A04297"/>
    <w:rsid w:val="20A756FA"/>
    <w:rsid w:val="20C20C31"/>
    <w:rsid w:val="20C84D12"/>
    <w:rsid w:val="20F62D92"/>
    <w:rsid w:val="210F6386"/>
    <w:rsid w:val="212A7077"/>
    <w:rsid w:val="213F1DD6"/>
    <w:rsid w:val="21543824"/>
    <w:rsid w:val="215B0BFD"/>
    <w:rsid w:val="215D55BF"/>
    <w:rsid w:val="2197751D"/>
    <w:rsid w:val="21A6126D"/>
    <w:rsid w:val="21BA77C5"/>
    <w:rsid w:val="21CD2F3E"/>
    <w:rsid w:val="21E40288"/>
    <w:rsid w:val="22020A77"/>
    <w:rsid w:val="220F1E76"/>
    <w:rsid w:val="223613C5"/>
    <w:rsid w:val="223E3706"/>
    <w:rsid w:val="224B61D7"/>
    <w:rsid w:val="225D0766"/>
    <w:rsid w:val="226D2EE9"/>
    <w:rsid w:val="227F3C44"/>
    <w:rsid w:val="22813E3B"/>
    <w:rsid w:val="228850B7"/>
    <w:rsid w:val="22A14C18"/>
    <w:rsid w:val="22A2261D"/>
    <w:rsid w:val="22D14F53"/>
    <w:rsid w:val="22D7204B"/>
    <w:rsid w:val="22DB5B2F"/>
    <w:rsid w:val="22F4274D"/>
    <w:rsid w:val="231352C9"/>
    <w:rsid w:val="23411CCC"/>
    <w:rsid w:val="23447230"/>
    <w:rsid w:val="23580F2E"/>
    <w:rsid w:val="23871B0E"/>
    <w:rsid w:val="23B343B6"/>
    <w:rsid w:val="23DB0465"/>
    <w:rsid w:val="23DE59BA"/>
    <w:rsid w:val="23EB7FF4"/>
    <w:rsid w:val="23F5103C"/>
    <w:rsid w:val="240E27FB"/>
    <w:rsid w:val="2426102C"/>
    <w:rsid w:val="24305A06"/>
    <w:rsid w:val="2460453E"/>
    <w:rsid w:val="24613453"/>
    <w:rsid w:val="247D50F0"/>
    <w:rsid w:val="24A43F77"/>
    <w:rsid w:val="24B16B47"/>
    <w:rsid w:val="24C82820"/>
    <w:rsid w:val="24D16C22"/>
    <w:rsid w:val="24D273AD"/>
    <w:rsid w:val="24D740D4"/>
    <w:rsid w:val="24EF141E"/>
    <w:rsid w:val="24F07B93"/>
    <w:rsid w:val="24F409A9"/>
    <w:rsid w:val="25011339"/>
    <w:rsid w:val="25035BE9"/>
    <w:rsid w:val="250E6BE2"/>
    <w:rsid w:val="256E3D48"/>
    <w:rsid w:val="25C731DB"/>
    <w:rsid w:val="25CE54D7"/>
    <w:rsid w:val="25F50CB6"/>
    <w:rsid w:val="26096D3F"/>
    <w:rsid w:val="2610789E"/>
    <w:rsid w:val="26163EB5"/>
    <w:rsid w:val="26251D06"/>
    <w:rsid w:val="26252180"/>
    <w:rsid w:val="26321F0A"/>
    <w:rsid w:val="26445799"/>
    <w:rsid w:val="264864F4"/>
    <w:rsid w:val="26867B60"/>
    <w:rsid w:val="26B4725E"/>
    <w:rsid w:val="26C568DA"/>
    <w:rsid w:val="26CD6696"/>
    <w:rsid w:val="26D1527F"/>
    <w:rsid w:val="26D905D7"/>
    <w:rsid w:val="26EA6665"/>
    <w:rsid w:val="26F93445"/>
    <w:rsid w:val="27120687"/>
    <w:rsid w:val="271635D9"/>
    <w:rsid w:val="273116CC"/>
    <w:rsid w:val="273A2810"/>
    <w:rsid w:val="2746688A"/>
    <w:rsid w:val="275F0ADD"/>
    <w:rsid w:val="276A7481"/>
    <w:rsid w:val="276B6060"/>
    <w:rsid w:val="27822A1D"/>
    <w:rsid w:val="278F23C0"/>
    <w:rsid w:val="27946C03"/>
    <w:rsid w:val="27B2145C"/>
    <w:rsid w:val="27BB71B0"/>
    <w:rsid w:val="27FA7131"/>
    <w:rsid w:val="281A0EA7"/>
    <w:rsid w:val="282317CB"/>
    <w:rsid w:val="28435545"/>
    <w:rsid w:val="287700A8"/>
    <w:rsid w:val="287C121A"/>
    <w:rsid w:val="28896941"/>
    <w:rsid w:val="28962D82"/>
    <w:rsid w:val="28B41B74"/>
    <w:rsid w:val="28C22024"/>
    <w:rsid w:val="28DA4193"/>
    <w:rsid w:val="28E374EB"/>
    <w:rsid w:val="28E76FDC"/>
    <w:rsid w:val="28F73E6F"/>
    <w:rsid w:val="28FB2A87"/>
    <w:rsid w:val="290129D3"/>
    <w:rsid w:val="29037B8D"/>
    <w:rsid w:val="29427E51"/>
    <w:rsid w:val="294C32E2"/>
    <w:rsid w:val="294C5091"/>
    <w:rsid w:val="297F5466"/>
    <w:rsid w:val="298D5275"/>
    <w:rsid w:val="29AB2B08"/>
    <w:rsid w:val="29E66BFE"/>
    <w:rsid w:val="29F3785E"/>
    <w:rsid w:val="29F56D48"/>
    <w:rsid w:val="29F85218"/>
    <w:rsid w:val="2A016BA2"/>
    <w:rsid w:val="2A0B6CFA"/>
    <w:rsid w:val="2A0D0CC4"/>
    <w:rsid w:val="2A1B2201"/>
    <w:rsid w:val="2A241B69"/>
    <w:rsid w:val="2A3140FD"/>
    <w:rsid w:val="2A4364DF"/>
    <w:rsid w:val="2A613DAE"/>
    <w:rsid w:val="2AC8240E"/>
    <w:rsid w:val="2AE474F4"/>
    <w:rsid w:val="2AE91610"/>
    <w:rsid w:val="2AF23A16"/>
    <w:rsid w:val="2AF72431"/>
    <w:rsid w:val="2B2058A0"/>
    <w:rsid w:val="2B2D0EF2"/>
    <w:rsid w:val="2B337822"/>
    <w:rsid w:val="2B3F09F3"/>
    <w:rsid w:val="2B5B5A5F"/>
    <w:rsid w:val="2B69661F"/>
    <w:rsid w:val="2BA271EA"/>
    <w:rsid w:val="2BAE7D76"/>
    <w:rsid w:val="2BB46F1D"/>
    <w:rsid w:val="2BC3635D"/>
    <w:rsid w:val="2BC4664C"/>
    <w:rsid w:val="2BCD7395"/>
    <w:rsid w:val="2BCE4856"/>
    <w:rsid w:val="2BE05F64"/>
    <w:rsid w:val="2BEC2B5B"/>
    <w:rsid w:val="2BEF7F55"/>
    <w:rsid w:val="2C0B1EB7"/>
    <w:rsid w:val="2C3708A1"/>
    <w:rsid w:val="2C387B4E"/>
    <w:rsid w:val="2C446EDF"/>
    <w:rsid w:val="2C740C6A"/>
    <w:rsid w:val="2C8F5842"/>
    <w:rsid w:val="2CAC49C9"/>
    <w:rsid w:val="2CBA5B43"/>
    <w:rsid w:val="2CFE750E"/>
    <w:rsid w:val="2D05394C"/>
    <w:rsid w:val="2D0F7889"/>
    <w:rsid w:val="2D874C30"/>
    <w:rsid w:val="2D8D5C78"/>
    <w:rsid w:val="2DBC123C"/>
    <w:rsid w:val="2DC10A56"/>
    <w:rsid w:val="2DEA30CA"/>
    <w:rsid w:val="2DF42E5B"/>
    <w:rsid w:val="2E0A670D"/>
    <w:rsid w:val="2E0D4939"/>
    <w:rsid w:val="2E230507"/>
    <w:rsid w:val="2E2E7FCB"/>
    <w:rsid w:val="2E6874E2"/>
    <w:rsid w:val="2E734E6D"/>
    <w:rsid w:val="2E777000"/>
    <w:rsid w:val="2E787052"/>
    <w:rsid w:val="2E95797D"/>
    <w:rsid w:val="2EA27501"/>
    <w:rsid w:val="2EAE5EE7"/>
    <w:rsid w:val="2EB07E70"/>
    <w:rsid w:val="2EB57107"/>
    <w:rsid w:val="2EE46E89"/>
    <w:rsid w:val="2EFB34D5"/>
    <w:rsid w:val="2F1F319B"/>
    <w:rsid w:val="2F2B74F6"/>
    <w:rsid w:val="2F3B6BD2"/>
    <w:rsid w:val="2F3C2100"/>
    <w:rsid w:val="2F3E7857"/>
    <w:rsid w:val="2F4762E4"/>
    <w:rsid w:val="2F5E167A"/>
    <w:rsid w:val="2F624773"/>
    <w:rsid w:val="2F6824F8"/>
    <w:rsid w:val="2F731833"/>
    <w:rsid w:val="2F9060E8"/>
    <w:rsid w:val="2F9706CB"/>
    <w:rsid w:val="2F971030"/>
    <w:rsid w:val="2FCA4F61"/>
    <w:rsid w:val="2FD30DC5"/>
    <w:rsid w:val="2FD32B3D"/>
    <w:rsid w:val="2FE00F3D"/>
    <w:rsid w:val="2FEC4067"/>
    <w:rsid w:val="2FED05C9"/>
    <w:rsid w:val="2FEE6EA1"/>
    <w:rsid w:val="2FF01822"/>
    <w:rsid w:val="2FF02C24"/>
    <w:rsid w:val="2FF40230"/>
    <w:rsid w:val="30246A80"/>
    <w:rsid w:val="30517430"/>
    <w:rsid w:val="305C0CAD"/>
    <w:rsid w:val="305C687C"/>
    <w:rsid w:val="307325D9"/>
    <w:rsid w:val="307B625B"/>
    <w:rsid w:val="30B11ABF"/>
    <w:rsid w:val="30C312E5"/>
    <w:rsid w:val="30C51EF2"/>
    <w:rsid w:val="30D328A2"/>
    <w:rsid w:val="30E31FB7"/>
    <w:rsid w:val="31320090"/>
    <w:rsid w:val="31322DBE"/>
    <w:rsid w:val="315A2315"/>
    <w:rsid w:val="316D3DF6"/>
    <w:rsid w:val="318750EF"/>
    <w:rsid w:val="318C73AC"/>
    <w:rsid w:val="31C530CA"/>
    <w:rsid w:val="31D976DD"/>
    <w:rsid w:val="31E71DFA"/>
    <w:rsid w:val="31EF5153"/>
    <w:rsid w:val="31F2015C"/>
    <w:rsid w:val="31F67EDC"/>
    <w:rsid w:val="31FB3AF8"/>
    <w:rsid w:val="325D5CAE"/>
    <w:rsid w:val="329A50BF"/>
    <w:rsid w:val="32B06690"/>
    <w:rsid w:val="32CC7242"/>
    <w:rsid w:val="32CF0C02"/>
    <w:rsid w:val="32E53E60"/>
    <w:rsid w:val="32FC70BF"/>
    <w:rsid w:val="3330483A"/>
    <w:rsid w:val="333252F7"/>
    <w:rsid w:val="333E257D"/>
    <w:rsid w:val="335B142E"/>
    <w:rsid w:val="337C0898"/>
    <w:rsid w:val="337C33E4"/>
    <w:rsid w:val="337E22EA"/>
    <w:rsid w:val="339A40AC"/>
    <w:rsid w:val="340379C6"/>
    <w:rsid w:val="340A0F6C"/>
    <w:rsid w:val="341774EA"/>
    <w:rsid w:val="343C6007"/>
    <w:rsid w:val="3474525E"/>
    <w:rsid w:val="348231C8"/>
    <w:rsid w:val="348778C5"/>
    <w:rsid w:val="349756CD"/>
    <w:rsid w:val="34AB35B3"/>
    <w:rsid w:val="34B1049E"/>
    <w:rsid w:val="34BB1D0D"/>
    <w:rsid w:val="34DB703E"/>
    <w:rsid w:val="352B6080"/>
    <w:rsid w:val="352E7A4E"/>
    <w:rsid w:val="355D1BDD"/>
    <w:rsid w:val="356C1893"/>
    <w:rsid w:val="35931E3C"/>
    <w:rsid w:val="35BF7503"/>
    <w:rsid w:val="35C81F43"/>
    <w:rsid w:val="35CB6407"/>
    <w:rsid w:val="35F273D0"/>
    <w:rsid w:val="35FF1075"/>
    <w:rsid w:val="36312BA6"/>
    <w:rsid w:val="363B0967"/>
    <w:rsid w:val="363E3E80"/>
    <w:rsid w:val="36400397"/>
    <w:rsid w:val="364147F8"/>
    <w:rsid w:val="36636652"/>
    <w:rsid w:val="369E2CA4"/>
    <w:rsid w:val="36A54032"/>
    <w:rsid w:val="36AB0D07"/>
    <w:rsid w:val="36B85B13"/>
    <w:rsid w:val="36CA51EA"/>
    <w:rsid w:val="36E7289C"/>
    <w:rsid w:val="36F44901"/>
    <w:rsid w:val="36F9346E"/>
    <w:rsid w:val="3701395E"/>
    <w:rsid w:val="370C2303"/>
    <w:rsid w:val="371216F3"/>
    <w:rsid w:val="371562DB"/>
    <w:rsid w:val="37256F21"/>
    <w:rsid w:val="37321D6A"/>
    <w:rsid w:val="37555A58"/>
    <w:rsid w:val="375D0992"/>
    <w:rsid w:val="376E6B1A"/>
    <w:rsid w:val="37816EE8"/>
    <w:rsid w:val="37B26BC7"/>
    <w:rsid w:val="37BA272F"/>
    <w:rsid w:val="37D56B99"/>
    <w:rsid w:val="37DF7667"/>
    <w:rsid w:val="380059E1"/>
    <w:rsid w:val="380546C2"/>
    <w:rsid w:val="380B4369"/>
    <w:rsid w:val="3810197F"/>
    <w:rsid w:val="3819510D"/>
    <w:rsid w:val="382F7F59"/>
    <w:rsid w:val="383117BB"/>
    <w:rsid w:val="38392C84"/>
    <w:rsid w:val="385D6D40"/>
    <w:rsid w:val="3898459D"/>
    <w:rsid w:val="389C3213"/>
    <w:rsid w:val="38B4677D"/>
    <w:rsid w:val="38B95B73"/>
    <w:rsid w:val="38D65532"/>
    <w:rsid w:val="38ED08FE"/>
    <w:rsid w:val="393022D9"/>
    <w:rsid w:val="39585248"/>
    <w:rsid w:val="39682C9F"/>
    <w:rsid w:val="398E34A3"/>
    <w:rsid w:val="39A607ED"/>
    <w:rsid w:val="39C0030D"/>
    <w:rsid w:val="39C462DB"/>
    <w:rsid w:val="39D17F47"/>
    <w:rsid w:val="39DD3329"/>
    <w:rsid w:val="39E15BEA"/>
    <w:rsid w:val="3A2332A8"/>
    <w:rsid w:val="3A4E20D5"/>
    <w:rsid w:val="3A704957"/>
    <w:rsid w:val="3A7A7584"/>
    <w:rsid w:val="3AA16C0F"/>
    <w:rsid w:val="3AB45034"/>
    <w:rsid w:val="3AB535E1"/>
    <w:rsid w:val="3ACE07FD"/>
    <w:rsid w:val="3AF96F3C"/>
    <w:rsid w:val="3AFF6407"/>
    <w:rsid w:val="3B117EE8"/>
    <w:rsid w:val="3B1461A6"/>
    <w:rsid w:val="3B4E1274"/>
    <w:rsid w:val="3B6A75F8"/>
    <w:rsid w:val="3B7F7163"/>
    <w:rsid w:val="3B8A2759"/>
    <w:rsid w:val="3BA20BFD"/>
    <w:rsid w:val="3BA24FE4"/>
    <w:rsid w:val="3BA42B0A"/>
    <w:rsid w:val="3BC35686"/>
    <w:rsid w:val="3BC40B50"/>
    <w:rsid w:val="3BD01B51"/>
    <w:rsid w:val="3C003D8D"/>
    <w:rsid w:val="3C0D5D01"/>
    <w:rsid w:val="3C26586A"/>
    <w:rsid w:val="3C3917A1"/>
    <w:rsid w:val="3C4D6CFE"/>
    <w:rsid w:val="3C51713E"/>
    <w:rsid w:val="3C526997"/>
    <w:rsid w:val="3C5C2847"/>
    <w:rsid w:val="3C925059"/>
    <w:rsid w:val="3C9568F7"/>
    <w:rsid w:val="3CB5559F"/>
    <w:rsid w:val="3CBC2B52"/>
    <w:rsid w:val="3CBE52C8"/>
    <w:rsid w:val="3CC870FB"/>
    <w:rsid w:val="3CE753A4"/>
    <w:rsid w:val="3D1F312E"/>
    <w:rsid w:val="3D3D7AE5"/>
    <w:rsid w:val="3D471ABF"/>
    <w:rsid w:val="3D6A7724"/>
    <w:rsid w:val="3D9D1B37"/>
    <w:rsid w:val="3DA17A9D"/>
    <w:rsid w:val="3DDB0390"/>
    <w:rsid w:val="3DDC1163"/>
    <w:rsid w:val="3DE11DF4"/>
    <w:rsid w:val="3E3711E2"/>
    <w:rsid w:val="3E375EB7"/>
    <w:rsid w:val="3E421533"/>
    <w:rsid w:val="3E4E44C1"/>
    <w:rsid w:val="3E5949F3"/>
    <w:rsid w:val="3E5B7AE8"/>
    <w:rsid w:val="3E6E73FF"/>
    <w:rsid w:val="3E7741A0"/>
    <w:rsid w:val="3E8D5E6B"/>
    <w:rsid w:val="3EA64DEB"/>
    <w:rsid w:val="3EC7548D"/>
    <w:rsid w:val="3ED01430"/>
    <w:rsid w:val="3EDC25BB"/>
    <w:rsid w:val="3EE906FE"/>
    <w:rsid w:val="3EF9316D"/>
    <w:rsid w:val="3F0B6C2D"/>
    <w:rsid w:val="3F66594E"/>
    <w:rsid w:val="3F796D91"/>
    <w:rsid w:val="3F9733C2"/>
    <w:rsid w:val="3FA30497"/>
    <w:rsid w:val="3FA763B0"/>
    <w:rsid w:val="3FAA7FC2"/>
    <w:rsid w:val="3FC512A1"/>
    <w:rsid w:val="3FD247CD"/>
    <w:rsid w:val="3FD414E4"/>
    <w:rsid w:val="40175FA1"/>
    <w:rsid w:val="4024246B"/>
    <w:rsid w:val="40CB1E84"/>
    <w:rsid w:val="40D43E92"/>
    <w:rsid w:val="40D45C40"/>
    <w:rsid w:val="40DB5220"/>
    <w:rsid w:val="40E81C84"/>
    <w:rsid w:val="40F94293"/>
    <w:rsid w:val="410E46E1"/>
    <w:rsid w:val="4157061F"/>
    <w:rsid w:val="41662610"/>
    <w:rsid w:val="41921B27"/>
    <w:rsid w:val="41D75722"/>
    <w:rsid w:val="420C765B"/>
    <w:rsid w:val="421D3616"/>
    <w:rsid w:val="425132C0"/>
    <w:rsid w:val="42636FFD"/>
    <w:rsid w:val="42683117"/>
    <w:rsid w:val="42721D88"/>
    <w:rsid w:val="42785FB7"/>
    <w:rsid w:val="429E34F1"/>
    <w:rsid w:val="42AA6865"/>
    <w:rsid w:val="42B702DA"/>
    <w:rsid w:val="42C57F36"/>
    <w:rsid w:val="42CC7E5F"/>
    <w:rsid w:val="42D27F5D"/>
    <w:rsid w:val="42EA6221"/>
    <w:rsid w:val="42EF4755"/>
    <w:rsid w:val="431E7646"/>
    <w:rsid w:val="43430E5B"/>
    <w:rsid w:val="434A46EC"/>
    <w:rsid w:val="435C7A89"/>
    <w:rsid w:val="436C51DF"/>
    <w:rsid w:val="438020AF"/>
    <w:rsid w:val="43941B2C"/>
    <w:rsid w:val="43CB2F74"/>
    <w:rsid w:val="43E7452D"/>
    <w:rsid w:val="43E84655"/>
    <w:rsid w:val="44044A8E"/>
    <w:rsid w:val="444711C8"/>
    <w:rsid w:val="444A568D"/>
    <w:rsid w:val="444C4C47"/>
    <w:rsid w:val="44531998"/>
    <w:rsid w:val="44590819"/>
    <w:rsid w:val="445B488C"/>
    <w:rsid w:val="446E48E9"/>
    <w:rsid w:val="44717149"/>
    <w:rsid w:val="44784B34"/>
    <w:rsid w:val="447B1C4D"/>
    <w:rsid w:val="448D3CA6"/>
    <w:rsid w:val="44F87A23"/>
    <w:rsid w:val="450F3328"/>
    <w:rsid w:val="453252CE"/>
    <w:rsid w:val="453A4CCF"/>
    <w:rsid w:val="45597105"/>
    <w:rsid w:val="455E0086"/>
    <w:rsid w:val="45640302"/>
    <w:rsid w:val="456C63D5"/>
    <w:rsid w:val="45763405"/>
    <w:rsid w:val="458A53A7"/>
    <w:rsid w:val="45A2455E"/>
    <w:rsid w:val="45B51542"/>
    <w:rsid w:val="45B85B30"/>
    <w:rsid w:val="45D862F6"/>
    <w:rsid w:val="45E73FDA"/>
    <w:rsid w:val="45F079B0"/>
    <w:rsid w:val="45FF375F"/>
    <w:rsid w:val="461A4D4F"/>
    <w:rsid w:val="46293689"/>
    <w:rsid w:val="46341BEB"/>
    <w:rsid w:val="464E1FF0"/>
    <w:rsid w:val="464E7D0F"/>
    <w:rsid w:val="465A35BD"/>
    <w:rsid w:val="465D0485"/>
    <w:rsid w:val="465F0134"/>
    <w:rsid w:val="469519C5"/>
    <w:rsid w:val="46D93AEF"/>
    <w:rsid w:val="46DA6F1F"/>
    <w:rsid w:val="47113641"/>
    <w:rsid w:val="473B4C7D"/>
    <w:rsid w:val="4742292E"/>
    <w:rsid w:val="47460F19"/>
    <w:rsid w:val="475A2DB1"/>
    <w:rsid w:val="475E2568"/>
    <w:rsid w:val="47615D53"/>
    <w:rsid w:val="47842674"/>
    <w:rsid w:val="478E57A6"/>
    <w:rsid w:val="47910749"/>
    <w:rsid w:val="4795427E"/>
    <w:rsid w:val="479C7B19"/>
    <w:rsid w:val="479F32A6"/>
    <w:rsid w:val="47A143A2"/>
    <w:rsid w:val="47A3636C"/>
    <w:rsid w:val="47A9256D"/>
    <w:rsid w:val="47AF4D11"/>
    <w:rsid w:val="47B9126E"/>
    <w:rsid w:val="48042E5B"/>
    <w:rsid w:val="48322A33"/>
    <w:rsid w:val="48492E5F"/>
    <w:rsid w:val="48515DC8"/>
    <w:rsid w:val="4866371A"/>
    <w:rsid w:val="487447D4"/>
    <w:rsid w:val="48A95C04"/>
    <w:rsid w:val="48CE652C"/>
    <w:rsid w:val="48D91605"/>
    <w:rsid w:val="48DC7D87"/>
    <w:rsid w:val="48F91335"/>
    <w:rsid w:val="48F97216"/>
    <w:rsid w:val="48FF3A76"/>
    <w:rsid w:val="49005E88"/>
    <w:rsid w:val="492275A4"/>
    <w:rsid w:val="49446E29"/>
    <w:rsid w:val="495A158B"/>
    <w:rsid w:val="4972249A"/>
    <w:rsid w:val="497955D6"/>
    <w:rsid w:val="498A3508"/>
    <w:rsid w:val="49B16CC5"/>
    <w:rsid w:val="49C9699B"/>
    <w:rsid w:val="49DD50AA"/>
    <w:rsid w:val="49E73F04"/>
    <w:rsid w:val="4A061B4C"/>
    <w:rsid w:val="4A355CC3"/>
    <w:rsid w:val="4A405240"/>
    <w:rsid w:val="4A496086"/>
    <w:rsid w:val="4A6C513B"/>
    <w:rsid w:val="4A74295D"/>
    <w:rsid w:val="4A8A64BF"/>
    <w:rsid w:val="4A92483C"/>
    <w:rsid w:val="4AAC5537"/>
    <w:rsid w:val="4AB45A91"/>
    <w:rsid w:val="4AC11C68"/>
    <w:rsid w:val="4AC170EF"/>
    <w:rsid w:val="4ACD4CEF"/>
    <w:rsid w:val="4ACE1952"/>
    <w:rsid w:val="4AEF15D8"/>
    <w:rsid w:val="4B005883"/>
    <w:rsid w:val="4B036369"/>
    <w:rsid w:val="4B0B0B93"/>
    <w:rsid w:val="4B26353C"/>
    <w:rsid w:val="4B2C6EA1"/>
    <w:rsid w:val="4B2F358D"/>
    <w:rsid w:val="4B34391F"/>
    <w:rsid w:val="4B386DCB"/>
    <w:rsid w:val="4B3A7B4E"/>
    <w:rsid w:val="4B430756"/>
    <w:rsid w:val="4B533C05"/>
    <w:rsid w:val="4B61791F"/>
    <w:rsid w:val="4B7778F3"/>
    <w:rsid w:val="4B7818BD"/>
    <w:rsid w:val="4B7A0F54"/>
    <w:rsid w:val="4B7B24F3"/>
    <w:rsid w:val="4B850B76"/>
    <w:rsid w:val="4BA86C84"/>
    <w:rsid w:val="4BA97CC9"/>
    <w:rsid w:val="4BAA2B56"/>
    <w:rsid w:val="4BE40D01"/>
    <w:rsid w:val="4C4C09CF"/>
    <w:rsid w:val="4C4D6CFC"/>
    <w:rsid w:val="4C7E4CB1"/>
    <w:rsid w:val="4CA02851"/>
    <w:rsid w:val="4CAA5507"/>
    <w:rsid w:val="4CC20384"/>
    <w:rsid w:val="4CC54AC0"/>
    <w:rsid w:val="4D141FE0"/>
    <w:rsid w:val="4D1473C4"/>
    <w:rsid w:val="4D227D33"/>
    <w:rsid w:val="4D3A507C"/>
    <w:rsid w:val="4D5D0D6B"/>
    <w:rsid w:val="4D646B23"/>
    <w:rsid w:val="4D780CB4"/>
    <w:rsid w:val="4D78484A"/>
    <w:rsid w:val="4D867E2A"/>
    <w:rsid w:val="4DAC05E6"/>
    <w:rsid w:val="4DAC22C8"/>
    <w:rsid w:val="4DC126F3"/>
    <w:rsid w:val="4DC236BE"/>
    <w:rsid w:val="4DF06083"/>
    <w:rsid w:val="4E0524B6"/>
    <w:rsid w:val="4E0E5897"/>
    <w:rsid w:val="4E1118B3"/>
    <w:rsid w:val="4E20058F"/>
    <w:rsid w:val="4E4242CC"/>
    <w:rsid w:val="4E5403C0"/>
    <w:rsid w:val="4E5F5F0E"/>
    <w:rsid w:val="4E6239DF"/>
    <w:rsid w:val="4E677615"/>
    <w:rsid w:val="4E767FEC"/>
    <w:rsid w:val="4E943B74"/>
    <w:rsid w:val="4EA96528"/>
    <w:rsid w:val="4EC56BC8"/>
    <w:rsid w:val="4ED079B5"/>
    <w:rsid w:val="4ED127FF"/>
    <w:rsid w:val="4ED96A7E"/>
    <w:rsid w:val="4F18763F"/>
    <w:rsid w:val="4F540514"/>
    <w:rsid w:val="4F6666E3"/>
    <w:rsid w:val="4F702FD7"/>
    <w:rsid w:val="4F742507"/>
    <w:rsid w:val="4F9622BF"/>
    <w:rsid w:val="4F9C22EA"/>
    <w:rsid w:val="4F9D18F3"/>
    <w:rsid w:val="4F9F566B"/>
    <w:rsid w:val="4FA5516E"/>
    <w:rsid w:val="4FA72771"/>
    <w:rsid w:val="4FAE052E"/>
    <w:rsid w:val="4FB22195"/>
    <w:rsid w:val="4FDE2637"/>
    <w:rsid w:val="4FF359B6"/>
    <w:rsid w:val="4FF43C08"/>
    <w:rsid w:val="4FFE3062"/>
    <w:rsid w:val="50023B39"/>
    <w:rsid w:val="500372D1"/>
    <w:rsid w:val="50184C79"/>
    <w:rsid w:val="501C7B3E"/>
    <w:rsid w:val="50772144"/>
    <w:rsid w:val="509E3C03"/>
    <w:rsid w:val="509F114C"/>
    <w:rsid w:val="50C01628"/>
    <w:rsid w:val="50C65FDD"/>
    <w:rsid w:val="50C77758"/>
    <w:rsid w:val="50E028B4"/>
    <w:rsid w:val="50E344A6"/>
    <w:rsid w:val="50E53551"/>
    <w:rsid w:val="5119769F"/>
    <w:rsid w:val="51271000"/>
    <w:rsid w:val="51566FA2"/>
    <w:rsid w:val="515C7B07"/>
    <w:rsid w:val="515D758B"/>
    <w:rsid w:val="51671CB2"/>
    <w:rsid w:val="517D674F"/>
    <w:rsid w:val="518B234A"/>
    <w:rsid w:val="51917235"/>
    <w:rsid w:val="51A27E07"/>
    <w:rsid w:val="51B11960"/>
    <w:rsid w:val="51BC6150"/>
    <w:rsid w:val="51C93B39"/>
    <w:rsid w:val="51D3784E"/>
    <w:rsid w:val="51D84E64"/>
    <w:rsid w:val="51ED2FE7"/>
    <w:rsid w:val="51EF0B3A"/>
    <w:rsid w:val="5200468D"/>
    <w:rsid w:val="520B596A"/>
    <w:rsid w:val="52135752"/>
    <w:rsid w:val="5226253D"/>
    <w:rsid w:val="522D7877"/>
    <w:rsid w:val="523336B1"/>
    <w:rsid w:val="524871C6"/>
    <w:rsid w:val="52583D9D"/>
    <w:rsid w:val="526D37FE"/>
    <w:rsid w:val="52C728C5"/>
    <w:rsid w:val="52E57E15"/>
    <w:rsid w:val="52E930E9"/>
    <w:rsid w:val="52EB0BC7"/>
    <w:rsid w:val="52FD43C9"/>
    <w:rsid w:val="531B187C"/>
    <w:rsid w:val="531C291E"/>
    <w:rsid w:val="533C110A"/>
    <w:rsid w:val="536A3A27"/>
    <w:rsid w:val="537137C2"/>
    <w:rsid w:val="53737AE7"/>
    <w:rsid w:val="5394300C"/>
    <w:rsid w:val="53A25729"/>
    <w:rsid w:val="53DE35D5"/>
    <w:rsid w:val="5403105C"/>
    <w:rsid w:val="54335D8B"/>
    <w:rsid w:val="543E122D"/>
    <w:rsid w:val="544544DB"/>
    <w:rsid w:val="54454A38"/>
    <w:rsid w:val="54603722"/>
    <w:rsid w:val="5460414F"/>
    <w:rsid w:val="54680721"/>
    <w:rsid w:val="546A1F5A"/>
    <w:rsid w:val="546E385E"/>
    <w:rsid w:val="546E6143"/>
    <w:rsid w:val="54752E3E"/>
    <w:rsid w:val="54994D7E"/>
    <w:rsid w:val="54B76D9A"/>
    <w:rsid w:val="54BE2A37"/>
    <w:rsid w:val="54C44B46"/>
    <w:rsid w:val="54D23DEC"/>
    <w:rsid w:val="54D34337"/>
    <w:rsid w:val="54DA5D8D"/>
    <w:rsid w:val="54ED35AA"/>
    <w:rsid w:val="551D40DC"/>
    <w:rsid w:val="55264138"/>
    <w:rsid w:val="55436A98"/>
    <w:rsid w:val="554E2EA4"/>
    <w:rsid w:val="55515659"/>
    <w:rsid w:val="55A044C0"/>
    <w:rsid w:val="55B921AE"/>
    <w:rsid w:val="55C217A6"/>
    <w:rsid w:val="55CE071D"/>
    <w:rsid w:val="55F964C0"/>
    <w:rsid w:val="561B17C3"/>
    <w:rsid w:val="56313709"/>
    <w:rsid w:val="56463DBE"/>
    <w:rsid w:val="5646557D"/>
    <w:rsid w:val="565A665B"/>
    <w:rsid w:val="566B44F9"/>
    <w:rsid w:val="568000FE"/>
    <w:rsid w:val="56C63E25"/>
    <w:rsid w:val="56CE1E48"/>
    <w:rsid w:val="56D76FBC"/>
    <w:rsid w:val="572E5FD7"/>
    <w:rsid w:val="57405985"/>
    <w:rsid w:val="57441971"/>
    <w:rsid w:val="5747052B"/>
    <w:rsid w:val="574D0B96"/>
    <w:rsid w:val="5753390A"/>
    <w:rsid w:val="576C0528"/>
    <w:rsid w:val="57790E97"/>
    <w:rsid w:val="577949F3"/>
    <w:rsid w:val="5781344E"/>
    <w:rsid w:val="578923D3"/>
    <w:rsid w:val="57AC4DC9"/>
    <w:rsid w:val="57C837F3"/>
    <w:rsid w:val="57D27E9C"/>
    <w:rsid w:val="57F90EFC"/>
    <w:rsid w:val="58002426"/>
    <w:rsid w:val="580C5867"/>
    <w:rsid w:val="5815139C"/>
    <w:rsid w:val="58405511"/>
    <w:rsid w:val="5846533A"/>
    <w:rsid w:val="584E6149"/>
    <w:rsid w:val="585A65D3"/>
    <w:rsid w:val="58672BD5"/>
    <w:rsid w:val="587868EA"/>
    <w:rsid w:val="587873A1"/>
    <w:rsid w:val="587C29ED"/>
    <w:rsid w:val="587D598D"/>
    <w:rsid w:val="589F3852"/>
    <w:rsid w:val="58A81A34"/>
    <w:rsid w:val="58BB798B"/>
    <w:rsid w:val="58E77E9A"/>
    <w:rsid w:val="59142C25"/>
    <w:rsid w:val="59154646"/>
    <w:rsid w:val="5935428B"/>
    <w:rsid w:val="594D6137"/>
    <w:rsid w:val="59537423"/>
    <w:rsid w:val="59637709"/>
    <w:rsid w:val="59695434"/>
    <w:rsid w:val="59853B23"/>
    <w:rsid w:val="598B2F92"/>
    <w:rsid w:val="599B3347"/>
    <w:rsid w:val="59C363FA"/>
    <w:rsid w:val="59CA7788"/>
    <w:rsid w:val="59D06384"/>
    <w:rsid w:val="59D46859"/>
    <w:rsid w:val="59D92638"/>
    <w:rsid w:val="59EB363D"/>
    <w:rsid w:val="59F359C5"/>
    <w:rsid w:val="5A382944"/>
    <w:rsid w:val="5A6E2A15"/>
    <w:rsid w:val="5A737E20"/>
    <w:rsid w:val="5A7D0C9E"/>
    <w:rsid w:val="5AA705B3"/>
    <w:rsid w:val="5AD00570"/>
    <w:rsid w:val="5AD908F4"/>
    <w:rsid w:val="5AEC4883"/>
    <w:rsid w:val="5AF31651"/>
    <w:rsid w:val="5AF54CD9"/>
    <w:rsid w:val="5B105132"/>
    <w:rsid w:val="5B156152"/>
    <w:rsid w:val="5B314FB8"/>
    <w:rsid w:val="5B395408"/>
    <w:rsid w:val="5B445318"/>
    <w:rsid w:val="5B4F43E9"/>
    <w:rsid w:val="5B5136E8"/>
    <w:rsid w:val="5B8542BD"/>
    <w:rsid w:val="5B8E5745"/>
    <w:rsid w:val="5B931646"/>
    <w:rsid w:val="5B935A55"/>
    <w:rsid w:val="5B9E6053"/>
    <w:rsid w:val="5BA71952"/>
    <w:rsid w:val="5BB22788"/>
    <w:rsid w:val="5BB74B5E"/>
    <w:rsid w:val="5BC15105"/>
    <w:rsid w:val="5BEF0AD5"/>
    <w:rsid w:val="5C0E64BD"/>
    <w:rsid w:val="5C0F3B78"/>
    <w:rsid w:val="5C36729C"/>
    <w:rsid w:val="5C520E7C"/>
    <w:rsid w:val="5C5611D3"/>
    <w:rsid w:val="5C581567"/>
    <w:rsid w:val="5C5D06C1"/>
    <w:rsid w:val="5C6E5A67"/>
    <w:rsid w:val="5C85608F"/>
    <w:rsid w:val="5C8C4325"/>
    <w:rsid w:val="5C8F671E"/>
    <w:rsid w:val="5CA33EE6"/>
    <w:rsid w:val="5CC055C4"/>
    <w:rsid w:val="5CC07DD9"/>
    <w:rsid w:val="5CFF1FDC"/>
    <w:rsid w:val="5D0D35F8"/>
    <w:rsid w:val="5D123E93"/>
    <w:rsid w:val="5D174309"/>
    <w:rsid w:val="5D1C654D"/>
    <w:rsid w:val="5D2017FC"/>
    <w:rsid w:val="5D553BC7"/>
    <w:rsid w:val="5D752101"/>
    <w:rsid w:val="5D7855A5"/>
    <w:rsid w:val="5D8D744A"/>
    <w:rsid w:val="5D924A61"/>
    <w:rsid w:val="5DA165FC"/>
    <w:rsid w:val="5DB449D7"/>
    <w:rsid w:val="5DB9023F"/>
    <w:rsid w:val="5DC23869"/>
    <w:rsid w:val="5DC62A8F"/>
    <w:rsid w:val="5DCA7D57"/>
    <w:rsid w:val="5DDA5580"/>
    <w:rsid w:val="5DE013A7"/>
    <w:rsid w:val="5DE057CC"/>
    <w:rsid w:val="5E096374"/>
    <w:rsid w:val="5E257683"/>
    <w:rsid w:val="5E6C3504"/>
    <w:rsid w:val="5E6D4E5F"/>
    <w:rsid w:val="5E8343A9"/>
    <w:rsid w:val="5E875C48"/>
    <w:rsid w:val="5E9D190F"/>
    <w:rsid w:val="5EB278DF"/>
    <w:rsid w:val="5EBF4451"/>
    <w:rsid w:val="5ECF7C24"/>
    <w:rsid w:val="5EDD0749"/>
    <w:rsid w:val="5EFA2F5D"/>
    <w:rsid w:val="5EFF6126"/>
    <w:rsid w:val="5F0E6877"/>
    <w:rsid w:val="5F1405A9"/>
    <w:rsid w:val="5F4E2C09"/>
    <w:rsid w:val="5F7C47FC"/>
    <w:rsid w:val="5F805623"/>
    <w:rsid w:val="5F9251D4"/>
    <w:rsid w:val="5FB4164A"/>
    <w:rsid w:val="5FC66CDE"/>
    <w:rsid w:val="5FCD2324"/>
    <w:rsid w:val="5FDC0F7A"/>
    <w:rsid w:val="5FE327A5"/>
    <w:rsid w:val="5FF41E65"/>
    <w:rsid w:val="600E3D76"/>
    <w:rsid w:val="602045A6"/>
    <w:rsid w:val="6031230F"/>
    <w:rsid w:val="603E5F7A"/>
    <w:rsid w:val="604F09E7"/>
    <w:rsid w:val="6051475F"/>
    <w:rsid w:val="60675D31"/>
    <w:rsid w:val="606E61E9"/>
    <w:rsid w:val="609620D1"/>
    <w:rsid w:val="6099055F"/>
    <w:rsid w:val="60BE0A02"/>
    <w:rsid w:val="60D17C50"/>
    <w:rsid w:val="61152866"/>
    <w:rsid w:val="615151FD"/>
    <w:rsid w:val="6162299C"/>
    <w:rsid w:val="617701F5"/>
    <w:rsid w:val="617A1A94"/>
    <w:rsid w:val="619075D0"/>
    <w:rsid w:val="61CA2EC1"/>
    <w:rsid w:val="61CE7FA1"/>
    <w:rsid w:val="61DC44FC"/>
    <w:rsid w:val="61E01854"/>
    <w:rsid w:val="61EE5D3F"/>
    <w:rsid w:val="622017F1"/>
    <w:rsid w:val="62404A8B"/>
    <w:rsid w:val="62482C19"/>
    <w:rsid w:val="626910C3"/>
    <w:rsid w:val="627604AD"/>
    <w:rsid w:val="6278143F"/>
    <w:rsid w:val="62DD1EB5"/>
    <w:rsid w:val="62F35FA1"/>
    <w:rsid w:val="62FB30A8"/>
    <w:rsid w:val="63154001"/>
    <w:rsid w:val="633914DA"/>
    <w:rsid w:val="633D39F4"/>
    <w:rsid w:val="633F2F95"/>
    <w:rsid w:val="634467FD"/>
    <w:rsid w:val="634E31D8"/>
    <w:rsid w:val="63744BF1"/>
    <w:rsid w:val="6375205B"/>
    <w:rsid w:val="637C5F97"/>
    <w:rsid w:val="63937429"/>
    <w:rsid w:val="63955212"/>
    <w:rsid w:val="63A4104A"/>
    <w:rsid w:val="63A469EA"/>
    <w:rsid w:val="63B079EF"/>
    <w:rsid w:val="63D0339F"/>
    <w:rsid w:val="6413263F"/>
    <w:rsid w:val="64175F22"/>
    <w:rsid w:val="64370110"/>
    <w:rsid w:val="646A3415"/>
    <w:rsid w:val="647C3D75"/>
    <w:rsid w:val="647E318E"/>
    <w:rsid w:val="64944B56"/>
    <w:rsid w:val="64AD0656"/>
    <w:rsid w:val="64B27796"/>
    <w:rsid w:val="64CA1A25"/>
    <w:rsid w:val="64E83DE8"/>
    <w:rsid w:val="64EC3D37"/>
    <w:rsid w:val="64EE1A97"/>
    <w:rsid w:val="65306815"/>
    <w:rsid w:val="654F790E"/>
    <w:rsid w:val="656A17E0"/>
    <w:rsid w:val="65797468"/>
    <w:rsid w:val="657B402C"/>
    <w:rsid w:val="65810E59"/>
    <w:rsid w:val="65817895"/>
    <w:rsid w:val="658E039D"/>
    <w:rsid w:val="65924CA9"/>
    <w:rsid w:val="65B46B2F"/>
    <w:rsid w:val="65C26A8E"/>
    <w:rsid w:val="65D200F0"/>
    <w:rsid w:val="65E51C8D"/>
    <w:rsid w:val="65F83E57"/>
    <w:rsid w:val="65FF6E40"/>
    <w:rsid w:val="660D2ED6"/>
    <w:rsid w:val="660E0C4E"/>
    <w:rsid w:val="661204ED"/>
    <w:rsid w:val="6612135A"/>
    <w:rsid w:val="665705F5"/>
    <w:rsid w:val="6659207B"/>
    <w:rsid w:val="66630D48"/>
    <w:rsid w:val="66747C6D"/>
    <w:rsid w:val="66AE7DC2"/>
    <w:rsid w:val="66BE68C6"/>
    <w:rsid w:val="66D6776C"/>
    <w:rsid w:val="66D85CF0"/>
    <w:rsid w:val="66E8749F"/>
    <w:rsid w:val="66FE03D7"/>
    <w:rsid w:val="672A3F5C"/>
    <w:rsid w:val="672C66EE"/>
    <w:rsid w:val="673849B2"/>
    <w:rsid w:val="674D4335"/>
    <w:rsid w:val="67726657"/>
    <w:rsid w:val="678A4ED6"/>
    <w:rsid w:val="67BB05DB"/>
    <w:rsid w:val="67BD26DA"/>
    <w:rsid w:val="67E840F7"/>
    <w:rsid w:val="67FE6CF2"/>
    <w:rsid w:val="68024591"/>
    <w:rsid w:val="680D18B3"/>
    <w:rsid w:val="68120612"/>
    <w:rsid w:val="68281903"/>
    <w:rsid w:val="682B3AE8"/>
    <w:rsid w:val="68402155"/>
    <w:rsid w:val="68744C4B"/>
    <w:rsid w:val="688A35DC"/>
    <w:rsid w:val="6896352A"/>
    <w:rsid w:val="68AA1941"/>
    <w:rsid w:val="68D51FF8"/>
    <w:rsid w:val="68D61FDD"/>
    <w:rsid w:val="68DB3760"/>
    <w:rsid w:val="68F41093"/>
    <w:rsid w:val="69177787"/>
    <w:rsid w:val="69232A11"/>
    <w:rsid w:val="69240081"/>
    <w:rsid w:val="69252C2D"/>
    <w:rsid w:val="692B0715"/>
    <w:rsid w:val="694F6758"/>
    <w:rsid w:val="695E2B47"/>
    <w:rsid w:val="69647A27"/>
    <w:rsid w:val="6965127B"/>
    <w:rsid w:val="69721525"/>
    <w:rsid w:val="6973579F"/>
    <w:rsid w:val="69874162"/>
    <w:rsid w:val="69886D18"/>
    <w:rsid w:val="699C0B46"/>
    <w:rsid w:val="699E6EDB"/>
    <w:rsid w:val="69B01DD4"/>
    <w:rsid w:val="69C02CC6"/>
    <w:rsid w:val="6A0C5CC5"/>
    <w:rsid w:val="6A0D4726"/>
    <w:rsid w:val="6A1011E7"/>
    <w:rsid w:val="6A1F767C"/>
    <w:rsid w:val="6A3E462E"/>
    <w:rsid w:val="6A432F56"/>
    <w:rsid w:val="6A5C61DA"/>
    <w:rsid w:val="6A7D5EFC"/>
    <w:rsid w:val="6A7D7D3F"/>
    <w:rsid w:val="6A9C2A7B"/>
    <w:rsid w:val="6A9C5931"/>
    <w:rsid w:val="6AD14FD7"/>
    <w:rsid w:val="6AEE467C"/>
    <w:rsid w:val="6AFB3C45"/>
    <w:rsid w:val="6B295798"/>
    <w:rsid w:val="6B2B3029"/>
    <w:rsid w:val="6B2E30B1"/>
    <w:rsid w:val="6B327947"/>
    <w:rsid w:val="6B4B7BFC"/>
    <w:rsid w:val="6BC517DE"/>
    <w:rsid w:val="6BC92D5B"/>
    <w:rsid w:val="6BD20370"/>
    <w:rsid w:val="6BDC2A11"/>
    <w:rsid w:val="6BE0108D"/>
    <w:rsid w:val="6BE85984"/>
    <w:rsid w:val="6C4179F9"/>
    <w:rsid w:val="6C7964CA"/>
    <w:rsid w:val="6C7D68DC"/>
    <w:rsid w:val="6C810E50"/>
    <w:rsid w:val="6C9D768E"/>
    <w:rsid w:val="6CD02422"/>
    <w:rsid w:val="6CD24F75"/>
    <w:rsid w:val="6D08089B"/>
    <w:rsid w:val="6D2356D5"/>
    <w:rsid w:val="6D286921"/>
    <w:rsid w:val="6D374CDD"/>
    <w:rsid w:val="6D437B25"/>
    <w:rsid w:val="6D4603CA"/>
    <w:rsid w:val="6D633D24"/>
    <w:rsid w:val="6D635AD2"/>
    <w:rsid w:val="6D6C0E2A"/>
    <w:rsid w:val="6D7A376E"/>
    <w:rsid w:val="6D8760FC"/>
    <w:rsid w:val="6D924ED4"/>
    <w:rsid w:val="6DDA7911"/>
    <w:rsid w:val="6E0B340C"/>
    <w:rsid w:val="6E1F559C"/>
    <w:rsid w:val="6E4072ED"/>
    <w:rsid w:val="6E74415F"/>
    <w:rsid w:val="6E9A3775"/>
    <w:rsid w:val="6EC425A0"/>
    <w:rsid w:val="6EDD7D09"/>
    <w:rsid w:val="6EED1237"/>
    <w:rsid w:val="6EEE0533"/>
    <w:rsid w:val="6F155591"/>
    <w:rsid w:val="6F280D81"/>
    <w:rsid w:val="6F3911E0"/>
    <w:rsid w:val="6F564781"/>
    <w:rsid w:val="6F712728"/>
    <w:rsid w:val="6F944336"/>
    <w:rsid w:val="6FA110A6"/>
    <w:rsid w:val="6FA4659E"/>
    <w:rsid w:val="6FAD4F96"/>
    <w:rsid w:val="6FBB5526"/>
    <w:rsid w:val="6FBB7E47"/>
    <w:rsid w:val="6FC64B3E"/>
    <w:rsid w:val="6FD5610C"/>
    <w:rsid w:val="6FF144E1"/>
    <w:rsid w:val="70055F6E"/>
    <w:rsid w:val="700A0487"/>
    <w:rsid w:val="70393F60"/>
    <w:rsid w:val="703F3483"/>
    <w:rsid w:val="704D66CD"/>
    <w:rsid w:val="706E6C67"/>
    <w:rsid w:val="70903082"/>
    <w:rsid w:val="70A13A33"/>
    <w:rsid w:val="70A408DB"/>
    <w:rsid w:val="70A52F39"/>
    <w:rsid w:val="70CF206B"/>
    <w:rsid w:val="70D34E08"/>
    <w:rsid w:val="70E60EF4"/>
    <w:rsid w:val="70EF5AB4"/>
    <w:rsid w:val="71272EDB"/>
    <w:rsid w:val="71411CC9"/>
    <w:rsid w:val="714D6F6C"/>
    <w:rsid w:val="71502811"/>
    <w:rsid w:val="715031A7"/>
    <w:rsid w:val="71517F97"/>
    <w:rsid w:val="71864485"/>
    <w:rsid w:val="71B763EC"/>
    <w:rsid w:val="71C10F2E"/>
    <w:rsid w:val="71C87C41"/>
    <w:rsid w:val="71C93E5C"/>
    <w:rsid w:val="722453CB"/>
    <w:rsid w:val="722D73CC"/>
    <w:rsid w:val="72365B57"/>
    <w:rsid w:val="72611287"/>
    <w:rsid w:val="727E0C6F"/>
    <w:rsid w:val="72987FCC"/>
    <w:rsid w:val="72BB5F8B"/>
    <w:rsid w:val="72BB6655"/>
    <w:rsid w:val="72C712E1"/>
    <w:rsid w:val="72FA1A10"/>
    <w:rsid w:val="73322ECF"/>
    <w:rsid w:val="73552361"/>
    <w:rsid w:val="73662167"/>
    <w:rsid w:val="736E6E10"/>
    <w:rsid w:val="73952CB3"/>
    <w:rsid w:val="73C52DD8"/>
    <w:rsid w:val="73C55FFA"/>
    <w:rsid w:val="73C60B68"/>
    <w:rsid w:val="73D43285"/>
    <w:rsid w:val="73E54BC7"/>
    <w:rsid w:val="741713C4"/>
    <w:rsid w:val="741A7914"/>
    <w:rsid w:val="744A0A36"/>
    <w:rsid w:val="747B5DF7"/>
    <w:rsid w:val="7501589A"/>
    <w:rsid w:val="75092F11"/>
    <w:rsid w:val="750E4A73"/>
    <w:rsid w:val="75132265"/>
    <w:rsid w:val="751853F4"/>
    <w:rsid w:val="751C6001"/>
    <w:rsid w:val="75243513"/>
    <w:rsid w:val="75267495"/>
    <w:rsid w:val="752C54C6"/>
    <w:rsid w:val="75686957"/>
    <w:rsid w:val="75B82C33"/>
    <w:rsid w:val="75FE6CDF"/>
    <w:rsid w:val="761A4816"/>
    <w:rsid w:val="762C55FB"/>
    <w:rsid w:val="76772852"/>
    <w:rsid w:val="767C4B99"/>
    <w:rsid w:val="76962A74"/>
    <w:rsid w:val="769D3F76"/>
    <w:rsid w:val="76B3769D"/>
    <w:rsid w:val="76D36956"/>
    <w:rsid w:val="770E2F52"/>
    <w:rsid w:val="77110A7B"/>
    <w:rsid w:val="771D3195"/>
    <w:rsid w:val="77420E4E"/>
    <w:rsid w:val="7754065E"/>
    <w:rsid w:val="7758241F"/>
    <w:rsid w:val="77701C87"/>
    <w:rsid w:val="77713ED2"/>
    <w:rsid w:val="77893118"/>
    <w:rsid w:val="77A3073D"/>
    <w:rsid w:val="77AB1CCE"/>
    <w:rsid w:val="77CE2B0A"/>
    <w:rsid w:val="77F838AE"/>
    <w:rsid w:val="780E7E28"/>
    <w:rsid w:val="781B0555"/>
    <w:rsid w:val="782347DB"/>
    <w:rsid w:val="78280044"/>
    <w:rsid w:val="783571CB"/>
    <w:rsid w:val="784E07A8"/>
    <w:rsid w:val="78533409"/>
    <w:rsid w:val="78705799"/>
    <w:rsid w:val="78774B27"/>
    <w:rsid w:val="787765F1"/>
    <w:rsid w:val="78D26A7E"/>
    <w:rsid w:val="78E710B2"/>
    <w:rsid w:val="78F47401"/>
    <w:rsid w:val="78F9553C"/>
    <w:rsid w:val="79426EE3"/>
    <w:rsid w:val="795804B5"/>
    <w:rsid w:val="79747C17"/>
    <w:rsid w:val="798C63B0"/>
    <w:rsid w:val="79940026"/>
    <w:rsid w:val="799F7E92"/>
    <w:rsid w:val="79A74F98"/>
    <w:rsid w:val="79B56FF2"/>
    <w:rsid w:val="79EE2BC7"/>
    <w:rsid w:val="79F24465"/>
    <w:rsid w:val="7A162C99"/>
    <w:rsid w:val="7A1642FF"/>
    <w:rsid w:val="7A173ECC"/>
    <w:rsid w:val="7A1C5986"/>
    <w:rsid w:val="7A2B0CDA"/>
    <w:rsid w:val="7A396538"/>
    <w:rsid w:val="7A5B230E"/>
    <w:rsid w:val="7A6D4434"/>
    <w:rsid w:val="7A72753A"/>
    <w:rsid w:val="7A777060"/>
    <w:rsid w:val="7A8377B3"/>
    <w:rsid w:val="7ADA1C60"/>
    <w:rsid w:val="7AF47429"/>
    <w:rsid w:val="7B0862D8"/>
    <w:rsid w:val="7B130B37"/>
    <w:rsid w:val="7B1B4787"/>
    <w:rsid w:val="7B245CF4"/>
    <w:rsid w:val="7B334FEE"/>
    <w:rsid w:val="7B406A51"/>
    <w:rsid w:val="7B6B4CD9"/>
    <w:rsid w:val="7B6C0849"/>
    <w:rsid w:val="7B6C46EB"/>
    <w:rsid w:val="7B963516"/>
    <w:rsid w:val="7B9B00FB"/>
    <w:rsid w:val="7BF7374C"/>
    <w:rsid w:val="7C01654E"/>
    <w:rsid w:val="7C09018C"/>
    <w:rsid w:val="7C1C3A1B"/>
    <w:rsid w:val="7C3A2988"/>
    <w:rsid w:val="7C3C5E6C"/>
    <w:rsid w:val="7C420122"/>
    <w:rsid w:val="7C480CB4"/>
    <w:rsid w:val="7C541224"/>
    <w:rsid w:val="7C675C0A"/>
    <w:rsid w:val="7C727ADF"/>
    <w:rsid w:val="7CDA4E8F"/>
    <w:rsid w:val="7CE87DA1"/>
    <w:rsid w:val="7CF02627"/>
    <w:rsid w:val="7D114D01"/>
    <w:rsid w:val="7D741635"/>
    <w:rsid w:val="7D954157"/>
    <w:rsid w:val="7DDC6E34"/>
    <w:rsid w:val="7E1A21A1"/>
    <w:rsid w:val="7E1E378D"/>
    <w:rsid w:val="7E205AED"/>
    <w:rsid w:val="7E23216E"/>
    <w:rsid w:val="7E261365"/>
    <w:rsid w:val="7E527ABB"/>
    <w:rsid w:val="7E751182"/>
    <w:rsid w:val="7E8E57B1"/>
    <w:rsid w:val="7EA07D6A"/>
    <w:rsid w:val="7EA41695"/>
    <w:rsid w:val="7EAC1347"/>
    <w:rsid w:val="7ED52983"/>
    <w:rsid w:val="7ED63B1E"/>
    <w:rsid w:val="7ED96E19"/>
    <w:rsid w:val="7EDB201C"/>
    <w:rsid w:val="7EE747B5"/>
    <w:rsid w:val="7F1F491B"/>
    <w:rsid w:val="7F245858"/>
    <w:rsid w:val="7F60009A"/>
    <w:rsid w:val="7F642AD3"/>
    <w:rsid w:val="7F674346"/>
    <w:rsid w:val="7F891D24"/>
    <w:rsid w:val="7F89287A"/>
    <w:rsid w:val="7F947D6D"/>
    <w:rsid w:val="7F9A1827"/>
    <w:rsid w:val="7FA22F78"/>
    <w:rsid w:val="7FA27CF2"/>
    <w:rsid w:val="7FA91A6A"/>
    <w:rsid w:val="7FAF4BA7"/>
    <w:rsid w:val="7FB201B2"/>
    <w:rsid w:val="7FB3011B"/>
    <w:rsid w:val="7FBA3291"/>
    <w:rsid w:val="7FBD72C3"/>
    <w:rsid w:val="7FD12D6F"/>
    <w:rsid w:val="7FF00A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qFormat/>
    <w:uiPriority w:val="1"/>
    <w:pPr>
      <w:ind w:left="652"/>
      <w:outlineLvl w:val="3"/>
    </w:pPr>
    <w:rPr>
      <w:b/>
      <w:bCs/>
      <w:sz w:val="30"/>
      <w:szCs w:val="30"/>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adjustRightInd w:val="0"/>
      <w:spacing w:line="360" w:lineRule="atLeast"/>
      <w:ind w:firstLine="482"/>
      <w:textAlignment w:val="baseline"/>
    </w:pPr>
    <w:rPr>
      <w:kern w:val="0"/>
      <w:sz w:val="24"/>
      <w:szCs w:val="20"/>
    </w:rPr>
  </w:style>
  <w:style w:type="paragraph" w:styleId="7">
    <w:name w:val="toa heading"/>
    <w:basedOn w:val="1"/>
    <w:next w:val="1"/>
    <w:unhideWhenUsed/>
    <w:qFormat/>
    <w:uiPriority w:val="99"/>
    <w:pPr>
      <w:spacing w:before="120"/>
    </w:pPr>
    <w:rPr>
      <w:rFonts w:ascii="Cambria" w:hAnsi="Cambria"/>
      <w:sz w:val="24"/>
    </w:rPr>
  </w:style>
  <w:style w:type="paragraph" w:styleId="8">
    <w:name w:val="annotation text"/>
    <w:basedOn w:val="1"/>
    <w:qFormat/>
    <w:uiPriority w:val="0"/>
    <w:pPr>
      <w:jc w:val="left"/>
    </w:pPr>
  </w:style>
  <w:style w:type="paragraph" w:styleId="9">
    <w:name w:val="index 6"/>
    <w:next w:val="1"/>
    <w:qFormat/>
    <w:uiPriority w:val="0"/>
    <w:pPr>
      <w:widowControl w:val="0"/>
      <w:ind w:firstLine="840"/>
      <w:jc w:val="both"/>
    </w:pPr>
    <w:rPr>
      <w:rFonts w:ascii="Calibri" w:hAnsi="Calibri" w:eastAsia="宋体" w:cs="Arial"/>
      <w:kern w:val="2"/>
      <w:sz w:val="21"/>
      <w:szCs w:val="24"/>
      <w:lang w:val="en-US" w:eastAsia="zh-CN" w:bidi="ar-SA"/>
    </w:rPr>
  </w:style>
  <w:style w:type="paragraph" w:styleId="10">
    <w:name w:val="Body Text"/>
    <w:basedOn w:val="1"/>
    <w:link w:val="47"/>
    <w:qFormat/>
    <w:uiPriority w:val="0"/>
    <w:pPr>
      <w:spacing w:after="120"/>
    </w:pPr>
  </w:style>
  <w:style w:type="paragraph" w:styleId="11">
    <w:name w:val="Body Text Indent"/>
    <w:basedOn w:val="1"/>
    <w:next w:val="1"/>
    <w:qFormat/>
    <w:uiPriority w:val="0"/>
    <w:pPr>
      <w:spacing w:after="120"/>
      <w:ind w:left="200" w:leftChars="200"/>
    </w:pPr>
  </w:style>
  <w:style w:type="paragraph" w:styleId="12">
    <w:name w:val="toc 3"/>
    <w:basedOn w:val="1"/>
    <w:next w:val="1"/>
    <w:qFormat/>
    <w:uiPriority w:val="39"/>
    <w:pPr>
      <w:tabs>
        <w:tab w:val="right" w:leader="dot" w:pos="9288"/>
      </w:tabs>
      <w:ind w:left="400" w:leftChars="400"/>
    </w:pPr>
    <w:rPr>
      <w:rFonts w:ascii="宋体"/>
    </w:rPr>
  </w:style>
  <w:style w:type="paragraph" w:styleId="13">
    <w:name w:val="Plain Text"/>
    <w:basedOn w:val="1"/>
    <w:next w:val="14"/>
    <w:link w:val="48"/>
    <w:qFormat/>
    <w:uiPriority w:val="0"/>
    <w:rPr>
      <w:rFonts w:ascii="宋体"/>
      <w:color w:val="000000"/>
      <w:szCs w:val="20"/>
      <w:u w:val="none" w:color="000000"/>
    </w:rPr>
  </w:style>
  <w:style w:type="paragraph" w:styleId="14">
    <w:name w:val="index 7"/>
    <w:basedOn w:val="1"/>
    <w:next w:val="1"/>
    <w:qFormat/>
    <w:uiPriority w:val="0"/>
    <w:pPr>
      <w:autoSpaceDE/>
      <w:autoSpaceDN/>
      <w:adjustRightInd/>
      <w:ind w:left="1200" w:leftChars="1200"/>
    </w:pPr>
    <w:rPr>
      <w:color w:val="auto"/>
      <w:kern w:val="2"/>
      <w:szCs w:val="24"/>
    </w:rPr>
  </w:style>
  <w:style w:type="paragraph" w:styleId="15">
    <w:name w:val="Date"/>
    <w:basedOn w:val="1"/>
    <w:next w:val="1"/>
    <w:link w:val="49"/>
    <w:qFormat/>
    <w:uiPriority w:val="0"/>
    <w:rPr>
      <w:rFonts w:ascii="Arial" w:hAnsi="Arial" w:eastAsia="仿宋_GB2312"/>
      <w:color w:val="000000"/>
      <w:sz w:val="32"/>
      <w:szCs w:val="20"/>
      <w:u w:val="none" w:color="000000"/>
    </w:rPr>
  </w:style>
  <w:style w:type="paragraph" w:styleId="16">
    <w:name w:val="Body Text Indent 2"/>
    <w:basedOn w:val="1"/>
    <w:qFormat/>
    <w:uiPriority w:val="0"/>
    <w:pPr>
      <w:widowControl/>
      <w:spacing w:after="120" w:line="480" w:lineRule="auto"/>
      <w:ind w:left="420" w:leftChars="200"/>
      <w:jc w:val="left"/>
    </w:pPr>
    <w:rPr>
      <w:rFonts w:ascii="Times New Roman" w:hAnsi="Times New Roman"/>
      <w:kern w:val="0"/>
      <w:sz w:val="20"/>
      <w:szCs w:val="20"/>
    </w:rPr>
  </w:style>
  <w:style w:type="paragraph" w:styleId="17">
    <w:name w:val="footer"/>
    <w:basedOn w:val="1"/>
    <w:link w:val="50"/>
    <w:qFormat/>
    <w:uiPriority w:val="0"/>
    <w:pPr>
      <w:tabs>
        <w:tab w:val="center" w:pos="4153"/>
        <w:tab w:val="right" w:pos="8306"/>
      </w:tabs>
      <w:snapToGrid w:val="0"/>
      <w:jc w:val="left"/>
    </w:pPr>
    <w:rPr>
      <w:sz w:val="18"/>
      <w:szCs w:val="18"/>
    </w:rPr>
  </w:style>
  <w:style w:type="paragraph" w:styleId="18">
    <w:name w:val="header"/>
    <w:basedOn w:val="1"/>
    <w:link w:val="5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style>
  <w:style w:type="paragraph" w:styleId="20">
    <w:name w:val="List"/>
    <w:basedOn w:val="1"/>
    <w:qFormat/>
    <w:uiPriority w:val="0"/>
    <w:pPr>
      <w:adjustRightInd/>
      <w:snapToGrid/>
      <w:spacing w:after="0"/>
      <w:ind w:left="200" w:hanging="200" w:hangingChars="200"/>
      <w:contextualSpacing/>
    </w:pPr>
    <w:rPr>
      <w:rFonts w:ascii="Times New Roman" w:hAnsi="Times New Roman" w:eastAsia="宋体"/>
      <w:sz w:val="20"/>
      <w:szCs w:val="20"/>
    </w:rPr>
  </w:style>
  <w:style w:type="paragraph" w:styleId="21">
    <w:name w:val="footnote text"/>
    <w:basedOn w:val="1"/>
    <w:qFormat/>
    <w:uiPriority w:val="0"/>
    <w:pPr>
      <w:snapToGrid w:val="0"/>
      <w:jc w:val="left"/>
    </w:pPr>
    <w:rPr>
      <w:rFonts w:ascii="Times New Roman" w:hAnsi="Times New Roman" w:eastAsia="宋体" w:cs="Times New Roman"/>
      <w:sz w:val="18"/>
    </w:rPr>
  </w:style>
  <w:style w:type="paragraph" w:styleId="22">
    <w:name w:val="table of figures"/>
    <w:basedOn w:val="1"/>
    <w:next w:val="1"/>
    <w:unhideWhenUsed/>
    <w:qFormat/>
    <w:uiPriority w:val="99"/>
    <w:pPr>
      <w:ind w:left="200" w:leftChars="200" w:hanging="200" w:hangingChars="200"/>
    </w:pPr>
    <w:rPr>
      <w:rFonts w:ascii="Times New Roman" w:hAnsi="Times New Roman" w:eastAsia="宋体" w:cs="Times New Roman"/>
    </w:rPr>
  </w:style>
  <w:style w:type="paragraph" w:styleId="23">
    <w:name w:val="toc 2"/>
    <w:basedOn w:val="1"/>
    <w:next w:val="1"/>
    <w:qFormat/>
    <w:uiPriority w:val="39"/>
    <w:pPr>
      <w:ind w:left="200" w:leftChars="200"/>
    </w:pPr>
  </w:style>
  <w:style w:type="paragraph" w:styleId="24">
    <w:name w:val="Body Text 2"/>
    <w:basedOn w:val="1"/>
    <w:qFormat/>
    <w:uiPriority w:val="0"/>
    <w:pPr>
      <w:tabs>
        <w:tab w:val="left" w:pos="0"/>
      </w:tabs>
      <w:spacing w:line="400" w:lineRule="atLeast"/>
    </w:pPr>
    <w:rPr>
      <w:rFonts w:ascii="Arial" w:hAnsi="Arial"/>
      <w:color w:val="000000"/>
    </w:rPr>
  </w:style>
  <w:style w:type="paragraph" w:styleId="25">
    <w:name w:val="Normal (Web)"/>
    <w:basedOn w:val="1"/>
    <w:link w:val="95"/>
    <w:qFormat/>
    <w:uiPriority w:val="0"/>
    <w:pPr>
      <w:widowControl/>
      <w:spacing w:before="100" w:beforeAutospacing="1" w:after="100" w:afterAutospacing="1"/>
      <w:jc w:val="left"/>
    </w:pPr>
    <w:rPr>
      <w:rFonts w:ascii="宋体" w:hAnsi="宋体" w:cs="宋体"/>
      <w:kern w:val="0"/>
      <w:sz w:val="24"/>
    </w:rPr>
  </w:style>
  <w:style w:type="paragraph" w:styleId="26">
    <w:name w:val="Title"/>
    <w:basedOn w:val="1"/>
    <w:next w:val="1"/>
    <w:link w:val="81"/>
    <w:qFormat/>
    <w:uiPriority w:val="0"/>
    <w:pPr>
      <w:spacing w:before="240" w:after="60"/>
      <w:ind w:left="425" w:hanging="425"/>
      <w:jc w:val="center"/>
      <w:outlineLvl w:val="0"/>
    </w:pPr>
    <w:rPr>
      <w:rFonts w:ascii="Arial" w:hAnsi="Arial" w:cs="Arial"/>
      <w:b/>
      <w:bCs/>
      <w:sz w:val="32"/>
      <w:szCs w:val="32"/>
    </w:rPr>
  </w:style>
  <w:style w:type="paragraph" w:styleId="27">
    <w:name w:val="Body Text First Indent"/>
    <w:basedOn w:val="10"/>
    <w:next w:val="1"/>
    <w:unhideWhenUsed/>
    <w:qFormat/>
    <w:uiPriority w:val="0"/>
    <w:pPr>
      <w:adjustRightInd/>
      <w:spacing w:after="120" w:line="240" w:lineRule="auto"/>
      <w:ind w:firstLine="420" w:firstLineChars="100"/>
      <w:jc w:val="both"/>
    </w:pPr>
    <w:rPr>
      <w:rFonts w:ascii="Times New Roman"/>
      <w:kern w:val="2"/>
      <w:sz w:val="21"/>
      <w:szCs w:val="24"/>
    </w:rPr>
  </w:style>
  <w:style w:type="paragraph" w:styleId="28">
    <w:name w:val="Body Text First Indent 2"/>
    <w:basedOn w:val="11"/>
    <w:next w:val="10"/>
    <w:unhideWhenUsed/>
    <w:qFormat/>
    <w:uiPriority w:val="99"/>
    <w:pPr>
      <w:spacing w:after="120" w:line="240" w:lineRule="auto"/>
      <w:ind w:left="420" w:leftChars="200" w:firstLine="420"/>
    </w:pPr>
    <w:rPr>
      <w:rFonts w:cs="宋体"/>
      <w:sz w:val="21"/>
      <w:szCs w:val="21"/>
    </w:r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rPr>
  </w:style>
  <w:style w:type="character" w:styleId="33">
    <w:name w:val="page number"/>
    <w:basedOn w:val="31"/>
    <w:qFormat/>
    <w:uiPriority w:val="0"/>
  </w:style>
  <w:style w:type="character" w:styleId="34">
    <w:name w:val="FollowedHyperlink"/>
    <w:qFormat/>
    <w:uiPriority w:val="0"/>
    <w:rPr>
      <w:color w:val="333333"/>
      <w:u w:val="none"/>
    </w:rPr>
  </w:style>
  <w:style w:type="character" w:styleId="35">
    <w:name w:val="Emphasis"/>
    <w:basedOn w:val="31"/>
    <w:qFormat/>
    <w:uiPriority w:val="0"/>
    <w:rPr>
      <w:i/>
    </w:rPr>
  </w:style>
  <w:style w:type="character" w:styleId="36">
    <w:name w:val="HTML Definition"/>
    <w:basedOn w:val="31"/>
    <w:qFormat/>
    <w:uiPriority w:val="0"/>
  </w:style>
  <w:style w:type="character" w:styleId="37">
    <w:name w:val="HTML Typewriter"/>
    <w:basedOn w:val="31"/>
    <w:qFormat/>
    <w:uiPriority w:val="0"/>
    <w:rPr>
      <w:rFonts w:ascii="monospace" w:hAnsi="monospace" w:eastAsia="monospace" w:cs="monospace"/>
      <w:sz w:val="20"/>
    </w:rPr>
  </w:style>
  <w:style w:type="character" w:styleId="38">
    <w:name w:val="HTML Acronym"/>
    <w:basedOn w:val="31"/>
    <w:qFormat/>
    <w:uiPriority w:val="0"/>
  </w:style>
  <w:style w:type="character" w:styleId="39">
    <w:name w:val="HTML Variable"/>
    <w:basedOn w:val="31"/>
    <w:qFormat/>
    <w:uiPriority w:val="0"/>
  </w:style>
  <w:style w:type="character" w:styleId="40">
    <w:name w:val="Hyperlink"/>
    <w:basedOn w:val="31"/>
    <w:qFormat/>
    <w:uiPriority w:val="99"/>
    <w:rPr>
      <w:color w:val="0000FF"/>
      <w:u w:val="single"/>
    </w:rPr>
  </w:style>
  <w:style w:type="character" w:styleId="41">
    <w:name w:val="HTML Code"/>
    <w:basedOn w:val="31"/>
    <w:qFormat/>
    <w:uiPriority w:val="0"/>
    <w:rPr>
      <w:rFonts w:hint="default" w:ascii="monospace" w:hAnsi="monospace" w:eastAsia="monospace" w:cs="monospace"/>
      <w:sz w:val="20"/>
    </w:rPr>
  </w:style>
  <w:style w:type="character" w:styleId="42">
    <w:name w:val="annotation reference"/>
    <w:qFormat/>
    <w:uiPriority w:val="0"/>
    <w:rPr>
      <w:rFonts w:ascii="Times New Roman" w:hAnsi="Times New Roman" w:eastAsia="宋体" w:cs="Times New Roman"/>
      <w:sz w:val="21"/>
      <w:szCs w:val="21"/>
    </w:rPr>
  </w:style>
  <w:style w:type="character" w:styleId="43">
    <w:name w:val="HTML Cite"/>
    <w:basedOn w:val="31"/>
    <w:qFormat/>
    <w:uiPriority w:val="0"/>
  </w:style>
  <w:style w:type="character" w:styleId="44">
    <w:name w:val="HTML Keyboard"/>
    <w:basedOn w:val="31"/>
    <w:qFormat/>
    <w:uiPriority w:val="0"/>
    <w:rPr>
      <w:rFonts w:hint="default" w:ascii="monospace" w:hAnsi="monospace" w:eastAsia="monospace" w:cs="monospace"/>
      <w:sz w:val="20"/>
    </w:rPr>
  </w:style>
  <w:style w:type="character" w:styleId="45">
    <w:name w:val="HTML Sample"/>
    <w:basedOn w:val="31"/>
    <w:qFormat/>
    <w:uiPriority w:val="0"/>
    <w:rPr>
      <w:rFonts w:hint="default" w:ascii="monospace" w:hAnsi="monospace" w:eastAsia="monospace" w:cs="monospace"/>
    </w:rPr>
  </w:style>
  <w:style w:type="paragraph" w:customStyle="1" w:styleId="46">
    <w:name w:val="_Style 2"/>
    <w:basedOn w:val="1"/>
    <w:qFormat/>
    <w:uiPriority w:val="0"/>
    <w:pPr>
      <w:ind w:firstLine="200" w:firstLineChars="200"/>
    </w:pPr>
    <w:rPr>
      <w:rFonts w:ascii="Calibri" w:hAnsi="Calibri"/>
      <w:sz w:val="28"/>
      <w:szCs w:val="22"/>
    </w:rPr>
  </w:style>
  <w:style w:type="character" w:customStyle="1" w:styleId="47">
    <w:name w:val="正文文本 Char"/>
    <w:link w:val="10"/>
    <w:semiHidden/>
    <w:qFormat/>
    <w:locked/>
    <w:uiPriority w:val="0"/>
    <w:rPr>
      <w:rFonts w:eastAsia="宋体"/>
      <w:kern w:val="2"/>
      <w:sz w:val="21"/>
      <w:szCs w:val="24"/>
      <w:lang w:val="en-US" w:eastAsia="zh-CN" w:bidi="ar-SA"/>
    </w:rPr>
  </w:style>
  <w:style w:type="character" w:customStyle="1" w:styleId="48">
    <w:name w:val="纯文本 Char"/>
    <w:link w:val="13"/>
    <w:qFormat/>
    <w:uiPriority w:val="0"/>
    <w:rPr>
      <w:rFonts w:ascii="宋体"/>
      <w:color w:val="000000"/>
      <w:kern w:val="2"/>
      <w:sz w:val="21"/>
      <w:u w:val="none" w:color="000000"/>
    </w:rPr>
  </w:style>
  <w:style w:type="character" w:customStyle="1" w:styleId="49">
    <w:name w:val="日期 Char"/>
    <w:link w:val="15"/>
    <w:qFormat/>
    <w:uiPriority w:val="0"/>
    <w:rPr>
      <w:rFonts w:ascii="Arial" w:hAnsi="Arial" w:eastAsia="仿宋_GB2312"/>
      <w:color w:val="000000"/>
      <w:kern w:val="2"/>
      <w:sz w:val="32"/>
      <w:u w:val="none" w:color="000000"/>
      <w:lang w:val="en-US" w:eastAsia="zh-CN" w:bidi="ar-SA"/>
    </w:rPr>
  </w:style>
  <w:style w:type="character" w:customStyle="1" w:styleId="50">
    <w:name w:val="页脚 Char"/>
    <w:link w:val="17"/>
    <w:qFormat/>
    <w:locked/>
    <w:uiPriority w:val="0"/>
    <w:rPr>
      <w:rFonts w:eastAsia="宋体"/>
      <w:kern w:val="2"/>
      <w:sz w:val="18"/>
      <w:szCs w:val="18"/>
      <w:lang w:val="en-US" w:eastAsia="zh-CN" w:bidi="ar-SA"/>
    </w:rPr>
  </w:style>
  <w:style w:type="character" w:customStyle="1" w:styleId="51">
    <w:name w:val="页眉 Char"/>
    <w:link w:val="18"/>
    <w:qFormat/>
    <w:locked/>
    <w:uiPriority w:val="0"/>
    <w:rPr>
      <w:rFonts w:eastAsia="宋体"/>
      <w:kern w:val="2"/>
      <w:sz w:val="18"/>
      <w:szCs w:val="18"/>
      <w:lang w:val="en-US" w:eastAsia="zh-CN" w:bidi="ar-SA"/>
    </w:rPr>
  </w:style>
  <w:style w:type="paragraph" w:customStyle="1" w:styleId="52">
    <w:name w:val="正文缩进1"/>
    <w:basedOn w:val="1"/>
    <w:qFormat/>
    <w:uiPriority w:val="0"/>
    <w:pPr>
      <w:ind w:firstLine="420" w:firstLineChars="200"/>
    </w:pPr>
  </w:style>
  <w:style w:type="paragraph" w:customStyle="1" w:styleId="53">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54">
    <w:name w:val="font01"/>
    <w:basedOn w:val="31"/>
    <w:qFormat/>
    <w:uiPriority w:val="0"/>
    <w:rPr>
      <w:rFonts w:hint="eastAsia" w:ascii="宋体" w:hAnsi="宋体" w:eastAsia="宋体" w:cs="宋体"/>
      <w:color w:val="000000"/>
      <w:sz w:val="22"/>
      <w:szCs w:val="22"/>
      <w:u w:val="none"/>
    </w:rPr>
  </w:style>
  <w:style w:type="character" w:customStyle="1" w:styleId="55">
    <w:name w:val="font111"/>
    <w:basedOn w:val="31"/>
    <w:qFormat/>
    <w:uiPriority w:val="0"/>
    <w:rPr>
      <w:rFonts w:ascii="Arial" w:hAnsi="Arial" w:cs="Arial"/>
      <w:color w:val="000000"/>
      <w:sz w:val="18"/>
      <w:szCs w:val="18"/>
      <w:u w:val="none"/>
    </w:rPr>
  </w:style>
  <w:style w:type="character" w:customStyle="1" w:styleId="56">
    <w:name w:val="Body Text Char"/>
    <w:qFormat/>
    <w:locked/>
    <w:uiPriority w:val="0"/>
    <w:rPr>
      <w:rFonts w:ascii="宋体" w:hAnsi="Arial"/>
      <w:sz w:val="28"/>
    </w:rPr>
  </w:style>
  <w:style w:type="paragraph" w:customStyle="1" w:styleId="57">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58">
    <w:name w:val="Table Paragraph"/>
    <w:basedOn w:val="1"/>
    <w:qFormat/>
    <w:uiPriority w:val="1"/>
  </w:style>
  <w:style w:type="paragraph" w:customStyle="1" w:styleId="59">
    <w:name w:val="Body 1"/>
    <w:qFormat/>
    <w:uiPriority w:val="0"/>
    <w:pPr>
      <w:outlineLvl w:val="0"/>
    </w:pPr>
    <w:rPr>
      <w:rFonts w:ascii="Helvetica" w:hAnsi="Helvetica" w:eastAsia="ヒラギノ角ゴ Pro W3" w:cs="Times New Roman"/>
      <w:color w:val="000000"/>
      <w:sz w:val="22"/>
      <w:lang w:val="en-US" w:eastAsia="zh-CN" w:bidi="ar-SA"/>
    </w:rPr>
  </w:style>
  <w:style w:type="paragraph" w:customStyle="1" w:styleId="60">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1">
    <w:name w:val="Char"/>
    <w:basedOn w:val="1"/>
    <w:next w:val="1"/>
    <w:qFormat/>
    <w:uiPriority w:val="0"/>
    <w:pPr>
      <w:widowControl/>
      <w:spacing w:line="360" w:lineRule="auto"/>
      <w:jc w:val="left"/>
    </w:pPr>
    <w:rPr>
      <w:kern w:val="0"/>
      <w:szCs w:val="20"/>
      <w:lang w:eastAsia="en-US"/>
    </w:rPr>
  </w:style>
  <w:style w:type="paragraph" w:customStyle="1" w:styleId="62">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63">
    <w:name w:val="p0"/>
    <w:basedOn w:val="1"/>
    <w:qFormat/>
    <w:uiPriority w:val="0"/>
    <w:pPr>
      <w:widowControl/>
      <w:jc w:val="left"/>
    </w:pPr>
    <w:rPr>
      <w:rFonts w:ascii="宋体" w:hAnsi="宋体" w:cs="宋体"/>
      <w:kern w:val="0"/>
      <w:sz w:val="18"/>
      <w:szCs w:val="18"/>
    </w:rPr>
  </w:style>
  <w:style w:type="paragraph" w:customStyle="1" w:styleId="64">
    <w:name w:val="WPS Plain"/>
    <w:qFormat/>
    <w:uiPriority w:val="0"/>
    <w:rPr>
      <w:rFonts w:ascii="Times New Roman" w:hAnsi="Times New Roman" w:eastAsia="宋体" w:cs="Times New Roman"/>
      <w:lang w:val="en-US" w:eastAsia="zh-CN" w:bidi="ar-SA"/>
    </w:rPr>
  </w:style>
  <w:style w:type="paragraph" w:customStyle="1" w:styleId="65">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styleId="66">
    <w:name w:val="List Paragraph"/>
    <w:basedOn w:val="1"/>
    <w:qFormat/>
    <w:uiPriority w:val="0"/>
    <w:pPr>
      <w:spacing w:line="360" w:lineRule="auto"/>
      <w:ind w:firstLine="420" w:firstLineChars="200"/>
    </w:pPr>
    <w:rPr>
      <w:rFonts w:ascii="宋体" w:hAnsi="宋体" w:cs="宋体"/>
      <w:sz w:val="24"/>
    </w:rPr>
  </w:style>
  <w:style w:type="paragraph" w:customStyle="1" w:styleId="67">
    <w:name w:val="样式 左侧:  0 厘米 悬挂缩进: 2.5 字符"/>
    <w:basedOn w:val="1"/>
    <w:qFormat/>
    <w:uiPriority w:val="0"/>
    <w:pPr>
      <w:ind w:left="525" w:hanging="525" w:hangingChars="250"/>
    </w:pPr>
    <w:rPr>
      <w:szCs w:val="20"/>
    </w:rPr>
  </w:style>
  <w:style w:type="paragraph" w:customStyle="1" w:styleId="68">
    <w:name w:val="标题 5（有编号）（绿盟科技）"/>
    <w:basedOn w:val="1"/>
    <w:next w:val="60"/>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69">
    <w:name w:val="Default"/>
    <w:basedOn w:val="2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0">
    <w:name w:val="图例"/>
    <w:basedOn w:val="1"/>
    <w:qFormat/>
    <w:uiPriority w:val="0"/>
    <w:pPr>
      <w:spacing w:before="120" w:beforeLines="0" w:after="120" w:afterLines="0" w:line="360" w:lineRule="auto"/>
      <w:jc w:val="center"/>
    </w:pPr>
    <w:rPr>
      <w:rFonts w:eastAsia="仿宋_GB2312"/>
      <w:b/>
      <w:sz w:val="24"/>
    </w:rPr>
  </w:style>
  <w:style w:type="character" w:customStyle="1" w:styleId="71">
    <w:name w:val="font71"/>
    <w:basedOn w:val="31"/>
    <w:qFormat/>
    <w:uiPriority w:val="0"/>
    <w:rPr>
      <w:rFonts w:hint="default" w:ascii="Calibri" w:hAnsi="Calibri" w:cs="Calibri"/>
      <w:b/>
      <w:bCs/>
      <w:color w:val="000000"/>
      <w:sz w:val="21"/>
      <w:szCs w:val="21"/>
      <w:u w:val="none"/>
    </w:rPr>
  </w:style>
  <w:style w:type="character" w:customStyle="1" w:styleId="72">
    <w:name w:val="font61"/>
    <w:basedOn w:val="31"/>
    <w:qFormat/>
    <w:uiPriority w:val="0"/>
    <w:rPr>
      <w:rFonts w:hint="eastAsia" w:ascii="华文仿宋" w:hAnsi="华文仿宋" w:eastAsia="华文仿宋" w:cs="华文仿宋"/>
      <w:color w:val="000000"/>
      <w:sz w:val="21"/>
      <w:szCs w:val="21"/>
      <w:u w:val="none"/>
    </w:rPr>
  </w:style>
  <w:style w:type="character" w:customStyle="1" w:styleId="73">
    <w:name w:val="font91"/>
    <w:basedOn w:val="31"/>
    <w:qFormat/>
    <w:uiPriority w:val="0"/>
    <w:rPr>
      <w:rFonts w:hint="default" w:ascii="Calibri" w:hAnsi="Calibri" w:cs="Calibri"/>
      <w:b/>
      <w:bCs/>
      <w:color w:val="FF0000"/>
      <w:sz w:val="21"/>
      <w:szCs w:val="21"/>
      <w:u w:val="none"/>
    </w:rPr>
  </w:style>
  <w:style w:type="character" w:customStyle="1" w:styleId="74">
    <w:name w:val="font101"/>
    <w:basedOn w:val="31"/>
    <w:qFormat/>
    <w:uiPriority w:val="0"/>
    <w:rPr>
      <w:rFonts w:hint="eastAsia" w:ascii="宋体" w:hAnsi="宋体" w:eastAsia="宋体" w:cs="宋体"/>
      <w:color w:val="000000"/>
      <w:sz w:val="21"/>
      <w:szCs w:val="21"/>
      <w:u w:val="none"/>
    </w:rPr>
  </w:style>
  <w:style w:type="character" w:customStyle="1" w:styleId="75">
    <w:name w:val="font81"/>
    <w:basedOn w:val="31"/>
    <w:qFormat/>
    <w:uiPriority w:val="0"/>
    <w:rPr>
      <w:rFonts w:hint="default" w:ascii="Calibri" w:hAnsi="Calibri" w:cs="Calibri"/>
      <w:color w:val="000000"/>
      <w:sz w:val="21"/>
      <w:szCs w:val="21"/>
      <w:u w:val="none"/>
    </w:rPr>
  </w:style>
  <w:style w:type="character" w:customStyle="1" w:styleId="76">
    <w:name w:val="first-child"/>
    <w:basedOn w:val="31"/>
    <w:qFormat/>
    <w:uiPriority w:val="0"/>
  </w:style>
  <w:style w:type="character" w:customStyle="1" w:styleId="77">
    <w:name w:val="layui-layer-tabnow"/>
    <w:basedOn w:val="31"/>
    <w:qFormat/>
    <w:uiPriority w:val="0"/>
    <w:rPr>
      <w:bdr w:val="single" w:color="CCCCCC" w:sz="6" w:space="0"/>
      <w:shd w:val="clear" w:fill="FFFFFF"/>
    </w:rPr>
  </w:style>
  <w:style w:type="paragraph" w:customStyle="1" w:styleId="78">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79">
    <w:name w:val="答复表头"/>
    <w:basedOn w:val="80"/>
    <w:next w:val="1"/>
    <w:qFormat/>
    <w:uiPriority w:val="0"/>
    <w:pPr>
      <w:tabs>
        <w:tab w:val="left" w:pos="480"/>
      </w:tabs>
    </w:pPr>
    <w:rPr>
      <w:b/>
    </w:rPr>
  </w:style>
  <w:style w:type="paragraph" w:customStyle="1" w:styleId="80">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rPr>
  </w:style>
  <w:style w:type="character" w:customStyle="1" w:styleId="81">
    <w:name w:val="标题 字符"/>
    <w:link w:val="26"/>
    <w:qFormat/>
    <w:uiPriority w:val="0"/>
    <w:rPr>
      <w:rFonts w:ascii="Arial" w:hAnsi="Arial" w:cs="Arial"/>
      <w:b/>
      <w:bCs/>
      <w:sz w:val="32"/>
      <w:szCs w:val="32"/>
    </w:rPr>
  </w:style>
  <w:style w:type="character" w:customStyle="1" w:styleId="82">
    <w:name w:val="NormalCharacter"/>
    <w:semiHidden/>
    <w:qFormat/>
    <w:uiPriority w:val="0"/>
  </w:style>
  <w:style w:type="paragraph" w:customStyle="1" w:styleId="83">
    <w:name w:val="Body text|2"/>
    <w:basedOn w:val="1"/>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84">
    <w:name w:val="Body text|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85">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table" w:customStyle="1" w:styleId="86">
    <w:name w:val="Table Normal"/>
    <w:semiHidden/>
    <w:unhideWhenUsed/>
    <w:qFormat/>
    <w:uiPriority w:val="0"/>
    <w:tblPr>
      <w:tblCellMar>
        <w:top w:w="0" w:type="dxa"/>
        <w:left w:w="0" w:type="dxa"/>
        <w:bottom w:w="0" w:type="dxa"/>
        <w:right w:w="0" w:type="dxa"/>
      </w:tblCellMar>
    </w:tblPr>
  </w:style>
  <w:style w:type="character" w:customStyle="1" w:styleId="87">
    <w:name w:val="font112"/>
    <w:basedOn w:val="31"/>
    <w:qFormat/>
    <w:uiPriority w:val="0"/>
    <w:rPr>
      <w:rFonts w:hint="eastAsia" w:ascii="宋体" w:hAnsi="宋体" w:eastAsia="宋体" w:cs="宋体"/>
      <w:color w:val="FF0000"/>
      <w:sz w:val="18"/>
      <w:szCs w:val="18"/>
      <w:u w:val="none"/>
    </w:rPr>
  </w:style>
  <w:style w:type="character" w:customStyle="1" w:styleId="88">
    <w:name w:val="font21"/>
    <w:basedOn w:val="31"/>
    <w:qFormat/>
    <w:uiPriority w:val="0"/>
    <w:rPr>
      <w:rFonts w:hint="eastAsia" w:ascii="宋体" w:hAnsi="宋体" w:eastAsia="宋体" w:cs="宋体"/>
      <w:color w:val="000000"/>
      <w:sz w:val="18"/>
      <w:szCs w:val="18"/>
      <w:u w:val="none"/>
    </w:rPr>
  </w:style>
  <w:style w:type="character" w:customStyle="1" w:styleId="89">
    <w:name w:val="font41"/>
    <w:basedOn w:val="31"/>
    <w:qFormat/>
    <w:uiPriority w:val="0"/>
    <w:rPr>
      <w:rFonts w:hint="eastAsia" w:ascii="宋体" w:hAnsi="宋体" w:eastAsia="宋体" w:cs="宋体"/>
      <w:b/>
      <w:bCs/>
      <w:color w:val="000000"/>
      <w:sz w:val="18"/>
      <w:szCs w:val="18"/>
      <w:u w:val="none"/>
    </w:rPr>
  </w:style>
  <w:style w:type="character" w:customStyle="1" w:styleId="90">
    <w:name w:val="font11"/>
    <w:basedOn w:val="31"/>
    <w:qFormat/>
    <w:uiPriority w:val="0"/>
    <w:rPr>
      <w:rFonts w:hint="eastAsia" w:ascii="宋体" w:hAnsi="宋体" w:eastAsia="宋体" w:cs="宋体"/>
      <w:color w:val="000000"/>
      <w:sz w:val="18"/>
      <w:szCs w:val="18"/>
      <w:u w:val="none"/>
    </w:rPr>
  </w:style>
  <w:style w:type="paragraph" w:customStyle="1" w:styleId="91">
    <w:name w:val="首行缩进"/>
    <w:basedOn w:val="1"/>
    <w:qFormat/>
    <w:uiPriority w:val="0"/>
    <w:pPr>
      <w:spacing w:line="360" w:lineRule="auto"/>
      <w:ind w:firstLine="480" w:firstLineChars="200"/>
    </w:pPr>
    <w:rPr>
      <w:sz w:val="24"/>
      <w:szCs w:val="22"/>
      <w:lang w:val="zh-CN"/>
    </w:rPr>
  </w:style>
  <w:style w:type="paragraph" w:customStyle="1" w:styleId="92">
    <w:name w:val="样式 10 磅"/>
    <w:qFormat/>
    <w:uiPriority w:val="0"/>
    <w:pPr>
      <w:widowControl w:val="0"/>
      <w:jc w:val="both"/>
    </w:pPr>
    <w:rPr>
      <w:rFonts w:ascii="Calibri" w:hAnsi="Calibri" w:eastAsia="宋体" w:cs="Times New Roman"/>
      <w:kern w:val="2"/>
      <w:sz w:val="21"/>
      <w:szCs w:val="24"/>
      <w:lang w:val="en-US" w:eastAsia="zh-CN" w:bidi="ar-SA"/>
    </w:rPr>
  </w:style>
  <w:style w:type="paragraph" w:customStyle="1" w:styleId="93">
    <w:name w:val="样式 样式 左侧:  2 字符 + 左侧:  0.85 厘米 首行缩进:  2 字符1"/>
    <w:basedOn w:val="1"/>
    <w:qFormat/>
    <w:uiPriority w:val="0"/>
    <w:pPr>
      <w:ind w:left="482" w:firstLine="200" w:firstLineChars="200"/>
    </w:pPr>
    <w:rPr>
      <w:szCs w:val="20"/>
    </w:rPr>
  </w:style>
  <w:style w:type="paragraph" w:customStyle="1" w:styleId="94">
    <w:name w:val="Table Text"/>
    <w:basedOn w:val="1"/>
    <w:semiHidden/>
    <w:qFormat/>
    <w:uiPriority w:val="0"/>
    <w:rPr>
      <w:rFonts w:ascii="Arial" w:hAnsi="Arial" w:eastAsia="Arial" w:cs="Arial"/>
      <w:sz w:val="21"/>
      <w:szCs w:val="21"/>
      <w:lang w:val="en-US" w:eastAsia="en-US" w:bidi="ar-SA"/>
    </w:rPr>
  </w:style>
  <w:style w:type="character" w:customStyle="1" w:styleId="95">
    <w:name w:val="普通(网站) Char"/>
    <w:link w:val="25"/>
    <w:qFormat/>
    <w:locked/>
    <w:uiPriority w:val="0"/>
    <w:rPr>
      <w:rFonts w:ascii="宋体" w:hAnsi="宋体" w:cs="宋体"/>
      <w:kern w:val="0"/>
      <w:sz w:val="24"/>
    </w:rPr>
  </w:style>
  <w:style w:type="paragraph" w:styleId="96">
    <w:name w:val="No Spacing"/>
    <w:basedOn w:val="1"/>
    <w:qFormat/>
    <w:uiPriority w:val="1"/>
    <w:pPr>
      <w:widowControl w:val="0"/>
      <w:jc w:val="center"/>
    </w:pPr>
    <w:rPr>
      <w:rFonts w:eastAsia="黑体"/>
      <w:kern w:val="2"/>
      <w:sz w:val="30"/>
      <w:szCs w:val="24"/>
      <w:lang w:val="en-US" w:eastAsia="zh-CN" w:bidi="ar-SA"/>
    </w:rPr>
  </w:style>
  <w:style w:type="paragraph" w:customStyle="1" w:styleId="9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98">
    <w:name w:val="font51"/>
    <w:basedOn w:val="3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119</Pages>
  <Words>34809</Words>
  <Characters>36851</Characters>
  <Lines>1</Lines>
  <Paragraphs>1</Paragraphs>
  <TotalTime>14</TotalTime>
  <ScaleCrop>false</ScaleCrop>
  <LinksUpToDate>false</LinksUpToDate>
  <CharactersWithSpaces>38477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2014-07-12T00:56:00Z</dcterms:created>
  <dc:creator>陈倩倩</dc:creator>
  <cp:lastModifiedBy>简单就好　。</cp:lastModifiedBy>
  <cp:lastPrinted>2026-09-07T04:23:00Z</cp:lastPrinted>
  <dcterms:modified xsi:type="dcterms:W3CDTF">2026-09-07T09:15:41Z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1C8A5E0CC1FE44739868316883D58F93_13</vt:lpwstr>
  </property>
  <property fmtid="{D5CDD505-2E9C-101B-9397-08002B2CF9AE}" pid="4" name="KSOTemplateDocerSaveRecord">
    <vt:lpwstr>eyJoZGlkIjoiZGE4YTFlNWMzNmZlMDBlODQwMDJjZDczYmUzMThkY2EiLCJ1c2VySWQiOiI3MDg1MjYxOTQifQ==</vt:lpwstr>
  </property>
</Properties>
</file>